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3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xdx_902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UNDER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March 31, </w:t>
      </w:r>
      <w:bookmarkStart w:id="5" w:name="xdx_903_edei--DocumentFiscalYearFocus_c2"/>
      <w:bookmarkEnd w:id="5"/>
      <w:r>
        <w:rPr>
          <w:rFonts w:ascii="Times New Roman;Times;Serif" w:hAnsi="Times New Roman;Times;Serif"/>
          <w:b/>
          <w:i w:val="false"/>
          <w:caps w:val="false"/>
          <w:smallCaps w:val="false"/>
          <w:sz w:val="20"/>
        </w:rPr>
        <w:t>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xdx_908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F_edei--EntityFileNumber_c20230101"/>
      <w:bookmarkEnd w:id="7"/>
      <w:r>
        <w:rPr>
          <w:rFonts w:ascii="Times New Roman;Times;Serif" w:hAnsi="Times New Roman;Times;Serif"/>
          <w:b/>
          <w:i w:val="false"/>
          <w:caps w:val="false"/>
          <w:smallCaps w:val="false"/>
          <w:sz w:val="20"/>
        </w:rPr>
        <w:t>001-40730</w:t>
      </w:r>
    </w:p>
    <w:p>
      <w:pPr>
        <w:pStyle w:val="TextBody"/>
        <w:bidi w:val="0"/>
        <w:spacing w:before="0" w:after="0"/>
        <w:ind w:left="0" w:right="0" w:hanging="0"/>
        <w:jc w:val="center"/>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7205"/>
      </w:tblGrid>
      <w:tr>
        <w:trPr/>
        <w:tc>
          <w:tcPr>
            <w:tcW w:w="720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8" w:name="xdx_902_edei--EntityRegistrantName_c2023"/>
            <w:bookmarkEnd w:id="8"/>
            <w:r>
              <w:rPr>
                <w:rFonts w:ascii="Times New Roman;Times;Serif" w:hAnsi="Times New Roman;Times;Serif"/>
                <w:b/>
                <w:i w:val="false"/>
                <w:caps w:val="false"/>
                <w:smallCaps w:val="false"/>
                <w:sz w:val="36"/>
              </w:rPr>
              <w:t>DRAGONFLY ENERGY HOLDINGS CORP.</w:t>
            </w:r>
          </w:p>
        </w:tc>
      </w:tr>
      <w:tr>
        <w:trPr/>
        <w:tc>
          <w:tcPr>
            <w:tcW w:w="72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8_edei--EntityIncorporationStateCo"/>
            <w:bookmarkEnd w:id="9"/>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85-1873463</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 xml:space="preserve">1190 Trademark Drive </w:t>
            </w:r>
            <w:bookmarkStart w:id="12" w:name="xdx_903_edei--EntityAddressAddressLine2_"/>
            <w:bookmarkEnd w:id="12"/>
            <w:r>
              <w:rPr>
                <w:rFonts w:ascii="Times New Roman;Times;Serif" w:hAnsi="Times New Roman;Times;Serif"/>
                <w:b/>
                <w:i w:val="false"/>
                <w:caps w:val="false"/>
                <w:smallCaps w:val="false"/>
                <w:sz w:val="20"/>
              </w:rPr>
              <w:t>#108</w:t>
            </w:r>
          </w:p>
          <w:p>
            <w:pPr>
              <w:pStyle w:val="TableContents"/>
              <w:bidi w:val="0"/>
              <w:spacing w:before="0" w:after="0"/>
              <w:jc w:val="center"/>
              <w:rPr>
                <w:rFonts w:ascii="Times New Roman;Times;Serif" w:hAnsi="Times New Roman;Times;Serif"/>
                <w:b/>
                <w:i w:val="false"/>
                <w:caps w:val="false"/>
                <w:smallCaps w:val="false"/>
                <w:sz w:val="20"/>
              </w:rPr>
            </w:pPr>
            <w:bookmarkStart w:id="13" w:name="xdx_906_edei--EntityAddressCityOrTown_c2"/>
            <w:bookmarkEnd w:id="13"/>
            <w:r>
              <w:rPr>
                <w:rFonts w:ascii="Times New Roman;Times;Serif" w:hAnsi="Times New Roman;Times;Serif"/>
                <w:b/>
                <w:i w:val="false"/>
                <w:caps w:val="false"/>
                <w:smallCaps w:val="false"/>
                <w:sz w:val="20"/>
              </w:rPr>
              <w:t xml:space="preserve">Reno, </w:t>
            </w:r>
            <w:bookmarkStart w:id="14" w:name="xdx_90F_edei--EntityAddressStateOrProvin"/>
            <w:bookmarkEnd w:id="14"/>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5" w:name="xdx_903_edei--EntityAddressPostalZipCode"/>
            <w:bookmarkEnd w:id="15"/>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6_edei--CityAreaCode_c20230101__20"/>
      <w:bookmarkEnd w:id="16"/>
      <w:r>
        <w:rPr>
          <w:rFonts w:ascii="Times New Roman;Times;Serif" w:hAnsi="Times New Roman;Times;Serif"/>
          <w:b/>
          <w:i w:val="false"/>
          <w:caps w:val="false"/>
          <w:smallCaps w:val="false"/>
          <w:sz w:val="20"/>
        </w:rPr>
        <w:t xml:space="preserve">(775) </w:t>
      </w:r>
      <w:bookmarkStart w:id="17" w:name="xdx_908_edei--LocalPhoneNumber_c20230101"/>
      <w:bookmarkEnd w:id="17"/>
      <w:r>
        <w:rPr>
          <w:rFonts w:ascii="Times New Roman;Times;Serif" w:hAnsi="Times New Roman;Times;Serif"/>
          <w:b/>
          <w:i w:val="false"/>
          <w:caps w:val="false"/>
          <w:smallCaps w:val="false"/>
          <w:sz w:val="20"/>
        </w:rPr>
        <w:t>622-3448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74"/>
        <w:gridCol w:w="60"/>
        <w:gridCol w:w="1348"/>
        <w:gridCol w:w="60"/>
        <w:gridCol w:w="1863"/>
      </w:tblGrid>
      <w:tr>
        <w:trPr/>
        <w:tc>
          <w:tcPr>
            <w:tcW w:w="687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4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3"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which registered</w:t>
            </w:r>
          </w:p>
        </w:tc>
      </w:tr>
      <w:tr>
        <w:trPr/>
        <w:tc>
          <w:tcPr>
            <w:tcW w:w="6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3010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30101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8_edei--SecurityExchangeName_c2023"/>
            <w:bookmarkEnd w:id="20"/>
            <w:r>
              <w:rPr>
                <w:rFonts w:ascii="Times New Roman;Times;Serif" w:hAnsi="Times New Roman;Times;Serif"/>
                <w:b w:val="false"/>
                <w:i w:val="false"/>
                <w:caps w:val="false"/>
                <w:smallCaps w:val="false"/>
                <w:sz w:val="20"/>
              </w:rPr>
              <w:t>Nasdaq Global Market</w:t>
            </w:r>
          </w:p>
        </w:tc>
      </w:tr>
      <w:tr>
        <w:trPr/>
        <w:tc>
          <w:tcPr>
            <w:tcW w:w="687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12bTitle_c20230101"/>
            <w:bookmarkEnd w:id="21"/>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TradingSymbol_c20230101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D_edei--SecurityExchangeName_c2023"/>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1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w:t>
      </w:r>
      <w:bookmarkStart w:id="25" w:name="xdx_907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F_edei--EntityFilerCategory_c20230"/>
            <w:bookmarkEnd w:id="26"/>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9_edei--EntitySmallBusiness_c20230"/>
            <w:bookmarkEnd w:id="27"/>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8_edei--EntityEmergingGrowthCompan"/>
            <w:bookmarkEnd w:id="28"/>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5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w:t>
      </w:r>
      <w:bookmarkStart w:id="30" w:name="xdx_900_edei--EntityShellCompany_c202301"/>
      <w:bookmarkEnd w:id="30"/>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10, 2023, there were </w:t>
      </w:r>
      <w:bookmarkStart w:id="31" w:name="xdx_90E_edei--EntityCommonStockSharesOut"/>
      <w:bookmarkEnd w:id="31"/>
      <w:r>
        <w:rPr>
          <w:rFonts w:ascii="Times New Roman;Times;Serif" w:hAnsi="Times New Roman;Times;Serif"/>
          <w:b w:val="false"/>
          <w:i w:val="false"/>
          <w:caps w:val="false"/>
          <w:smallCaps w:val="false"/>
          <w:sz w:val="20"/>
        </w:rPr>
        <w:t>45,885,513 shares of the registrant’s common stock, par value $0.0001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
        <w:gridCol w:w="9036"/>
        <w:gridCol w:w="456"/>
      </w:tblGrid>
      <w:tr>
        <w:trPr/>
        <w:tc>
          <w:tcPr>
            <w:tcW w:w="713" w:type="dxa"/>
            <w:tcBorders/>
            <w:vAlign w:val="center"/>
          </w:tcPr>
          <w:p>
            <w:pPr>
              <w:pStyle w:val="TableContents"/>
              <w:bidi w:val="0"/>
              <w:spacing w:before="0" w:after="283"/>
              <w:jc w:val="left"/>
              <w:rPr>
                <w:sz w:val="4"/>
                <w:szCs w:val="4"/>
              </w:rPr>
            </w:pPr>
            <w:r>
              <w:rPr>
                <w:sz w:val="4"/>
                <w:szCs w:val="4"/>
              </w:rPr>
            </w:r>
          </w:p>
        </w:tc>
        <w:tc>
          <w:tcPr>
            <w:tcW w:w="9036" w:type="dxa"/>
            <w:tcBorders/>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r>
      <w:tr>
        <w:trPr/>
        <w:tc>
          <w:tcPr>
            <w:tcW w:w="974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456" w:type="dxa"/>
            <w:tcBorders/>
            <w:shd w:fill="CCEEFF" w:val="clear"/>
            <w:vAlign w:val="center"/>
          </w:tcPr>
          <w:p>
            <w:pPr>
              <w:pStyle w:val="TableContents"/>
              <w:bidi w:val="0"/>
              <w:spacing w:before="0" w:after="283"/>
              <w:jc w:val="left"/>
              <w:rPr>
                <w:sz w:val="4"/>
                <w:szCs w:val="4"/>
              </w:rPr>
            </w:pPr>
            <w:r>
              <w:rPr>
                <w:sz w:val="4"/>
                <w:szCs w:val="4"/>
              </w:rPr>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36"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9036"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March 31, 2023 and December 31, 2022</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3" w:type="dxa"/>
            <w:tcBorders/>
            <w:shd w:fill="FFFFFF" w:val="clear"/>
            <w:vAlign w:val="center"/>
          </w:tcPr>
          <w:p>
            <w:pPr>
              <w:pStyle w:val="TableContents"/>
              <w:bidi w:val="0"/>
              <w:spacing w:before="0" w:after="283"/>
              <w:jc w:val="left"/>
              <w:rPr>
                <w:sz w:val="4"/>
                <w:szCs w:val="4"/>
              </w:rPr>
            </w:pPr>
            <w:r>
              <w:rPr>
                <w:sz w:val="4"/>
                <w:szCs w:val="4"/>
              </w:rPr>
            </w:r>
          </w:p>
        </w:tc>
        <w:tc>
          <w:tcPr>
            <w:tcW w:w="9036"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months ended March 31, 2023 and 2022</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9036"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Shareholders’ Equity for the three months ended March 31, 2023 and 2022</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13" w:type="dxa"/>
            <w:tcBorders/>
            <w:shd w:fill="FFFFFF" w:val="clear"/>
            <w:vAlign w:val="center"/>
          </w:tcPr>
          <w:p>
            <w:pPr>
              <w:pStyle w:val="TableContents"/>
              <w:bidi w:val="0"/>
              <w:spacing w:before="0" w:after="283"/>
              <w:jc w:val="left"/>
              <w:rPr>
                <w:sz w:val="4"/>
                <w:szCs w:val="4"/>
              </w:rPr>
            </w:pPr>
            <w:r>
              <w:rPr>
                <w:sz w:val="4"/>
                <w:szCs w:val="4"/>
              </w:rPr>
            </w:r>
          </w:p>
        </w:tc>
        <w:tc>
          <w:tcPr>
            <w:tcW w:w="9036"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9036"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36"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the Results of Operations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36"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36"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749"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PART II. 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36"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36"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36"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Recent Sales of Unregistered Securities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36"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36"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36"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36"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Exhibits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749"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01"/>
      <w:bookmarkEnd w:id="3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bookmarkStart w:id="33" w:name="a_002"/>
      <w:bookmarkEnd w:id="33"/>
      <w:r>
        <w:rPr>
          <w:rFonts w:ascii="Times New Roman;Times;Serif" w:hAnsi="Times New Roman;Times;Serif"/>
          <w:b/>
          <w:i w:val="false"/>
          <w:caps/>
          <w:sz w:val="20"/>
        </w:rPr>
        <w:t>Item 1. Financial Statements.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03"/>
      <w:bookmarkEnd w:id="34"/>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 w:name="xdx_304_111_pn3n3_zwgWQkyYYwSl"/>
      <w:bookmarkStart w:id="36" w:name="xdx_304_111_pn3n3_zwgWQkyYYwSl"/>
      <w:bookmarkEnd w:id="36"/>
    </w:p>
    <w:tbl>
      <w:tblPr>
        <w:tblW w:w="10205" w:type="dxa"/>
        <w:jc w:val="left"/>
        <w:tblInd w:w="0" w:type="dxa"/>
        <w:tblLayout w:type="fixed"/>
        <w:tblCellMar>
          <w:top w:w="0" w:type="dxa"/>
          <w:left w:w="0" w:type="dxa"/>
          <w:bottom w:w="0" w:type="dxa"/>
          <w:right w:w="0" w:type="dxa"/>
        </w:tblCellMar>
      </w:tblPr>
      <w:tblGrid>
        <w:gridCol w:w="7428"/>
        <w:gridCol w:w="60"/>
        <w:gridCol w:w="176"/>
        <w:gridCol w:w="951"/>
        <w:gridCol w:w="95"/>
        <w:gridCol w:w="60"/>
        <w:gridCol w:w="206"/>
        <w:gridCol w:w="1117"/>
        <w:gridCol w:w="112"/>
      </w:tblGrid>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 w:name="xdx_493_20230331_zJ6kVy29rgoh"/>
            <w:bookmarkEnd w:id="37"/>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 w:name="xdx_49F_20221231_zHEOpW1GO2O2"/>
            <w:bookmarkEnd w:id="38"/>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5" w:type="dxa"/>
            <w:gridSpan w:val="6"/>
            <w:tcBorders/>
            <w:vAlign w:val="center"/>
          </w:tcPr>
          <w:p>
            <w:pPr>
              <w:pStyle w:val="TableContents"/>
              <w:bidi w:val="0"/>
              <w:spacing w:before="0" w:after="283"/>
              <w:jc w:val="center"/>
              <w:rPr/>
            </w:pPr>
            <w:r>
              <w:rPr/>
              <w:t>As of</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112" w:type="dxa"/>
            <w:tcBorders/>
            <w:vAlign w:val="center"/>
          </w:tcPr>
          <w:p>
            <w:pPr>
              <w:pStyle w:val="TableContents"/>
              <w:bidi w:val="0"/>
              <w:spacing w:before="0" w:after="283"/>
              <w:jc w:val="center"/>
              <w:rPr/>
            </w:pPr>
            <w:r>
              <w:rPr/>
              <w:t> </w:t>
            </w:r>
          </w:p>
        </w:tc>
      </w:tr>
      <w:tr>
        <w:trPr/>
        <w:tc>
          <w:tcPr>
            <w:tcW w:w="74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39" w:name="xdx_40D_eus-gaap--AssetsCurrentAbstract_"/>
            <w:bookmarkEnd w:id="39"/>
          </w:p>
        </w:tc>
      </w:tr>
      <w:tr>
        <w:trPr/>
        <w:tc>
          <w:tcPr>
            <w:tcW w:w="7428"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0" w:name="xdx_40D_eus-gaap--CashAndCashEquivalents"/>
            <w:bookmarkEnd w:id="40"/>
          </w:p>
        </w:tc>
      </w:tr>
      <w:tr>
        <w:trPr/>
        <w:tc>
          <w:tcPr>
            <w:tcW w:w="7428"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1" w:type="dxa"/>
            <w:tcBorders/>
            <w:shd w:fill="FFFFFF" w:val="cle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17" w:type="dxa"/>
            <w:tcBorders/>
            <w:shd w:fill="FFFFFF" w:val="clear"/>
            <w:vAlign w:val="center"/>
          </w:tcPr>
          <w:p>
            <w:pPr>
              <w:pStyle w:val="TableContents"/>
              <w:bidi w:val="0"/>
              <w:spacing w:before="0" w:after="283"/>
              <w:jc w:val="right"/>
              <w:rPr/>
            </w:pPr>
            <w:r>
              <w:rPr/>
              <w:t>17,781</w:t>
            </w:r>
          </w:p>
        </w:tc>
        <w:tc>
          <w:tcPr>
            <w:tcW w:w="112" w:type="dxa"/>
            <w:tcBorders/>
            <w:shd w:fill="FFFFFF" w:val="clear"/>
            <w:vAlign w:val="center"/>
          </w:tcPr>
          <w:p>
            <w:pPr>
              <w:pStyle w:val="TableContents"/>
              <w:bidi w:val="0"/>
              <w:spacing w:before="0" w:after="283"/>
              <w:jc w:val="left"/>
              <w:rPr/>
            </w:pPr>
            <w:r>
              <w:rPr/>
              <w:t> </w:t>
            </w:r>
            <w:bookmarkStart w:id="41" w:name="xdx_40D_eus-gaap--AccountsReceivableNetC"/>
            <w:bookmarkEnd w:id="41"/>
          </w:p>
        </w:tc>
      </w:tr>
      <w:tr>
        <w:trPr/>
        <w:tc>
          <w:tcPr>
            <w:tcW w:w="7428" w:type="dxa"/>
            <w:tcBorders/>
            <w:shd w:fill="CCEEFF" w:val="clear"/>
            <w:vAlign w:val="center"/>
          </w:tcPr>
          <w:p>
            <w:pPr>
              <w:pStyle w:val="TableContents"/>
              <w:bidi w:val="0"/>
              <w:spacing w:before="0" w:after="283"/>
              <w:jc w:val="left"/>
              <w:rPr/>
            </w:pPr>
            <w:r>
              <w:rPr/>
              <w:t>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1,444</w:t>
            </w:r>
          </w:p>
        </w:tc>
        <w:tc>
          <w:tcPr>
            <w:tcW w:w="112" w:type="dxa"/>
            <w:tcBorders/>
            <w:shd w:fill="CCEEFF" w:val="clear"/>
            <w:vAlign w:val="center"/>
          </w:tcPr>
          <w:p>
            <w:pPr>
              <w:pStyle w:val="TableContents"/>
              <w:bidi w:val="0"/>
              <w:spacing w:before="0" w:after="283"/>
              <w:jc w:val="left"/>
              <w:rPr/>
            </w:pPr>
            <w:r>
              <w:rPr/>
              <w:t> </w:t>
            </w:r>
            <w:bookmarkStart w:id="42" w:name="xdx_408_eus-gaap--InventoryNet_i01I_maAC"/>
            <w:bookmarkEnd w:id="42"/>
          </w:p>
        </w:tc>
      </w:tr>
      <w:tr>
        <w:trPr/>
        <w:tc>
          <w:tcPr>
            <w:tcW w:w="742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51,812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49,846</w:t>
            </w:r>
          </w:p>
        </w:tc>
        <w:tc>
          <w:tcPr>
            <w:tcW w:w="112" w:type="dxa"/>
            <w:tcBorders/>
            <w:shd w:fill="FFFFFF" w:val="clear"/>
            <w:vAlign w:val="center"/>
          </w:tcPr>
          <w:p>
            <w:pPr>
              <w:pStyle w:val="TableContents"/>
              <w:bidi w:val="0"/>
              <w:spacing w:before="0" w:after="283"/>
              <w:jc w:val="left"/>
              <w:rPr/>
            </w:pPr>
            <w:r>
              <w:rPr/>
              <w:t> </w:t>
            </w:r>
            <w:bookmarkStart w:id="43" w:name="xdx_40C_ecustom--PrepaidExpenseOtherThan"/>
            <w:bookmarkEnd w:id="43"/>
          </w:p>
        </w:tc>
      </w:tr>
      <w:tr>
        <w:trPr/>
        <w:tc>
          <w:tcPr>
            <w:tcW w:w="7428"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1,624</w:t>
            </w:r>
          </w:p>
        </w:tc>
        <w:tc>
          <w:tcPr>
            <w:tcW w:w="112" w:type="dxa"/>
            <w:tcBorders/>
            <w:shd w:fill="CCEEFF" w:val="clear"/>
            <w:vAlign w:val="center"/>
          </w:tcPr>
          <w:p>
            <w:pPr>
              <w:pStyle w:val="TableContents"/>
              <w:bidi w:val="0"/>
              <w:spacing w:before="0" w:after="283"/>
              <w:jc w:val="left"/>
              <w:rPr/>
            </w:pPr>
            <w:r>
              <w:rPr/>
              <w:t> </w:t>
            </w:r>
            <w:bookmarkStart w:id="44" w:name="xdx_400_eus-gaap--Supplies_i01I_maACzdsP"/>
            <w:bookmarkEnd w:id="44"/>
          </w:p>
        </w:tc>
      </w:tr>
      <w:tr>
        <w:trPr/>
        <w:tc>
          <w:tcPr>
            <w:tcW w:w="7428"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2,002</w:t>
            </w:r>
          </w:p>
        </w:tc>
        <w:tc>
          <w:tcPr>
            <w:tcW w:w="112" w:type="dxa"/>
            <w:tcBorders/>
            <w:shd w:fill="FFFFFF" w:val="clear"/>
            <w:vAlign w:val="center"/>
          </w:tcPr>
          <w:p>
            <w:pPr>
              <w:pStyle w:val="TableContents"/>
              <w:bidi w:val="0"/>
              <w:spacing w:before="0" w:after="283"/>
              <w:jc w:val="left"/>
              <w:rPr/>
            </w:pPr>
            <w:r>
              <w:rPr/>
              <w:t> </w:t>
            </w:r>
            <w:bookmarkStart w:id="45" w:name="xdx_402_eus-gaap--PrepaidTaxes_i01I_maAC"/>
            <w:bookmarkEnd w:id="45"/>
          </w:p>
        </w:tc>
      </w:tr>
      <w:tr>
        <w:trPr/>
        <w:tc>
          <w:tcPr>
            <w:tcW w:w="7428"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525</w:t>
            </w:r>
          </w:p>
        </w:tc>
        <w:tc>
          <w:tcPr>
            <w:tcW w:w="112" w:type="dxa"/>
            <w:tcBorders/>
            <w:shd w:fill="CCEEFF" w:val="clear"/>
            <w:vAlign w:val="center"/>
          </w:tcPr>
          <w:p>
            <w:pPr>
              <w:pStyle w:val="TableContents"/>
              <w:bidi w:val="0"/>
              <w:spacing w:before="0" w:after="283"/>
              <w:jc w:val="left"/>
              <w:rPr/>
            </w:pPr>
            <w:r>
              <w:rPr/>
              <w:t> </w:t>
            </w:r>
            <w:bookmarkStart w:id="46" w:name="xdx_400_eus-gaap--OtherAssetsCurrent_i01"/>
            <w:bookmarkEnd w:id="46"/>
          </w:p>
        </w:tc>
      </w:tr>
      <w:tr>
        <w:trPr/>
        <w:tc>
          <w:tcPr>
            <w:tcW w:w="7428"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112" w:type="dxa"/>
            <w:tcBorders/>
            <w:shd w:fill="FFFFFF" w:val="clear"/>
            <w:vAlign w:val="center"/>
          </w:tcPr>
          <w:p>
            <w:pPr>
              <w:pStyle w:val="TableContents"/>
              <w:bidi w:val="0"/>
              <w:spacing w:before="0" w:after="283"/>
              <w:jc w:val="left"/>
              <w:rPr/>
            </w:pPr>
            <w:r>
              <w:rPr/>
              <w:t> </w:t>
            </w:r>
            <w:bookmarkStart w:id="47" w:name="xdx_404_eus-gaap--AssetsCurrent_i01TI_mt"/>
            <w:bookmarkEnd w:id="47"/>
          </w:p>
        </w:tc>
      </w:tr>
      <w:tr>
        <w:trPr/>
        <w:tc>
          <w:tcPr>
            <w:tcW w:w="742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75,016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73,489</w:t>
            </w:r>
          </w:p>
        </w:tc>
        <w:tc>
          <w:tcPr>
            <w:tcW w:w="112" w:type="dxa"/>
            <w:tcBorders/>
            <w:shd w:fill="CCEEFF" w:val="clear"/>
            <w:vAlign w:val="center"/>
          </w:tcPr>
          <w:p>
            <w:pPr>
              <w:pStyle w:val="TableContents"/>
              <w:bidi w:val="0"/>
              <w:spacing w:before="0" w:after="283"/>
              <w:jc w:val="left"/>
              <w:rPr/>
            </w:pPr>
            <w:r>
              <w:rPr/>
              <w:t> </w:t>
            </w:r>
            <w:bookmarkStart w:id="48" w:name="xdx_402_eus-gaap--PropertyPlantAndEquipm"/>
            <w:bookmarkEnd w:id="48"/>
          </w:p>
        </w:tc>
      </w:tr>
      <w:tr>
        <w:trPr/>
        <w:tc>
          <w:tcPr>
            <w:tcW w:w="7428"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9" w:name="xdx_40E_eus-gaap--MachineryAndEquipmentG"/>
            <w:bookmarkEnd w:id="49"/>
          </w:p>
        </w:tc>
      </w:tr>
      <w:tr>
        <w:trPr/>
        <w:tc>
          <w:tcPr>
            <w:tcW w:w="7428"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10,214</w:t>
            </w:r>
          </w:p>
        </w:tc>
        <w:tc>
          <w:tcPr>
            <w:tcW w:w="112" w:type="dxa"/>
            <w:tcBorders/>
            <w:shd w:fill="CCEEFF" w:val="clear"/>
            <w:vAlign w:val="center"/>
          </w:tcPr>
          <w:p>
            <w:pPr>
              <w:pStyle w:val="TableContents"/>
              <w:bidi w:val="0"/>
              <w:spacing w:before="0" w:after="283"/>
              <w:jc w:val="left"/>
              <w:rPr/>
            </w:pPr>
            <w:r>
              <w:rPr/>
              <w:t> </w:t>
            </w:r>
            <w:bookmarkStart w:id="50" w:name="xdx_40A_eus-gaap--FurnitureAndFixturesGr"/>
            <w:bookmarkEnd w:id="50"/>
          </w:p>
        </w:tc>
      </w:tr>
      <w:tr>
        <w:trPr/>
        <w:tc>
          <w:tcPr>
            <w:tcW w:w="7428"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275</w:t>
            </w:r>
          </w:p>
        </w:tc>
        <w:tc>
          <w:tcPr>
            <w:tcW w:w="112" w:type="dxa"/>
            <w:tcBorders/>
            <w:shd w:fill="FFFFFF" w:val="clear"/>
            <w:vAlign w:val="center"/>
          </w:tcPr>
          <w:p>
            <w:pPr>
              <w:pStyle w:val="TableContents"/>
              <w:bidi w:val="0"/>
              <w:spacing w:before="0" w:after="283"/>
              <w:jc w:val="left"/>
              <w:rPr/>
            </w:pPr>
            <w:r>
              <w:rPr/>
              <w:t> </w:t>
            </w:r>
            <w:bookmarkStart w:id="51" w:name="xdx_406_eus-gaap--LeaseholdImprovementsG"/>
            <w:bookmarkEnd w:id="51"/>
          </w:p>
        </w:tc>
      </w:tr>
      <w:tr>
        <w:trPr/>
        <w:tc>
          <w:tcPr>
            <w:tcW w:w="7428"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1,709</w:t>
            </w:r>
          </w:p>
        </w:tc>
        <w:tc>
          <w:tcPr>
            <w:tcW w:w="112" w:type="dxa"/>
            <w:tcBorders/>
            <w:shd w:fill="CCEEFF" w:val="clear"/>
            <w:vAlign w:val="center"/>
          </w:tcPr>
          <w:p>
            <w:pPr>
              <w:pStyle w:val="TableContents"/>
              <w:bidi w:val="0"/>
              <w:spacing w:before="0" w:after="283"/>
              <w:jc w:val="left"/>
              <w:rPr/>
            </w:pPr>
            <w:r>
              <w:rPr/>
              <w:t> </w:t>
            </w:r>
            <w:bookmarkStart w:id="52" w:name="xdx_404_ecustom--VehicleGross_i01I_maPPA"/>
            <w:bookmarkEnd w:id="52"/>
          </w:p>
        </w:tc>
      </w:tr>
      <w:tr>
        <w:trPr/>
        <w:tc>
          <w:tcPr>
            <w:tcW w:w="7428"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195</w:t>
            </w:r>
          </w:p>
        </w:tc>
        <w:tc>
          <w:tcPr>
            <w:tcW w:w="112" w:type="dxa"/>
            <w:tcBorders/>
            <w:shd w:fill="FFFFFF" w:val="clear"/>
            <w:vAlign w:val="center"/>
          </w:tcPr>
          <w:p>
            <w:pPr>
              <w:pStyle w:val="TableContents"/>
              <w:bidi w:val="0"/>
              <w:spacing w:before="0" w:after="283"/>
              <w:jc w:val="left"/>
              <w:rPr/>
            </w:pPr>
            <w:r>
              <w:rPr/>
              <w:t> </w:t>
            </w:r>
            <w:bookmarkStart w:id="53" w:name="xdx_409_eus-gaap--PropertyPlantAndEquipm"/>
            <w:bookmarkEnd w:id="53"/>
          </w:p>
        </w:tc>
      </w:tr>
      <w:tr>
        <w:trPr/>
        <w:tc>
          <w:tcPr>
            <w:tcW w:w="7428"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13,172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12,393</w:t>
            </w:r>
          </w:p>
        </w:tc>
        <w:tc>
          <w:tcPr>
            <w:tcW w:w="112" w:type="dxa"/>
            <w:tcBorders/>
            <w:shd w:fill="CCEEFF" w:val="clear"/>
            <w:vAlign w:val="center"/>
          </w:tcPr>
          <w:p>
            <w:pPr>
              <w:pStyle w:val="TableContents"/>
              <w:bidi w:val="0"/>
              <w:spacing w:before="0" w:after="283"/>
              <w:jc w:val="left"/>
              <w:rPr/>
            </w:pPr>
            <w:r>
              <w:rPr/>
              <w:t> </w:t>
            </w:r>
            <w:bookmarkStart w:id="54" w:name="xdx_40B_eus-gaap--AccumulatedDepreciatio"/>
            <w:bookmarkEnd w:id="54"/>
          </w:p>
        </w:tc>
      </w:tr>
      <w:tr>
        <w:trPr/>
        <w:tc>
          <w:tcPr>
            <w:tcW w:w="7428"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(1,633</w:t>
            </w:r>
          </w:p>
        </w:tc>
        <w:tc>
          <w:tcPr>
            <w:tcW w:w="112" w:type="dxa"/>
            <w:tcBorders/>
            <w:shd w:fill="FFFFFF" w:val="clear"/>
            <w:vAlign w:val="center"/>
          </w:tcPr>
          <w:p>
            <w:pPr>
              <w:pStyle w:val="TableContents"/>
              <w:bidi w:val="0"/>
              <w:spacing w:before="0" w:after="283"/>
              <w:jc w:val="left"/>
              <w:rPr/>
            </w:pPr>
            <w:r>
              <w:rPr/>
              <w:t>)</w:t>
            </w:r>
            <w:bookmarkStart w:id="55" w:name="xdx_409_eus-gaap--PropertyPlantAndEquipm"/>
            <w:bookmarkEnd w:id="55"/>
          </w:p>
        </w:tc>
      </w:tr>
      <w:tr>
        <w:trPr/>
        <w:tc>
          <w:tcPr>
            <w:tcW w:w="742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11,288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10,760</w:t>
            </w:r>
          </w:p>
        </w:tc>
        <w:tc>
          <w:tcPr>
            <w:tcW w:w="112" w:type="dxa"/>
            <w:tcBorders/>
            <w:shd w:fill="CCEEFF" w:val="clear"/>
            <w:vAlign w:val="center"/>
          </w:tcPr>
          <w:p>
            <w:pPr>
              <w:pStyle w:val="TableContents"/>
              <w:bidi w:val="0"/>
              <w:spacing w:before="0" w:after="283"/>
              <w:jc w:val="left"/>
              <w:rPr/>
            </w:pPr>
            <w:r>
              <w:rPr/>
              <w:t> </w:t>
            </w:r>
            <w:bookmarkStart w:id="56" w:name="xdx_40F_eus-gaap--OperatingLeaseRightOfU"/>
            <w:bookmarkEnd w:id="56"/>
          </w:p>
        </w:tc>
      </w:tr>
      <w:tr>
        <w:trPr/>
        <w:tc>
          <w:tcPr>
            <w:tcW w:w="7428"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4,205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4,513</w:t>
            </w:r>
          </w:p>
        </w:tc>
        <w:tc>
          <w:tcPr>
            <w:tcW w:w="112" w:type="dxa"/>
            <w:tcBorders/>
            <w:shd w:fill="FFFFFF" w:val="clear"/>
            <w:vAlign w:val="center"/>
          </w:tcPr>
          <w:p>
            <w:pPr>
              <w:pStyle w:val="TableContents"/>
              <w:bidi w:val="0"/>
              <w:spacing w:before="0" w:after="283"/>
              <w:jc w:val="left"/>
              <w:rPr/>
            </w:pPr>
            <w:r>
              <w:rPr/>
              <w:t> </w:t>
            </w:r>
            <w:bookmarkStart w:id="57" w:name="xdx_401_eus-gaap--Assets_iTI_mtAzQCo_zv7"/>
            <w:bookmarkEnd w:id="57"/>
          </w:p>
        </w:tc>
      </w:tr>
      <w:tr>
        <w:trPr/>
        <w:tc>
          <w:tcPr>
            <w:tcW w:w="742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bookmarkStart w:id="58" w:name="xdx_40C_eus-gaap--LiabilitiesCurrentAbst"/>
            <w:bookmarkEnd w:id="58"/>
          </w:p>
        </w:tc>
      </w:tr>
      <w:tr>
        <w:trPr/>
        <w:tc>
          <w:tcPr>
            <w:tcW w:w="7428"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9" w:name="xdx_40A_eus-gaap--AccountsPayableCurrent"/>
            <w:bookmarkEnd w:id="59"/>
          </w:p>
        </w:tc>
      </w:tr>
      <w:tr>
        <w:trPr/>
        <w:tc>
          <w:tcPr>
            <w:tcW w:w="742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18,824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13,475</w:t>
            </w:r>
          </w:p>
        </w:tc>
        <w:tc>
          <w:tcPr>
            <w:tcW w:w="112" w:type="dxa"/>
            <w:tcBorders/>
            <w:shd w:fill="FFFFFF" w:val="clear"/>
            <w:vAlign w:val="center"/>
          </w:tcPr>
          <w:p>
            <w:pPr>
              <w:pStyle w:val="TableContents"/>
              <w:bidi w:val="0"/>
              <w:spacing w:before="0" w:after="283"/>
              <w:jc w:val="left"/>
              <w:rPr/>
            </w:pPr>
            <w:r>
              <w:rPr/>
              <w:t> </w:t>
            </w:r>
            <w:bookmarkStart w:id="60" w:name="xdx_40E_eus-gaap--EmployeeRelatedLiabili"/>
            <w:bookmarkEnd w:id="60"/>
          </w:p>
        </w:tc>
      </w:tr>
      <w:tr>
        <w:trPr/>
        <w:tc>
          <w:tcPr>
            <w:tcW w:w="7428"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6,295</w:t>
            </w:r>
          </w:p>
        </w:tc>
        <w:tc>
          <w:tcPr>
            <w:tcW w:w="112" w:type="dxa"/>
            <w:tcBorders/>
            <w:shd w:fill="CCEEFF" w:val="clear"/>
            <w:vAlign w:val="center"/>
          </w:tcPr>
          <w:p>
            <w:pPr>
              <w:pStyle w:val="TableContents"/>
              <w:bidi w:val="0"/>
              <w:spacing w:before="0" w:after="283"/>
              <w:jc w:val="left"/>
              <w:rPr/>
            </w:pPr>
            <w:r>
              <w:rPr/>
              <w:t> </w:t>
            </w:r>
            <w:bookmarkStart w:id="61" w:name="xdx_401_eus-gaap--ContractWithCustomerLi"/>
            <w:bookmarkEnd w:id="61"/>
          </w:p>
        </w:tc>
      </w:tr>
      <w:tr>
        <w:trPr/>
        <w:tc>
          <w:tcPr>
            <w:tcW w:w="7428"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238</w:t>
            </w:r>
          </w:p>
        </w:tc>
        <w:tc>
          <w:tcPr>
            <w:tcW w:w="112" w:type="dxa"/>
            <w:tcBorders/>
            <w:shd w:fill="FFFFFF" w:val="clear"/>
            <w:vAlign w:val="center"/>
          </w:tcPr>
          <w:p>
            <w:pPr>
              <w:pStyle w:val="TableContents"/>
              <w:bidi w:val="0"/>
              <w:spacing w:before="0" w:after="283"/>
              <w:jc w:val="left"/>
              <w:rPr/>
            </w:pPr>
            <w:r>
              <w:rPr/>
              <w:t> </w:t>
            </w:r>
            <w:bookmarkStart w:id="62" w:name="xdx_405_ecustom--UncertainTaxPositionLia"/>
            <w:bookmarkEnd w:id="62"/>
          </w:p>
        </w:tc>
      </w:tr>
      <w:tr>
        <w:trPr/>
        <w:tc>
          <w:tcPr>
            <w:tcW w:w="7428"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128</w:t>
            </w:r>
          </w:p>
        </w:tc>
        <w:tc>
          <w:tcPr>
            <w:tcW w:w="112" w:type="dxa"/>
            <w:tcBorders/>
            <w:shd w:fill="CCEEFF" w:val="clear"/>
            <w:vAlign w:val="center"/>
          </w:tcPr>
          <w:p>
            <w:pPr>
              <w:pStyle w:val="TableContents"/>
              <w:bidi w:val="0"/>
              <w:spacing w:before="0" w:after="283"/>
              <w:jc w:val="left"/>
              <w:rPr/>
            </w:pPr>
            <w:r>
              <w:rPr/>
              <w:t> </w:t>
            </w:r>
            <w:bookmarkStart w:id="63" w:name="xdx_408_eus-gaap--NotesPayableCurrent_i0"/>
            <w:bookmarkEnd w:id="63"/>
          </w:p>
        </w:tc>
      </w:tr>
      <w:tr>
        <w:trPr/>
        <w:tc>
          <w:tcPr>
            <w:tcW w:w="7428" w:type="dxa"/>
            <w:tcBorders/>
            <w:shd w:fill="FFFFFF" w:val="clear"/>
            <w:vAlign w:val="center"/>
          </w:tcPr>
          <w:p>
            <w:pPr>
              <w:pStyle w:val="TableContents"/>
              <w:bidi w:val="0"/>
              <w:spacing w:before="0" w:after="283"/>
              <w:jc w:val="left"/>
              <w:rPr/>
            </w:pPr>
            <w:r>
              <w:rPr/>
              <w:t>Notes payable, net of deferred financing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20,699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19,242</w:t>
            </w:r>
          </w:p>
        </w:tc>
        <w:tc>
          <w:tcPr>
            <w:tcW w:w="112" w:type="dxa"/>
            <w:tcBorders/>
            <w:shd w:fill="FFFFFF" w:val="clear"/>
            <w:vAlign w:val="center"/>
          </w:tcPr>
          <w:p>
            <w:pPr>
              <w:pStyle w:val="TableContents"/>
              <w:bidi w:val="0"/>
              <w:spacing w:before="0" w:after="283"/>
              <w:jc w:val="left"/>
              <w:rPr/>
            </w:pPr>
            <w:r>
              <w:rPr/>
              <w:t> </w:t>
            </w:r>
            <w:bookmarkStart w:id="64" w:name="xdx_40F_eus-gaap--NotesPayableCurrent_i0"/>
            <w:bookmarkEnd w:id="64"/>
          </w:p>
        </w:tc>
      </w:tr>
      <w:tr>
        <w:trPr/>
        <w:tc>
          <w:tcPr>
            <w:tcW w:w="7428" w:type="dxa"/>
            <w:tcBorders/>
            <w:shd w:fill="CCEEFF" w:val="clear"/>
            <w:vAlign w:val="center"/>
          </w:tcPr>
          <w:p>
            <w:pPr>
              <w:pStyle w:val="TableContents"/>
              <w:bidi w:val="0"/>
              <w:spacing w:before="0" w:after="283"/>
              <w:jc w:val="left"/>
              <w:rPr/>
            </w:pPr>
            <w:r>
              <w:rPr/>
              <w:t>Notes payable, related party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65" w:name="xdx_403_eus-gaap--OperatingLeaseLiabilit"/>
            <w:bookmarkEnd w:id="65"/>
          </w:p>
        </w:tc>
      </w:tr>
      <w:tr>
        <w:trPr/>
        <w:tc>
          <w:tcPr>
            <w:tcW w:w="7428"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1,215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1,188</w:t>
            </w:r>
          </w:p>
        </w:tc>
        <w:tc>
          <w:tcPr>
            <w:tcW w:w="112" w:type="dxa"/>
            <w:tcBorders/>
            <w:shd w:fill="FFFFFF" w:val="clear"/>
            <w:vAlign w:val="center"/>
          </w:tcPr>
          <w:p>
            <w:pPr>
              <w:pStyle w:val="TableContents"/>
              <w:bidi w:val="0"/>
              <w:spacing w:before="0" w:after="283"/>
              <w:jc w:val="left"/>
              <w:rPr/>
            </w:pPr>
            <w:r>
              <w:rPr/>
              <w:t> </w:t>
            </w:r>
            <w:bookmarkStart w:id="66" w:name="xdx_406_eus-gaap--LiabilitiesCurrent_i01"/>
            <w:bookmarkEnd w:id="66"/>
          </w:p>
        </w:tc>
      </w:tr>
      <w:tr>
        <w:trPr/>
        <w:tc>
          <w:tcPr>
            <w:tcW w:w="742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50,483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40,566</w:t>
            </w:r>
          </w:p>
        </w:tc>
        <w:tc>
          <w:tcPr>
            <w:tcW w:w="112" w:type="dxa"/>
            <w:tcBorders/>
            <w:shd w:fill="CCEEFF" w:val="clear"/>
            <w:vAlign w:val="center"/>
          </w:tcPr>
          <w:p>
            <w:pPr>
              <w:pStyle w:val="TableContents"/>
              <w:bidi w:val="0"/>
              <w:spacing w:before="0" w:after="283"/>
              <w:jc w:val="left"/>
              <w:rPr/>
            </w:pPr>
            <w:r>
              <w:rPr/>
              <w:t> </w:t>
            </w:r>
            <w:bookmarkStart w:id="67" w:name="xdx_40A_eus-gaap--LiabilitiesNoncurrentA"/>
            <w:bookmarkEnd w:id="67"/>
          </w:p>
        </w:tc>
      </w:tr>
      <w:tr>
        <w:trPr/>
        <w:tc>
          <w:tcPr>
            <w:tcW w:w="7428"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8" w:name="xdx_40E_ecustom--WarrantLiabilityNoncurr"/>
            <w:bookmarkEnd w:id="68"/>
          </w:p>
        </w:tc>
      </w:tr>
      <w:tr>
        <w:trPr/>
        <w:tc>
          <w:tcPr>
            <w:tcW w:w="742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4,141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32,831</w:t>
            </w:r>
          </w:p>
        </w:tc>
        <w:tc>
          <w:tcPr>
            <w:tcW w:w="112" w:type="dxa"/>
            <w:tcBorders/>
            <w:shd w:fill="CCEEFF" w:val="clear"/>
            <w:vAlign w:val="center"/>
          </w:tcPr>
          <w:p>
            <w:pPr>
              <w:pStyle w:val="TableContents"/>
              <w:bidi w:val="0"/>
              <w:spacing w:before="0" w:after="283"/>
              <w:jc w:val="left"/>
              <w:rPr/>
            </w:pPr>
            <w:r>
              <w:rPr/>
              <w:t> </w:t>
            </w:r>
            <w:bookmarkStart w:id="69" w:name="xdx_40C_eus-gaap--OtherAccruedLiabilitie"/>
            <w:bookmarkEnd w:id="69"/>
          </w:p>
        </w:tc>
      </w:tr>
      <w:tr>
        <w:trPr/>
        <w:tc>
          <w:tcPr>
            <w:tcW w:w="7428" w:type="dxa"/>
            <w:tcBorders/>
            <w:shd w:fill="FFFFFF" w:val="clear"/>
            <w:vAlign w:val="center"/>
          </w:tcPr>
          <w:p>
            <w:pPr>
              <w:pStyle w:val="TableContents"/>
              <w:bidi w:val="0"/>
              <w:spacing w:before="0" w:after="283"/>
              <w:jc w:val="left"/>
              <w:rPr/>
            </w:pPr>
            <w:r>
              <w:rPr/>
              <w:t>Accrued expenses-long term</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492</w:t>
            </w:r>
          </w:p>
        </w:tc>
        <w:tc>
          <w:tcPr>
            <w:tcW w:w="112" w:type="dxa"/>
            <w:tcBorders/>
            <w:shd w:fill="FFFFFF" w:val="clear"/>
            <w:vAlign w:val="center"/>
          </w:tcPr>
          <w:p>
            <w:pPr>
              <w:pStyle w:val="TableContents"/>
              <w:bidi w:val="0"/>
              <w:spacing w:before="0" w:after="283"/>
              <w:jc w:val="left"/>
              <w:rPr/>
            </w:pPr>
            <w:r>
              <w:rPr/>
              <w:t> </w:t>
            </w:r>
            <w:bookmarkStart w:id="70" w:name="xdx_408_eus-gaap--OperatingLeaseLiabilit"/>
            <w:bookmarkEnd w:id="70"/>
          </w:p>
        </w:tc>
      </w:tr>
      <w:tr>
        <w:trPr/>
        <w:tc>
          <w:tcPr>
            <w:tcW w:w="742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112" w:type="dxa"/>
            <w:tcBorders/>
            <w:shd w:fill="CCEEFF" w:val="clear"/>
            <w:vAlign w:val="center"/>
          </w:tcPr>
          <w:p>
            <w:pPr>
              <w:pStyle w:val="TableContents"/>
              <w:bidi w:val="0"/>
              <w:spacing w:before="0" w:after="283"/>
              <w:jc w:val="left"/>
              <w:rPr/>
            </w:pPr>
            <w:r>
              <w:rPr/>
              <w:t> </w:t>
            </w:r>
            <w:bookmarkStart w:id="71" w:name="xdx_40B_eus-gaap--LiabilitiesNoncurrent_"/>
            <w:bookmarkEnd w:id="71"/>
          </w:p>
        </w:tc>
      </w:tr>
      <w:tr>
        <w:trPr/>
        <w:tc>
          <w:tcPr>
            <w:tcW w:w="7428"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36,864</w:t>
            </w:r>
          </w:p>
        </w:tc>
        <w:tc>
          <w:tcPr>
            <w:tcW w:w="112" w:type="dxa"/>
            <w:tcBorders/>
            <w:shd w:fill="FFFFFF" w:val="clear"/>
            <w:vAlign w:val="center"/>
          </w:tcPr>
          <w:p>
            <w:pPr>
              <w:pStyle w:val="TableContents"/>
              <w:bidi w:val="0"/>
              <w:spacing w:before="0" w:after="283"/>
              <w:jc w:val="left"/>
              <w:rPr/>
            </w:pPr>
            <w:r>
              <w:rPr/>
              <w:t> </w:t>
            </w:r>
            <w:bookmarkStart w:id="72" w:name="xdx_40E_eus-gaap--Liabilities_i01TI_mtLz"/>
            <w:bookmarkEnd w:id="72"/>
          </w:p>
        </w:tc>
      </w:tr>
      <w:tr>
        <w:trPr/>
        <w:tc>
          <w:tcPr>
            <w:tcW w:w="742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58,194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77,430</w:t>
            </w:r>
          </w:p>
        </w:tc>
        <w:tc>
          <w:tcPr>
            <w:tcW w:w="112" w:type="dxa"/>
            <w:tcBorders/>
            <w:shd w:fill="CCEEFF" w:val="clear"/>
            <w:vAlign w:val="center"/>
          </w:tcPr>
          <w:p>
            <w:pPr>
              <w:pStyle w:val="TableContents"/>
              <w:bidi w:val="0"/>
              <w:spacing w:before="0" w:after="283"/>
              <w:jc w:val="left"/>
              <w:rPr/>
            </w:pPr>
            <w:r>
              <w:rPr/>
              <w:t> </w:t>
            </w:r>
            <w:bookmarkStart w:id="73" w:name="xdx_406_eus-gaap--CommitmentsAndContinge"/>
            <w:bookmarkEnd w:id="73"/>
          </w:p>
        </w:tc>
      </w:tr>
      <w:tr>
        <w:trPr/>
        <w:tc>
          <w:tcPr>
            <w:tcW w:w="7428" w:type="dxa"/>
            <w:tcBorders/>
            <w:shd w:fill="FFFFFF" w:val="clear"/>
            <w:vAlign w:val="center"/>
          </w:tcPr>
          <w:p>
            <w:pPr>
              <w:pStyle w:val="TableContents"/>
              <w:bidi w:val="0"/>
              <w:spacing w:before="0" w:after="283"/>
              <w:jc w:val="left"/>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74" w:name="xdx_40E_eus-gaap--StockholdersEquityAbst"/>
            <w:bookmarkEnd w:id="74"/>
          </w:p>
        </w:tc>
      </w:tr>
      <w:tr>
        <w:trPr/>
        <w:tc>
          <w:tcPr>
            <w:tcW w:w="7428"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5" w:name="xdx_402_eus-gaap--CommonStockValue_i01I_"/>
            <w:bookmarkEnd w:id="75"/>
          </w:p>
        </w:tc>
      </w:tr>
      <w:tr>
        <w:trPr/>
        <w:tc>
          <w:tcPr>
            <w:tcW w:w="7428" w:type="dxa"/>
            <w:tcBorders/>
            <w:shd w:fill="FFFFFF" w:val="clear"/>
            <w:vAlign w:val="center"/>
          </w:tcPr>
          <w:p>
            <w:pPr>
              <w:pStyle w:val="TableContents"/>
              <w:bidi w:val="0"/>
              <w:spacing w:before="0" w:after="283"/>
              <w:jc w:val="left"/>
              <w:rPr/>
            </w:pPr>
            <w:r>
              <w:rPr/>
              <w:t xml:space="preserve">Common stock, </w:t>
            </w:r>
            <w:bookmarkStart w:id="76" w:name="xdx_90C_eus-gaap--CommonStockSharesAutho"/>
            <w:bookmarkStart w:id="77" w:name="xdx_90C_eus-gaap--CommonStockSharesAutho"/>
            <w:bookmarkEnd w:id="76"/>
            <w:bookmarkEnd w:id="77"/>
            <w:r>
              <w:rPr/>
              <w:t>170,000,000 shares at $</w:t>
            </w:r>
            <w:bookmarkStart w:id="78" w:name="xdx_906_eus-gaap--CommonStockParOrStated"/>
            <w:bookmarkStart w:id="79" w:name="xdx_909_eus-gaap--CommonStockParOrStated"/>
            <w:bookmarkEnd w:id="78"/>
            <w:bookmarkEnd w:id="79"/>
            <w:r>
              <w:rPr/>
              <w:t xml:space="preserve">0.0001 par value, authorized, </w:t>
            </w:r>
            <w:bookmarkStart w:id="80" w:name="xdx_907_eus-gaap--CommonStockSharesIssue"/>
            <w:bookmarkStart w:id="81" w:name="xdx_90E_eus-gaap--CommonStockSharesOutst"/>
            <w:bookmarkEnd w:id="80"/>
            <w:bookmarkEnd w:id="81"/>
            <w:r>
              <w:rPr/>
              <w:t xml:space="preserve">45,795,502 and </w:t>
            </w:r>
            <w:bookmarkStart w:id="82" w:name="xdx_909_eus-gaap--CommonStockSharesIssue"/>
            <w:bookmarkStart w:id="83" w:name="xdx_904_eus-gaap--CommonStockSharesOutst"/>
            <w:bookmarkEnd w:id="82"/>
            <w:bookmarkEnd w:id="83"/>
            <w:r>
              <w:rPr/>
              <w:t>43,272,728 shares issued and outstanding as of March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bookmarkStart w:id="84" w:name="xdx_402_eus-gaap--PreferredStockValue_i0"/>
            <w:bookmarkEnd w:id="84"/>
          </w:p>
        </w:tc>
      </w:tr>
      <w:tr>
        <w:trPr/>
        <w:tc>
          <w:tcPr>
            <w:tcW w:w="7428" w:type="dxa"/>
            <w:tcBorders/>
            <w:shd w:fill="CCEEFF" w:val="clear"/>
            <w:vAlign w:val="center"/>
          </w:tcPr>
          <w:p>
            <w:pPr>
              <w:pStyle w:val="TableContents"/>
              <w:bidi w:val="0"/>
              <w:spacing w:before="0" w:after="283"/>
              <w:jc w:val="left"/>
              <w:rPr/>
            </w:pPr>
            <w:r>
              <w:rPr/>
              <w:t xml:space="preserve">Preferred stock, </w:t>
            </w:r>
            <w:bookmarkStart w:id="85" w:name="xdx_904_eus-gaap--PreferredStockSharesAu"/>
            <w:bookmarkStart w:id="86" w:name="xdx_905_eus-gaap--PreferredStockSharesAu"/>
            <w:bookmarkEnd w:id="85"/>
            <w:bookmarkEnd w:id="86"/>
            <w:r>
              <w:rPr/>
              <w:t>5,000,000 shares at $</w:t>
            </w:r>
            <w:bookmarkStart w:id="87" w:name="xdx_90A_eus-gaap--PreferredStockParOrSta"/>
            <w:bookmarkStart w:id="88" w:name="xdx_902_eus-gaap--PreferredStockParOrSta"/>
            <w:bookmarkEnd w:id="87"/>
            <w:bookmarkEnd w:id="88"/>
            <w:r>
              <w:rPr/>
              <w:t xml:space="preserve">0.0001 par value, authorized, </w:t>
            </w:r>
            <w:bookmarkStart w:id="89" w:name="xdx_909_eus-gaap--PreferredStockSharesIs"/>
            <w:bookmarkStart w:id="90" w:name="xdx_904_eus-gaap--PreferredStockSharesIs"/>
            <w:bookmarkStart w:id="91" w:name="xdx_90F_eus-gaap--PreferredStockSharesOu"/>
            <w:bookmarkStart w:id="92" w:name="xdx_901_eus-gaap--PreferredStockSharesOu"/>
            <w:bookmarkEnd w:id="89"/>
            <w:bookmarkEnd w:id="90"/>
            <w:bookmarkEnd w:id="91"/>
            <w:bookmarkEnd w:id="92"/>
            <w:r>
              <w:rPr/>
              <w:t>no shares issued and outstanding as of March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93" w:name="xdx_409_eus-gaap--AdditionalPaidInCapita"/>
            <w:bookmarkEnd w:id="93"/>
          </w:p>
        </w:tc>
      </w:tr>
      <w:tr>
        <w:trPr/>
        <w:tc>
          <w:tcPr>
            <w:tcW w:w="7428"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54,551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38,461</w:t>
            </w:r>
          </w:p>
        </w:tc>
        <w:tc>
          <w:tcPr>
            <w:tcW w:w="112" w:type="dxa"/>
            <w:tcBorders/>
            <w:shd w:fill="FFFFFF" w:val="clear"/>
            <w:vAlign w:val="center"/>
          </w:tcPr>
          <w:p>
            <w:pPr>
              <w:pStyle w:val="TableContents"/>
              <w:bidi w:val="0"/>
              <w:spacing w:before="0" w:after="283"/>
              <w:jc w:val="left"/>
              <w:rPr/>
            </w:pPr>
            <w:r>
              <w:rPr/>
              <w:t> </w:t>
            </w:r>
            <w:bookmarkStart w:id="94" w:name="xdx_40E_eus-gaap--RetainedEarningsAccumu"/>
            <w:bookmarkEnd w:id="94"/>
          </w:p>
        </w:tc>
      </w:tr>
      <w:tr>
        <w:trPr/>
        <w:tc>
          <w:tcPr>
            <w:tcW w:w="7428" w:type="dxa"/>
            <w:tcBorders/>
            <w:shd w:fill="CCEEFF" w:val="clear"/>
            <w:vAlign w:val="center"/>
          </w:tcPr>
          <w:p>
            <w:pPr>
              <w:pStyle w:val="TableContents"/>
              <w:bidi w:val="0"/>
              <w:spacing w:before="0" w:after="283"/>
              <w:jc w:val="left"/>
              <w:rPr/>
            </w:pPr>
            <w:r>
              <w:rPr/>
              <w:t>Retained deficit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(22,241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(27,133</w:t>
            </w:r>
          </w:p>
        </w:tc>
        <w:tc>
          <w:tcPr>
            <w:tcW w:w="112" w:type="dxa"/>
            <w:tcBorders/>
            <w:shd w:fill="CCEEFF" w:val="clear"/>
            <w:vAlign w:val="center"/>
          </w:tcPr>
          <w:p>
            <w:pPr>
              <w:pStyle w:val="TableContents"/>
              <w:bidi w:val="0"/>
              <w:spacing w:before="0" w:after="283"/>
              <w:jc w:val="left"/>
              <w:rPr/>
            </w:pPr>
            <w:r>
              <w:rPr/>
              <w:t>)</w:t>
            </w:r>
            <w:bookmarkStart w:id="95" w:name="xdx_405_eus-gaap--StockholdersEquity_i01"/>
            <w:bookmarkEnd w:id="95"/>
          </w:p>
        </w:tc>
      </w:tr>
      <w:tr>
        <w:trPr/>
        <w:tc>
          <w:tcPr>
            <w:tcW w:w="7428"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32,315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11,332</w:t>
            </w:r>
          </w:p>
        </w:tc>
        <w:tc>
          <w:tcPr>
            <w:tcW w:w="112" w:type="dxa"/>
            <w:tcBorders/>
            <w:shd w:fill="FFFFFF" w:val="clear"/>
            <w:vAlign w:val="center"/>
          </w:tcPr>
          <w:p>
            <w:pPr>
              <w:pStyle w:val="TableContents"/>
              <w:bidi w:val="0"/>
              <w:spacing w:before="0" w:after="283"/>
              <w:jc w:val="left"/>
              <w:rPr/>
            </w:pPr>
            <w:r>
              <w:rPr/>
              <w:t> </w:t>
            </w:r>
            <w:bookmarkStart w:id="96" w:name="xdx_401_eus-gaap--LiabilitiesAndStockhol"/>
            <w:bookmarkEnd w:id="96"/>
          </w:p>
        </w:tc>
      </w:tr>
      <w:tr>
        <w:trPr/>
        <w:tc>
          <w:tcPr>
            <w:tcW w:w="742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90,509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pPr>
            <w:r>
              <w:rPr/>
              <w:t>88,762</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7" w:name="a_004"/>
      <w:bookmarkEnd w:id="97"/>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Interim Consolidated Statements of Operations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2023 and 2022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8" w:name="xdx_308_113_pn3n3_zfvsScXkmhig"/>
      <w:bookmarkStart w:id="99" w:name="xdx_308_113_pn3n3_zfvsScXkmhig"/>
      <w:bookmarkEnd w:id="99"/>
    </w:p>
    <w:tbl>
      <w:tblPr>
        <w:tblW w:w="7265" w:type="dxa"/>
        <w:jc w:val="left"/>
        <w:tblInd w:w="0" w:type="dxa"/>
        <w:tblLayout w:type="fixed"/>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0" w:name="xdx_495_20230101__20230331_zc65WmPuILjg"/>
            <w:bookmarkEnd w:id="10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1" w:name="xdx_497_20220101__20220331_zKGdzYsGBQpf"/>
            <w:bookmarkEnd w:id="101"/>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2" w:name="xdx_40E_eus-gaap--RevenueFromContractWit"/>
            <w:bookmarkEnd w:id="102"/>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A_eus-gaap--CostOfGoodsAndServices"/>
            <w:bookmarkEnd w:id="103"/>
          </w:p>
        </w:tc>
      </w:tr>
      <w:tr>
        <w:trPr/>
        <w:tc>
          <w:tcPr>
            <w:tcW w:w="446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12,808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F_eus-gaap--GrossProfit_iT_mtGPzM3"/>
            <w:bookmarkEnd w:id="104"/>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 w:name="xdx_40C_eus-gaap--OperatingExpensesAbstr"/>
            <w:bookmarkEnd w:id="105"/>
          </w:p>
        </w:tc>
      </w:tr>
      <w:tr>
        <w:trPr/>
        <w:tc>
          <w:tcPr>
            <w:tcW w:w="44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 w:name="xdx_401_eus-gaap--ResearchAndDevelopment"/>
            <w:bookmarkEnd w:id="106"/>
          </w:p>
        </w:tc>
      </w:tr>
      <w:tr>
        <w:trPr/>
        <w:tc>
          <w:tcPr>
            <w:tcW w:w="446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w:t>
            </w:r>
          </w:p>
        </w:tc>
        <w:tc>
          <w:tcPr>
            <w:tcW w:w="110" w:type="dxa"/>
            <w:tcBorders/>
            <w:shd w:fill="FFFFFF" w:val="clear"/>
            <w:vAlign w:val="center"/>
          </w:tcPr>
          <w:p>
            <w:pPr>
              <w:pStyle w:val="TableContents"/>
              <w:bidi w:val="0"/>
              <w:spacing w:before="0" w:after="283"/>
              <w:jc w:val="left"/>
              <w:rPr/>
            </w:pPr>
            <w:r>
              <w:rPr/>
              <w:t> </w:t>
            </w:r>
            <w:bookmarkStart w:id="107" w:name="xdx_407_eus-gaap--GeneralAndAdministrati"/>
            <w:bookmarkEnd w:id="107"/>
          </w:p>
        </w:tc>
      </w:tr>
      <w:tr>
        <w:trPr/>
        <w:tc>
          <w:tcPr>
            <w:tcW w:w="44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3,626</w:t>
            </w:r>
          </w:p>
        </w:tc>
        <w:tc>
          <w:tcPr>
            <w:tcW w:w="110" w:type="dxa"/>
            <w:tcBorders/>
            <w:shd w:fill="CCEEFF" w:val="clear"/>
            <w:vAlign w:val="center"/>
          </w:tcPr>
          <w:p>
            <w:pPr>
              <w:pStyle w:val="TableContents"/>
              <w:bidi w:val="0"/>
              <w:spacing w:before="0" w:after="283"/>
              <w:jc w:val="left"/>
              <w:rPr/>
            </w:pPr>
            <w:r>
              <w:rPr/>
              <w:t> </w:t>
            </w:r>
            <w:bookmarkStart w:id="108" w:name="xdx_405_eus-gaap--SellingAndMarketingExp"/>
            <w:bookmarkEnd w:id="108"/>
          </w:p>
        </w:tc>
      </w:tr>
      <w:tr>
        <w:trPr/>
        <w:tc>
          <w:tcPr>
            <w:tcW w:w="446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3,092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 w:name="xdx_40B_eus-gaap--OperatingExpenses_i01T"/>
            <w:bookmarkEnd w:id="109"/>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 w:name="xdx_403_eus-gaap--OperatingIncomeLoss_iT"/>
            <w:bookmarkEnd w:id="110"/>
          </w:p>
        </w:tc>
      </w:tr>
      <w:tr>
        <w:trPr/>
        <w:tc>
          <w:tcPr>
            <w:tcW w:w="446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(1,562</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 w:name="xdx_409_eus-gaap--NonoperatingIncomeExpe"/>
            <w:bookmarkEnd w:id="111"/>
          </w:p>
        </w:tc>
      </w:tr>
      <w:tr>
        <w:trPr/>
        <w:tc>
          <w:tcPr>
            <w:tcW w:w="446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2" w:name="xdx_404_eus-gaap--InterestExpense_i01N_d"/>
            <w:bookmarkEnd w:id="112"/>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bookmarkStart w:id="113" w:name="xdx_408_eus-gaap--FairValueAdjustmentOfW"/>
            <w:bookmarkEnd w:id="113"/>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 w:name="xdx_40E_eus-gaap--NonoperatingIncomeExpe"/>
            <w:bookmarkEnd w:id="114"/>
          </w:p>
        </w:tc>
      </w:tr>
      <w:tr>
        <w:trPr/>
        <w:tc>
          <w:tcPr>
            <w:tcW w:w="4460" w:type="dxa"/>
            <w:tcBorders/>
            <w:shd w:fill="CCEEFF" w:val="clear"/>
            <w:vAlign w:val="center"/>
          </w:tcPr>
          <w:p>
            <w:pPr>
              <w:pStyle w:val="TableContents"/>
              <w:bidi w:val="0"/>
              <w:spacing w:before="0" w:after="283"/>
              <w:jc w:val="left"/>
              <w:rPr>
                <w:b/>
              </w:rPr>
            </w:pPr>
            <w:r>
              <w:rPr>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(1,263</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 w:name="xdx_404_eus-gaap--IncomeLossFromContinui"/>
            <w:bookmarkEnd w:id="115"/>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 w:name="xdx_40A_eus-gaap--IncomeTaxExpenseBenefi"/>
            <w:bookmarkEnd w:id="116"/>
          </w:p>
        </w:tc>
      </w:tr>
      <w:tr>
        <w:trPr/>
        <w:tc>
          <w:tcPr>
            <w:tcW w:w="4460"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4_eus-gaap--NetIncomeLoss_iT_mtNIL"/>
            <w:bookmarkEnd w:id="117"/>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 w:name="xdx_405_eus-gaap--EarningsPerShareBasic_"/>
            <w:bookmarkEnd w:id="118"/>
          </w:p>
        </w:tc>
      </w:tr>
      <w:tr>
        <w:trPr/>
        <w:tc>
          <w:tcPr>
            <w:tcW w:w="4460" w:type="dxa"/>
            <w:tcBorders/>
            <w:shd w:fill="CCEEFF" w:val="clear"/>
            <w:vAlign w:val="center"/>
          </w:tcPr>
          <w:p>
            <w:pPr>
              <w:pStyle w:val="TableContents"/>
              <w:bidi w:val="0"/>
              <w:spacing w:before="0" w:after="283"/>
              <w:jc w:val="left"/>
              <w:rPr/>
            </w:pPr>
            <w:r>
              <w:rPr/>
              <w:t>Income (Loss) Per Share-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bookmarkStart w:id="119" w:name="xdx_40D_eus-gaap--EarningsPerShareDilute"/>
            <w:bookmarkEnd w:id="119"/>
          </w:p>
        </w:tc>
      </w:tr>
      <w:tr>
        <w:trPr/>
        <w:tc>
          <w:tcPr>
            <w:tcW w:w="4460" w:type="dxa"/>
            <w:tcBorders/>
            <w:shd w:fill="FFFFFF" w:val="clear"/>
            <w:vAlign w:val="center"/>
          </w:tcPr>
          <w:p>
            <w:pPr>
              <w:pStyle w:val="TableContents"/>
              <w:bidi w:val="0"/>
              <w:spacing w:before="0" w:after="283"/>
              <w:jc w:val="left"/>
              <w:rPr/>
            </w:pPr>
            <w:r>
              <w:rPr/>
              <w:t>Income (Loss) Per Share-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bookmarkStart w:id="120" w:name="xdx_40F_eus-gaap--WeightedAverageNumberO"/>
            <w:bookmarkEnd w:id="120"/>
          </w:p>
        </w:tc>
      </w:tr>
      <w:tr>
        <w:trPr/>
        <w:tc>
          <w:tcPr>
            <w:tcW w:w="4460" w:type="dxa"/>
            <w:tcBorders/>
            <w:shd w:fill="CCEEFF" w:val="clear"/>
            <w:vAlign w:val="center"/>
          </w:tcPr>
          <w:p>
            <w:pPr>
              <w:pStyle w:val="TableContents"/>
              <w:bidi w:val="0"/>
              <w:spacing w:before="0" w:after="283"/>
              <w:jc w:val="left"/>
              <w:rPr/>
            </w:pPr>
            <w:r>
              <w:rPr/>
              <w:t>Weighted Average Number of Shares-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45,104,515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bookmarkStart w:id="121" w:name="xdx_408_eus-gaap--WeightedAverageNumberO"/>
            <w:bookmarkEnd w:id="121"/>
          </w:p>
        </w:tc>
      </w:tr>
      <w:tr>
        <w:trPr/>
        <w:tc>
          <w:tcPr>
            <w:tcW w:w="4460" w:type="dxa"/>
            <w:tcBorders/>
            <w:shd w:fill="FFFFFF" w:val="clear"/>
            <w:vAlign w:val="center"/>
          </w:tcPr>
          <w:p>
            <w:pPr>
              <w:pStyle w:val="TableContents"/>
              <w:bidi w:val="0"/>
              <w:spacing w:before="0" w:after="283"/>
              <w:jc w:val="left"/>
              <w:rPr/>
            </w:pPr>
            <w:r>
              <w:rPr/>
              <w:t>Weighted Average Number of Shares-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48,455,996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2" w:name="a_005"/>
      <w:bookmarkEnd w:id="122"/>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Shareholders’ Equity</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3" w:name="xdx_302_114_pn3n3_zEQfkyleGA7i"/>
      <w:bookmarkStart w:id="124" w:name="xdx_302_114_pn3n3_zEQfkyleGA7i"/>
      <w:bookmarkEnd w:id="124"/>
    </w:p>
    <w:tbl>
      <w:tblPr>
        <w:tblW w:w="10205" w:type="dxa"/>
        <w:jc w:val="left"/>
        <w:tblInd w:w="0" w:type="dxa"/>
        <w:tblLayout w:type="fixed"/>
        <w:tblCellMar>
          <w:top w:w="0" w:type="dxa"/>
          <w:left w:w="0" w:type="dxa"/>
          <w:bottom w:w="0" w:type="dxa"/>
          <w:right w:w="0" w:type="dxa"/>
        </w:tblCellMar>
      </w:tblPr>
      <w:tblGrid>
        <w:gridCol w:w="2304"/>
        <w:gridCol w:w="60"/>
        <w:gridCol w:w="60"/>
        <w:gridCol w:w="1175"/>
        <w:gridCol w:w="95"/>
        <w:gridCol w:w="60"/>
        <w:gridCol w:w="144"/>
        <w:gridCol w:w="656"/>
        <w:gridCol w:w="95"/>
        <w:gridCol w:w="60"/>
        <w:gridCol w:w="60"/>
        <w:gridCol w:w="1100"/>
        <w:gridCol w:w="60"/>
        <w:gridCol w:w="60"/>
        <w:gridCol w:w="160"/>
        <w:gridCol w:w="640"/>
        <w:gridCol w:w="60"/>
        <w:gridCol w:w="60"/>
        <w:gridCol w:w="175"/>
        <w:gridCol w:w="850"/>
        <w:gridCol w:w="60"/>
        <w:gridCol w:w="60"/>
        <w:gridCol w:w="166"/>
        <w:gridCol w:w="898"/>
        <w:gridCol w:w="95"/>
        <w:gridCol w:w="60"/>
        <w:gridCol w:w="140"/>
        <w:gridCol w:w="680"/>
        <w:gridCol w:w="112"/>
      </w:tblGrid>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 w:name="xdx_4B6_us-gaap--StatementEquityComponen"/>
            <w:bookmarkEnd w:id="125"/>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3_us-gaap--StatementEquityComponen"/>
            <w:bookmarkEnd w:id="126"/>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D_us-gaap--StatementEquityComponen"/>
            <w:bookmarkEnd w:id="127"/>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1_us-gaap--StatementEquityComponen"/>
            <w:bookmarkEnd w:id="128"/>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2_zenVWoFJw8j8"/>
            <w:bookmarkEnd w:id="129"/>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Redeemable </w:t>
              <w:br/>
              <w:t>Preferred Stock</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jc w:val="center"/>
              <w:rPr/>
            </w:pPr>
            <w:r>
              <w:rPr/>
              <w:t>Additional</w:t>
            </w:r>
          </w:p>
          <w:p>
            <w:pPr>
              <w:pStyle w:val="TableContents"/>
              <w:bidi w:val="0"/>
              <w:spacing w:before="0" w:after="283"/>
              <w:jc w:val="center"/>
              <w:rPr/>
            </w:pPr>
            <w:r>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vAlign w:val="center"/>
          </w:tcPr>
          <w:p>
            <w:pPr>
              <w:pStyle w:val="TableContents"/>
              <w:bidi w:val="0"/>
              <w:spacing w:before="0" w:after="283"/>
              <w:jc w:val="center"/>
              <w:rPr/>
            </w:pPr>
            <w:r>
              <w:rPr/>
              <w:t>Retained 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center"/>
              <w:rPr/>
            </w:pPr>
            <w:r>
              <w:rPr/>
              <w:t> </w:t>
            </w:r>
          </w:p>
        </w:tc>
      </w:tr>
      <w:tr>
        <w:trPr/>
        <w:tc>
          <w:tcPr>
            <w:tcW w:w="2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30" w:name="xdx_43B_c20220101__20220331_eus-gaap--St"/>
            <w:bookmarkEnd w:id="130"/>
          </w:p>
        </w:tc>
      </w:tr>
      <w:tr>
        <w:trPr/>
        <w:tc>
          <w:tcPr>
            <w:tcW w:w="2304" w:type="dxa"/>
            <w:tcBorders/>
            <w:shd w:fill="CCEEFF" w:val="clear"/>
            <w:vAlign w:val="center"/>
          </w:tcPr>
          <w:p>
            <w:pPr>
              <w:pStyle w:val="TableContents"/>
              <w:bidi w:val="0"/>
              <w:spacing w:before="0" w:after="283"/>
              <w:jc w:val="left"/>
              <w:rPr>
                <w:b/>
              </w:rPr>
            </w:pPr>
            <w:r>
              <w:rPr>
                <w:b/>
              </w:rPr>
              <w:t>Balance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1" w:name="xdx_98F_eus-gaap--SharesOutstanding_iS_p"/>
            <w:bookmarkEnd w:id="131"/>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2" w:name="xdx_98A_eus-gaap--SharesOutstanding_iS_p"/>
            <w:bookmarkEnd w:id="132"/>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20,875,475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12,438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14,061</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3" w:name="xdx_407_ecustom--StockIssuedDuringPeriod"/>
            <w:bookmarkEnd w:id="133"/>
          </w:p>
        </w:tc>
      </w:tr>
      <w:tr>
        <w:trPr/>
        <w:tc>
          <w:tcPr>
            <w:tcW w:w="2304" w:type="dxa"/>
            <w:tcBorders/>
            <w:shd w:fill="CCEEFF" w:val="clear"/>
            <w:vAlign w:val="center"/>
          </w:tcPr>
          <w:p>
            <w:pPr>
              <w:pStyle w:val="TableContents"/>
              <w:bidi w:val="0"/>
              <w:spacing w:before="0" w:after="283"/>
              <w:jc w:val="left"/>
              <w:rPr/>
            </w:pPr>
            <w:r>
              <w:rPr/>
              <w:t>Retroactive application of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4" w:name="xdx_980_ecustom--StockIssuedDuringPeriod"/>
            <w:bookmarkEnd w:id="134"/>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35" w:name="xdx_98D_ecustom--StockIssuedDuringPeriod"/>
            <w:bookmarkEnd w:id="135"/>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15,621,523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112" w:type="dxa"/>
            <w:tcBorders/>
            <w:shd w:fill="CCEEFF" w:val="clear"/>
            <w:vAlign w:val="center"/>
          </w:tcPr>
          <w:p>
            <w:pPr>
              <w:pStyle w:val="TableContents"/>
              <w:bidi w:val="0"/>
              <w:spacing w:before="0" w:after="283"/>
              <w:jc w:val="left"/>
              <w:rPr/>
            </w:pPr>
            <w:r>
              <w:rPr/>
              <w:t> </w:t>
            </w:r>
            <w:bookmarkStart w:id="136" w:name="xdx_40A_ecustom--StockholdersEquityAdjus"/>
            <w:bookmarkEnd w:id="136"/>
          </w:p>
        </w:tc>
      </w:tr>
      <w:tr>
        <w:trPr/>
        <w:tc>
          <w:tcPr>
            <w:tcW w:w="2304" w:type="dxa"/>
            <w:tcBorders/>
            <w:shd w:fill="FFFFFF" w:val="clear"/>
            <w:vAlign w:val="center"/>
          </w:tcPr>
          <w:p>
            <w:pPr>
              <w:pStyle w:val="TableContents"/>
              <w:bidi w:val="0"/>
              <w:spacing w:before="0" w:after="283"/>
              <w:jc w:val="left"/>
              <w:rPr/>
            </w:pPr>
            <w:r>
              <w:rPr/>
              <w:t>Adjusted balance,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7" w:name="xdx_983_ecustom--StockholdersEquityAdjus"/>
            <w:bookmarkEnd w:id="137"/>
          </w:p>
        </w:tc>
        <w:tc>
          <w:tcPr>
            <w:tcW w:w="1100" w:type="dxa"/>
            <w:tcBorders/>
            <w:shd w:fill="FFFFFF" w:val="clear"/>
            <w:vAlign w:val="center"/>
          </w:tcPr>
          <w:p>
            <w:pPr>
              <w:pStyle w:val="TableContents"/>
              <w:bidi w:val="0"/>
              <w:spacing w:before="0" w:after="283"/>
              <w:jc w:val="right"/>
              <w:rPr/>
            </w:pPr>
            <w:r>
              <w:rPr/>
              <w:t>36,496,998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16,061</w:t>
            </w:r>
          </w:p>
        </w:tc>
        <w:tc>
          <w:tcPr>
            <w:tcW w:w="112" w:type="dxa"/>
            <w:tcBorders/>
            <w:shd w:fill="FFFFFF" w:val="clear"/>
            <w:vAlign w:val="center"/>
          </w:tcPr>
          <w:p>
            <w:pPr>
              <w:pStyle w:val="TableContents"/>
              <w:bidi w:val="0"/>
              <w:spacing w:before="0" w:after="283"/>
              <w:jc w:val="left"/>
              <w:rPr/>
            </w:pPr>
            <w:r>
              <w:rPr/>
              <w:t> </w:t>
            </w:r>
            <w:bookmarkStart w:id="138" w:name="xdx_406_eus-gaap--NetIncomeLoss_pn3n3_zt"/>
            <w:bookmarkEnd w:id="138"/>
          </w:p>
        </w:tc>
      </w:tr>
      <w:tr>
        <w:trPr/>
        <w:tc>
          <w:tcPr>
            <w:tcW w:w="230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(2,298</w:t>
            </w:r>
          </w:p>
        </w:tc>
        <w:tc>
          <w:tcPr>
            <w:tcW w:w="112" w:type="dxa"/>
            <w:tcBorders/>
            <w:shd w:fill="CCEEFF" w:val="clear"/>
            <w:vAlign w:val="center"/>
          </w:tcPr>
          <w:p>
            <w:pPr>
              <w:pStyle w:val="TableContents"/>
              <w:bidi w:val="0"/>
              <w:spacing w:before="0" w:after="283"/>
              <w:jc w:val="left"/>
              <w:rPr/>
            </w:pPr>
            <w:r>
              <w:rPr/>
              <w:t>)</w:t>
            </w:r>
            <w:bookmarkStart w:id="139" w:name="xdx_400_eus-gaap--AdjustmentsToAdditiona"/>
            <w:bookmarkEnd w:id="139"/>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288</w:t>
            </w:r>
          </w:p>
        </w:tc>
        <w:tc>
          <w:tcPr>
            <w:tcW w:w="112" w:type="dxa"/>
            <w:tcBorders/>
            <w:shd w:fill="FFFFFF" w:val="clear"/>
            <w:vAlign w:val="center"/>
          </w:tcPr>
          <w:p>
            <w:pPr>
              <w:pStyle w:val="TableContents"/>
              <w:bidi w:val="0"/>
              <w:spacing w:before="0" w:after="283"/>
              <w:jc w:val="left"/>
              <w:rPr/>
            </w:pPr>
            <w:r>
              <w:rPr/>
              <w:t> </w:t>
            </w:r>
            <w:bookmarkStart w:id="140" w:name="xdx_403_eus-gaap--StockIssuedDuringPerio"/>
            <w:bookmarkEnd w:id="140"/>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141" w:name="xdx_98B_eus-gaap--StockIssuedDuringPerio"/>
            <w:bookmarkEnd w:id="141"/>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100,374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42" w:name="xdx_43B_c20220101__20220331_eus-gaap--St"/>
            <w:bookmarkEnd w:id="142"/>
          </w:p>
        </w:tc>
      </w:tr>
      <w:tr>
        <w:trPr/>
        <w:tc>
          <w:tcPr>
            <w:tcW w:w="2304" w:type="dxa"/>
            <w:tcBorders/>
            <w:shd w:fill="CCEEFF" w:val="clear"/>
            <w:vAlign w:val="center"/>
          </w:tcPr>
          <w:p>
            <w:pPr>
              <w:pStyle w:val="TableContents"/>
              <w:bidi w:val="0"/>
              <w:spacing w:before="0" w:after="283"/>
              <w:jc w:val="left"/>
              <w:rPr>
                <w:b/>
              </w:rPr>
            </w:pPr>
            <w:r>
              <w:rPr>
                <w:b/>
              </w:rPr>
              <w:t>Balance -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3" w:name="xdx_982_eus-gaap--SharesOutstanding_iE_p"/>
            <w:bookmarkEnd w:id="143"/>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4" w:name="xdx_984_eus-gaap--SharesOutstanding_iE_p"/>
            <w:bookmarkEnd w:id="14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bookmarkStart w:id="145" w:name="xdx_43C_c20220101__20220331_eus-gaap--St"/>
            <w:bookmarkEnd w:id="145"/>
          </w:p>
        </w:tc>
      </w:tr>
      <w:tr>
        <w:trPr/>
        <w:tc>
          <w:tcPr>
            <w:tcW w:w="2304"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 w:name="xdx_984_eus-gaap--SharesOutstanding_iE_p"/>
            <w:bookmarkEnd w:id="146"/>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7" w:name="xdx_983_eus-gaap--SharesOutstanding_iE_p"/>
            <w:bookmarkEnd w:id="14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36,597,372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4,020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14,164</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48" w:name="xdx_437_c20230101__20230331_eus-gaap--St"/>
            <w:bookmarkEnd w:id="148"/>
          </w:p>
        </w:tc>
      </w:tr>
      <w:tr>
        <w:trPr/>
        <w:tc>
          <w:tcPr>
            <w:tcW w:w="2304" w:type="dxa"/>
            <w:tcBorders/>
            <w:shd w:fill="CCEEFF" w:val="clear"/>
            <w:vAlign w:val="center"/>
          </w:tcPr>
          <w:p>
            <w:pPr>
              <w:pStyle w:val="TableContents"/>
              <w:bidi w:val="0"/>
              <w:spacing w:before="0" w:after="283"/>
              <w:jc w:val="left"/>
              <w:rPr>
                <w:b/>
              </w:rPr>
            </w:pPr>
            <w:r>
              <w:rPr>
                <w:b/>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A_eus-gaap--SharesOutstanding_iS_p"/>
            <w:bookmarkEnd w:id="149"/>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D_eus-gaap--SharesOutstanding_iS_p"/>
            <w:bookmarkEnd w:id="150"/>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bookmarkStart w:id="151" w:name="xdx_434_c20230101__20230331_eus-gaap--St"/>
            <w:bookmarkEnd w:id="151"/>
          </w:p>
        </w:tc>
      </w:tr>
      <w:tr>
        <w:trPr/>
        <w:tc>
          <w:tcPr>
            <w:tcW w:w="2304"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B_eus-gaap--SharesOutstanding_iS_p"/>
            <w:bookmarkEnd w:id="152"/>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C_eus-gaap--SharesOutstanding_iS_p"/>
            <w:bookmarkEnd w:id="153"/>
          </w:p>
        </w:tc>
        <w:tc>
          <w:tcPr>
            <w:tcW w:w="1100" w:type="dxa"/>
            <w:tcBorders/>
            <w:shd w:fill="CCEEFF" w:val="clear"/>
            <w:vAlign w:val="center"/>
          </w:tcPr>
          <w:p>
            <w:pPr>
              <w:pStyle w:val="TableContents"/>
              <w:bidi w:val="0"/>
              <w:spacing w:before="0" w:after="283"/>
              <w:jc w:val="right"/>
              <w:rPr/>
            </w:pPr>
            <w:r>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11,332</w:t>
            </w:r>
          </w:p>
        </w:tc>
        <w:tc>
          <w:tcPr>
            <w:tcW w:w="112" w:type="dxa"/>
            <w:tcBorders/>
            <w:shd w:fill="CCEEFF" w:val="clear"/>
            <w:vAlign w:val="center"/>
          </w:tcPr>
          <w:p>
            <w:pPr>
              <w:pStyle w:val="TableContents"/>
              <w:bidi w:val="0"/>
              <w:spacing w:before="0" w:after="283"/>
              <w:jc w:val="left"/>
              <w:rPr/>
            </w:pPr>
            <w:r>
              <w:rPr/>
              <w:t> </w:t>
            </w:r>
          </w:p>
        </w:tc>
      </w:tr>
      <w:tr>
        <w:trPr/>
        <w:tc>
          <w:tcPr>
            <w:tcW w:w="2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4" w:name="xdx_406_eus-gaap--NetIncomeLoss_pn3n3_zt"/>
            <w:bookmarkEnd w:id="154"/>
          </w:p>
        </w:tc>
      </w:tr>
      <w:tr>
        <w:trPr/>
        <w:tc>
          <w:tcPr>
            <w:tcW w:w="2304"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bookmarkStart w:id="155" w:name="xdx_409_eus-gaap--NetIncomeLoss_pn3n3_z9"/>
            <w:bookmarkEnd w:id="155"/>
          </w:p>
        </w:tc>
      </w:tr>
      <w:tr>
        <w:trPr/>
        <w:tc>
          <w:tcPr>
            <w:tcW w:w="230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112" w:type="dxa"/>
            <w:tcBorders/>
            <w:shd w:fill="CCEEFF" w:val="clear"/>
            <w:vAlign w:val="center"/>
          </w:tcPr>
          <w:p>
            <w:pPr>
              <w:pStyle w:val="TableContents"/>
              <w:bidi w:val="0"/>
              <w:spacing w:before="0" w:after="283"/>
              <w:jc w:val="left"/>
              <w:rPr/>
            </w:pPr>
            <w:r>
              <w:rPr/>
              <w:t> </w:t>
            </w:r>
            <w:bookmarkStart w:id="156" w:name="xdx_403_eus-gaap--StockIssuedDuringPerio"/>
            <w:bookmarkEnd w:id="156"/>
          </w:p>
        </w:tc>
      </w:tr>
      <w:tr>
        <w:trPr/>
        <w:tc>
          <w:tcPr>
            <w:tcW w:w="2304"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7" w:name="xdx_989_eus-gaap--StockIssuedDuringPerio"/>
            <w:bookmarkEnd w:id="157"/>
          </w:p>
        </w:tc>
        <w:tc>
          <w:tcPr>
            <w:tcW w:w="1100" w:type="dxa"/>
            <w:tcBorders/>
            <w:shd w:fill="FFFFFF" w:val="clear"/>
            <w:vAlign w:val="center"/>
          </w:tcPr>
          <w:p>
            <w:pPr>
              <w:pStyle w:val="TableContents"/>
              <w:bidi w:val="0"/>
              <w:spacing w:before="0" w:after="283"/>
              <w:jc w:val="right"/>
              <w:rPr/>
            </w:pPr>
            <w:r>
              <w:rPr/>
              <w:t>73,500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112" w:type="dxa"/>
            <w:tcBorders/>
            <w:shd w:fill="FFFFFF" w:val="clear"/>
            <w:vAlign w:val="center"/>
          </w:tcPr>
          <w:p>
            <w:pPr>
              <w:pStyle w:val="TableContents"/>
              <w:bidi w:val="0"/>
              <w:spacing w:before="0" w:after="283"/>
              <w:jc w:val="left"/>
              <w:rPr/>
            </w:pPr>
            <w:r>
              <w:rPr/>
              <w:t> </w:t>
            </w:r>
            <w:bookmarkStart w:id="158" w:name="xdx_403_eus-gaap--StockIssuedDuringPerio"/>
            <w:bookmarkEnd w:id="158"/>
          </w:p>
        </w:tc>
      </w:tr>
      <w:tr>
        <w:trPr/>
        <w:tc>
          <w:tcPr>
            <w:tcW w:w="2304"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2_eus-gaap--StockIssuedDuringPerio"/>
            <w:bookmarkEnd w:id="159"/>
          </w:p>
        </w:tc>
        <w:tc>
          <w:tcPr>
            <w:tcW w:w="1100" w:type="dxa"/>
            <w:tcBorders/>
            <w:shd w:fill="CCEEFF" w:val="clear"/>
            <w:vAlign w:val="center"/>
          </w:tcPr>
          <w:p>
            <w:pPr>
              <w:pStyle w:val="TableContents"/>
              <w:bidi w:val="0"/>
              <w:spacing w:before="0" w:after="283"/>
              <w:jc w:val="right"/>
              <w:rPr/>
            </w:pPr>
            <w:r>
              <w:rPr/>
              <w:t>36,009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w:t>
            </w:r>
          </w:p>
        </w:tc>
        <w:tc>
          <w:tcPr>
            <w:tcW w:w="112" w:type="dxa"/>
            <w:tcBorders/>
            <w:shd w:fill="CCEEFF" w:val="clear"/>
            <w:vAlign w:val="center"/>
          </w:tcPr>
          <w:p>
            <w:pPr>
              <w:pStyle w:val="TableContents"/>
              <w:bidi w:val="0"/>
              <w:spacing w:before="0" w:after="283"/>
              <w:jc w:val="left"/>
              <w:rPr/>
            </w:pPr>
            <w:r>
              <w:rPr/>
              <w:t> </w:t>
            </w:r>
            <w:bookmarkStart w:id="160" w:name="xdx_40A_ecustom--StockIssuedDuringPeriod"/>
            <w:bookmarkEnd w:id="160"/>
          </w:p>
        </w:tc>
      </w:tr>
      <w:tr>
        <w:trPr/>
        <w:tc>
          <w:tcPr>
            <w:tcW w:w="2304" w:type="dxa"/>
            <w:tcBorders/>
            <w:shd w:fill="FFFFFF" w:val="clear"/>
            <w:vAlign w:val="center"/>
          </w:tcPr>
          <w:p>
            <w:pPr>
              <w:pStyle w:val="TableContents"/>
              <w:bidi w:val="0"/>
              <w:spacing w:before="0" w:after="283"/>
              <w:jc w:val="left"/>
              <w:rPr/>
            </w:pPr>
            <w:r>
              <w:rPr/>
              <w:t>Exercise of public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 w:name="xdx_98D_ecustom--StockIssuedDuringPeriod"/>
            <w:bookmarkEnd w:id="161"/>
          </w:p>
        </w:tc>
        <w:tc>
          <w:tcPr>
            <w:tcW w:w="1100" w:type="dxa"/>
            <w:tcBorders/>
            <w:shd w:fill="FFFFFF" w:val="clear"/>
            <w:vAlign w:val="center"/>
          </w:tcPr>
          <w:p>
            <w:pPr>
              <w:pStyle w:val="TableContents"/>
              <w:bidi w:val="0"/>
              <w:spacing w:before="0" w:after="283"/>
              <w:jc w:val="right"/>
              <w:rPr/>
            </w:pPr>
            <w:r>
              <w:rPr/>
              <w:t>64,971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112" w:type="dxa"/>
            <w:tcBorders/>
            <w:shd w:fill="FFFFFF" w:val="clear"/>
            <w:vAlign w:val="center"/>
          </w:tcPr>
          <w:p>
            <w:pPr>
              <w:pStyle w:val="TableContents"/>
              <w:bidi w:val="0"/>
              <w:spacing w:before="0" w:after="283"/>
              <w:jc w:val="left"/>
              <w:rPr/>
            </w:pPr>
            <w:r>
              <w:rPr/>
              <w:t> </w:t>
            </w:r>
            <w:bookmarkStart w:id="162" w:name="xdx_40B_eus-gaap--StockIssuedDuringPerio"/>
            <w:bookmarkEnd w:id="162"/>
          </w:p>
        </w:tc>
      </w:tr>
      <w:tr>
        <w:trPr/>
        <w:tc>
          <w:tcPr>
            <w:tcW w:w="2304"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 w:name="xdx_980_eus-gaap--StockIssuedDuringPerio"/>
            <w:bookmarkEnd w:id="163"/>
          </w:p>
        </w:tc>
        <w:tc>
          <w:tcPr>
            <w:tcW w:w="1100" w:type="dxa"/>
            <w:tcBorders/>
            <w:shd w:fill="CCEEFF" w:val="clear"/>
            <w:vAlign w:val="center"/>
          </w:tcPr>
          <w:p>
            <w:pPr>
              <w:pStyle w:val="TableContents"/>
              <w:bidi w:val="0"/>
              <w:spacing w:before="0" w:after="283"/>
              <w:jc w:val="right"/>
              <w:rPr/>
            </w:pPr>
            <w:r>
              <w:rPr/>
              <w:t>2,348,294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10,167</w:t>
            </w:r>
          </w:p>
        </w:tc>
        <w:tc>
          <w:tcPr>
            <w:tcW w:w="112" w:type="dxa"/>
            <w:tcBorders/>
            <w:shd w:fill="CCEEFF" w:val="clear"/>
            <w:vAlign w:val="center"/>
          </w:tcPr>
          <w:p>
            <w:pPr>
              <w:pStyle w:val="TableContents"/>
              <w:bidi w:val="0"/>
              <w:spacing w:before="0" w:after="283"/>
              <w:jc w:val="left"/>
              <w:rPr/>
            </w:pPr>
            <w:r>
              <w:rPr/>
              <w:t> </w:t>
            </w:r>
            <w:bookmarkStart w:id="164" w:name="xdx_407_eus-gaap--AdjustmentsToAdditiona"/>
            <w:bookmarkEnd w:id="164"/>
          </w:p>
        </w:tc>
      </w:tr>
      <w:tr>
        <w:trPr/>
        <w:tc>
          <w:tcPr>
            <w:tcW w:w="2304"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4,487</w:t>
            </w:r>
          </w:p>
        </w:tc>
        <w:tc>
          <w:tcPr>
            <w:tcW w:w="112" w:type="dxa"/>
            <w:tcBorders/>
            <w:shd w:fill="FFFFFF" w:val="clear"/>
            <w:vAlign w:val="center"/>
          </w:tcPr>
          <w:p>
            <w:pPr>
              <w:pStyle w:val="TableContents"/>
              <w:bidi w:val="0"/>
              <w:spacing w:before="0" w:after="283"/>
              <w:jc w:val="left"/>
              <w:rPr/>
            </w:pPr>
            <w:r>
              <w:rPr/>
              <w:t> </w:t>
            </w:r>
          </w:p>
        </w:tc>
      </w:tr>
      <w:tr>
        <w:trPr/>
        <w:tc>
          <w:tcPr>
            <w:tcW w:w="2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5" w:name="xdx_431_c20230101__20230331_eus-gaap--St"/>
            <w:bookmarkEnd w:id="165"/>
          </w:p>
        </w:tc>
      </w:tr>
      <w:tr>
        <w:trPr/>
        <w:tc>
          <w:tcPr>
            <w:tcW w:w="2304"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6" w:name="xdx_982_eus-gaap--SharesOutstanding_iE_p"/>
            <w:bookmarkEnd w:id="166"/>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7" w:name="xdx_983_eus-gaap--SharesOutstanding_iE_p"/>
            <w:bookmarkEnd w:id="16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bookmarkStart w:id="168" w:name="xdx_434_c20230101__20230331_eus-gaap--St"/>
            <w:bookmarkEnd w:id="168"/>
          </w:p>
        </w:tc>
      </w:tr>
      <w:tr>
        <w:trPr/>
        <w:tc>
          <w:tcPr>
            <w:tcW w:w="2304"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9" w:name="xdx_983_eus-gaap--SharesOutstanding_iE_p"/>
            <w:bookmarkEnd w:id="169"/>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 w:name="xdx_982_eus-gaap--SharesOutstanding_iE_p"/>
            <w:bookmarkEnd w:id="17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(22,241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32,315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1" w:name="a_006"/>
      <w:bookmarkEnd w:id="171"/>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2" w:name="xdx_30A_112_pn3n3_zhNIpaKlwZd9"/>
      <w:bookmarkStart w:id="173" w:name="xdx_30A_112_pn3n3_zhNIpaKlwZd9"/>
      <w:bookmarkEnd w:id="173"/>
    </w:p>
    <w:tbl>
      <w:tblPr>
        <w:tblW w:w="7595" w:type="dxa"/>
        <w:jc w:val="left"/>
        <w:tblInd w:w="0" w:type="dxa"/>
        <w:tblLayout w:type="fixed"/>
        <w:tblCellMar>
          <w:top w:w="0" w:type="dxa"/>
          <w:left w:w="0" w:type="dxa"/>
          <w:bottom w:w="0" w:type="dxa"/>
          <w:right w:w="0" w:type="dxa"/>
        </w:tblCellMar>
      </w:tblPr>
      <w:tblGrid>
        <w:gridCol w:w="5480"/>
        <w:gridCol w:w="60"/>
        <w:gridCol w:w="140"/>
        <w:gridCol w:w="755"/>
        <w:gridCol w:w="95"/>
        <w:gridCol w:w="60"/>
        <w:gridCol w:w="140"/>
        <w:gridCol w:w="755"/>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4" w:name="xdx_49D_20230101__20230331_z8FrJFQp2Or8"/>
            <w:bookmarkEnd w:id="174"/>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 w:name="xdx_49A_20220101__20220331_zRbhhWhQw6H"/>
            <w:bookmarkEnd w:id="175"/>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center"/>
              <w:rPr/>
            </w:pPr>
            <w:r>
              <w:rPr/>
              <w:t> </w:t>
            </w:r>
            <w:bookmarkStart w:id="176" w:name="xdx_400_eus-gaap--NetCashProvidedByUsedI"/>
            <w:bookmarkEnd w:id="176"/>
          </w:p>
        </w:tc>
      </w:tr>
      <w:tr>
        <w:trPr/>
        <w:tc>
          <w:tcPr>
            <w:tcW w:w="548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7" w:name="xdx_40E_eus-gaap--NetIncomeLoss_i01_maNC"/>
            <w:bookmarkEnd w:id="177"/>
          </w:p>
        </w:tc>
      </w:tr>
      <w:tr>
        <w:trPr/>
        <w:tc>
          <w:tcPr>
            <w:tcW w:w="548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bookmarkStart w:id="178" w:name="xdx_40A_eus-gaap--AdjustmentsToReconcile"/>
            <w:bookmarkEnd w:id="178"/>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9" w:name="xdx_400_eus-gaap--AdjustmentsToReconcile"/>
            <w:bookmarkEnd w:id="179"/>
          </w:p>
        </w:tc>
      </w:tr>
      <w:tr>
        <w:trPr/>
        <w:tc>
          <w:tcPr>
            <w:tcW w:w="548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0" w:name="xdx_40D_eus-gaap--NetCashProvidedByUsedI"/>
            <w:bookmarkEnd w:id="180"/>
          </w:p>
        </w:tc>
      </w:tr>
      <w:tr>
        <w:trPr/>
        <w:tc>
          <w:tcPr>
            <w:tcW w:w="548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1" w:name="xdx_404_eus-gaap--ShareBasedCompensation"/>
            <w:bookmarkEnd w:id="181"/>
          </w:p>
        </w:tc>
      </w:tr>
      <w:tr>
        <w:trPr/>
        <w:tc>
          <w:tcPr>
            <w:tcW w:w="548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bookmarkStart w:id="182" w:name="xdx_400_eus-gaap--AmortizationOfDebtDisc"/>
            <w:bookmarkEnd w:id="182"/>
          </w:p>
        </w:tc>
      </w:tr>
      <w:tr>
        <w:trPr/>
        <w:tc>
          <w:tcPr>
            <w:tcW w:w="548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613</w:t>
            </w:r>
          </w:p>
        </w:tc>
        <w:tc>
          <w:tcPr>
            <w:tcW w:w="110" w:type="dxa"/>
            <w:tcBorders/>
            <w:shd w:fill="FFFFFF" w:val="clear"/>
            <w:vAlign w:val="center"/>
          </w:tcPr>
          <w:p>
            <w:pPr>
              <w:pStyle w:val="TableContents"/>
              <w:bidi w:val="0"/>
              <w:spacing w:before="0" w:after="283"/>
              <w:jc w:val="left"/>
              <w:rPr/>
            </w:pPr>
            <w:r>
              <w:rPr/>
              <w:t> </w:t>
            </w:r>
            <w:bookmarkStart w:id="183" w:name="xdx_401_eus-gaap--FairValueAdjustmentOfW"/>
            <w:bookmarkEnd w:id="183"/>
          </w:p>
        </w:tc>
      </w:tr>
      <w:tr>
        <w:trPr/>
        <w:tc>
          <w:tcPr>
            <w:tcW w:w="548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4" w:name="xdx_404_eus-gaap--DeferredIncomeTaxExpen"/>
            <w:bookmarkEnd w:id="184"/>
          </w:p>
        </w:tc>
      </w:tr>
      <w:tr>
        <w:trPr/>
        <w:tc>
          <w:tcPr>
            <w:tcW w:w="548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(527</w:t>
            </w:r>
          </w:p>
        </w:tc>
        <w:tc>
          <w:tcPr>
            <w:tcW w:w="110" w:type="dxa"/>
            <w:tcBorders/>
            <w:shd w:fill="FFFFFF" w:val="clear"/>
            <w:vAlign w:val="center"/>
          </w:tcPr>
          <w:p>
            <w:pPr>
              <w:pStyle w:val="TableContents"/>
              <w:bidi w:val="0"/>
              <w:spacing w:before="0" w:after="283"/>
              <w:jc w:val="left"/>
              <w:rPr/>
            </w:pPr>
            <w:r>
              <w:rPr/>
              <w:t>)</w:t>
            </w:r>
            <w:bookmarkStart w:id="185" w:name="xdx_407_eus-gaap--PaidInKindInterest_i02"/>
            <w:bookmarkEnd w:id="185"/>
          </w:p>
        </w:tc>
      </w:tr>
      <w:tr>
        <w:trPr/>
        <w:tc>
          <w:tcPr>
            <w:tcW w:w="5480" w:type="dxa"/>
            <w:tcBorders/>
            <w:shd w:fill="CCEEFF" w:val="clear"/>
            <w:vAlign w:val="center"/>
          </w:tcPr>
          <w:p>
            <w:pPr>
              <w:pStyle w:val="TableContents"/>
              <w:bidi w:val="0"/>
              <w:spacing w:before="0" w:after="283"/>
              <w:jc w:val="left"/>
              <w:rPr/>
            </w:pPr>
            <w:r>
              <w:rPr/>
              <w:t>Non-cash interest expense (paid-in 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6" w:name="xdx_408_eus-gaap--ProvisionForDoubtfulAc"/>
            <w:bookmarkEnd w:id="186"/>
          </w:p>
        </w:tc>
      </w:tr>
      <w:tr>
        <w:trPr/>
        <w:tc>
          <w:tcPr>
            <w:tcW w:w="5480" w:type="dxa"/>
            <w:tcBorders/>
            <w:shd w:fill="FFFFFF" w:val="clear"/>
            <w:vAlign w:val="center"/>
          </w:tcPr>
          <w:p>
            <w:pPr>
              <w:pStyle w:val="TableContents"/>
              <w:bidi w:val="0"/>
              <w:spacing w:before="0" w:after="283"/>
              <w:jc w:val="left"/>
              <w:rPr/>
            </w:pPr>
            <w:r>
              <w:rPr/>
              <w:t>Provision for doubtful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7" w:name="xdx_40A_eus-gaap--DepreciationDepletionA"/>
            <w:bookmarkEnd w:id="187"/>
          </w:p>
        </w:tc>
      </w:tr>
      <w:tr>
        <w:trPr/>
        <w:tc>
          <w:tcPr>
            <w:tcW w:w="54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bookmarkStart w:id="188" w:name="xdx_409_eus-gaap--GainLossOnSaleOfProper"/>
            <w:bookmarkEnd w:id="188"/>
          </w:p>
        </w:tc>
      </w:tr>
      <w:tr>
        <w:trPr/>
        <w:tc>
          <w:tcPr>
            <w:tcW w:w="548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9" w:name="xdx_407_eus-gaap--IncreaseDecreaseInOper"/>
            <w:bookmarkEnd w:id="189"/>
          </w:p>
        </w:tc>
      </w:tr>
      <w:tr>
        <w:trPr/>
        <w:tc>
          <w:tcPr>
            <w:tcW w:w="548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0C_eus-gaap--IncreaseDecreaseInAcco"/>
            <w:bookmarkEnd w:id="190"/>
          </w:p>
        </w:tc>
      </w:tr>
      <w:tr>
        <w:trPr/>
        <w:tc>
          <w:tcPr>
            <w:tcW w:w="54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(1,217</w:t>
            </w:r>
          </w:p>
        </w:tc>
        <w:tc>
          <w:tcPr>
            <w:tcW w:w="110" w:type="dxa"/>
            <w:tcBorders/>
            <w:shd w:fill="CCEEFF" w:val="clear"/>
            <w:vAlign w:val="center"/>
          </w:tcPr>
          <w:p>
            <w:pPr>
              <w:pStyle w:val="TableContents"/>
              <w:bidi w:val="0"/>
              <w:spacing w:before="0" w:after="283"/>
              <w:jc w:val="left"/>
              <w:rPr/>
            </w:pPr>
            <w:r>
              <w:rPr/>
              <w:t>)</w:t>
            </w:r>
            <w:bookmarkStart w:id="191" w:name="xdx_401_eus-gaap--IncreaseDecreaseInInve"/>
            <w:bookmarkEnd w:id="191"/>
          </w:p>
        </w:tc>
      </w:tr>
      <w:tr>
        <w:trPr/>
        <w:tc>
          <w:tcPr>
            <w:tcW w:w="54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(5,946</w:t>
            </w:r>
          </w:p>
        </w:tc>
        <w:tc>
          <w:tcPr>
            <w:tcW w:w="110" w:type="dxa"/>
            <w:tcBorders/>
            <w:shd w:fill="FFFFFF" w:val="clear"/>
            <w:vAlign w:val="center"/>
          </w:tcPr>
          <w:p>
            <w:pPr>
              <w:pStyle w:val="TableContents"/>
              <w:bidi w:val="0"/>
              <w:spacing w:before="0" w:after="283"/>
              <w:jc w:val="left"/>
              <w:rPr/>
            </w:pPr>
            <w:r>
              <w:rPr/>
              <w:t>)</w:t>
            </w:r>
            <w:bookmarkStart w:id="192" w:name="xdx_401_eus-gaap--IncreaseDecreaseInPrep"/>
            <w:bookmarkEnd w:id="192"/>
          </w:p>
        </w:tc>
      </w:tr>
      <w:tr>
        <w:trPr/>
        <w:tc>
          <w:tcPr>
            <w:tcW w:w="548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w:t>
            </w:r>
          </w:p>
        </w:tc>
        <w:tc>
          <w:tcPr>
            <w:tcW w:w="110" w:type="dxa"/>
            <w:tcBorders/>
            <w:shd w:fill="CCEEFF" w:val="clear"/>
            <w:vAlign w:val="center"/>
          </w:tcPr>
          <w:p>
            <w:pPr>
              <w:pStyle w:val="TableContents"/>
              <w:bidi w:val="0"/>
              <w:spacing w:before="0" w:after="283"/>
              <w:jc w:val="left"/>
              <w:rPr/>
            </w:pPr>
            <w:r>
              <w:rPr/>
              <w:t>)</w:t>
            </w:r>
            <w:bookmarkStart w:id="193" w:name="xdx_40F_ecustom--IncreaseDecreaseInPrepa"/>
            <w:bookmarkEnd w:id="193"/>
          </w:p>
        </w:tc>
      </w:tr>
      <w:tr>
        <w:trPr/>
        <w:tc>
          <w:tcPr>
            <w:tcW w:w="548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2,425</w:t>
            </w:r>
          </w:p>
        </w:tc>
        <w:tc>
          <w:tcPr>
            <w:tcW w:w="110" w:type="dxa"/>
            <w:tcBorders/>
            <w:shd w:fill="FFFFFF" w:val="clear"/>
            <w:vAlign w:val="center"/>
          </w:tcPr>
          <w:p>
            <w:pPr>
              <w:pStyle w:val="TableContents"/>
              <w:bidi w:val="0"/>
              <w:spacing w:before="0" w:after="283"/>
              <w:jc w:val="left"/>
              <w:rPr/>
            </w:pPr>
            <w:r>
              <w:rPr/>
              <w:t> </w:t>
            </w:r>
            <w:bookmarkStart w:id="194" w:name="xdx_40F_eus-gaap--IncreaseDecreaseInOthe"/>
            <w:bookmarkEnd w:id="194"/>
          </w:p>
        </w:tc>
      </w:tr>
      <w:tr>
        <w:trPr/>
        <w:tc>
          <w:tcPr>
            <w:tcW w:w="548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w:t>
            </w:r>
            <w:bookmarkStart w:id="195" w:name="xdx_40B_eus-gaap--IncreaseDecreaseInOthe"/>
            <w:bookmarkEnd w:id="195"/>
          </w:p>
        </w:tc>
      </w:tr>
      <w:tr>
        <w:trPr/>
        <w:tc>
          <w:tcPr>
            <w:tcW w:w="548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bookmarkStart w:id="196" w:name="xdx_403_eus-gaap--IncreaseDecreaseInAccr"/>
            <w:bookmarkEnd w:id="196"/>
          </w:p>
        </w:tc>
      </w:tr>
      <w:tr>
        <w:trPr/>
        <w:tc>
          <w:tcPr>
            <w:tcW w:w="5480"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197" w:name="xdx_40A_eus-gaap--IncreaseDecreaseInAcco"/>
            <w:bookmarkEnd w:id="197"/>
          </w:p>
        </w:tc>
      </w:tr>
      <w:tr>
        <w:trPr/>
        <w:tc>
          <w:tcPr>
            <w:tcW w:w="548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(4,119</w:t>
            </w:r>
          </w:p>
        </w:tc>
        <w:tc>
          <w:tcPr>
            <w:tcW w:w="110" w:type="dxa"/>
            <w:tcBorders/>
            <w:shd w:fill="FFFFFF" w:val="clear"/>
            <w:vAlign w:val="center"/>
          </w:tcPr>
          <w:p>
            <w:pPr>
              <w:pStyle w:val="TableContents"/>
              <w:bidi w:val="0"/>
              <w:spacing w:before="0" w:after="283"/>
              <w:jc w:val="left"/>
              <w:rPr/>
            </w:pPr>
            <w:r>
              <w:rPr/>
              <w:t>)</w:t>
            </w:r>
            <w:bookmarkStart w:id="198" w:name="xdx_40C_eus-gaap--IncreaseDecreaseInCont"/>
            <w:bookmarkEnd w:id="198"/>
          </w:p>
        </w:tc>
      </w:tr>
      <w:tr>
        <w:trPr/>
        <w:tc>
          <w:tcPr>
            <w:tcW w:w="548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 </w:t>
            </w:r>
            <w:bookmarkStart w:id="199" w:name="xdx_400_eus-gaap--AdjustmentsToReconcile"/>
            <w:bookmarkEnd w:id="199"/>
          </w:p>
        </w:tc>
      </w:tr>
      <w:tr>
        <w:trPr/>
        <w:tc>
          <w:tcPr>
            <w:tcW w:w="548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(8,812</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0" w:name="xdx_40B_eus-gaap--NetCashProvidedByUsedI"/>
            <w:bookmarkEnd w:id="200"/>
          </w:p>
        </w:tc>
      </w:tr>
      <w:tr>
        <w:trPr/>
        <w:tc>
          <w:tcPr>
            <w:tcW w:w="548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(11,110</w:t>
            </w:r>
          </w:p>
        </w:tc>
        <w:tc>
          <w:tcPr>
            <w:tcW w:w="110" w:type="dxa"/>
            <w:tcBorders/>
            <w:shd w:fill="FFFFFF" w:val="clear"/>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1" w:name="xdx_407_eus-gaap--NetCashProvidedByUsedI"/>
            <w:bookmarkEnd w:id="201"/>
          </w:p>
        </w:tc>
      </w:tr>
      <w:tr>
        <w:trPr/>
        <w:tc>
          <w:tcPr>
            <w:tcW w:w="548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2" w:name="xdx_403_eus-gaap--PaymentsToAcquirePrope"/>
            <w:bookmarkEnd w:id="202"/>
          </w:p>
        </w:tc>
      </w:tr>
      <w:tr>
        <w:trPr/>
        <w:tc>
          <w:tcPr>
            <w:tcW w:w="548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(4,524</w:t>
            </w:r>
          </w:p>
        </w:tc>
        <w:tc>
          <w:tcPr>
            <w:tcW w:w="110" w:type="dxa"/>
            <w:tcBorders/>
            <w:shd w:fill="CCEEFF" w:val="clear"/>
            <w:vAlign w:val="center"/>
          </w:tcPr>
          <w:p>
            <w:pPr>
              <w:pStyle w:val="TableContents"/>
              <w:bidi w:val="0"/>
              <w:spacing w:before="0" w:after="283"/>
              <w:jc w:val="left"/>
              <w:rPr/>
            </w:pPr>
            <w:r>
              <w:rPr/>
              <w:t>)</w:t>
            </w:r>
            <w:bookmarkStart w:id="203" w:name="xdx_408_eus-gaap--NetCashProvidedByUsedI"/>
            <w:bookmarkEnd w:id="203"/>
          </w:p>
        </w:tc>
      </w:tr>
      <w:tr>
        <w:trPr/>
        <w:tc>
          <w:tcPr>
            <w:tcW w:w="548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(4,524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 the Three Months Ended March 31, 2023 and 2022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100" w:type="dxa"/>
        <w:jc w:val="left"/>
        <w:tblInd w:w="0" w:type="dxa"/>
        <w:tblLayout w:type="fixed"/>
        <w:tblCellMar>
          <w:top w:w="0" w:type="dxa"/>
          <w:left w:w="0" w:type="dxa"/>
          <w:bottom w:w="0" w:type="dxa"/>
          <w:right w:w="0" w:type="dxa"/>
        </w:tblCellMar>
      </w:tblPr>
      <w:tblGrid>
        <w:gridCol w:w="5060"/>
        <w:gridCol w:w="60"/>
        <w:gridCol w:w="140"/>
        <w:gridCol w:w="680"/>
        <w:gridCol w:w="95"/>
        <w:gridCol w:w="60"/>
        <w:gridCol w:w="140"/>
        <w:gridCol w:w="755"/>
        <w:gridCol w:w="110"/>
      </w:tblGrid>
      <w:tr>
        <w:trPr/>
        <w:tc>
          <w:tcPr>
            <w:tcW w:w="5060" w:type="dxa"/>
            <w:tcBorders/>
            <w:vAlign w:val="center"/>
          </w:tcPr>
          <w:p>
            <w:pPr>
              <w:pStyle w:val="TableContents"/>
              <w:bidi w:val="0"/>
              <w:spacing w:before="0" w:after="283"/>
              <w:jc w:val="left"/>
              <w:rPr/>
            </w:pPr>
            <w:r>
              <w:rPr/>
              <w:t>(continued from previous page)</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bookmarkStart w:id="204" w:name="xdx_40D_eus-gaap--NetCashProvidedByUsedI"/>
            <w:bookmarkEnd w:id="204"/>
          </w:p>
        </w:tc>
      </w:tr>
      <w:tr>
        <w:trPr/>
        <w:tc>
          <w:tcPr>
            <w:tcW w:w="506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5" w:name="xdx_40C_eus-gaap--ProceedsFromIssuanceIn"/>
            <w:bookmarkEnd w:id="205"/>
          </w:p>
        </w:tc>
      </w:tr>
      <w:tr>
        <w:trPr/>
        <w:tc>
          <w:tcPr>
            <w:tcW w:w="5060" w:type="dxa"/>
            <w:tcBorders/>
            <w:shd w:fill="FFFFFF" w:val="clear"/>
            <w:vAlign w:val="center"/>
          </w:tcPr>
          <w:p>
            <w:pPr>
              <w:pStyle w:val="TableContents"/>
              <w:bidi w:val="0"/>
              <w:spacing w:before="0" w:after="283"/>
              <w:jc w:val="left"/>
              <w:rPr/>
            </w:pPr>
            <w:r>
              <w:rPr/>
              <w:t>Proceeds from public offering,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6" w:name="xdx_407_eus-gaap--ProceedsFromNotesPayab"/>
            <w:bookmarkEnd w:id="206"/>
          </w:p>
        </w:tc>
      </w:tr>
      <w:tr>
        <w:trPr/>
        <w:tc>
          <w:tcPr>
            <w:tcW w:w="506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7" w:name="xdx_408_eus-gaap--ProceedsFromWarrantExe"/>
            <w:bookmarkEnd w:id="207"/>
          </w:p>
        </w:tc>
      </w:tr>
      <w:tr>
        <w:trPr/>
        <w:tc>
          <w:tcPr>
            <w:tcW w:w="5060"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8" w:name="xdx_40E_eus-gaap--ProceedsFromStockOptio"/>
            <w:bookmarkEnd w:id="208"/>
          </w:p>
        </w:tc>
      </w:tr>
      <w:tr>
        <w:trPr/>
        <w:tc>
          <w:tcPr>
            <w:tcW w:w="506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bookmarkStart w:id="209" w:name="xdx_407_eus-gaap--NetCashProvidedByUsedI"/>
            <w:bookmarkEnd w:id="209"/>
          </w:p>
        </w:tc>
      </w:tr>
      <w:tr>
        <w:trPr/>
        <w:tc>
          <w:tcPr>
            <w:tcW w:w="506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0" w:name="xdx_40F_eus-gaap--CashCashEquivalentsRes"/>
            <w:bookmarkEnd w:id="210"/>
          </w:p>
        </w:tc>
      </w:tr>
      <w:tr>
        <w:trPr/>
        <w:tc>
          <w:tcPr>
            <w:tcW w:w="5060" w:type="dxa"/>
            <w:tcBorders/>
            <w:shd w:fill="FFFFFF" w:val="clear"/>
            <w:vAlign w:val="center"/>
          </w:tcPr>
          <w:p>
            <w:pPr>
              <w:pStyle w:val="TableContents"/>
              <w:bidi w:val="0"/>
              <w:spacing w:before="0" w:after="283"/>
              <w:jc w:val="left"/>
              <w:rPr/>
            </w:pPr>
            <w:r>
              <w:rPr/>
              <w:t>Net Decrease in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(15,523</w:t>
            </w:r>
          </w:p>
        </w:tc>
        <w:tc>
          <w:tcPr>
            <w:tcW w:w="110" w:type="dxa"/>
            <w:tcBorders/>
            <w:shd w:fill="FFFFFF" w:val="clear"/>
            <w:vAlign w:val="center"/>
          </w:tcPr>
          <w:p>
            <w:pPr>
              <w:pStyle w:val="TableContents"/>
              <w:bidi w:val="0"/>
              <w:spacing w:before="0" w:after="283"/>
              <w:jc w:val="left"/>
              <w:rPr/>
            </w:pPr>
            <w:r>
              <w:rPr/>
              <w:t>)</w:t>
            </w:r>
            <w:bookmarkStart w:id="211" w:name="xdx_407_eus-gaap--CashCashEquivalentsRes"/>
            <w:bookmarkEnd w:id="211"/>
          </w:p>
        </w:tc>
      </w:tr>
      <w:tr>
        <w:trPr/>
        <w:tc>
          <w:tcPr>
            <w:tcW w:w="5060" w:type="dxa"/>
            <w:tcBorders/>
            <w:shd w:fill="CCEEFF" w:val="clear"/>
            <w:vAlign w:val="center"/>
          </w:tcPr>
          <w:p>
            <w:pPr>
              <w:pStyle w:val="TableContents"/>
              <w:bidi w:val="0"/>
              <w:spacing w:before="0" w:after="283"/>
              <w:jc w:val="left"/>
              <w:rPr/>
            </w:pPr>
            <w:r>
              <w:rPr/>
              <w:t>Beginning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28,630</w:t>
            </w:r>
          </w:p>
        </w:tc>
        <w:tc>
          <w:tcPr>
            <w:tcW w:w="110" w:type="dxa"/>
            <w:tcBorders/>
            <w:shd w:fill="CCEEFF" w:val="clear"/>
            <w:vAlign w:val="center"/>
          </w:tcPr>
          <w:p>
            <w:pPr>
              <w:pStyle w:val="TableContents"/>
              <w:bidi w:val="0"/>
              <w:spacing w:before="0" w:after="283"/>
              <w:jc w:val="left"/>
              <w:rPr/>
            </w:pPr>
            <w:r>
              <w:rPr/>
              <w:t> </w:t>
            </w:r>
            <w:bookmarkStart w:id="212" w:name="xdx_40A_eus-gaap--CashCashEquivalentsRes"/>
            <w:bookmarkEnd w:id="212"/>
          </w:p>
        </w:tc>
      </w:tr>
      <w:tr>
        <w:trPr/>
        <w:tc>
          <w:tcPr>
            <w:tcW w:w="5060" w:type="dxa"/>
            <w:tcBorders/>
            <w:shd w:fill="FFFFFF" w:val="clear"/>
            <w:vAlign w:val="center"/>
          </w:tcPr>
          <w:p>
            <w:pPr>
              <w:pStyle w:val="TableContents"/>
              <w:bidi w:val="0"/>
              <w:spacing w:before="0" w:after="283"/>
              <w:jc w:val="left"/>
              <w:rPr/>
            </w:pPr>
            <w:r>
              <w:rPr/>
              <w:t>Ending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15,791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13,107</w:t>
            </w:r>
          </w:p>
        </w:tc>
        <w:tc>
          <w:tcPr>
            <w:tcW w:w="11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3" w:name="xdx_40F_eus-gaap--SupplementalCashFlowIn"/>
            <w:bookmarkEnd w:id="213"/>
          </w:p>
        </w:tc>
      </w:tr>
      <w:tr>
        <w:trPr/>
        <w:tc>
          <w:tcPr>
            <w:tcW w:w="5060"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4" w:name="xdx_406_eus-gaap--InterestPaidNet_i01_pp"/>
            <w:bookmarkEnd w:id="214"/>
          </w:p>
        </w:tc>
      </w:tr>
      <w:tr>
        <w:trPr/>
        <w:tc>
          <w:tcPr>
            <w:tcW w:w="506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658</w:t>
            </w:r>
          </w:p>
        </w:tc>
        <w:tc>
          <w:tcPr>
            <w:tcW w:w="110" w:type="dxa"/>
            <w:tcBorders/>
            <w:shd w:fill="CCEEFF" w:val="clear"/>
            <w:vAlign w:val="center"/>
          </w:tcPr>
          <w:p>
            <w:pPr>
              <w:pStyle w:val="TableContents"/>
              <w:bidi w:val="0"/>
              <w:spacing w:before="0" w:after="283"/>
              <w:jc w:val="left"/>
              <w:rPr/>
            </w:pPr>
            <w:r>
              <w:rPr/>
              <w:t> </w:t>
            </w:r>
            <w:bookmarkStart w:id="215" w:name="xdx_405_eus-gaap--CashFlowNoncashInvesti"/>
            <w:bookmarkEnd w:id="215"/>
          </w:p>
        </w:tc>
      </w:tr>
      <w:tr>
        <w:trPr/>
        <w:tc>
          <w:tcPr>
            <w:tcW w:w="5060"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6" w:name="xdx_40D_ecustom--NonCashReceivableOfOpti"/>
            <w:bookmarkEnd w:id="216"/>
          </w:p>
        </w:tc>
      </w:tr>
      <w:tr>
        <w:trPr/>
        <w:tc>
          <w:tcPr>
            <w:tcW w:w="5060" w:type="dxa"/>
            <w:tcBorders/>
            <w:shd w:fill="CCEEFF" w:val="clear"/>
            <w:vAlign w:val="center"/>
          </w:tcPr>
          <w:p>
            <w:pPr>
              <w:pStyle w:val="TableContents"/>
              <w:bidi w:val="0"/>
              <w:spacing w:before="0" w:after="283"/>
              <w:jc w:val="left"/>
              <w:rPr/>
            </w:pPr>
            <w:r>
              <w:rPr/>
              <w:t>Receivable of options exercised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217" w:name="xdx_40F_eus-gaap--CapitalExpendituresInc"/>
            <w:bookmarkEnd w:id="217"/>
          </w:p>
        </w:tc>
      </w:tr>
      <w:tr>
        <w:trPr/>
        <w:tc>
          <w:tcPr>
            <w:tcW w:w="506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8" w:name="xdx_406_ecustom--CashlessExerciseOfLiabi"/>
            <w:bookmarkEnd w:id="218"/>
          </w:p>
        </w:tc>
      </w:tr>
      <w:tr>
        <w:trPr/>
        <w:tc>
          <w:tcPr>
            <w:tcW w:w="5060"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9" w:name="a_007"/>
      <w:bookmarkEnd w:id="219"/>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20" w:name="xdx_803_eus-gaap--NatureOfOperations_z1j"/>
      <w:bookmarkEnd w:id="220"/>
      <w:r>
        <w:rPr>
          <w:rFonts w:ascii="Times New Roman;Times;Serif" w:hAnsi="Times New Roman;Times;Serif"/>
          <w:b/>
          <w:i w:val="false"/>
          <w:caps/>
          <w:sz w:val="20"/>
        </w:rPr>
        <w:t xml:space="preserve">NOTE 1 - </w:t>
      </w:r>
      <w:bookmarkStart w:id="221" w:name="xdx_826_zRnix3BUSf16"/>
      <w:bookmarkEnd w:id="221"/>
      <w:r>
        <w:rPr>
          <w:rFonts w:ascii="Times New Roman;Times;Serif" w:hAnsi="Times New Roman;Times;Serif"/>
          <w:b/>
          <w:i w:val="false"/>
          <w:caps/>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22" w:name="xdx_802_eus-gaap--SignificantAccountingP"/>
      <w:bookmarkEnd w:id="222"/>
      <w:r>
        <w:rPr>
          <w:rFonts w:ascii="Times New Roman;Times;Serif" w:hAnsi="Times New Roman;Times;Serif"/>
          <w:b/>
          <w:i w:val="false"/>
          <w:caps/>
          <w:sz w:val="20"/>
        </w:rPr>
        <w:t xml:space="preserve">NOTE 2 – </w:t>
      </w:r>
      <w:bookmarkStart w:id="223" w:name="xdx_823_zPahfl840Sph"/>
      <w:bookmarkEnd w:id="223"/>
      <w:r>
        <w:rPr>
          <w:rFonts w:ascii="Times New Roman;Times;Serif" w:hAnsi="Times New Roman;Times;Serif"/>
          <w:b/>
          <w:i w:val="false"/>
          <w:caps/>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24" w:name="xdx_863_zopxuaVW4jf6"/>
      <w:bookmarkStart w:id="225" w:name="xdx_84D_eus-gaap--ConsolidationPolicyTex"/>
      <w:bookmarkEnd w:id="224"/>
      <w:bookmarkEnd w:id="225"/>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226" w:name="xdx_86A_zZm6K3mYkdWj"/>
      <w:bookmarkStart w:id="227" w:name="xdx_849_eus-gaap--BasisOfAccountingPolic"/>
      <w:bookmarkEnd w:id="226"/>
      <w:bookmarkEnd w:id="227"/>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228" w:name="xdx_86D_zTd5jCyRKn0b"/>
      <w:bookmarkStart w:id="229" w:name="xdx_84B_ecustom--GoingConcernPolicyTextB"/>
      <w:bookmarkEnd w:id="228"/>
      <w:bookmarkEnd w:id="229"/>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the Company incurred loss from operations and had negative cash flow from operations. As of March 31, 2023, the Company had $</w:t>
      </w:r>
      <w:bookmarkStart w:id="230" w:name="xdx_901_eus-gaap--CashAndCashEquivalents"/>
      <w:bookmarkEnd w:id="230"/>
      <w:r>
        <w:rPr>
          <w:rFonts w:ascii="Times New Roman;Times;Serif" w:hAnsi="Times New Roman;Times;Serif"/>
          <w:b w:val="false"/>
          <w:i w:val="false"/>
          <w:caps w:val="false"/>
          <w:smallCaps w:val="false"/>
          <w:sz w:val="20"/>
        </w:rPr>
        <w:t>15,791 in cash and cash equivalents and working capital of $</w:t>
      </w:r>
      <w:bookmarkStart w:id="231" w:name="xdx_901_ecustom--WorkingCapital_pn3n3_c2"/>
      <w:bookmarkEnd w:id="231"/>
      <w:r>
        <w:rPr>
          <w:rFonts w:ascii="Times New Roman;Times;Serif" w:hAnsi="Times New Roman;Times;Serif"/>
          <w:b w:val="false"/>
          <w:i w:val="false"/>
          <w:caps w:val="false"/>
          <w:smallCaps w:val="false"/>
          <w:sz w:val="20"/>
        </w:rPr>
        <w:t>24,533.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232" w:name="xdx_907_eus-gaap--DebtInstrumentFaceAmou"/>
      <w:bookmarkEnd w:id="232"/>
      <w:r>
        <w:rPr>
          <w:rFonts w:ascii="Times New Roman;Times;Serif" w:hAnsi="Times New Roman;Times;Serif"/>
          <w:b w:val="false"/>
          <w:i w:val="false"/>
          <w:caps w:val="false"/>
          <w:smallCaps w:val="false"/>
          <w:sz w:val="20"/>
        </w:rPr>
        <w:t>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33" w:name="xdx_866_zsLdSPK4QCVi"/>
      <w:bookmarkStart w:id="234" w:name="xdx_84B_ecustom--RecentlyAdoptedAccounti"/>
      <w:bookmarkEnd w:id="233"/>
      <w:bookmarkEnd w:id="234"/>
      <w:r>
        <w:rPr>
          <w:rFonts w:ascii="Times New Roman;Times;Serif" w:hAnsi="Times New Roman;Times;Serif"/>
          <w:b w:val="false"/>
          <w:i/>
          <w:caps w:val="false"/>
          <w:smallCaps w:val="false"/>
          <w:sz w:val="20"/>
          <w:u w:val="single"/>
        </w:rPr>
        <w:t>Recently adopted accounting standards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235" w:name="xdx_86E_zMFazYF9n05f"/>
      <w:bookmarkStart w:id="236" w:name="xdx_84E_eus-gaap--NewAccountingPronounce"/>
      <w:bookmarkEnd w:id="235"/>
      <w:bookmarkEnd w:id="236"/>
      <w:r>
        <w:rPr>
          <w:rFonts w:ascii="Times New Roman;Times;Serif" w:hAnsi="Times New Roman;Times;Serif"/>
          <w:b w:val="false"/>
          <w:i/>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2020, FASB issued ASU 2020-06, </w:t>
      </w:r>
      <w:r>
        <w:rPr>
          <w:rFonts w:ascii="Times New Roman;Times;Serif" w:hAnsi="Times New Roman;Times;Serif"/>
          <w:b w:val="false"/>
          <w:i/>
          <w:caps w:val="false"/>
          <w:smallCaps w:val="false"/>
          <w:sz w:val="20"/>
        </w:rPr>
        <w:t xml:space="preserve">Debt—Debt with Conversion and Other Options (Subtopic 470-20) and Derivatives and Hedging—Contracts in Entity’s Own Equity (Subtopic 815-40) </w:t>
      </w:r>
      <w:r>
        <w:rPr>
          <w:rFonts w:ascii="Times New Roman;Times;Serif" w:hAnsi="Times New Roman;Times;Serif"/>
          <w:b w:val="false"/>
          <w:i w:val="false"/>
          <w:caps w:val="false"/>
          <w:smallCaps w:val="false"/>
          <w:sz w:val="20"/>
        </w:rPr>
        <w:t>(“ASU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The Company is currently assessing the impact, if any, that ASU 2020-06 would have on its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37" w:name="xdx_869_zWVZfmuUGXwe"/>
      <w:bookmarkStart w:id="238" w:name="xdx_84B_eus-gaap--TradeAndOtherAccountsR"/>
      <w:bookmarkEnd w:id="237"/>
      <w:bookmarkEnd w:id="238"/>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trade receivables are recorded when billed and represent claims against third parties that will be settled in cash. Generally, payment is due from customers within </w:t>
      </w:r>
      <w:bookmarkStart w:id="239" w:name="xdx_900_ecustom--PeriodWithinWhichPaymen"/>
      <w:bookmarkEnd w:id="239"/>
      <w:r>
        <w:rPr>
          <w:rFonts w:ascii="Times New Roman;Times;Serif" w:hAnsi="Times New Roman;Times;Serif"/>
          <w:b w:val="false"/>
          <w:i w:val="false"/>
          <w:caps w:val="false"/>
          <w:smallCaps w:val="false"/>
          <w:sz w:val="20"/>
        </w:rPr>
        <w:t>30 – 60 days of the invoice date and the contracts do not have significant financing components. Trade accounts receivables are recorded gross and are net of any applicable allowance. The Company has an allowance for doubtful accounts as of March 31, 2023 and December 31, 2022 of $</w:t>
      </w:r>
      <w:bookmarkStart w:id="240" w:name="xdx_908_eus-gaap--AllowanceForDoubtfulAc"/>
      <w:bookmarkEnd w:id="240"/>
      <w:r>
        <w:rPr>
          <w:rFonts w:ascii="Times New Roman;Times;Serif" w:hAnsi="Times New Roman;Times;Serif"/>
          <w:b w:val="false"/>
          <w:i w:val="false"/>
          <w:caps w:val="false"/>
          <w:smallCaps w:val="false"/>
          <w:sz w:val="20"/>
        </w:rPr>
        <w:t>116 and $</w:t>
      </w:r>
      <w:bookmarkStart w:id="241" w:name="xdx_90E_eus-gaap--AllowanceForDoubtfulAc"/>
      <w:bookmarkEnd w:id="241"/>
      <w:r>
        <w:rPr>
          <w:rFonts w:ascii="Times New Roman;Times;Serif" w:hAnsi="Times New Roman;Times;Serif"/>
          <w:b w:val="false"/>
          <w:i w:val="false"/>
          <w:caps w:val="false"/>
          <w:smallCaps w:val="false"/>
          <w:sz w:val="20"/>
        </w:rPr>
        <w:t>90,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242" w:name="xdx_863_zjXiYpDFVlt6"/>
      <w:bookmarkStart w:id="243" w:name="xdx_849_eus-gaap--InventoryPolicyTextBlo"/>
      <w:bookmarkEnd w:id="242"/>
      <w:bookmarkEnd w:id="243"/>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March 31, 2023 and December 31, 2022, no such reserves were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44" w:name="xdx_867_zLvdCzbbCLed"/>
      <w:bookmarkStart w:id="245" w:name="xdx_846_eus-gaap--PropertyPlantAndEquipm"/>
      <w:bookmarkEnd w:id="244"/>
      <w:bookmarkEnd w:id="245"/>
      <w:r>
        <w:rPr>
          <w:rFonts w:ascii="Times New Roman;Times;Serif" w:hAnsi="Times New Roman;Times;Serif"/>
          <w:b w:val="false"/>
          <w:i/>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three months ended March 31, 2023 and 2022 was $</w:t>
      </w:r>
      <w:bookmarkStart w:id="246" w:name="xdx_902_eus-gaap--Depreciation_pn3n3_c20"/>
      <w:bookmarkEnd w:id="246"/>
      <w:r>
        <w:rPr>
          <w:rFonts w:ascii="Times New Roman;Times;Serif" w:hAnsi="Times New Roman;Times;Serif"/>
          <w:b w:val="false"/>
          <w:i w:val="false"/>
          <w:caps w:val="false"/>
          <w:smallCaps w:val="false"/>
          <w:sz w:val="20"/>
        </w:rPr>
        <w:t>297 and $</w:t>
      </w:r>
      <w:bookmarkStart w:id="247" w:name="xdx_904_eus-gaap--Depreciation_pn3n3_c20"/>
      <w:bookmarkEnd w:id="247"/>
      <w:r>
        <w:rPr>
          <w:rFonts w:ascii="Times New Roman;Times;Serif" w:hAnsi="Times New Roman;Times;Serif"/>
          <w:b w:val="false"/>
          <w:i w:val="false"/>
          <w:caps w:val="false"/>
          <w:smallCaps w:val="false"/>
          <w:sz w:val="20"/>
        </w:rPr>
        <w:t>192, respectively. The various classes of property and equipment and estimated useful lives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8" w:name="xdx_8B5_z2r99yqyuNSb"/>
      <w:bookmarkStart w:id="249" w:name="xdx_89A_eus-gaap--PropertyPlantAndEquipm"/>
      <w:bookmarkEnd w:id="248"/>
      <w:bookmarkEnd w:id="249"/>
      <w:r>
        <w:rPr>
          <w:rFonts w:ascii="Times New Roman;Times;Serif" w:hAnsi="Times New Roman;Times;Serif"/>
          <w:b w:val="false"/>
          <w:i w:val="false"/>
          <w:caps w:val="false"/>
          <w:smallCaps w:val="false"/>
          <w:sz w:val="20"/>
        </w:rPr>
        <w:t>SCHEDULE OF VARIOUS CLASSES OF PROPERTY AND EQUIPMENT AND ESTIMATED USEFUL LIVES </w:t>
      </w:r>
    </w:p>
    <w:tbl>
      <w:tblPr>
        <w:tblW w:w="4660" w:type="dxa"/>
        <w:jc w:val="left"/>
        <w:tblInd w:w="0" w:type="dxa"/>
        <w:tblLayout w:type="fixed"/>
        <w:tblCellMar>
          <w:top w:w="0" w:type="dxa"/>
          <w:left w:w="0" w:type="dxa"/>
          <w:bottom w:w="0" w:type="dxa"/>
          <w:right w:w="0" w:type="dxa"/>
        </w:tblCellMar>
      </w:tblPr>
      <w:tblGrid>
        <w:gridCol w:w="2540"/>
        <w:gridCol w:w="2120"/>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0" w:name="xdx_905_eus-gaap--PropertyPlantAndEquipm"/>
            <w:bookmarkEnd w:id="250"/>
            <w:r>
              <w:rPr>
                <w:rFonts w:ascii="Times New Roman;Times;Serif" w:hAnsi="Times New Roman;Times;Serif"/>
                <w:b w:val="false"/>
                <w:i w:val="false"/>
                <w:caps w:val="false"/>
                <w:smallCaps w:val="false"/>
                <w:sz w:val="20"/>
              </w:rPr>
              <w:t xml:space="preserve">3 to </w:t>
            </w:r>
            <w:bookmarkStart w:id="251" w:name="xdx_90D_eus-gaap--PropertyPlantAndEquipm"/>
            <w:bookmarkEnd w:id="251"/>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2" w:name="xdx_90F_eus-gaap--PropertyPlantAndEquipm"/>
            <w:bookmarkEnd w:id="252"/>
            <w:r>
              <w:rPr>
                <w:rFonts w:ascii="Times New Roman;Times;Serif" w:hAnsi="Times New Roman;Times;Serif"/>
                <w:b w:val="false"/>
                <w:i w:val="false"/>
                <w:caps w:val="false"/>
                <w:smallCaps w:val="false"/>
                <w:sz w:val="20"/>
              </w:rPr>
              <w:t>5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3" w:name="xdx_90B_eus-gaap--PropertyPlantAndEquipm"/>
            <w:bookmarkEnd w:id="253"/>
            <w:r>
              <w:rPr>
                <w:rFonts w:ascii="Times New Roman;Times;Serif" w:hAnsi="Times New Roman;Times;Serif"/>
                <w:b w:val="false"/>
                <w:i w:val="false"/>
                <w:caps w:val="false"/>
                <w:smallCaps w:val="false"/>
                <w:sz w:val="20"/>
              </w:rPr>
              <w:t xml:space="preserve">3 to </w:t>
            </w:r>
            <w:bookmarkStart w:id="254" w:name="xdx_903_eus-gaap--PropertyPlantAndEquipm"/>
            <w:bookmarkEnd w:id="254"/>
            <w:r>
              <w:rPr>
                <w:rFonts w:ascii="Times New Roman;Times;Serif" w:hAnsi="Times New Roman;Times;Serif"/>
                <w:b w:val="false"/>
                <w:i w:val="false"/>
                <w:caps w:val="false"/>
                <w:smallCaps w:val="false"/>
                <w:sz w:val="20"/>
              </w:rPr>
              <w:t>7 years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21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5" w:name="xdx_90C_eus-gaap--PropertyPlantAndEquipm"/>
            <w:bookmarkEnd w:id="255"/>
            <w:r>
              <w:rPr>
                <w:rFonts w:ascii="Times New Roman;Times;Serif" w:hAnsi="Times New Roman;Times;Serif"/>
                <w:b w:val="false"/>
                <w:i w:val="false"/>
                <w:caps w:val="false"/>
                <w:smallCaps w:val="false"/>
                <w:sz w:val="20"/>
              </w:rPr>
              <w:t>Remaining Term of Lease</w:t>
            </w:r>
          </w:p>
        </w:tc>
      </w:tr>
    </w:tbl>
    <w:p>
      <w:pPr>
        <w:pStyle w:val="TextBody"/>
        <w:bidi w:val="0"/>
        <w:spacing w:before="0" w:after="0"/>
        <w:ind w:left="0" w:right="0" w:hanging="0"/>
        <w:jc w:val="both"/>
        <w:rPr>
          <w:caps w:val="false"/>
          <w:smallCaps w:val="false"/>
        </w:rPr>
      </w:pPr>
      <w:bookmarkStart w:id="256" w:name="xdx_8A0_zAwvvaRGMIb9"/>
      <w:bookmarkEnd w:id="25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7" w:name="xdx_863_zdvUHy7OCtbl"/>
      <w:bookmarkStart w:id="258" w:name="xdx_846_eus-gaap--UseOfEstimates_zwIIngu"/>
      <w:bookmarkEnd w:id="257"/>
      <w:bookmarkEnd w:id="258"/>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59" w:name="xdx_86E_zXPFqnwcHDi9"/>
      <w:bookmarkStart w:id="260" w:name="xdx_840_ecustom--WarrantsPolicyTextBlock"/>
      <w:bookmarkEnd w:id="259"/>
      <w:bookmarkEnd w:id="260"/>
      <w:r>
        <w:rPr>
          <w:rFonts w:ascii="Times New Roman;Times;Serif" w:hAnsi="Times New Roman;Times;Serif"/>
          <w:b w:val="false"/>
          <w:i/>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1" w:name="xdx_86D_zZXFS9aFdVfe"/>
      <w:bookmarkStart w:id="262" w:name="xdx_847_eus-gaap--RevenueFromContractWit"/>
      <w:bookmarkEnd w:id="261"/>
      <w:bookmarkEnd w:id="262"/>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263" w:name="xdx_90D_ecustom--PaymentTermForDistribut"/>
      <w:bookmarkEnd w:id="263"/>
      <w:r>
        <w:rPr>
          <w:rFonts w:ascii="Times New Roman;Times;Serif" w:hAnsi="Times New Roman;Times;Serif"/>
          <w:b w:val="false"/>
          <w:i w:val="false"/>
          <w:caps w:val="false"/>
          <w:smallCaps w:val="false"/>
          <w:sz w:val="20"/>
        </w:rPr>
        <w:t>30-</w:t>
      </w:r>
      <w:bookmarkStart w:id="264" w:name="xdx_90D_ecustom--PaymentTermForDistribut"/>
      <w:bookmarkEnd w:id="264"/>
      <w:r>
        <w:rPr>
          <w:rFonts w:ascii="Times New Roman;Times;Serif" w:hAnsi="Times New Roman;Times;Serif"/>
          <w:b w:val="false"/>
          <w:i w:val="false"/>
          <w:caps w:val="false"/>
          <w:smallCaps w:val="false"/>
          <w:sz w:val="20"/>
        </w:rPr>
        <w:t>60 days after shipment. In such instances, the Company records a customer deposit liability. The Company recognizes these contract liabilities as sales after the revenue criteria are met. As of March 31, 2023 and December 31, 2022, the contract liability related to the Company’s customer deposits approximated $</w:t>
      </w:r>
      <w:bookmarkStart w:id="265" w:name="xdx_906_eus-gaap--ContractWithCustomerLi"/>
      <w:bookmarkEnd w:id="265"/>
      <w:r>
        <w:rPr>
          <w:rFonts w:ascii="Times New Roman;Times;Serif" w:hAnsi="Times New Roman;Times;Serif"/>
          <w:b w:val="false"/>
          <w:i w:val="false"/>
          <w:caps w:val="false"/>
          <w:smallCaps w:val="false"/>
          <w:sz w:val="20"/>
        </w:rPr>
        <w:t>418 and $</w:t>
      </w:r>
      <w:bookmarkStart w:id="266" w:name="xdx_904_eus-gaap--ContractWithCustomerLi"/>
      <w:bookmarkEnd w:id="266"/>
      <w:r>
        <w:rPr>
          <w:rFonts w:ascii="Times New Roman;Times;Serif" w:hAnsi="Times New Roman;Times;Serif"/>
          <w:b w:val="false"/>
          <w:i w:val="false"/>
          <w:caps w:val="false"/>
          <w:smallCaps w:val="false"/>
          <w:sz w:val="20"/>
        </w:rPr>
        <w:t>238, respectively. The Company recognized $</w:t>
      </w:r>
      <w:bookmarkStart w:id="267" w:name="xdx_90C_eus-gaap--OtherLiabilities_iI_pn"/>
      <w:bookmarkStart w:id="268" w:name="xdx_90B_eus-gaap--OtherLiabilities_iI_pn"/>
      <w:bookmarkEnd w:id="267"/>
      <w:bookmarkEnd w:id="268"/>
      <w:r>
        <w:rPr>
          <w:rFonts w:ascii="Times New Roman;Times;Serif" w:hAnsi="Times New Roman;Times;Serif"/>
          <w:b w:val="false"/>
          <w:i w:val="false"/>
          <w:caps w:val="false"/>
          <w:smallCaps w:val="false"/>
          <w:sz w:val="20"/>
        </w:rPr>
        <w:t>211 of contract liability pertaining to the year ended December 31, 2022 as of March 31, 2023. The entire contract liability balance of $</w:t>
      </w:r>
      <w:bookmarkStart w:id="269" w:name="xdx_90D_eus-gaap--Revenues_c20230101__20"/>
      <w:bookmarkEnd w:id="269"/>
      <w:r>
        <w:rPr>
          <w:rFonts w:ascii="Times New Roman;Times;Serif" w:hAnsi="Times New Roman;Times;Serif"/>
          <w:b w:val="false"/>
          <w:i w:val="false"/>
          <w:caps w:val="false"/>
          <w:smallCaps w:val="false"/>
          <w:sz w:val="20"/>
        </w:rPr>
        <w:t>434 as of January 1, 2022 was recognized as revenue during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0" w:name="xdx_867_zbWPDXe2W63h"/>
      <w:bookmarkStart w:id="271" w:name="xdx_843_ecustom--DisaggregationOfRevenue"/>
      <w:bookmarkEnd w:id="270"/>
      <w:bookmarkEnd w:id="271"/>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2" w:name="xdx_89A_eus-gaap--DisaggregationOfRevenu"/>
      <w:bookmarkEnd w:id="272"/>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3" w:name="xdx_8B4_zHtI6eLdFbIk"/>
      <w:bookmarkEnd w:id="273"/>
      <w:r>
        <w:rPr>
          <w:rFonts w:ascii="Times New Roman;Times;Serif" w:hAnsi="Times New Roman;Times;Serif"/>
          <w:b w:val="false"/>
          <w:i w:val="false"/>
          <w:caps w:val="false"/>
          <w:smallCaps w:val="false"/>
          <w:sz w:val="20"/>
        </w:rPr>
        <w:t>SCHEDULE OF DISAGGREGATED REVENUES BY DISTRIBUTION CHANNEL </w:t>
      </w:r>
    </w:p>
    <w:tbl>
      <w:tblPr>
        <w:tblW w:w="5992"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75"/>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bookmarkStart w:id="274" w:name="xdx_49B_20230101__20230331_zDh8SMW3SKw2"/>
            <w:bookmarkEnd w:id="274"/>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275" w:name="xdx_49E_20220101__20220331_zfgcpoWhMCAg"/>
            <w:bookmarkEnd w:id="275"/>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jc w:val="center"/>
              <w:rPr/>
            </w:pPr>
            <w:r>
              <w:rPr/>
              <w:t>For the Three Months Ended</w:t>
            </w:r>
          </w:p>
          <w:p>
            <w:pPr>
              <w:pStyle w:val="TableContents"/>
              <w:bidi w:val="0"/>
              <w:spacing w:before="0" w:after="283"/>
              <w:jc w:val="center"/>
              <w:rPr/>
            </w:pPr>
            <w:r>
              <w:rPr/>
              <w:t>March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76" w:name="xdx_400_eus-gaap--RevenueFromContractWit"/>
            <w:bookmarkEnd w:id="276"/>
          </w:p>
        </w:tc>
      </w:tr>
      <w:tr>
        <w:trPr/>
        <w:tc>
          <w:tcPr>
            <w:tcW w:w="3095" w:type="dxa"/>
            <w:tcBorders/>
            <w:shd w:fill="FFFFFF" w:val="clear"/>
            <w:vAlign w:val="center"/>
          </w:tcPr>
          <w:p>
            <w:pPr>
              <w:pStyle w:val="TableContents"/>
              <w:bidi w:val="0"/>
              <w:spacing w:before="0" w:after="283"/>
              <w:jc w:val="left"/>
              <w:rPr/>
            </w:pPr>
            <w:r>
              <w:rPr/>
              <w:t>Retail</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7,069</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068" w:type="dxa"/>
            <w:tcBorders/>
            <w:shd w:fill="FFFFFF" w:val="clear"/>
            <w:vAlign w:val="center"/>
          </w:tcPr>
          <w:p>
            <w:pPr>
              <w:pStyle w:val="TableContents"/>
              <w:bidi w:val="0"/>
              <w:spacing w:before="0" w:after="283"/>
              <w:jc w:val="right"/>
              <w:rPr/>
            </w:pPr>
            <w:r>
              <w:rPr/>
              <w:t>13,035</w:t>
            </w:r>
          </w:p>
        </w:tc>
        <w:tc>
          <w:tcPr>
            <w:tcW w:w="75" w:type="dxa"/>
            <w:tcBorders/>
            <w:shd w:fill="FFFFFF" w:val="clear"/>
            <w:vAlign w:val="center"/>
          </w:tcPr>
          <w:p>
            <w:pPr>
              <w:pStyle w:val="TableContents"/>
              <w:bidi w:val="0"/>
              <w:spacing w:before="0" w:after="283"/>
              <w:jc w:val="left"/>
              <w:rPr/>
            </w:pPr>
            <w:r>
              <w:rPr/>
              <w:t> </w:t>
            </w:r>
            <w:bookmarkStart w:id="277" w:name="xdx_40B_eus-gaap--RevenueFromContractWit"/>
            <w:bookmarkEnd w:id="277"/>
          </w:p>
        </w:tc>
      </w:tr>
      <w:tr>
        <w:trPr/>
        <w:tc>
          <w:tcPr>
            <w:tcW w:w="3095" w:type="dxa"/>
            <w:tcBorders/>
            <w:shd w:fill="CCEEFF" w:val="clear"/>
            <w:vAlign w:val="center"/>
          </w:tcPr>
          <w:p>
            <w:pPr>
              <w:pStyle w:val="TableContents"/>
              <w:bidi w:val="0"/>
              <w:spacing w:before="0" w:after="283"/>
              <w:jc w:val="left"/>
              <w:rPr/>
            </w:pPr>
            <w:r>
              <w:rPr/>
              <w:t>Distributor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2,968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2,087</w:t>
            </w:r>
          </w:p>
        </w:tc>
        <w:tc>
          <w:tcPr>
            <w:tcW w:w="75" w:type="dxa"/>
            <w:tcBorders/>
            <w:shd w:fill="CCEEFF" w:val="clear"/>
            <w:vAlign w:val="center"/>
          </w:tcPr>
          <w:p>
            <w:pPr>
              <w:pStyle w:val="TableContents"/>
              <w:bidi w:val="0"/>
              <w:spacing w:before="0" w:after="283"/>
              <w:jc w:val="left"/>
              <w:rPr/>
            </w:pPr>
            <w:r>
              <w:rPr/>
              <w:t> </w:t>
            </w:r>
            <w:bookmarkStart w:id="278" w:name="xdx_400_eus-gaap--RevenueFromContractWit"/>
            <w:bookmarkEnd w:id="278"/>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8,754</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3,181</w:t>
            </w:r>
          </w:p>
        </w:tc>
        <w:tc>
          <w:tcPr>
            <w:tcW w:w="75" w:type="dxa"/>
            <w:tcBorders/>
            <w:shd w:fill="FFFFFF" w:val="clear"/>
            <w:vAlign w:val="center"/>
          </w:tcPr>
          <w:p>
            <w:pPr>
              <w:pStyle w:val="TableContents"/>
              <w:bidi w:val="0"/>
              <w:spacing w:before="0" w:after="283"/>
              <w:jc w:val="left"/>
              <w:rPr/>
            </w:pPr>
            <w:r>
              <w:rPr/>
              <w:t> </w:t>
            </w:r>
            <w:bookmarkStart w:id="279" w:name="xdx_40A_eus-gaap--RevenueFromContractWit"/>
            <w:bookmarkEnd w:id="279"/>
          </w:p>
        </w:tc>
      </w:tr>
      <w:tr>
        <w:trPr/>
        <w:tc>
          <w:tcPr>
            <w:tcW w:w="30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bookmarkStart w:id="280" w:name="xdx_403_eus-gaap--RevenueFromContractWit"/>
            <w:bookmarkEnd w:id="280"/>
          </w:p>
        </w:tc>
      </w:tr>
      <w:tr>
        <w:trPr/>
        <w:tc>
          <w:tcPr>
            <w:tcW w:w="3095" w:type="dxa"/>
            <w:tcBorders/>
            <w:shd w:fill="CCEEFF" w:val="clear"/>
            <w:vAlign w:val="center"/>
          </w:tcPr>
          <w:p>
            <w:pPr>
              <w:pStyle w:val="TableContents"/>
              <w:bidi w:val="0"/>
              <w:spacing w:before="0" w:after="283"/>
              <w:jc w:val="left"/>
              <w:rPr/>
            </w:pPr>
            <w:r>
              <w:rPr/>
              <w:t>Total sales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18,791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1" w:name="xdx_8A0_zRUh3QXhP7Te"/>
      <w:bookmarkEnd w:id="281"/>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282" w:name="xdx_86D_zwGCf9vSWwhk"/>
      <w:bookmarkStart w:id="283" w:name="xdx_843_ecustom--ShippingAndHandlingCost"/>
      <w:bookmarkEnd w:id="282"/>
      <w:bookmarkEnd w:id="283"/>
      <w:r>
        <w:rPr>
          <w:rFonts w:ascii="Times New Roman;Times;Serif" w:hAnsi="Times New Roman;Times;Serif"/>
          <w:b w:val="false"/>
          <w:i/>
          <w:caps w:val="false"/>
          <w:smallCaps w:val="false"/>
          <w:sz w:val="20"/>
          <w:u w:val="single"/>
        </w:rPr>
        <w:t>Shipping and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w:t>
      </w:r>
      <w:bookmarkStart w:id="284" w:name="xdx_90C_ecustom--ShippingAndHandlingCost"/>
      <w:bookmarkEnd w:id="284"/>
      <w:r>
        <w:rPr>
          <w:rFonts w:ascii="Times New Roman;Times;Serif" w:hAnsi="Times New Roman;Times;Serif"/>
          <w:b w:val="false"/>
          <w:i w:val="false"/>
          <w:caps w:val="false"/>
          <w:smallCaps w:val="false"/>
          <w:sz w:val="20"/>
        </w:rPr>
        <w:t>1,007 and $</w:t>
      </w:r>
      <w:bookmarkStart w:id="285" w:name="xdx_90E_ecustom--ShippingAndHandlingCost"/>
      <w:bookmarkEnd w:id="285"/>
      <w:r>
        <w:rPr>
          <w:rFonts w:ascii="Times New Roman;Times;Serif" w:hAnsi="Times New Roman;Times;Serif"/>
          <w:b w:val="false"/>
          <w:i w:val="false"/>
          <w:caps w:val="false"/>
          <w:smallCaps w:val="false"/>
          <w:sz w:val="20"/>
        </w:rPr>
        <w:t>1,228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bookmarkStart w:id="286" w:name="xdx_86A_z5CZw1G93dA1"/>
      <w:bookmarkStart w:id="287" w:name="xdx_84E_ecustom--ProductWarrantyPolicyTe"/>
      <w:bookmarkEnd w:id="286"/>
      <w:bookmarkEnd w:id="287"/>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288" w:name="xdx_900_ecustom--ProductWarrantyTermProv"/>
      <w:bookmarkEnd w:id="288"/>
      <w:r>
        <w:rPr>
          <w:rFonts w:ascii="Times New Roman;Times;Serif" w:hAnsi="Times New Roman;Times;Serif"/>
          <w:b w:val="false"/>
          <w:i w:val="false"/>
          <w:caps w:val="false"/>
          <w:smallCaps w:val="false"/>
          <w:sz w:val="20"/>
        </w:rPr>
        <w:t xml:space="preserve">5 to </w:t>
      </w:r>
      <w:bookmarkStart w:id="289" w:name="xdx_907_ecustom--ProductWarrantyTermProv"/>
      <w:bookmarkEnd w:id="289"/>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March 31, 2023 and December 31, 2022 to be $</w:t>
      </w:r>
      <w:bookmarkStart w:id="290" w:name="xdx_90F_eus-gaap--ProductWarrantyAccrual"/>
      <w:bookmarkEnd w:id="290"/>
      <w:r>
        <w:rPr>
          <w:rFonts w:ascii="Times New Roman;Times;Serif" w:hAnsi="Times New Roman;Times;Serif"/>
          <w:b w:val="false"/>
          <w:i w:val="false"/>
          <w:caps w:val="false"/>
          <w:smallCaps w:val="false"/>
          <w:sz w:val="20"/>
        </w:rPr>
        <w:t>400 and $</w:t>
      </w:r>
      <w:bookmarkStart w:id="291" w:name="xdx_90D_eus-gaap--ProductWarrantyAccrual"/>
      <w:bookmarkEnd w:id="291"/>
      <w:r>
        <w:rPr>
          <w:rFonts w:ascii="Times New Roman;Times;Serif" w:hAnsi="Times New Roman;Times;Serif"/>
          <w:b w:val="false"/>
          <w:i w:val="false"/>
          <w:caps w:val="false"/>
          <w:smallCaps w:val="false"/>
          <w:sz w:val="20"/>
        </w:rPr>
        <w:t>328,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2" w:name="xdx_86A_zyzggZww4OX8"/>
      <w:bookmarkStart w:id="293" w:name="xdx_84E_eus-gaap--ConcentrationRiskCredi"/>
      <w:bookmarkEnd w:id="292"/>
      <w:bookmarkEnd w:id="293"/>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Receivables from </w:t>
      </w:r>
      <w:bookmarkStart w:id="294" w:name="xdx_90E_ecustom--NumberOfCustomers_pid_d"/>
      <w:bookmarkEnd w:id="294"/>
      <w:r>
        <w:rPr>
          <w:rFonts w:ascii="Times New Roman;Times;Serif" w:hAnsi="Times New Roman;Times;Serif"/>
          <w:b w:val="false"/>
          <w:i w:val="false"/>
          <w:caps w:val="false"/>
          <w:smallCaps w:val="false"/>
          <w:sz w:val="20"/>
        </w:rPr>
        <w:t xml:space="preserve">one customer comprised approximately </w:t>
      </w:r>
      <w:bookmarkStart w:id="295" w:name="xdx_90D_eus-gaap--ConcentrationRiskPerce"/>
      <w:bookmarkEnd w:id="295"/>
      <w:r>
        <w:rPr>
          <w:rFonts w:ascii="Times New Roman;Times;Serif" w:hAnsi="Times New Roman;Times;Serif"/>
          <w:b w:val="false"/>
          <w:i w:val="false"/>
          <w:caps w:val="false"/>
          <w:smallCaps w:val="false"/>
          <w:sz w:val="20"/>
        </w:rPr>
        <w:t xml:space="preserve">50% of accounts receivable as of March 31, 2023. Receivables from </w:t>
      </w:r>
      <w:bookmarkStart w:id="296" w:name="xdx_907_ecustom--NumberOfCustomers_pid_d"/>
      <w:bookmarkEnd w:id="296"/>
      <w:r>
        <w:rPr>
          <w:rFonts w:ascii="Times New Roman;Times;Serif" w:hAnsi="Times New Roman;Times;Serif"/>
          <w:b w:val="false"/>
          <w:i w:val="false"/>
          <w:caps w:val="false"/>
          <w:smallCaps w:val="false"/>
          <w:sz w:val="20"/>
        </w:rPr>
        <w:t xml:space="preserve">three customers comprised approximately </w:t>
      </w:r>
      <w:bookmarkStart w:id="297" w:name="xdx_90D_eus-gaap--ConcentrationRiskPerce"/>
      <w:bookmarkEnd w:id="297"/>
      <w:r>
        <w:rPr>
          <w:rFonts w:ascii="Times New Roman;Times;Serif" w:hAnsi="Times New Roman;Times;Serif"/>
          <w:b w:val="false"/>
          <w:i w:val="false"/>
          <w:caps w:val="false"/>
          <w:smallCaps w:val="false"/>
          <w:sz w:val="20"/>
        </w:rPr>
        <w:t xml:space="preserve">18%, </w:t>
      </w:r>
      <w:bookmarkStart w:id="298" w:name="xdx_904_eus-gaap--ConcentrationRiskPerce"/>
      <w:bookmarkEnd w:id="298"/>
      <w:r>
        <w:rPr>
          <w:rFonts w:ascii="Times New Roman;Times;Serif" w:hAnsi="Times New Roman;Times;Serif"/>
          <w:b w:val="false"/>
          <w:i w:val="false"/>
          <w:caps w:val="false"/>
          <w:smallCaps w:val="false"/>
          <w:sz w:val="20"/>
        </w:rPr>
        <w:t xml:space="preserve">10% and </w:t>
      </w:r>
      <w:bookmarkStart w:id="299" w:name="xdx_902_eus-gaap--ConcentrationRiskPerce"/>
      <w:bookmarkEnd w:id="299"/>
      <w:r>
        <w:rPr>
          <w:rFonts w:ascii="Times New Roman;Times;Serif" w:hAnsi="Times New Roman;Times;Serif"/>
          <w:b w:val="false"/>
          <w:i w:val="false"/>
          <w:caps w:val="false"/>
          <w:smallCaps w:val="false"/>
          <w:sz w:val="20"/>
        </w:rPr>
        <w:t>10%, respectively, of accounts receivable as of December 31, 2022. There are no other significant accounts receivable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from </w:t>
      </w:r>
      <w:bookmarkStart w:id="300" w:name="xdx_905_ecustom--NumberOfVendors_pid_dc_"/>
      <w:bookmarkEnd w:id="300"/>
      <w:r>
        <w:rPr>
          <w:rFonts w:ascii="Times New Roman;Times;Serif" w:hAnsi="Times New Roman;Times;Serif"/>
          <w:b w:val="false"/>
          <w:i w:val="false"/>
          <w:caps w:val="false"/>
          <w:smallCaps w:val="false"/>
          <w:sz w:val="20"/>
        </w:rPr>
        <w:t xml:space="preserve">one customer comprised approximately </w:t>
      </w:r>
      <w:bookmarkStart w:id="301" w:name="xdx_90D_eus-gaap--ConcentrationRiskPerce"/>
      <w:bookmarkEnd w:id="301"/>
      <w:r>
        <w:rPr>
          <w:rFonts w:ascii="Times New Roman;Times;Serif" w:hAnsi="Times New Roman;Times;Serif"/>
          <w:b w:val="false"/>
          <w:i w:val="false"/>
          <w:caps w:val="false"/>
          <w:smallCaps w:val="false"/>
          <w:sz w:val="20"/>
        </w:rPr>
        <w:t>26% of revenue for the three months ended March 31, 2023. There were no significant revenue concentrations for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Payables to </w:t>
      </w:r>
      <w:bookmarkStart w:id="302" w:name="xdx_90E_ecustom--NumberOfCustomers_pid_d"/>
      <w:bookmarkEnd w:id="302"/>
      <w:r>
        <w:rPr>
          <w:rFonts w:ascii="Times New Roman;Times;Serif" w:hAnsi="Times New Roman;Times;Serif"/>
          <w:b w:val="false"/>
          <w:i w:val="false"/>
          <w:caps w:val="false"/>
          <w:smallCaps w:val="false"/>
          <w:sz w:val="20"/>
        </w:rPr>
        <w:t xml:space="preserve">one vendor comprised approximately </w:t>
      </w:r>
      <w:bookmarkStart w:id="303" w:name="xdx_90F_eus-gaap--ConcentrationRiskPerce"/>
      <w:bookmarkEnd w:id="303"/>
      <w:r>
        <w:rPr>
          <w:rFonts w:ascii="Times New Roman;Times;Serif" w:hAnsi="Times New Roman;Times;Serif"/>
          <w:b w:val="false"/>
          <w:i w:val="false"/>
          <w:caps w:val="false"/>
          <w:smallCaps w:val="false"/>
          <w:sz w:val="20"/>
        </w:rPr>
        <w:t xml:space="preserve">67% of accounts payables as of March 31, 2023. Payables to </w:t>
      </w:r>
      <w:bookmarkStart w:id="304" w:name="xdx_902_ecustom--NumberOfCustomers_pid_d"/>
      <w:bookmarkEnd w:id="304"/>
      <w:r>
        <w:rPr>
          <w:rFonts w:ascii="Times New Roman;Times;Serif" w:hAnsi="Times New Roman;Times;Serif"/>
          <w:b w:val="false"/>
          <w:i w:val="false"/>
          <w:caps w:val="false"/>
          <w:smallCaps w:val="false"/>
          <w:sz w:val="20"/>
        </w:rPr>
        <w:t xml:space="preserve">one vendor comprised approximately </w:t>
      </w:r>
      <w:bookmarkStart w:id="305" w:name="xdx_90D_eus-gaap--ConcentrationRiskPerce"/>
      <w:bookmarkEnd w:id="305"/>
      <w:r>
        <w:rPr>
          <w:rFonts w:ascii="Times New Roman;Times;Serif" w:hAnsi="Times New Roman;Times;Serif"/>
          <w:b w:val="false"/>
          <w:i w:val="false"/>
          <w:caps w:val="false"/>
          <w:smallCaps w:val="false"/>
          <w:sz w:val="20"/>
        </w:rPr>
        <w:t>61% of accounts payables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2023, </w:t>
      </w:r>
      <w:bookmarkStart w:id="306" w:name="xdx_903_ecustom--NumberOfVendors_pid_dc_"/>
      <w:bookmarkEnd w:id="306"/>
      <w:r>
        <w:rPr>
          <w:rFonts w:ascii="Times New Roman;Times;Serif" w:hAnsi="Times New Roman;Times;Serif"/>
          <w:b w:val="false"/>
          <w:i w:val="false"/>
          <w:caps w:val="false"/>
          <w:smallCaps w:val="false"/>
          <w:sz w:val="20"/>
        </w:rPr>
        <w:t xml:space="preserve">two vendors accounted for approximately </w:t>
      </w:r>
      <w:bookmarkStart w:id="307" w:name="xdx_90B_eus-gaap--ConcentrationRiskPerce"/>
      <w:bookmarkEnd w:id="307"/>
      <w:r>
        <w:rPr>
          <w:rFonts w:ascii="Times New Roman;Times;Serif" w:hAnsi="Times New Roman;Times;Serif"/>
          <w:b w:val="false"/>
          <w:i w:val="false"/>
          <w:caps w:val="false"/>
          <w:smallCaps w:val="false"/>
          <w:sz w:val="20"/>
        </w:rPr>
        <w:t xml:space="preserve">38% and </w:t>
      </w:r>
      <w:bookmarkStart w:id="308" w:name="xdx_908_eus-gaap--ConcentrationRiskPerce"/>
      <w:bookmarkEnd w:id="308"/>
      <w:r>
        <w:rPr>
          <w:rFonts w:ascii="Times New Roman;Times;Serif" w:hAnsi="Times New Roman;Times;Serif"/>
          <w:b w:val="false"/>
          <w:i w:val="false"/>
          <w:caps w:val="false"/>
          <w:smallCaps w:val="false"/>
          <w:sz w:val="20"/>
        </w:rPr>
        <w:t xml:space="preserve">10%, respectively, of the Company’s total purchases. For the three months ended March 31, 2022, </w:t>
      </w:r>
      <w:bookmarkStart w:id="309" w:name="xdx_90F_ecustom--NumberOfVendors_pid_dc_"/>
      <w:bookmarkEnd w:id="309"/>
      <w:r>
        <w:rPr>
          <w:rFonts w:ascii="Times New Roman;Times;Serif" w:hAnsi="Times New Roman;Times;Serif"/>
          <w:b w:val="false"/>
          <w:i w:val="false"/>
          <w:caps w:val="false"/>
          <w:smallCaps w:val="false"/>
          <w:sz w:val="20"/>
        </w:rPr>
        <w:t xml:space="preserve">one vendor accounted for approximately </w:t>
      </w:r>
      <w:bookmarkStart w:id="310" w:name="xdx_901_eus-gaap--ConcentrationRiskPerce"/>
      <w:bookmarkEnd w:id="310"/>
      <w:r>
        <w:rPr>
          <w:rFonts w:ascii="Times New Roman;Times;Serif" w:hAnsi="Times New Roman;Times;Serif"/>
          <w:b w:val="false"/>
          <w:i w:val="false"/>
          <w:caps w:val="false"/>
          <w:smallCaps w:val="false"/>
          <w:sz w:val="20"/>
        </w:rPr>
        <w:t>34%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11" w:name="xdx_86E_z6qkUKXnpS2h"/>
      <w:bookmarkStart w:id="312" w:name="xdx_84B_eus-gaap--AdvertisingCostsPolicy"/>
      <w:bookmarkEnd w:id="311"/>
      <w:bookmarkEnd w:id="312"/>
      <w:r>
        <w:rPr>
          <w:rFonts w:ascii="Times New Roman;Times;Serif" w:hAnsi="Times New Roman;Times;Serif"/>
          <w:b w:val="false"/>
          <w:i/>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they are incurred and are included in selling and marketing expenses. Advertising expenses amounted to $</w:t>
      </w:r>
      <w:bookmarkStart w:id="313" w:name="xdx_903_eus-gaap--AdvertisingExpense_pn3"/>
      <w:bookmarkEnd w:id="313"/>
      <w:r>
        <w:rPr>
          <w:rFonts w:ascii="Times New Roman;Times;Serif" w:hAnsi="Times New Roman;Times;Serif"/>
          <w:b w:val="false"/>
          <w:i w:val="false"/>
          <w:caps w:val="false"/>
          <w:smallCaps w:val="false"/>
          <w:sz w:val="20"/>
        </w:rPr>
        <w:t>587 and $</w:t>
      </w:r>
      <w:bookmarkStart w:id="314" w:name="xdx_903_eus-gaap--AdvertisingExpense_pn3"/>
      <w:bookmarkEnd w:id="314"/>
      <w:r>
        <w:rPr>
          <w:rFonts w:ascii="Times New Roman;Times;Serif" w:hAnsi="Times New Roman;Times;Serif"/>
          <w:b w:val="false"/>
          <w:i w:val="false"/>
          <w:caps w:val="false"/>
          <w:smallCaps w:val="false"/>
          <w:sz w:val="20"/>
        </w:rPr>
        <w:t>781 for the three months ended March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15" w:name="xdx_86D_zbEy4YaLsX4h"/>
      <w:bookmarkStart w:id="316" w:name="xdx_844_eus-gaap--CompensationRelatedCos"/>
      <w:bookmarkEnd w:id="315"/>
      <w:bookmarkEnd w:id="316"/>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17" w:name="xdx_865_zpH1g0D9kQnc"/>
      <w:bookmarkStart w:id="318" w:name="xdx_849_eus-gaap--IncomeTaxPolicyTextBlo"/>
      <w:bookmarkEnd w:id="317"/>
      <w:bookmarkEnd w:id="318"/>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w:t>
      </w:r>
      <w:bookmarkStart w:id="319" w:name="xdx_906_eus-gaap--UnrecognizedTaxBenefit"/>
      <w:bookmarkEnd w:id="319"/>
      <w:r>
        <w:rPr>
          <w:rFonts w:ascii="Times New Roman;Times;Serif" w:hAnsi="Times New Roman;Times;Serif"/>
          <w:b w:val="false"/>
          <w:i w:val="false"/>
          <w:caps w:val="false"/>
          <w:smallCaps w:val="false"/>
          <w:sz w:val="20"/>
        </w:rPr>
        <w:t>128 and $</w:t>
      </w:r>
      <w:bookmarkStart w:id="320" w:name="xdx_909_eus-gaap--UnrecognizedTaxBenefit"/>
      <w:bookmarkEnd w:id="320"/>
      <w:r>
        <w:rPr>
          <w:rFonts w:ascii="Times New Roman;Times;Serif" w:hAnsi="Times New Roman;Times;Serif"/>
          <w:b w:val="false"/>
          <w:i w:val="false"/>
          <w:caps w:val="false"/>
          <w:smallCaps w:val="false"/>
          <w:sz w:val="20"/>
        </w:rPr>
        <w:t>128 as of March 31, 2023, and December 31, 2022, respectively, of uncertain tax positions. The Company’s accounting policy is to include penalties and interest related to income taxes if any,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1" w:name="xdx_86C_z0oAkNTJwUHf"/>
      <w:bookmarkStart w:id="322" w:name="xdx_84E_eus-gaap--SegmentReportingPolicy"/>
      <w:bookmarkEnd w:id="321"/>
      <w:bookmarkEnd w:id="322"/>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w:t>
      </w:r>
      <w:bookmarkStart w:id="323" w:name="xdx_902_eus-gaap--NumberOfOperatingSegme"/>
      <w:bookmarkEnd w:id="323"/>
      <w:r>
        <w:rPr>
          <w:rFonts w:ascii="Times New Roman;Times;Serif" w:hAnsi="Times New Roman;Times;Serif"/>
          <w:b w:val="false"/>
          <w:i w:val="false"/>
          <w:caps w:val="false"/>
          <w:smallCaps w:val="false"/>
          <w:sz w:val="20"/>
        </w:rPr>
        <w:t>one operating segment.</w:t>
      </w:r>
    </w:p>
    <w:p>
      <w:pPr>
        <w:pStyle w:val="TextBody"/>
        <w:bidi w:val="0"/>
        <w:spacing w:before="0" w:after="0"/>
        <w:ind w:left="0" w:right="0" w:hanging="0"/>
        <w:jc w:val="left"/>
        <w:rPr>
          <w:caps w:val="false"/>
          <w:smallCaps w:val="false"/>
        </w:rPr>
      </w:pPr>
      <w:bookmarkStart w:id="324" w:name="xdx_854_zkHa7vCdWiNi"/>
      <w:bookmarkEnd w:id="32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25" w:name="xdx_800_eus-gaap--FairValueDisclosuresTe"/>
      <w:bookmarkEnd w:id="325"/>
      <w:r>
        <w:rPr>
          <w:rFonts w:ascii="Times New Roman;Times;Serif" w:hAnsi="Times New Roman;Times;Serif"/>
          <w:b/>
          <w:i w:val="false"/>
          <w:caps/>
          <w:sz w:val="20"/>
        </w:rPr>
        <w:t xml:space="preserve">NOTE 3 - </w:t>
      </w:r>
      <w:bookmarkStart w:id="326" w:name="xdx_820_z8tDo0S1EfW4"/>
      <w:bookmarkEnd w:id="326"/>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inputs are quoted prices (unadjusted) in active markets for identical assets or liabilities.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inputs are inputs other than quoted prices included within Level 1 that are observable for a similar asset or liability, either directly or indirectly.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7" w:name="xdx_892_eus-gaap--ScheduleOfFairValueAss"/>
      <w:bookmarkEnd w:id="327"/>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8" w:name="xdx_8BB_zkCg6FWJrMMl"/>
      <w:bookmarkEnd w:id="328"/>
      <w:r>
        <w:rPr>
          <w:rFonts w:ascii="Times New Roman;Times;Serif" w:hAnsi="Times New Roman;Times;Serif"/>
          <w:b w:val="false"/>
          <w:i w:val="false"/>
          <w:caps w:val="false"/>
          <w:smallCaps w:val="false"/>
          <w:sz w:val="20"/>
        </w:rPr>
        <w:t>SCHEDULE OF FAIR VALUE, ASSETS AND LIABILITIES </w:t>
      </w:r>
    </w:p>
    <w:tbl>
      <w:tblPr>
        <w:tblW w:w="9433" w:type="dxa"/>
        <w:jc w:val="left"/>
        <w:tblInd w:w="0" w:type="dxa"/>
        <w:tblLayout w:type="fixed"/>
        <w:tblCellMar>
          <w:top w:w="0" w:type="dxa"/>
          <w:left w:w="0" w:type="dxa"/>
          <w:bottom w:w="0" w:type="dxa"/>
          <w:right w:w="0" w:type="dxa"/>
        </w:tblCellMar>
      </w:tblPr>
      <w:tblGrid>
        <w:gridCol w:w="4250"/>
        <w:gridCol w:w="60"/>
        <w:gridCol w:w="289"/>
        <w:gridCol w:w="1156"/>
        <w:gridCol w:w="60"/>
        <w:gridCol w:w="60"/>
        <w:gridCol w:w="172"/>
        <w:gridCol w:w="688"/>
        <w:gridCol w:w="60"/>
        <w:gridCol w:w="60"/>
        <w:gridCol w:w="221"/>
        <w:gridCol w:w="533"/>
        <w:gridCol w:w="60"/>
        <w:gridCol w:w="60"/>
        <w:gridCol w:w="202"/>
        <w:gridCol w:w="552"/>
        <w:gridCol w:w="60"/>
        <w:gridCol w:w="60"/>
        <w:gridCol w:w="151"/>
        <w:gridCol w:w="604"/>
        <w:gridCol w:w="75"/>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center"/>
              <w:rPr/>
            </w:pPr>
            <w:r>
              <w:rPr/>
              <w:t> </w:t>
            </w:r>
          </w:p>
        </w:tc>
      </w:tr>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48" w:type="dxa"/>
            <w:gridSpan w:val="18"/>
            <w:tcBorders>
              <w:bottom w:val="single" w:sz="12" w:space="0" w:color="000000"/>
            </w:tcBorders>
            <w:tcMar>
              <w:bottom w:w="28" w:type="dxa"/>
            </w:tcMar>
            <w:vAlign w:val="center"/>
          </w:tcPr>
          <w:p>
            <w:pPr>
              <w:pStyle w:val="TableContents"/>
              <w:bidi w:val="0"/>
              <w:spacing w:before="0" w:after="283"/>
              <w:jc w:val="center"/>
              <w:rPr/>
            </w:pPr>
            <w:r>
              <w:rPr/>
              <w:t>As of March 31, 2023</w:t>
            </w:r>
          </w:p>
        </w:tc>
        <w:tc>
          <w:tcPr>
            <w:tcW w:w="75" w:type="dxa"/>
            <w:tcBorders/>
            <w:vAlign w:val="center"/>
          </w:tcPr>
          <w:p>
            <w:pPr>
              <w:pStyle w:val="TableContents"/>
              <w:bidi w:val="0"/>
              <w:spacing w:before="0" w:after="283"/>
              <w:jc w:val="center"/>
              <w:rPr/>
            </w:pPr>
            <w:r>
              <w:rPr/>
              <w:t> </w:t>
            </w:r>
          </w:p>
        </w:tc>
      </w:tr>
      <w:tr>
        <w:trPr/>
        <w:tc>
          <w:tcPr>
            <w:tcW w:w="4250"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w:t>
            </w:r>
            <w:bookmarkStart w:id="329" w:name="xdx_989_ecustom--LiabilitiesCarryingValu"/>
            <w:bookmarkEnd w:id="329"/>
          </w:p>
        </w:tc>
        <w:tc>
          <w:tcPr>
            <w:tcW w:w="1156"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bookmarkStart w:id="330" w:name="xdx_98F_eus-gaap--SharesSubjectToMandato"/>
            <w:bookmarkEnd w:id="330"/>
          </w:p>
        </w:tc>
        <w:tc>
          <w:tcPr>
            <w:tcW w:w="688" w:type="dxa"/>
            <w:tcBorders/>
            <w:shd w:fill="FFFFFF" w:val="clear"/>
            <w:vAlign w:val="center"/>
          </w:tcPr>
          <w:p>
            <w:pPr>
              <w:pStyle w:val="TableContents"/>
              <w:bidi w:val="0"/>
              <w:spacing w:before="0" w:after="283"/>
              <w:jc w:val="right"/>
              <w:rPr/>
            </w:pPr>
            <w:r>
              <w:rPr/>
              <w:t>4,021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bookmarkStart w:id="331" w:name="xdx_98B_eus-gaap--SharesSubjectToMandato"/>
            <w:bookmarkEnd w:id="331"/>
          </w:p>
        </w:tc>
        <w:tc>
          <w:tcPr>
            <w:tcW w:w="533"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bookmarkStart w:id="332" w:name="xdx_98D_eus-gaap--SharesSubjectToMandato"/>
            <w:bookmarkEnd w:id="332"/>
          </w:p>
        </w:tc>
        <w:tc>
          <w:tcPr>
            <w:tcW w:w="5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333" w:name="xdx_989_eus-gaap--SharesSubjectToMandato"/>
            <w:bookmarkEnd w:id="333"/>
          </w:p>
        </w:tc>
        <w:tc>
          <w:tcPr>
            <w:tcW w:w="604" w:type="dxa"/>
            <w:tcBorders/>
            <w:shd w:fill="FFFFFF" w:val="cle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4" w:name="xdx_985_ecustom--LiabilitiesCarryingValu"/>
            <w:bookmarkEnd w:id="334"/>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5" w:name="xdx_989_eus-gaap--SharesSubjectToMandato"/>
            <w:bookmarkEnd w:id="335"/>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6" w:name="xdx_981_eus-gaap--SharesSubjectToMandato"/>
            <w:bookmarkEnd w:id="336"/>
          </w:p>
        </w:tc>
        <w:tc>
          <w:tcPr>
            <w:tcW w:w="5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7" w:name="xdx_985_eus-gaap--SharesSubjectToMandato"/>
            <w:bookmarkEnd w:id="337"/>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8" w:name="xdx_98E_eus-gaap--SharesSubjectToMandato"/>
            <w:bookmarkEnd w:id="338"/>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39" w:name="xdx_981_ecustom--LiabilitiesCarryingValu"/>
            <w:bookmarkEnd w:id="339"/>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40" w:name="xdx_983_eus-gaap--SharesSubjectToMandato"/>
            <w:bookmarkEnd w:id="340"/>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4,141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41" w:name="xdx_98E_eus-gaap--SharesSubjectToMandato"/>
            <w:bookmarkEnd w:id="341"/>
          </w:p>
        </w:tc>
        <w:tc>
          <w:tcPr>
            <w:tcW w:w="53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42" w:name="xdx_983_eus-gaap--SharesSubjectToMandato"/>
            <w:bookmarkEnd w:id="342"/>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pPr>
            <w:r>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43" w:name="xdx_987_eus-gaap--SharesSubjectToMandato"/>
            <w:bookmarkEnd w:id="343"/>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4"/>
        <w:gridCol w:w="60"/>
        <w:gridCol w:w="286"/>
        <w:gridCol w:w="1403"/>
        <w:gridCol w:w="60"/>
        <w:gridCol w:w="60"/>
        <w:gridCol w:w="174"/>
        <w:gridCol w:w="848"/>
        <w:gridCol w:w="60"/>
        <w:gridCol w:w="60"/>
        <w:gridCol w:w="231"/>
        <w:gridCol w:w="654"/>
        <w:gridCol w:w="60"/>
        <w:gridCol w:w="60"/>
        <w:gridCol w:w="177"/>
        <w:gridCol w:w="710"/>
        <w:gridCol w:w="60"/>
        <w:gridCol w:w="60"/>
        <w:gridCol w:w="150"/>
        <w:gridCol w:w="737"/>
        <w:gridCol w:w="81"/>
      </w:tblGrid>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9" w:type="dxa"/>
            <w:gridSpan w:val="2"/>
            <w:tcBorders>
              <w:bottom w:val="single" w:sz="12" w:space="0" w:color="000000"/>
            </w:tcBorders>
            <w:tcMar>
              <w:bottom w:w="28" w:type="dxa"/>
            </w:tcMar>
            <w:vAlign w:val="center"/>
          </w:tcPr>
          <w:p>
            <w:pPr>
              <w:pStyle w:val="TableContents"/>
              <w:bidi w:val="0"/>
              <w:spacing w:before="0" w:after="283"/>
              <w:jc w:val="center"/>
              <w:rPr/>
            </w:pPr>
            <w:r>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81" w:type="dxa"/>
            <w:tcBorders/>
            <w:vAlign w:val="center"/>
          </w:tcPr>
          <w:p>
            <w:pPr>
              <w:pStyle w:val="TableContents"/>
              <w:bidi w:val="0"/>
              <w:spacing w:before="0" w:after="283"/>
              <w:jc w:val="center"/>
              <w:rPr/>
            </w:pPr>
            <w:r>
              <w:rPr/>
              <w:t> </w:t>
            </w:r>
          </w:p>
        </w:tc>
      </w:tr>
      <w:tr>
        <w:trPr/>
        <w:tc>
          <w:tcPr>
            <w:tcW w:w="4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50" w:type="dxa"/>
            <w:gridSpan w:val="18"/>
            <w:tcBorders>
              <w:bottom w:val="single" w:sz="12" w:space="0" w:color="000000"/>
            </w:tcBorders>
            <w:tcMar>
              <w:bottom w:w="28" w:type="dxa"/>
            </w:tcMar>
            <w:vAlign w:val="center"/>
          </w:tcPr>
          <w:p>
            <w:pPr>
              <w:pStyle w:val="TableContents"/>
              <w:bidi w:val="0"/>
              <w:spacing w:before="0" w:after="283"/>
              <w:jc w:val="center"/>
              <w:rPr/>
            </w:pPr>
            <w:r>
              <w:rPr/>
              <w:t>As of December 31, 2022</w:t>
            </w:r>
          </w:p>
        </w:tc>
        <w:tc>
          <w:tcPr>
            <w:tcW w:w="81" w:type="dxa"/>
            <w:tcBorders/>
            <w:vAlign w:val="center"/>
          </w:tcPr>
          <w:p>
            <w:pPr>
              <w:pStyle w:val="TableContents"/>
              <w:bidi w:val="0"/>
              <w:spacing w:before="0" w:after="283"/>
              <w:jc w:val="center"/>
              <w:rPr/>
            </w:pPr>
            <w:r>
              <w:rPr/>
              <w:t> </w:t>
            </w:r>
          </w:p>
        </w:tc>
      </w:tr>
      <w:tr>
        <w:trPr/>
        <w:tc>
          <w:tcPr>
            <w:tcW w:w="4214" w:type="dxa"/>
            <w:tcBorders/>
            <w:shd w:fill="CCEEFF" w:val="clear"/>
            <w:vAlign w:val="center"/>
          </w:tcPr>
          <w:p>
            <w:pPr>
              <w:pStyle w:val="TableContents"/>
              <w:bidi w:val="0"/>
              <w:spacing w:before="0" w:after="283"/>
              <w:jc w:val="left"/>
              <w:rPr>
                <w:u w:val="single"/>
              </w:rPr>
            </w:pPr>
            <w:r>
              <w:rPr>
                <w:u w:val="single"/>
              </w:rPr>
              <w:t>Liabilities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Warrant liability- Term Loan</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w:t>
            </w:r>
            <w:bookmarkStart w:id="344" w:name="xdx_98B_ecustom--LiabilitiesCarryingValu"/>
            <w:bookmarkEnd w:id="344"/>
          </w:p>
        </w:tc>
        <w:tc>
          <w:tcPr>
            <w:tcW w:w="1403"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bookmarkStart w:id="345" w:name="xdx_980_eus-gaap--SharesSubjectToMandato"/>
            <w:bookmarkEnd w:id="345"/>
          </w:p>
        </w:tc>
        <w:tc>
          <w:tcPr>
            <w:tcW w:w="848" w:type="dxa"/>
            <w:tcBorders/>
            <w:shd w:fill="FFFFFF" w:val="clear"/>
            <w:vAlign w:val="center"/>
          </w:tcPr>
          <w:p>
            <w:pPr>
              <w:pStyle w:val="TableContents"/>
              <w:bidi w:val="0"/>
              <w:spacing w:before="0" w:after="283"/>
              <w:jc w:val="right"/>
              <w:rPr/>
            </w:pPr>
            <w:r>
              <w:rPr/>
              <w:t>30,841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bookmarkStart w:id="346" w:name="xdx_98C_eus-gaap--SharesSubjectToMandato"/>
            <w:bookmarkEnd w:id="346"/>
          </w:p>
        </w:tc>
        <w:tc>
          <w:tcPr>
            <w:tcW w:w="654"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bookmarkStart w:id="347" w:name="xdx_988_eus-gaap--SharesSubjectToMandato"/>
            <w:bookmarkEnd w:id="347"/>
          </w:p>
        </w:tc>
        <w:tc>
          <w:tcPr>
            <w:tcW w:w="7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bookmarkStart w:id="348" w:name="xdx_98E_eus-gaap--SharesSubjectToMandato"/>
            <w:bookmarkEnd w:id="348"/>
          </w:p>
        </w:tc>
        <w:tc>
          <w:tcPr>
            <w:tcW w:w="737" w:type="dxa"/>
            <w:tcBorders/>
            <w:shd w:fill="FFFFFF" w:val="cle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r>
        <w:trPr/>
        <w:tc>
          <w:tcPr>
            <w:tcW w:w="4214"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49" w:name="xdx_984_ecustom--LiabilitiesCarryingValu"/>
            <w:bookmarkEnd w:id="349"/>
          </w:p>
        </w:tc>
        <w:tc>
          <w:tcPr>
            <w:tcW w:w="1403"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0" w:name="xdx_983_eus-gaap--SharesSubjectToMandato"/>
            <w:bookmarkEnd w:id="350"/>
          </w:p>
        </w:tc>
        <w:tc>
          <w:tcPr>
            <w:tcW w:w="848"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1" w:name="xdx_980_eus-gaap--SharesSubjectToMandato"/>
            <w:bookmarkEnd w:id="351"/>
          </w:p>
        </w:tc>
        <w:tc>
          <w:tcPr>
            <w:tcW w:w="6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2" w:name="xdx_98A_eus-gaap--SharesSubjectToMandato"/>
            <w:bookmarkEnd w:id="352"/>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53" w:name="xdx_98F_eus-gaap--SharesSubjectToMandato"/>
            <w:bookmarkEnd w:id="353"/>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21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4" w:name="xdx_980_ecustom--LiabilitiesCarryingValu"/>
            <w:bookmarkEnd w:id="354"/>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5" w:name="xdx_985_eus-gaap--SharesSubjectToMandato"/>
            <w:bookmarkEnd w:id="355"/>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pPr>
            <w:r>
              <w:rPr/>
              <w:t>32,831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6" w:name="xdx_98B_eus-gaap--SharesSubjectToMandato"/>
            <w:bookmarkEnd w:id="356"/>
          </w:p>
        </w:tc>
        <w:tc>
          <w:tcPr>
            <w:tcW w:w="65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7" w:name="xdx_988_eus-gaap--SharesSubjectToMandato"/>
            <w:bookmarkEnd w:id="357"/>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8" w:name="xdx_98F_eus-gaap--SharesSubjectToMandato"/>
            <w:bookmarkEnd w:id="358"/>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pPr>
            <w:r>
              <w:rPr/>
              <w:t>30,841</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9" w:name="xdx_8A2_zPcYMfJTPBPe"/>
      <w:bookmarkEnd w:id="3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March 31, 2023 and December 31, 2022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March 31, 2023 and December 31, 2022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60" w:name="xdx_807_eus-gaap--InventoryDisclosureTex"/>
      <w:bookmarkEnd w:id="360"/>
      <w:r>
        <w:rPr>
          <w:rFonts w:ascii="Times New Roman;Times;Serif" w:hAnsi="Times New Roman;Times;Serif"/>
          <w:b/>
          <w:i w:val="false"/>
          <w:caps/>
          <w:sz w:val="20"/>
        </w:rPr>
        <w:t xml:space="preserve">NOTE 4 - </w:t>
      </w:r>
      <w:bookmarkStart w:id="361" w:name="xdx_82C_z2gzs4rOYIW2"/>
      <w:bookmarkEnd w:id="361"/>
      <w:r>
        <w:rPr>
          <w:rFonts w:ascii="Times New Roman;Times;Serif" w:hAnsi="Times New Roman;Times;Serif"/>
          <w:b/>
          <w:i w:val="false"/>
          <w:caps/>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62" w:name="xdx_899_eus-gaap--ScheduleOfInventoryCur"/>
      <w:bookmarkEnd w:id="362"/>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63" w:name="xdx_8B1_zWEkuZAKALCa"/>
      <w:bookmarkEnd w:id="363"/>
      <w:r>
        <w:rPr>
          <w:rFonts w:ascii="Times New Roman;Times;Serif" w:hAnsi="Times New Roman;Times;Serif"/>
          <w:b w:val="false"/>
          <w:i w:val="false"/>
          <w:caps w:val="false"/>
          <w:smallCaps w:val="false"/>
          <w:sz w:val="20"/>
        </w:rPr>
        <w:t>SCHEDULE OF INVENTORY </w:t>
      </w:r>
    </w:p>
    <w:tbl>
      <w:tblPr>
        <w:tblW w:w="5173" w:type="dxa"/>
        <w:jc w:val="left"/>
        <w:tblInd w:w="0" w:type="dxa"/>
        <w:tblLayout w:type="fixed"/>
        <w:tblCellMar>
          <w:top w:w="0" w:type="dxa"/>
          <w:left w:w="0" w:type="dxa"/>
          <w:bottom w:w="0" w:type="dxa"/>
          <w:right w:w="0" w:type="dxa"/>
        </w:tblCellMar>
      </w:tblPr>
      <w:tblGrid>
        <w:gridCol w:w="1490"/>
        <w:gridCol w:w="60"/>
        <w:gridCol w:w="262"/>
        <w:gridCol w:w="1272"/>
        <w:gridCol w:w="60"/>
        <w:gridCol w:w="60"/>
        <w:gridCol w:w="321"/>
        <w:gridCol w:w="15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4" w:name="xdx_491_20230331_zZonenmg2m6h"/>
            <w:bookmarkEnd w:id="364"/>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5" w:name="xdx_496_20221231_zR1sdcuYZc8l"/>
            <w:bookmarkEnd w:id="365"/>
          </w:p>
        </w:tc>
        <w:tc>
          <w:tcPr>
            <w:tcW w:w="189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2022</w:t>
            </w:r>
          </w:p>
        </w:tc>
        <w:tc>
          <w:tcPr>
            <w:tcW w:w="75" w:type="dxa"/>
            <w:tcBorders/>
            <w:vAlign w:val="center"/>
          </w:tcPr>
          <w:p>
            <w:pPr>
              <w:pStyle w:val="TableContents"/>
              <w:bidi w:val="0"/>
              <w:spacing w:before="0" w:after="283"/>
              <w:jc w:val="left"/>
              <w:rPr/>
            </w:pPr>
            <w:r>
              <w:rPr/>
              <w:t> </w:t>
            </w:r>
            <w:bookmarkStart w:id="366" w:name="xdx_404_eus-gaap--InventoryRawMaterials_"/>
            <w:bookmarkEnd w:id="366"/>
          </w:p>
        </w:tc>
      </w:tr>
      <w:tr>
        <w:trPr/>
        <w:tc>
          <w:tcPr>
            <w:tcW w:w="149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44,310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573" w:type="dxa"/>
            <w:tcBorders/>
            <w:shd w:fill="CCEEFF" w:val="clear"/>
            <w:vAlign w:val="center"/>
          </w:tcPr>
          <w:p>
            <w:pPr>
              <w:pStyle w:val="TableContents"/>
              <w:bidi w:val="0"/>
              <w:spacing w:before="0" w:after="283"/>
              <w:jc w:val="right"/>
              <w:rPr/>
            </w:pPr>
            <w:r>
              <w:rPr/>
              <w:t>42,586</w:t>
            </w:r>
          </w:p>
        </w:tc>
        <w:tc>
          <w:tcPr>
            <w:tcW w:w="75" w:type="dxa"/>
            <w:tcBorders/>
            <w:shd w:fill="CCEEFF" w:val="clear"/>
            <w:vAlign w:val="center"/>
          </w:tcPr>
          <w:p>
            <w:pPr>
              <w:pStyle w:val="TableContents"/>
              <w:bidi w:val="0"/>
              <w:spacing w:before="0" w:after="283"/>
              <w:jc w:val="left"/>
              <w:rPr/>
            </w:pPr>
            <w:r>
              <w:rPr/>
              <w:t> </w:t>
            </w:r>
            <w:bookmarkStart w:id="367" w:name="xdx_401_eus-gaap--InventoryFinishedGoods"/>
            <w:bookmarkEnd w:id="367"/>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12" w:space="0" w:color="000000"/>
            </w:tcBorders>
            <w:shd w:fill="FFFFFF" w:val="clear"/>
            <w:tcMar>
              <w:bottom w:w="28" w:type="dxa"/>
            </w:tcMar>
            <w:vAlign w:val="center"/>
          </w:tcPr>
          <w:p>
            <w:pPr>
              <w:pStyle w:val="TableContents"/>
              <w:bidi w:val="0"/>
              <w:spacing w:before="0" w:after="283"/>
              <w:jc w:val="right"/>
              <w:rPr/>
            </w:pPr>
            <w:r>
              <w:rPr/>
              <w:t>7,260</w:t>
            </w:r>
          </w:p>
        </w:tc>
        <w:tc>
          <w:tcPr>
            <w:tcW w:w="75" w:type="dxa"/>
            <w:tcBorders/>
            <w:shd w:fill="FFFFFF" w:val="clear"/>
            <w:vAlign w:val="center"/>
          </w:tcPr>
          <w:p>
            <w:pPr>
              <w:pStyle w:val="TableContents"/>
              <w:bidi w:val="0"/>
              <w:spacing w:before="0" w:after="283"/>
              <w:jc w:val="left"/>
              <w:rPr/>
            </w:pPr>
            <w:r>
              <w:rPr/>
              <w:t> </w:t>
            </w:r>
            <w:bookmarkStart w:id="368" w:name="xdx_40B_eus-gaap--InventoryNet_iTI_pn3n3"/>
            <w:bookmarkEnd w:id="368"/>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2" w:type="dxa"/>
            <w:tcBorders>
              <w:bottom w:val="double" w:sz="6" w:space="0" w:color="000000"/>
            </w:tcBorders>
            <w:shd w:fill="CCEEFF" w:val="clear"/>
            <w:tcMar>
              <w:bottom w:w="28" w:type="dxa"/>
            </w:tcMar>
            <w:vAlign w:val="center"/>
          </w:tcPr>
          <w:p>
            <w:pPr>
              <w:pStyle w:val="TableContents"/>
              <w:bidi w:val="0"/>
              <w:spacing w:before="0" w:after="283"/>
              <w:jc w:val="right"/>
              <w:rPr/>
            </w:pPr>
            <w:r>
              <w:rPr/>
              <w:t>51,812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pPr>
            <w:r>
              <w:rPr/>
              <w:t>49,846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9" w:name="xdx_8AC_zWbst8yh9dP"/>
      <w:bookmarkEnd w:id="369"/>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bookmarkStart w:id="370" w:name="xdx_808_eus-gaap--CommitmentsAndContinge"/>
      <w:bookmarkEnd w:id="370"/>
      <w:r>
        <w:rPr>
          <w:rFonts w:ascii="Times New Roman;Times;Serif" w:hAnsi="Times New Roman;Times;Serif"/>
          <w:b/>
          <w:i w:val="false"/>
          <w:caps/>
          <w:sz w:val="20"/>
        </w:rPr>
        <w:t xml:space="preserve">NOTE 5 - </w:t>
      </w:r>
      <w:bookmarkStart w:id="371" w:name="xdx_821_zLyamnpR4Nof"/>
      <w:bookmarkEnd w:id="371"/>
      <w:r>
        <w:rPr>
          <w:rFonts w:ascii="Times New Roman;Times;Serif" w:hAnsi="Times New Roman;Times;Serif"/>
          <w:b/>
          <w:i w:val="false"/>
          <w:caps/>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and engineering office, all located in Reno, Nevada. The leases require annual escalating monthly payments ranging from $</w:t>
      </w:r>
      <w:bookmarkStart w:id="372" w:name="xdx_90B_eus-gaap--OperatingLeasePayments"/>
      <w:bookmarkEnd w:id="372"/>
      <w:r>
        <w:rPr>
          <w:rFonts w:ascii="Times New Roman;Times;Serif" w:hAnsi="Times New Roman;Times;Serif"/>
          <w:b w:val="false"/>
          <w:i w:val="false"/>
          <w:caps w:val="false"/>
          <w:smallCaps w:val="false"/>
          <w:sz w:val="20"/>
        </w:rPr>
        <w:t>111 to $</w:t>
      </w:r>
      <w:bookmarkStart w:id="373" w:name="xdx_908_eus-gaap--OperatingLeasePayments"/>
      <w:bookmarkEnd w:id="373"/>
      <w:r>
        <w:rPr>
          <w:rFonts w:ascii="Times New Roman;Times;Serif" w:hAnsi="Times New Roman;Times;Serif"/>
          <w:b w:val="false"/>
          <w:i w:val="false"/>
          <w:caps w:val="false"/>
          <w:smallCaps w:val="false"/>
          <w:sz w:val="20"/>
        </w:rPr>
        <w:t>128. On February 2, 2022, the Company entered into a 124-month lease agreement in Reno, Nevada. The lease calls for monthly base rent of $</w:t>
      </w:r>
      <w:bookmarkStart w:id="374" w:name="xdx_906_ecustom--LesseeOperatingLeaseMon"/>
      <w:bookmarkEnd w:id="374"/>
      <w:r>
        <w:rPr>
          <w:rFonts w:ascii="Times New Roman;Times;Serif" w:hAnsi="Times New Roman;Times;Serif"/>
          <w:b w:val="false"/>
          <w:i w:val="false"/>
          <w:caps w:val="false"/>
          <w:smallCaps w:val="false"/>
          <w:sz w:val="20"/>
        </w:rPr>
        <w:t>230, $</w:t>
      </w:r>
      <w:bookmarkStart w:id="375" w:name="xdx_902_eus-gaap--OperatingLeaseCost_pn3"/>
      <w:bookmarkEnd w:id="375"/>
      <w:r>
        <w:rPr>
          <w:rFonts w:ascii="Times New Roman;Times;Serif" w:hAnsi="Times New Roman;Times;Serif"/>
          <w:b w:val="false"/>
          <w:i w:val="false"/>
          <w:caps w:val="false"/>
          <w:smallCaps w:val="false"/>
          <w:sz w:val="20"/>
        </w:rPr>
        <w:t>23 of fixed operating expense costs, and estimated monthly property taxes of $</w:t>
      </w:r>
      <w:bookmarkStart w:id="376" w:name="xdx_90A_ecustom--LesseeOperatingLeaseEst"/>
      <w:bookmarkEnd w:id="376"/>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377" w:name="xdx_90B_ecustom--LesseeOperatingLeasePer"/>
      <w:bookmarkEnd w:id="377"/>
      <w:r>
        <w:rPr>
          <w:rFonts w:ascii="Times New Roman;Times;Serif" w:hAnsi="Times New Roman;Times;Serif"/>
          <w:b w:val="false"/>
          <w:i w:val="false"/>
          <w:caps w:val="false"/>
          <w:smallCaps w:val="false"/>
          <w:sz w:val="20"/>
        </w:rPr>
        <w:t xml:space="preserve">3% and </w:t>
      </w:r>
      <w:bookmarkStart w:id="378" w:name="xdx_904_ecustom--LesseeOperatingLeasePer"/>
      <w:bookmarkEnd w:id="378"/>
      <w:r>
        <w:rPr>
          <w:rFonts w:ascii="Times New Roman;Times;Serif" w:hAnsi="Times New Roman;Times;Serif"/>
          <w:b w:val="false"/>
          <w:i w:val="false"/>
          <w:caps w:val="false"/>
          <w:smallCaps w:val="false"/>
          <w:sz w:val="20"/>
        </w:rPr>
        <w:t xml:space="preserve">2.4%, respectively, on an annual basis. The first payment is due upon substantial completion of construction of the building which is expected to be within </w:t>
      </w:r>
      <w:bookmarkStart w:id="379" w:name="xdx_903_ecustom--LesseeOperatingLeaseTer"/>
      <w:bookmarkEnd w:id="379"/>
      <w:r>
        <w:rPr>
          <w:rFonts w:ascii="Times New Roman;Times;Serif" w:hAnsi="Times New Roman;Times;Serif"/>
          <w:b w:val="false"/>
          <w:i w:val="false"/>
          <w:caps w:val="false"/>
          <w:smallCaps w:val="false"/>
          <w:sz w:val="20"/>
        </w:rPr>
        <w:t>2 years from the effective date. As of March 31, 2023, the lease has not commenced as the Company does not have control over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80" w:name="xdx_89F_ecustom--DisclosureForBreakoutOf"/>
      <w:bookmarkEnd w:id="380"/>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81" w:name="xdx_8B8_zUIzlC1yoRo5"/>
      <w:bookmarkEnd w:id="381"/>
      <w:r>
        <w:rPr>
          <w:rFonts w:ascii="Times New Roman;Times;Serif" w:hAnsi="Times New Roman;Times;Serif"/>
          <w:b w:val="false"/>
          <w:i w:val="false"/>
          <w:caps w:val="false"/>
          <w:smallCaps w:val="false"/>
          <w:sz w:val="20"/>
        </w:rPr>
        <w:t>SCHEDULE OF TABLE REPRESENTING THE BREAKOUT OF THE OPERATING LEASES </w:t>
      </w:r>
    </w:p>
    <w:tbl>
      <w:tblPr>
        <w:tblW w:w="7883" w:type="dxa"/>
        <w:jc w:val="left"/>
        <w:tblInd w:w="0" w:type="dxa"/>
        <w:tblLayout w:type="fixed"/>
        <w:tblCellMar>
          <w:top w:w="0" w:type="dxa"/>
          <w:left w:w="0" w:type="dxa"/>
          <w:bottom w:w="0" w:type="dxa"/>
          <w:right w:w="0" w:type="dxa"/>
        </w:tblCellMar>
      </w:tblPr>
      <w:tblGrid>
        <w:gridCol w:w="3755"/>
        <w:gridCol w:w="60"/>
        <w:gridCol w:w="256"/>
        <w:gridCol w:w="1353"/>
        <w:gridCol w:w="215"/>
        <w:gridCol w:w="60"/>
        <w:gridCol w:w="309"/>
        <w:gridCol w:w="1645"/>
        <w:gridCol w:w="23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2" w:name="xdx_49F_20230331_zACeMGMctnNc"/>
            <w:bookmarkEnd w:id="382"/>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3" w:name="xdx_495_20221231_zANCg23cSCge"/>
            <w:bookmarkEnd w:id="383"/>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230" w:type="dxa"/>
            <w:tcBorders/>
            <w:vAlign w:val="center"/>
          </w:tcPr>
          <w:p>
            <w:pPr>
              <w:pStyle w:val="TableContents"/>
              <w:bidi w:val="0"/>
              <w:spacing w:before="0" w:after="283"/>
              <w:jc w:val="left"/>
              <w:rPr/>
            </w:pPr>
            <w:r>
              <w:rPr/>
              <w:t> </w:t>
            </w:r>
            <w:bookmarkStart w:id="384" w:name="xdx_40E_eus-gaap--OperatingLeaseRightOfU"/>
            <w:bookmarkEnd w:id="384"/>
          </w:p>
        </w:tc>
      </w:tr>
      <w:tr>
        <w:trPr/>
        <w:tc>
          <w:tcPr>
            <w:tcW w:w="375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4,205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4,513</w:t>
            </w:r>
          </w:p>
        </w:tc>
        <w:tc>
          <w:tcPr>
            <w:tcW w:w="230" w:type="dxa"/>
            <w:tcBorders/>
            <w:shd w:fill="CCEEFF" w:val="clear"/>
            <w:vAlign w:val="center"/>
          </w:tcPr>
          <w:p>
            <w:pPr>
              <w:pStyle w:val="TableContents"/>
              <w:bidi w:val="0"/>
              <w:spacing w:before="0" w:after="283"/>
              <w:jc w:val="left"/>
              <w:rPr/>
            </w:pPr>
            <w:r>
              <w:rPr/>
              <w:t> </w:t>
            </w:r>
            <w:bookmarkStart w:id="385" w:name="xdx_402_eus-gaap--OperatingLeaseLiabilit"/>
            <w:bookmarkEnd w:id="385"/>
          </w:p>
        </w:tc>
      </w:tr>
      <w:tr>
        <w:trPr/>
        <w:tc>
          <w:tcPr>
            <w:tcW w:w="375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1,215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1,188</w:t>
            </w:r>
          </w:p>
        </w:tc>
        <w:tc>
          <w:tcPr>
            <w:tcW w:w="230" w:type="dxa"/>
            <w:tcBorders/>
            <w:shd w:fill="FFFFFF" w:val="clear"/>
            <w:vAlign w:val="center"/>
          </w:tcPr>
          <w:p>
            <w:pPr>
              <w:pStyle w:val="TableContents"/>
              <w:bidi w:val="0"/>
              <w:spacing w:before="0" w:after="283"/>
              <w:jc w:val="left"/>
              <w:rPr/>
            </w:pPr>
            <w:r>
              <w:rPr/>
              <w:t> </w:t>
            </w:r>
            <w:bookmarkStart w:id="386" w:name="xdx_401_eus-gaap--OperatingLeaseLiabilit"/>
            <w:bookmarkEnd w:id="386"/>
          </w:p>
        </w:tc>
      </w:tr>
      <w:tr>
        <w:trPr/>
        <w:tc>
          <w:tcPr>
            <w:tcW w:w="375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3,209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5" w:type="dxa"/>
            <w:tcBorders>
              <w:bottom w:val="single" w:sz="12" w:space="0" w:color="000000"/>
            </w:tcBorders>
            <w:shd w:fill="CCEEFF" w:val="clear"/>
            <w:tcMar>
              <w:bottom w:w="28" w:type="dxa"/>
            </w:tcMar>
            <w:vAlign w:val="center"/>
          </w:tcPr>
          <w:p>
            <w:pPr>
              <w:pStyle w:val="TableContents"/>
              <w:bidi w:val="0"/>
              <w:spacing w:before="0" w:after="283"/>
              <w:jc w:val="right"/>
              <w:rPr/>
            </w:pPr>
            <w:r>
              <w:rPr/>
              <w:t>3,541</w:t>
            </w:r>
          </w:p>
        </w:tc>
        <w:tc>
          <w:tcPr>
            <w:tcW w:w="230" w:type="dxa"/>
            <w:tcBorders/>
            <w:shd w:fill="CCEEFF" w:val="clear"/>
            <w:vAlign w:val="center"/>
          </w:tcPr>
          <w:p>
            <w:pPr>
              <w:pStyle w:val="TableContents"/>
              <w:bidi w:val="0"/>
              <w:spacing w:before="0" w:after="283"/>
              <w:jc w:val="left"/>
              <w:rPr/>
            </w:pPr>
            <w:r>
              <w:rPr/>
              <w:t> </w:t>
            </w:r>
            <w:bookmarkStart w:id="387" w:name="xdx_409_eus-gaap--OperatingLeaseLiabilit"/>
            <w:bookmarkEnd w:id="387"/>
          </w:p>
        </w:tc>
      </w:tr>
      <w:tr>
        <w:trPr/>
        <w:tc>
          <w:tcPr>
            <w:tcW w:w="37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4,424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pPr>
            <w:r>
              <w:rPr/>
              <w:t>4,729</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sz w:val="20"/>
              </w:rPr>
            </w:pPr>
            <w:bookmarkStart w:id="388" w:name="xdx_905_eus-gaap--OperatingLeaseWeighted"/>
            <w:bookmarkEnd w:id="388"/>
            <w:r>
              <w:rPr>
                <w:rFonts w:ascii="Times New Roman;Times;Serif" w:hAnsi="Times New Roman;Times;Serif"/>
                <w:sz w:val="20"/>
              </w:rPr>
              <w:t>3.4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rFonts w:ascii="Times New Roman;Times;Serif" w:hAnsi="Times New Roman;Times;Serif"/>
                <w:sz w:val="20"/>
              </w:rPr>
            </w:pPr>
            <w:bookmarkStart w:id="389" w:name="xdx_901_eus-gaap--OperatingLeaseWeighted"/>
            <w:bookmarkEnd w:id="389"/>
            <w:r>
              <w:rPr>
                <w:rFonts w:ascii="Times New Roman;Times;Serif" w:hAnsi="Times New Roman;Times;Serif"/>
                <w:sz w:val="20"/>
              </w:rPr>
              <w:t>3.6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bookmarkStart w:id="390" w:name="xdx_90A_eus-gaap--OperatingLeaseWeighted"/>
            <w:bookmarkEnd w:id="390"/>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bookmarkStart w:id="391" w:name="xdx_90C_eus-gaap--OperatingLeaseWeighted"/>
            <w:bookmarkEnd w:id="391"/>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392" w:name="xdx_8A2_zzxgsMsbJA4l"/>
      <w:bookmarkEnd w:id="392"/>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 (Continued)</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3" w:name="xdx_895_eus-gaap--LesseeOperatingLeaseLi"/>
      <w:bookmarkEnd w:id="393"/>
      <w:r>
        <w:rPr>
          <w:rFonts w:ascii="Times New Roman;Times;Serif" w:hAnsi="Times New Roman;Times;Serif"/>
          <w:b w:val="false"/>
          <w:i w:val="false"/>
          <w:caps w:val="false"/>
          <w:smallCaps w:val="false"/>
          <w:sz w:val="20"/>
        </w:rPr>
        <w:t>At March 31, 2023, the future minimum lease payments under these operating leases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4" w:name="xdx_8BE_zc5dI0pA5wi8"/>
      <w:bookmarkEnd w:id="394"/>
      <w:r>
        <w:rPr>
          <w:rFonts w:ascii="Times New Roman;Times;Serif" w:hAnsi="Times New Roman;Times;Serif"/>
          <w:b w:val="false"/>
          <w:i w:val="false"/>
          <w:caps w:val="false"/>
          <w:smallCaps w:val="false"/>
          <w:sz w:val="20"/>
        </w:rPr>
        <w:t>SCHEDULE OF THE FUTURE MINIMUM LEASE PAYMENTS UNDER THE OPERATING LEASES </w:t>
      </w:r>
    </w:p>
    <w:tbl>
      <w:tblPr>
        <w:tblW w:w="3895" w:type="dxa"/>
        <w:jc w:val="left"/>
        <w:tblInd w:w="0" w:type="dxa"/>
        <w:tblLayout w:type="fixed"/>
        <w:tblCellMar>
          <w:top w:w="0" w:type="dxa"/>
          <w:left w:w="0" w:type="dxa"/>
          <w:bottom w:w="0" w:type="dxa"/>
          <w:right w:w="0" w:type="dxa"/>
        </w:tblCellMar>
      </w:tblPr>
      <w:tblGrid>
        <w:gridCol w:w="2900"/>
        <w:gridCol w:w="60"/>
        <w:gridCol w:w="172"/>
        <w:gridCol w:w="688"/>
        <w:gridCol w:w="75"/>
      </w:tblGrid>
      <w:tr>
        <w:trPr/>
        <w:tc>
          <w:tcPr>
            <w:tcW w:w="2900" w:type="dxa"/>
            <w:tcBorders/>
            <w:vAlign w:val="center"/>
          </w:tcPr>
          <w:p>
            <w:pPr>
              <w:pStyle w:val="TableContents"/>
              <w:bidi w:val="0"/>
              <w:spacing w:before="0" w:after="283"/>
              <w:jc w:val="left"/>
              <w:rPr>
                <w:b/>
              </w:rPr>
            </w:pPr>
            <w:r>
              <w:rPr>
                <w:b/>
              </w:rPr>
              <w:t>Fiscal Years Ending</w:t>
            </w:r>
          </w:p>
        </w:tc>
        <w:tc>
          <w:tcPr>
            <w:tcW w:w="60" w:type="dxa"/>
            <w:tcBorders/>
            <w:vAlign w:val="center"/>
          </w:tcPr>
          <w:p>
            <w:pPr>
              <w:pStyle w:val="TableContents"/>
              <w:bidi w:val="0"/>
              <w:spacing w:before="0" w:after="283"/>
              <w:jc w:val="left"/>
              <w:rPr/>
            </w:pPr>
            <w:r>
              <w:rPr/>
              <w:t> </w:t>
            </w:r>
            <w:bookmarkStart w:id="395" w:name="xdx_497_20230331_z8HxzJVxLVB"/>
            <w:bookmarkEnd w:id="395"/>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396" w:name="xdx_406_eus-gaap--LesseeOperatingLeaseLi"/>
            <w:bookmarkEnd w:id="396"/>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December 31, 2023 </w:t>
            </w:r>
            <w:bookmarkStart w:id="397" w:name="xdx_F43_zLubQUkxsXg"/>
            <w:bookmarkEnd w:id="39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1,054</w:t>
            </w:r>
          </w:p>
        </w:tc>
        <w:tc>
          <w:tcPr>
            <w:tcW w:w="75" w:type="dxa"/>
            <w:tcBorders/>
            <w:shd w:fill="CCEEFF" w:val="clear"/>
            <w:vAlign w:val="center"/>
          </w:tcPr>
          <w:p>
            <w:pPr>
              <w:pStyle w:val="TableContents"/>
              <w:bidi w:val="0"/>
              <w:spacing w:before="0" w:after="283"/>
              <w:jc w:val="left"/>
              <w:rPr/>
            </w:pPr>
            <w:r>
              <w:rPr/>
              <w:t> </w:t>
            </w:r>
            <w:bookmarkStart w:id="398" w:name="xdx_402_eus-gaap--LesseeOperatingLeaseLi"/>
            <w:bookmarkEnd w:id="398"/>
          </w:p>
        </w:tc>
      </w:tr>
      <w:tr>
        <w:trPr/>
        <w:tc>
          <w:tcPr>
            <w:tcW w:w="2900" w:type="dxa"/>
            <w:tcBorders/>
            <w:shd w:fill="FFFFFF" w:val="clear"/>
            <w:vAlign w:val="center"/>
          </w:tcPr>
          <w:p>
            <w:pPr>
              <w:pStyle w:val="TableContents"/>
              <w:bidi w:val="0"/>
              <w:spacing w:before="0" w:after="283"/>
              <w:jc w:val="left"/>
              <w:rPr/>
            </w:pPr>
            <w:r>
              <w:rPr/>
              <w:t>December 31, 2024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1,435</w:t>
            </w:r>
          </w:p>
        </w:tc>
        <w:tc>
          <w:tcPr>
            <w:tcW w:w="75" w:type="dxa"/>
            <w:tcBorders/>
            <w:shd w:fill="FFFFFF" w:val="clear"/>
            <w:vAlign w:val="center"/>
          </w:tcPr>
          <w:p>
            <w:pPr>
              <w:pStyle w:val="TableContents"/>
              <w:bidi w:val="0"/>
              <w:spacing w:before="0" w:after="283"/>
              <w:jc w:val="left"/>
              <w:rPr/>
            </w:pPr>
            <w:r>
              <w:rPr/>
              <w:t> </w:t>
            </w:r>
            <w:bookmarkStart w:id="399" w:name="xdx_403_eus-gaap--LesseeOperatingLeaseLi"/>
            <w:bookmarkEnd w:id="399"/>
          </w:p>
        </w:tc>
      </w:tr>
      <w:tr>
        <w:trPr/>
        <w:tc>
          <w:tcPr>
            <w:tcW w:w="2900"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bookmarkStart w:id="400" w:name="xdx_402_eus-gaap--LesseeOperatingLeaseLi"/>
            <w:bookmarkEnd w:id="400"/>
          </w:p>
        </w:tc>
      </w:tr>
      <w:tr>
        <w:trPr/>
        <w:tc>
          <w:tcPr>
            <w:tcW w:w="2900" w:type="dxa"/>
            <w:tcBorders/>
            <w:shd w:fill="FFFFFF" w:val="clear"/>
            <w:vAlign w:val="center"/>
          </w:tcPr>
          <w:p>
            <w:pPr>
              <w:pStyle w:val="TableContents"/>
              <w:bidi w:val="0"/>
              <w:spacing w:before="0" w:after="283"/>
              <w:jc w:val="left"/>
              <w:rPr/>
            </w:pPr>
            <w:r>
              <w:rPr/>
              <w:t>December 31, 2026</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893</w:t>
            </w:r>
          </w:p>
        </w:tc>
        <w:tc>
          <w:tcPr>
            <w:tcW w:w="75" w:type="dxa"/>
            <w:tcBorders/>
            <w:shd w:fill="FFFFFF" w:val="clear"/>
            <w:vAlign w:val="center"/>
          </w:tcPr>
          <w:p>
            <w:pPr>
              <w:pStyle w:val="TableContents"/>
              <w:bidi w:val="0"/>
              <w:spacing w:before="0" w:after="283"/>
              <w:jc w:val="left"/>
              <w:rPr/>
            </w:pPr>
            <w:r>
              <w:rPr/>
              <w:t> </w:t>
            </w:r>
            <w:bookmarkStart w:id="401" w:name="xdx_408_eus-gaap--LesseeOperatingLeaseLi"/>
            <w:bookmarkEnd w:id="401"/>
          </w:p>
        </w:tc>
      </w:tr>
      <w:tr>
        <w:trPr/>
        <w:tc>
          <w:tcPr>
            <w:tcW w:w="2900"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4,817</w:t>
            </w:r>
          </w:p>
        </w:tc>
        <w:tc>
          <w:tcPr>
            <w:tcW w:w="75" w:type="dxa"/>
            <w:tcBorders/>
            <w:shd w:fill="CCEEFF" w:val="clear"/>
            <w:vAlign w:val="center"/>
          </w:tcPr>
          <w:p>
            <w:pPr>
              <w:pStyle w:val="TableContents"/>
              <w:bidi w:val="0"/>
              <w:spacing w:before="0" w:after="283"/>
              <w:jc w:val="left"/>
              <w:rPr/>
            </w:pPr>
            <w:r>
              <w:rPr/>
              <w:t> </w:t>
            </w:r>
            <w:bookmarkStart w:id="402" w:name="xdx_40E_eus-gaap--LesseeOperatingLeaseLi"/>
            <w:bookmarkEnd w:id="402"/>
          </w:p>
        </w:tc>
      </w:tr>
      <w:tr>
        <w:trPr/>
        <w:tc>
          <w:tcPr>
            <w:tcW w:w="290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393</w:t>
            </w:r>
          </w:p>
        </w:tc>
        <w:tc>
          <w:tcPr>
            <w:tcW w:w="75" w:type="dxa"/>
            <w:tcBorders/>
            <w:shd w:fill="FFFFFF" w:val="clear"/>
            <w:vAlign w:val="center"/>
          </w:tcPr>
          <w:p>
            <w:pPr>
              <w:pStyle w:val="TableContents"/>
              <w:bidi w:val="0"/>
              <w:spacing w:before="0" w:after="283"/>
              <w:jc w:val="left"/>
              <w:rPr/>
            </w:pPr>
            <w:r>
              <w:rPr/>
              <w:t> </w:t>
            </w:r>
            <w:bookmarkStart w:id="403" w:name="xdx_40A_eus-gaap--OperatingLeaseLiabilit"/>
            <w:bookmarkEnd w:id="403"/>
          </w:p>
        </w:tc>
      </w:tr>
      <w:tr>
        <w:trPr/>
        <w:tc>
          <w:tcPr>
            <w:tcW w:w="2900"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4,424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45"/>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4" w:name="xdx_F0E_zpHGWEZY1tpj"/>
            <w:bookmarkEnd w:id="404"/>
            <w:r>
              <w:rPr>
                <w:rFonts w:ascii="Times New Roman;Times;Serif" w:hAnsi="Times New Roman;Times;Serif"/>
                <w:b w:val="false"/>
                <w:i w:val="false"/>
                <w:caps w:val="false"/>
                <w:smallCaps w:val="false"/>
                <w:sz w:val="20"/>
              </w:rPr>
              <w:t>(1)</w:t>
            </w:r>
          </w:p>
        </w:tc>
        <w:tc>
          <w:tcPr>
            <w:tcW w:w="7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5" w:name="xdx_F13_zEj5NSdn3Xrb"/>
            <w:bookmarkEnd w:id="405"/>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left"/>
        <w:rPr>
          <w:caps w:val="false"/>
          <w:smallCaps w:val="false"/>
        </w:rPr>
      </w:pPr>
      <w:bookmarkStart w:id="406" w:name="xdx_8A4_zfFYfAITIaFe"/>
      <w:bookmarkEnd w:id="40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07" w:name="xdx_8B1_zg9bHaXMkWxc"/>
      <w:bookmarkStart w:id="408" w:name="xdx_894_eus-gaap--LeaseCostTableTextBloc"/>
      <w:bookmarkEnd w:id="407"/>
      <w:bookmarkEnd w:id="408"/>
      <w:r>
        <w:rPr>
          <w:rFonts w:ascii="Times New Roman;Times;Serif" w:hAnsi="Times New Roman;Times;Serif"/>
          <w:b w:val="false"/>
          <w:i w:val="false"/>
          <w:caps w:val="false"/>
          <w:smallCaps w:val="false"/>
          <w:sz w:val="20"/>
        </w:rPr>
        <w:t>SCHEDULE OF LEASE COST </w:t>
      </w:r>
    </w:p>
    <w:tbl>
      <w:tblPr>
        <w:tblW w:w="8043" w:type="dxa"/>
        <w:jc w:val="left"/>
        <w:tblInd w:w="0" w:type="dxa"/>
        <w:tblLayout w:type="fixed"/>
        <w:tblCellMar>
          <w:top w:w="0" w:type="dxa"/>
          <w:left w:w="0" w:type="dxa"/>
          <w:bottom w:w="28" w:type="dxa"/>
          <w:right w:w="0" w:type="dxa"/>
        </w:tblCellMar>
      </w:tblPr>
      <w:tblGrid>
        <w:gridCol w:w="1940"/>
        <w:gridCol w:w="60"/>
        <w:gridCol w:w="2570"/>
        <w:gridCol w:w="60"/>
        <w:gridCol w:w="433"/>
        <w:gridCol w:w="1176"/>
        <w:gridCol w:w="60"/>
        <w:gridCol w:w="60"/>
        <w:gridCol w:w="433"/>
        <w:gridCol w:w="1176"/>
        <w:gridCol w:w="75"/>
      </w:tblGrid>
      <w:tr>
        <w:trPr/>
        <w:tc>
          <w:tcPr>
            <w:tcW w:w="194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cost</w:t>
            </w:r>
          </w:p>
        </w:tc>
        <w:tc>
          <w:tcPr>
            <w:tcW w:w="60" w:type="dxa"/>
            <w:tcBorders/>
            <w:tcMar>
              <w:bottom w:w="0" w:type="dxa"/>
            </w:tcMar>
            <w:vAlign w:val="center"/>
          </w:tcPr>
          <w:p>
            <w:pPr>
              <w:pStyle w:val="TableContents"/>
              <w:bidi w:val="0"/>
              <w:spacing w:before="0" w:after="283"/>
              <w:jc w:val="center"/>
              <w:rPr/>
            </w:pPr>
            <w:r>
              <w:rPr/>
              <w:t> </w:t>
            </w:r>
          </w:p>
        </w:tc>
        <w:tc>
          <w:tcPr>
            <w:tcW w:w="257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March 31, 2022</w:t>
            </w:r>
          </w:p>
        </w:tc>
        <w:tc>
          <w:tcPr>
            <w:tcW w:w="75" w:type="dxa"/>
            <w:tcBorders/>
            <w:tcMar>
              <w:bottom w:w="0" w:type="dxa"/>
            </w:tcMar>
            <w:vAlign w:val="center"/>
          </w:tcPr>
          <w:p>
            <w:pPr>
              <w:pStyle w:val="TableContents"/>
              <w:bidi w:val="0"/>
              <w:spacing w:before="0" w:after="283"/>
              <w:jc w:val="center"/>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bookmarkStart w:id="409" w:name="xdx_98B_eus-gaap--OperatingLeaseCost_pn3"/>
            <w:bookmarkEnd w:id="409"/>
          </w:p>
        </w:tc>
        <w:tc>
          <w:tcPr>
            <w:tcW w:w="1176" w:type="dxa"/>
            <w:tcBorders/>
            <w:shd w:fill="CCEEFF" w:val="clear"/>
            <w:tcMar>
              <w:bottom w:w="0" w:type="dxa"/>
            </w:tcMar>
            <w:vAlign w:val="center"/>
          </w:tcPr>
          <w:p>
            <w:pPr>
              <w:pStyle w:val="TableContents"/>
              <w:bidi w:val="0"/>
              <w:spacing w:before="0" w:after="283"/>
              <w:jc w:val="right"/>
              <w:rPr/>
            </w:pPr>
            <w:r>
              <w:rPr/>
              <w:t>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w:t>
            </w:r>
            <w:bookmarkStart w:id="410" w:name="xdx_98C_eus-gaap--OperatingLeaseCost_pn3"/>
            <w:bookmarkEnd w:id="410"/>
          </w:p>
        </w:tc>
        <w:tc>
          <w:tcPr>
            <w:tcW w:w="1176" w:type="dxa"/>
            <w:tcBorders/>
            <w:shd w:fill="CCEEFF" w:val="clear"/>
            <w:tcMar>
              <w:bottom w:w="0" w:type="dxa"/>
            </w:tcMar>
            <w:vAlign w:val="center"/>
          </w:tcPr>
          <w:p>
            <w:pPr>
              <w:pStyle w:val="TableContents"/>
              <w:bidi w:val="0"/>
              <w:spacing w:before="0" w:after="283"/>
              <w:jc w:val="right"/>
              <w:rPr/>
            </w:pPr>
            <w:r>
              <w:rPr/>
              <w:t>172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bookmarkStart w:id="411" w:name="xdx_988_eus-gaap--OperatingLeaseCost_pn3"/>
            <w:bookmarkEnd w:id="411"/>
          </w:p>
        </w:tc>
        <w:tc>
          <w:tcPr>
            <w:tcW w:w="1176" w:type="dxa"/>
            <w:tcBorders/>
            <w:shd w:fill="FFFFFF" w:val="clear"/>
            <w:tcMar>
              <w:bottom w:w="0" w:type="dxa"/>
            </w:tcMar>
            <w:vAlign w:val="center"/>
          </w:tcPr>
          <w:p>
            <w:pPr>
              <w:pStyle w:val="TableContents"/>
              <w:bidi w:val="0"/>
              <w:spacing w:before="0" w:after="283"/>
              <w:jc w:val="righ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shd w:fill="FFFFFF" w:val="clear"/>
            <w:tcMar>
              <w:bottom w:w="0" w:type="dxa"/>
            </w:tcMar>
            <w:vAlign w:val="center"/>
          </w:tcPr>
          <w:p>
            <w:pPr>
              <w:pStyle w:val="TableContents"/>
              <w:bidi w:val="0"/>
              <w:spacing w:before="0" w:after="283"/>
              <w:jc w:val="left"/>
              <w:rPr/>
            </w:pPr>
            <w:r>
              <w:rPr/>
              <w:t> </w:t>
            </w:r>
            <w:bookmarkStart w:id="412" w:name="xdx_985_eus-gaap--OperatingLeaseCost_pn3"/>
            <w:bookmarkEnd w:id="412"/>
          </w:p>
        </w:tc>
        <w:tc>
          <w:tcPr>
            <w:tcW w:w="1176" w:type="dxa"/>
            <w:tcBorders/>
            <w:shd w:fill="FFFFFF" w:val="clear"/>
            <w:tcMar>
              <w:bottom w:w="0" w:type="dxa"/>
            </w:tcMar>
            <w:vAlign w:val="center"/>
          </w:tcPr>
          <w:p>
            <w:pPr>
              <w:pStyle w:val="TableContents"/>
              <w:bidi w:val="0"/>
              <w:spacing w:before="0" w:after="283"/>
              <w:jc w:val="right"/>
              <w:rPr/>
            </w:pPr>
            <w:r>
              <w:rPr/>
              <w:t>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bookmarkStart w:id="413" w:name="xdx_982_eus-gaap--OperatingLeaseCost_pn3"/>
            <w:bookmarkEnd w:id="413"/>
          </w:p>
        </w:tc>
        <w:tc>
          <w:tcPr>
            <w:tcW w:w="1176" w:type="dxa"/>
            <w:tcBorders/>
            <w:shd w:fill="CCEEFF" w:val="clear"/>
            <w:tcMar>
              <w:bottom w:w="0" w:type="dxa"/>
            </w:tcMar>
            <w:vAlign w:val="center"/>
          </w:tcPr>
          <w:p>
            <w:pPr>
              <w:pStyle w:val="TableContents"/>
              <w:bidi w:val="0"/>
              <w:spacing w:before="0" w:after="283"/>
              <w:jc w:val="righ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bookmarkStart w:id="414" w:name="xdx_980_eus-gaap--OperatingLeaseCost_pn3"/>
            <w:bookmarkEnd w:id="414"/>
          </w:p>
        </w:tc>
        <w:tc>
          <w:tcPr>
            <w:tcW w:w="1176"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pPr>
            <w:r>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bookmarkStart w:id="415" w:name="xdx_981_eus-gaap--OperatingLeaseCost_pn3"/>
            <w:bookmarkEnd w:id="415"/>
          </w:p>
        </w:tc>
        <w:tc>
          <w:tcPr>
            <w:tcW w:w="1176" w:type="dxa"/>
            <w:tcBorders>
              <w:bottom w:val="double" w:sz="6" w:space="0" w:color="000000"/>
            </w:tcBorders>
            <w:shd w:fill="FFFFFF" w:val="clear"/>
            <w:vAlign w:val="center"/>
          </w:tcPr>
          <w:p>
            <w:pPr>
              <w:pStyle w:val="TableContents"/>
              <w:bidi w:val="0"/>
              <w:spacing w:before="0" w:after="283"/>
              <w:jc w:val="righ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vAlign w:val="center"/>
          </w:tcPr>
          <w:p>
            <w:pPr>
              <w:pStyle w:val="TableContents"/>
              <w:bidi w:val="0"/>
              <w:spacing w:before="0" w:after="283"/>
              <w:jc w:val="left"/>
              <w:rPr/>
            </w:pPr>
            <w:r>
              <w:rPr/>
              <w:t> </w:t>
            </w:r>
            <w:bookmarkStart w:id="416" w:name="xdx_989_eus-gaap--OperatingLeaseCost_pn3"/>
            <w:bookmarkEnd w:id="416"/>
          </w:p>
        </w:tc>
        <w:tc>
          <w:tcPr>
            <w:tcW w:w="1176" w:type="dxa"/>
            <w:tcBorders>
              <w:bottom w:val="double" w:sz="6" w:space="0" w:color="000000"/>
            </w:tcBorders>
            <w:shd w:fill="FFFFFF" w:val="clear"/>
            <w:vAlign w:val="center"/>
          </w:tcPr>
          <w:p>
            <w:pPr>
              <w:pStyle w:val="TableContents"/>
              <w:bidi w:val="0"/>
              <w:spacing w:before="0" w:after="283"/>
              <w:jc w:val="right"/>
              <w:rPr/>
            </w:pPr>
            <w:r>
              <w:rPr/>
              <w:t>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bookmarkStart w:id="417" w:name="xdx_980_eus-gaap--OperatingLeaseCost_pn3"/>
            <w:bookmarkEnd w:id="417"/>
          </w:p>
        </w:tc>
        <w:tc>
          <w:tcPr>
            <w:tcW w:w="1176" w:type="dxa"/>
            <w:tcBorders>
              <w:bottom w:val="double" w:sz="6" w:space="0" w:color="000000"/>
            </w:tcBorders>
            <w:shd w:fill="CCEEFF" w:val="clear"/>
            <w:vAlign w:val="center"/>
          </w:tcPr>
          <w:p>
            <w:pPr>
              <w:pStyle w:val="TableContents"/>
              <w:bidi w:val="0"/>
              <w:spacing w:before="0" w:after="283"/>
              <w:jc w:val="right"/>
              <w:rPr/>
            </w:pPr>
            <w:r>
              <w:rPr/>
              <w:t>393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bottom w:val="double" w:sz="6" w:space="0" w:color="000000"/>
            </w:tcBorders>
            <w:shd w:fill="CCEEFF" w:val="clear"/>
            <w:vAlign w:val="center"/>
          </w:tcPr>
          <w:p>
            <w:pPr>
              <w:pStyle w:val="TableContents"/>
              <w:bidi w:val="0"/>
              <w:spacing w:before="0" w:after="283"/>
              <w:jc w:val="left"/>
              <w:rPr/>
            </w:pPr>
            <w:r>
              <w:rPr/>
              <w:t>$</w:t>
            </w:r>
            <w:bookmarkStart w:id="418" w:name="xdx_980_eus-gaap--OperatingLeaseCost_pn3"/>
            <w:bookmarkEnd w:id="418"/>
          </w:p>
        </w:tc>
        <w:tc>
          <w:tcPr>
            <w:tcW w:w="1176" w:type="dxa"/>
            <w:tcBorders>
              <w:bottom w:val="double" w:sz="6" w:space="0" w:color="000000"/>
            </w:tcBorders>
            <w:shd w:fill="CCEEFF" w:val="clear"/>
            <w:vAlign w:val="center"/>
          </w:tcPr>
          <w:p>
            <w:pPr>
              <w:pStyle w:val="TableContents"/>
              <w:bidi w:val="0"/>
              <w:spacing w:before="0" w:after="283"/>
              <w:jc w:val="right"/>
              <w:rPr/>
            </w:pPr>
            <w:r>
              <w:rPr/>
              <w:t>215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19" w:name="xdx_8A9_zVXVzmdM6V12"/>
      <w:bookmarkEnd w:id="419"/>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former holders of shares of Legacy Dragonfly common stock (including shares received as a result of the conversion of Legacy Dragonfly Preferred Stock into New Dragonfly Common Stock) are entitled to receive their pro rata share of up to </w:t>
      </w:r>
      <w:bookmarkStart w:id="420" w:name="xdx_90E_ecustom--BusinessAcquisitionEqui"/>
      <w:bookmarkEnd w:id="420"/>
      <w:r>
        <w:rPr>
          <w:rFonts w:ascii="Times New Roman;Times;Serif" w:hAnsi="Times New Roman;Times;Serif"/>
          <w:b w:val="false"/>
          <w:i w:val="false"/>
          <w:caps w:val="false"/>
          <w:smallCaps w:val="false"/>
          <w:sz w:val="20"/>
        </w:rPr>
        <w:t xml:space="preserve">40,000,000 additional shares of common stock (the “Earnout Shares”). The Earnout Shares are issuable in three tranches. The first tranche of </w:t>
      </w:r>
      <w:bookmarkStart w:id="421" w:name="xdx_900_ecustom--EarnoutSharesIssuable_i"/>
      <w:bookmarkEnd w:id="421"/>
      <w:r>
        <w:rPr>
          <w:rFonts w:ascii="Times New Roman;Times;Serif" w:hAnsi="Times New Roman;Times;Serif"/>
          <w:b w:val="false"/>
          <w:i w:val="false"/>
          <w:caps w:val="false"/>
          <w:smallCaps w:val="false"/>
          <w:sz w:val="20"/>
        </w:rPr>
        <w:t>15,000,000 shares is issuable if New Dragonfly’s 2023 total audited revenue is equal to or greater than $</w:t>
      </w:r>
      <w:bookmarkStart w:id="422" w:name="xdx_90B_ecustom--AuditedRevenue_pn3n3_c2"/>
      <w:bookmarkEnd w:id="422"/>
      <w:r>
        <w:rPr>
          <w:rFonts w:ascii="Times New Roman;Times;Serif" w:hAnsi="Times New Roman;Times;Serif"/>
          <w:b w:val="false"/>
          <w:i w:val="false"/>
          <w:caps w:val="false"/>
          <w:smallCaps w:val="false"/>
          <w:sz w:val="20"/>
        </w:rPr>
        <w:t>250,000 and New Dragonfly’s 2023 audited operating income is equal to or greater than $</w:t>
      </w:r>
      <w:bookmarkStart w:id="423" w:name="xdx_908_ecustom--AuditedOperatingIncome_"/>
      <w:bookmarkEnd w:id="423"/>
      <w:r>
        <w:rPr>
          <w:rFonts w:ascii="Times New Roman;Times;Serif" w:hAnsi="Times New Roman;Times;Serif"/>
          <w:b w:val="false"/>
          <w:i w:val="false"/>
          <w:caps w:val="false"/>
          <w:smallCaps w:val="false"/>
          <w:sz w:val="20"/>
        </w:rPr>
        <w:t xml:space="preserve">35,000. The second tranche of </w:t>
      </w:r>
      <w:bookmarkStart w:id="424" w:name="xdx_904_ecustom--EarnoutSharesIssuable_i"/>
      <w:bookmarkEnd w:id="424"/>
      <w:r>
        <w:rPr>
          <w:rFonts w:ascii="Times New Roman;Times;Serif" w:hAnsi="Times New Roman;Times;Serif"/>
          <w:b w:val="false"/>
          <w:i w:val="false"/>
          <w:caps w:val="false"/>
          <w:smallCaps w:val="false"/>
          <w:sz w:val="20"/>
        </w:rPr>
        <w:t>12,500,000 shares is issuable upon achieving a volume-weighted average trading price threshold of at least $</w:t>
      </w:r>
      <w:bookmarkStart w:id="425" w:name="xdx_909_ecustom--VolumeWeightedAveragePr"/>
      <w:bookmarkEnd w:id="425"/>
      <w:r>
        <w:rPr>
          <w:rFonts w:ascii="Times New Roman;Times;Serif" w:hAnsi="Times New Roman;Times;Serif"/>
          <w:b w:val="false"/>
          <w:i w:val="false"/>
          <w:caps w:val="false"/>
          <w:smallCaps w:val="false"/>
          <w:sz w:val="20"/>
        </w:rPr>
        <w:t xml:space="preserve">22.50 on or prior to December 31, 2026 and the third tranche of </w:t>
      </w:r>
      <w:bookmarkStart w:id="426" w:name="xdx_903_ecustom--EarnoutSharesIssuable_i"/>
      <w:bookmarkEnd w:id="426"/>
      <w:r>
        <w:rPr>
          <w:rFonts w:ascii="Times New Roman;Times;Serif" w:hAnsi="Times New Roman;Times;Serif"/>
          <w:b w:val="false"/>
          <w:i w:val="false"/>
          <w:caps w:val="false"/>
          <w:smallCaps w:val="false"/>
          <w:sz w:val="20"/>
        </w:rPr>
        <w:t>12,500,000 is issuable upon achieving a volume-weighted average trading price threshold of at least $</w:t>
      </w:r>
      <w:bookmarkStart w:id="427" w:name="xdx_903_ecustom--VolumeWeightedAveragePr"/>
      <w:bookmarkEnd w:id="427"/>
      <w:r>
        <w:rPr>
          <w:rFonts w:ascii="Times New Roman;Times;Serif" w:hAnsi="Times New Roman;Times;Serif"/>
          <w:b w:val="false"/>
          <w:i w:val="false"/>
          <w:caps w:val="false"/>
          <w:smallCaps w:val="false"/>
          <w:sz w:val="20"/>
        </w:rPr>
        <w:t>32.50 on or prior to December 31, 2028. To the extent not previously earned, the second tranche is issuable if the $</w:t>
      </w:r>
      <w:bookmarkStart w:id="428" w:name="xdx_909_ecustom--VolumeWeightedAveragePr"/>
      <w:bookmarkEnd w:id="428"/>
      <w:r>
        <w:rPr>
          <w:rFonts w:ascii="Times New Roman;Times;Serif" w:hAnsi="Times New Roman;Times;Serif"/>
          <w:b w:val="false"/>
          <w:i w:val="false"/>
          <w:caps w:val="false"/>
          <w:smallCaps w:val="false"/>
          <w:sz w:val="20"/>
        </w:rPr>
        <w:t>32.50 price target is achieved by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429" w:name="xdx_80D_eus-gaap--DebtDisclosureTextBloc"/>
      <w:bookmarkEnd w:id="429"/>
      <w:r>
        <w:rPr>
          <w:rFonts w:ascii="Times New Roman;Times;Serif" w:hAnsi="Times New Roman;Times;Serif"/>
          <w:b/>
          <w:i w:val="false"/>
          <w:caps/>
          <w:sz w:val="20"/>
        </w:rPr>
        <w:t xml:space="preserve">NOTE 6 - </w:t>
      </w:r>
      <w:bookmarkStart w:id="430" w:name="xdx_82B_zQ5cDH08FZtk"/>
      <w:bookmarkEnd w:id="430"/>
      <w:r>
        <w:rPr>
          <w:rFonts w:ascii="Times New Roman;Times;Serif" w:hAnsi="Times New Roman;Times;Serif"/>
          <w:b/>
          <w:i w:val="false"/>
          <w:caps/>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Trust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the Company entered into agreements to issue $</w:t>
      </w:r>
      <w:bookmarkStart w:id="431" w:name="xdx_90F_eus-gaap--DebtInstrumentFaceAmou"/>
      <w:bookmarkEnd w:id="431"/>
      <w:r>
        <w:rPr>
          <w:rFonts w:ascii="Times New Roman;Times;Serif" w:hAnsi="Times New Roman;Times;Serif"/>
          <w:b w:val="false"/>
          <w:i w:val="false"/>
          <w:caps w:val="false"/>
          <w:smallCaps w:val="false"/>
          <w:sz w:val="20"/>
        </w:rPr>
        <w:t>45,000 in fixed rate senior notes (Series 2021 6 Notes) pursuant to a Trust Indenture held by UMB Bank, as trustee and disbursing agent, and Newlight Capital, LLC as servicer. The trust and debt documents also require a Lender Collateral Residual Value Insurance Policy (the “Insurance Policy”, with UMB Bank as named insured for $</w:t>
      </w:r>
      <w:bookmarkStart w:id="432" w:name="xdx_90E_ecustom--DebtInstrumentInsuredAm"/>
      <w:bookmarkEnd w:id="432"/>
      <w:r>
        <w:rPr>
          <w:rFonts w:ascii="Times New Roman;Times;Serif" w:hAnsi="Times New Roman;Times;Serif"/>
          <w:b w:val="false"/>
          <w:i w:val="false"/>
          <w:caps w:val="false"/>
          <w:smallCaps w:val="false"/>
          <w:sz w:val="20"/>
        </w:rPr>
        <w:t>45,000), and a placement agent, which is Tribe Capital Markets,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w:t>
      </w:r>
      <w:bookmarkStart w:id="433" w:name="xdx_90B_eus-gaap--GainsLossesOnExtinguis"/>
      <w:bookmarkEnd w:id="433"/>
      <w:r>
        <w:rPr>
          <w:rFonts w:ascii="Times New Roman;Times;Serif" w:hAnsi="Times New Roman;Times;Serif"/>
          <w:b w:val="false"/>
          <w:i w:val="false"/>
          <w:caps w:val="false"/>
          <w:smallCaps w:val="false"/>
          <w:sz w:val="20"/>
        </w:rPr>
        <w:t>4,824 was recognized upon settlement. During the three months ended March 31, 2022, a total of $</w:t>
      </w:r>
      <w:bookmarkStart w:id="434" w:name="xdx_905_eus-gaap--InterestExpense_pn3n3_"/>
      <w:bookmarkEnd w:id="434"/>
      <w:r>
        <w:rPr>
          <w:rFonts w:ascii="Times New Roman;Times;Serif" w:hAnsi="Times New Roman;Times;Serif"/>
          <w:b w:val="false"/>
          <w:i w:val="false"/>
          <w:caps w:val="false"/>
          <w:smallCaps w:val="false"/>
          <w:sz w:val="20"/>
        </w:rPr>
        <w:t>619 of interest expense was incurred under the debt. Amortization of the debt issuance costs amounted to $</w:t>
      </w:r>
      <w:bookmarkStart w:id="435" w:name="xdx_906_eus-gaap--AmortizationOfFinancin"/>
      <w:bookmarkEnd w:id="435"/>
      <w:r>
        <w:rPr>
          <w:rFonts w:ascii="Times New Roman;Times;Serif" w:hAnsi="Times New Roman;Times;Serif"/>
          <w:b w:val="false"/>
          <w:i w:val="false"/>
          <w:caps w:val="false"/>
          <w:smallCaps w:val="false"/>
          <w:sz w:val="20"/>
        </w:rPr>
        <w:t>613 during the three months ended March 31, 2022.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w:t>
      </w:r>
      <w:bookmarkStart w:id="436" w:name="xdx_902_ecustom--DebtInstrumentAmortizat"/>
      <w:bookmarkEnd w:id="436"/>
      <w:r>
        <w:rPr>
          <w:rFonts w:ascii="Times New Roman;Times;Serif" w:hAnsi="Times New Roman;Times;Serif"/>
          <w:b w:val="false"/>
          <w:i w:val="false"/>
          <w:caps w:val="false"/>
          <w:smallCaps w:val="false"/>
          <w:sz w:val="20"/>
        </w:rPr>
        <w:t>5% per annum (or $</w:t>
      </w:r>
      <w:bookmarkStart w:id="437" w:name="xdx_908_ecustom--DebtInstrumentAmortizat"/>
      <w:bookmarkEnd w:id="437"/>
      <w:r>
        <w:rPr>
          <w:rFonts w:ascii="Times New Roman;Times;Serif" w:hAnsi="Times New Roman;Times;Serif"/>
          <w:b w:val="false"/>
          <w:i w:val="false"/>
          <w:caps w:val="false"/>
          <w:smallCaps w:val="false"/>
          <w:sz w:val="20"/>
        </w:rPr>
        <w:t xml:space="preserve">937.5 on the first day of each calendar quarter) beginning </w:t>
      </w:r>
      <w:bookmarkStart w:id="438" w:name="xdx_904_ecustom--DebtInstrumentAmortizat"/>
      <w:bookmarkEnd w:id="438"/>
      <w:r>
        <w:rPr>
          <w:rFonts w:ascii="Times New Roman;Times;Serif" w:hAnsi="Times New Roman;Times;Serif"/>
          <w:b w:val="false"/>
          <w:i w:val="false"/>
          <w:caps w:val="false"/>
          <w:smallCaps w:val="false"/>
          <w:sz w:val="20"/>
        </w:rPr>
        <w:t xml:space="preserve">24 months after the Closing Date and matures on the fourth anniversary of the Closing Date (“Maturity Date”). The Term Loan accrues interest (i) until April 1, 2023, at a per annum rate equal to the adjusted Secured Overnight Financing Rate (“SOFR”) plus a margin equal to </w:t>
      </w:r>
      <w:bookmarkStart w:id="439" w:name="xdx_906_eus-gaap--DebtInstrumentBasisSpr"/>
      <w:bookmarkEnd w:id="439"/>
      <w:r>
        <w:rPr>
          <w:rFonts w:ascii="Times New Roman;Times;Serif" w:hAnsi="Times New Roman;Times;Serif"/>
          <w:b w:val="false"/>
          <w:i w:val="false"/>
          <w:caps w:val="false"/>
          <w:smallCaps w:val="false"/>
          <w:sz w:val="20"/>
        </w:rPr>
        <w:t xml:space="preserve">13.5%, of which </w:t>
      </w:r>
      <w:bookmarkStart w:id="440" w:name="xdx_900_ecustom--DebtInstrumentBasisSpre"/>
      <w:bookmarkEnd w:id="440"/>
      <w:r>
        <w:rPr>
          <w:rFonts w:ascii="Times New Roman;Times;Serif" w:hAnsi="Times New Roman;Times;Serif"/>
          <w:b w:val="false"/>
          <w:i w:val="false"/>
          <w:caps w:val="false"/>
          <w:smallCaps w:val="false"/>
          <w:sz w:val="20"/>
        </w:rPr>
        <w:t xml:space="preserve">7% will be payable in cash and </w:t>
      </w:r>
      <w:bookmarkStart w:id="441" w:name="xdx_908_ecustom--DebtInstrumentBasisSpre"/>
      <w:bookmarkEnd w:id="441"/>
      <w:r>
        <w:rPr>
          <w:rFonts w:ascii="Times New Roman;Times;Serif" w:hAnsi="Times New Roman;Times;Serif"/>
          <w:b w:val="false"/>
          <w:i w:val="false"/>
          <w:caps w:val="false"/>
          <w:smallCaps w:val="false"/>
          <w:sz w:val="20"/>
        </w:rPr>
        <w:t xml:space="preserve">6.5% will be paid in kind, (ii) thereafter until October 1, 2024, at a per annum rate equal to adjusted SOFR plus </w:t>
      </w:r>
      <w:bookmarkStart w:id="442" w:name="xdx_906_ecustom--DebtInstrumentBasisSpre"/>
      <w:bookmarkEnd w:id="442"/>
      <w:r>
        <w:rPr>
          <w:rFonts w:ascii="Times New Roman;Times;Serif" w:hAnsi="Times New Roman;Times;Serif"/>
          <w:b w:val="false"/>
          <w:i w:val="false"/>
          <w:caps w:val="false"/>
          <w:smallCaps w:val="false"/>
          <w:sz w:val="20"/>
        </w:rPr>
        <w:t xml:space="preserve">7% payable in cash plus an amount ranging from </w:t>
      </w:r>
      <w:bookmarkStart w:id="443" w:name="xdx_906_ecustom--DebtInstrumentBasisSpre"/>
      <w:bookmarkEnd w:id="443"/>
      <w:r>
        <w:rPr>
          <w:rFonts w:ascii="Times New Roman;Times;Serif" w:hAnsi="Times New Roman;Times;Serif"/>
          <w:b w:val="false"/>
          <w:i w:val="false"/>
          <w:caps w:val="false"/>
          <w:smallCaps w:val="false"/>
          <w:sz w:val="20"/>
        </w:rPr>
        <w:t xml:space="preserve">4.5% to </w:t>
      </w:r>
      <w:bookmarkStart w:id="444" w:name="xdx_900_ecustom--DebtInstrumentBasisSpre"/>
      <w:bookmarkEnd w:id="444"/>
      <w:r>
        <w:rPr>
          <w:rFonts w:ascii="Times New Roman;Times;Serif" w:hAnsi="Times New Roman;Times;Serif"/>
          <w:b w:val="false"/>
          <w:i w:val="false"/>
          <w:caps w:val="false"/>
          <w:smallCaps w:val="false"/>
          <w:sz w:val="20"/>
        </w:rPr>
        <w:t xml:space="preserve">6.5%, depending on the senior leverage ratio of the consolidated company, which will be paid in kind and (iii) at all times thereafter, at a per annum rate equal to adjusted SOFR plus a margin ranging from </w:t>
      </w:r>
      <w:bookmarkStart w:id="445" w:name="xdx_90F_ecustom--DebtInstrumentBasisSpre"/>
      <w:bookmarkEnd w:id="445"/>
      <w:r>
        <w:rPr>
          <w:rFonts w:ascii="Times New Roman;Times;Serif" w:hAnsi="Times New Roman;Times;Serif"/>
          <w:b w:val="false"/>
          <w:i w:val="false"/>
          <w:caps w:val="false"/>
          <w:smallCaps w:val="false"/>
          <w:sz w:val="20"/>
        </w:rPr>
        <w:t xml:space="preserve">11.5% to </w:t>
      </w:r>
      <w:bookmarkStart w:id="446" w:name="xdx_90F_ecustom--DebtInstrumentBasisSpre"/>
      <w:bookmarkEnd w:id="446"/>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447" w:name="xdx_900_eus-gaap--DebtInstrumentBasisSpr"/>
      <w:bookmarkEnd w:id="447"/>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a total of $</w:t>
      </w:r>
      <w:bookmarkStart w:id="448" w:name="xdx_907_eus-gaap--InterestExpenseDebtExc"/>
      <w:bookmarkEnd w:id="448"/>
      <w:r>
        <w:rPr>
          <w:rFonts w:ascii="Times New Roman;Times;Serif" w:hAnsi="Times New Roman;Times;Serif"/>
          <w:b w:val="false"/>
          <w:i w:val="false"/>
          <w:caps w:val="false"/>
          <w:smallCaps w:val="false"/>
          <w:sz w:val="20"/>
        </w:rPr>
        <w:t>3,496 of interest expense was incurred under the debt. Amortization of the debt issuance costs amounted to $</w:t>
      </w:r>
      <w:bookmarkStart w:id="449" w:name="xdx_908_eus-gaap--AmortizationOfFinancin"/>
      <w:bookmarkEnd w:id="449"/>
      <w:r>
        <w:rPr>
          <w:rFonts w:ascii="Times New Roman;Times;Serif" w:hAnsi="Times New Roman;Times;Serif"/>
          <w:b w:val="false"/>
          <w:i w:val="false"/>
          <w:caps w:val="false"/>
          <w:smallCaps w:val="false"/>
          <w:sz w:val="20"/>
        </w:rPr>
        <w:t>219 during the three months ended March 31, 2023. The carrying balance of $</w:t>
      </w:r>
      <w:bookmarkStart w:id="450" w:name="xdx_903_eus-gaap--LongTermDebt_iI_pn3n3_"/>
      <w:bookmarkEnd w:id="450"/>
      <w:r>
        <w:rPr>
          <w:rFonts w:ascii="Times New Roman;Times;Serif" w:hAnsi="Times New Roman;Times;Serif"/>
          <w:b w:val="false"/>
          <w:i w:val="false"/>
          <w:caps w:val="false"/>
          <w:smallCaps w:val="false"/>
          <w:sz w:val="20"/>
        </w:rPr>
        <w:t>20,699 on March 31, 2023 consisted of $</w:t>
      </w:r>
      <w:bookmarkStart w:id="451" w:name="xdx_90F_eus-gaap--DebtInstrumentFaceAmou"/>
      <w:bookmarkEnd w:id="451"/>
      <w:r>
        <w:rPr>
          <w:rFonts w:ascii="Times New Roman;Times;Serif" w:hAnsi="Times New Roman;Times;Serif"/>
          <w:b w:val="false"/>
          <w:i w:val="false"/>
          <w:caps w:val="false"/>
          <w:smallCaps w:val="false"/>
          <w:sz w:val="20"/>
        </w:rPr>
        <w:t>75,000 in principal, plus $</w:t>
      </w:r>
      <w:bookmarkStart w:id="452" w:name="xdx_90B_eus-gaap--PaidInKindInterest_pn3"/>
      <w:bookmarkEnd w:id="452"/>
      <w:r>
        <w:rPr>
          <w:rFonts w:ascii="Times New Roman;Times;Serif" w:hAnsi="Times New Roman;Times;Serif"/>
          <w:b w:val="false"/>
          <w:i w:val="false"/>
          <w:caps w:val="false"/>
          <w:smallCaps w:val="false"/>
          <w:sz w:val="20"/>
        </w:rPr>
        <w:t>2,430 PIK interest, less $</w:t>
      </w:r>
      <w:bookmarkStart w:id="453" w:name="xdx_90B_eus-gaap--DeferredFinanceCostsNe"/>
      <w:bookmarkEnd w:id="453"/>
      <w:r>
        <w:rPr>
          <w:rFonts w:ascii="Times New Roman;Times;Serif" w:hAnsi="Times New Roman;Times;Serif"/>
          <w:b w:val="false"/>
          <w:i w:val="false"/>
          <w:caps w:val="false"/>
          <w:smallCaps w:val="false"/>
          <w:sz w:val="20"/>
        </w:rPr>
        <w:t>56,731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Maximum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4" w:name="xdx_900_eus-gaap--DebtInstrumentDescript"/>
      <w:bookmarkEnd w:id="454"/>
      <w:r>
        <w:rPr>
          <w:rFonts w:ascii="Times New Roman;Times;Serif" w:hAnsi="Times New Roman;Times;Serif"/>
          <w:b w:val="false"/>
          <w:i w:val="false"/>
          <w:caps w:val="false"/>
          <w:smallCaps w:val="false"/>
          <w:sz w:val="20"/>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5" w:name="xdx_8B5_zQNzMQ9BaYlj"/>
      <w:bookmarkStart w:id="456" w:name="xdx_895_ecustom--ScheduleOfLeverageRatio"/>
      <w:bookmarkEnd w:id="455"/>
      <w:bookmarkEnd w:id="456"/>
      <w:r>
        <w:rPr>
          <w:rFonts w:ascii="Times New Roman;Times;Serif" w:hAnsi="Times New Roman;Times;Serif"/>
          <w:b w:val="false"/>
          <w:i w:val="false"/>
          <w:caps w:val="false"/>
          <w:smallCaps w:val="false"/>
          <w:sz w:val="20"/>
        </w:rPr>
        <w:t>SCHEDULE OF LEVERAGE RATION </w:t>
      </w:r>
    </w:p>
    <w:tbl>
      <w:tblPr>
        <w:tblW w:w="5155" w:type="dxa"/>
        <w:jc w:val="left"/>
        <w:tblInd w:w="0" w:type="dxa"/>
        <w:tblLayout w:type="fixed"/>
        <w:tblCellMar>
          <w:top w:w="0" w:type="dxa"/>
          <w:left w:w="0" w:type="dxa"/>
          <w:bottom w:w="28" w:type="dxa"/>
          <w:right w:w="0" w:type="dxa"/>
        </w:tblCellMar>
      </w:tblPr>
      <w:tblGrid>
        <w:gridCol w:w="3620"/>
        <w:gridCol w:w="60"/>
        <w:gridCol w:w="60"/>
        <w:gridCol w:w="1340"/>
        <w:gridCol w:w="75"/>
      </w:tblGrid>
      <w:tr>
        <w:trPr/>
        <w:tc>
          <w:tcPr>
            <w:tcW w:w="3620" w:type="dxa"/>
            <w:tcBorders>
              <w:bottom w:val="single" w:sz="12" w:space="0" w:color="000000"/>
            </w:tcBorders>
            <w:shd w:fill="FFFFFF" w:val="clear"/>
            <w:vAlign w:val="center"/>
          </w:tcPr>
          <w:p>
            <w:pPr>
              <w:pStyle w:val="TableContents"/>
              <w:bidi w:val="0"/>
              <w:spacing w:before="0" w:after="283"/>
              <w:jc w:val="left"/>
              <w:rPr>
                <w:b/>
              </w:rPr>
            </w:pPr>
            <w:r>
              <w:rPr>
                <w:b/>
              </w:rPr>
              <w:t>Test Period 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Leverage Ratio</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2022 -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57" w:name="xdx_90D_eus-gaap--DebtInstrumentDescript"/>
            <w:bookmarkEnd w:id="457"/>
            <w:r>
              <w:rPr>
                <w:rFonts w:ascii="Times New Roman;Times;Serif" w:hAnsi="Times New Roman;Times;Serif"/>
                <w:sz w:val="20"/>
              </w:rPr>
              <w:t>6.75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58" w:name="xdx_90B_eus-gaap--DebtInstrumentDescript"/>
            <w:bookmarkEnd w:id="458"/>
            <w:r>
              <w:rPr>
                <w:rFonts w:ascii="Times New Roman;Times;Serif" w:hAnsi="Times New Roman;Times;Serif"/>
                <w:sz w:val="20"/>
              </w:rPr>
              <w:t>6.00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2023 - 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59" w:name="xdx_907_eus-gaap--DebtInstrumentDescript"/>
            <w:bookmarkEnd w:id="459"/>
            <w:r>
              <w:rPr>
                <w:rFonts w:ascii="Times New Roman;Times;Serif" w:hAnsi="Times New Roman;Times;Serif"/>
                <w:sz w:val="20"/>
              </w:rPr>
              <w:t>5.00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2024 - 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60" w:name="xdx_906_eus-gaap--DebtInstrumentDescript"/>
            <w:bookmarkEnd w:id="460"/>
            <w:r>
              <w:rPr>
                <w:rFonts w:ascii="Times New Roman;Times;Serif" w:hAnsi="Times New Roman;Times;Serif"/>
                <w:sz w:val="20"/>
              </w:rPr>
              <w:t>4.00 to 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December 31, 2024 -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61" w:name="xdx_904_eus-gaap--DebtInstrumentDescript"/>
            <w:bookmarkEnd w:id="461"/>
            <w:r>
              <w:rPr>
                <w:rFonts w:ascii="Times New Roman;Times;Serif" w:hAnsi="Times New Roman;Times;Serif"/>
                <w:sz w:val="20"/>
              </w:rPr>
              <w:t>3.25 to 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283"/>
              <w:jc w:val="left"/>
              <w:rPr/>
            </w:pPr>
            <w:r>
              <w:rPr/>
              <w:t>June 30, 2025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62" w:name="xdx_908_eus-gaap--DebtInstrumentDescript"/>
            <w:bookmarkEnd w:id="462"/>
            <w:r>
              <w:rPr>
                <w:rFonts w:ascii="Times New Roman;Times;Serif" w:hAnsi="Times New Roman;Times;Serif"/>
                <w:sz w:val="20"/>
              </w:rPr>
              <w:t>3.00 to 1.00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63" w:name="xdx_8AD_zM5n48DAKQL7"/>
      <w:bookmarkEnd w:id="46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4" w:name="xdx_90C_ecustom--LiquidityDescription_c2"/>
      <w:bookmarkEnd w:id="464"/>
      <w:r>
        <w:rPr>
          <w:rFonts w:ascii="Times New Roman;Times;Serif" w:hAnsi="Times New Roman;Times;Serif"/>
          <w:b w:val="false"/>
          <w:i w:val="false"/>
          <w:caps w:val="false"/>
          <w:smallCaps w:val="false"/>
          <w:sz w:val="20"/>
        </w:rPr>
        <w:t>The Company shall not permit their Liquidity (determined on a consolidated basis) to be less than $10,000 as of the last day of each fiscal month (commencing with month ending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Fixed Charge Coverage Ratio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5" w:name="xdx_900_ecustom--FixedChargeCoverageRati"/>
      <w:bookmarkEnd w:id="465"/>
      <w:r>
        <w:rPr>
          <w:rFonts w:ascii="Times New Roman;Times;Serif" w:hAnsi="Times New Roman;Times;Serif"/>
          <w:b w:val="false"/>
          <w:i w:val="false"/>
          <w:caps w:val="false"/>
          <w:smallCaps w:val="false"/>
          <w:sz w:val="20"/>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6" w:name="xdx_907_ecustom--CapitalExpendituresDesc"/>
      <w:bookmarkEnd w:id="466"/>
      <w:r>
        <w:rPr>
          <w:rFonts w:ascii="Times New Roman;Times;Serif" w:hAnsi="Times New Roman;Times;Serif"/>
          <w:b w:val="false"/>
          <w:i w:val="false"/>
          <w:caps w:val="false"/>
          <w:smallCaps w:val="false"/>
          <w:sz w:val="20"/>
        </w:rPr>
        <w:t>If consolidated EBITDA for the trailing twelve month period ending on the most recently completed fiscal quarter is less than $15,000, then the level of capital expenditures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obtained a waiver from Alter Domus (US) LLC, as administrative agent for the lenders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7" w:name="xdx_89A_eus-gaap--ScheduleOfMaturitiesOf"/>
      <w:bookmarkEnd w:id="467"/>
      <w:r>
        <w:rPr>
          <w:rFonts w:ascii="Times New Roman;Times;Serif" w:hAnsi="Times New Roman;Times;Serif"/>
          <w:b w:val="false"/>
          <w:i w:val="false"/>
          <w:caps w:val="false"/>
          <w:smallCaps w:val="false"/>
          <w:sz w:val="20"/>
        </w:rPr>
        <w:t>At March 31, 2023, the future debt maturities, based on contractual principal payments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8" w:name="xdx_8BD_zRiJ2Y8aDuKj"/>
      <w:bookmarkEnd w:id="468"/>
      <w:r>
        <w:rPr>
          <w:rFonts w:ascii="Times New Roman;Times;Serif" w:hAnsi="Times New Roman;Times;Serif"/>
          <w:b w:val="false"/>
          <w:i w:val="false"/>
          <w:caps w:val="false"/>
          <w:smallCaps w:val="false"/>
          <w:sz w:val="20"/>
        </w:rPr>
        <w:t>SCHEDULE OF FUTURE DEBT MATURITIES </w:t>
      </w:r>
    </w:p>
    <w:tbl>
      <w:tblPr>
        <w:tblW w:w="5870" w:type="dxa"/>
        <w:jc w:val="left"/>
        <w:tblInd w:w="0" w:type="dxa"/>
        <w:tblLayout w:type="fixed"/>
        <w:tblCellMar>
          <w:top w:w="0" w:type="dxa"/>
          <w:left w:w="0" w:type="dxa"/>
          <w:bottom w:w="0" w:type="dxa"/>
          <w:right w:w="0" w:type="dxa"/>
        </w:tblCellMar>
      </w:tblPr>
      <w:tblGrid>
        <w:gridCol w:w="4805"/>
        <w:gridCol w:w="60"/>
        <w:gridCol w:w="140"/>
        <w:gridCol w:w="755"/>
        <w:gridCol w:w="110"/>
      </w:tblGrid>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69" w:name="xdx_49A_20230331_zLhuXyVYbPIl"/>
            <w:bookmarkEnd w:id="469"/>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For Year Ended December 31,</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470" w:name="xdx_408_eus-gaap--LongTermDebtMaturities"/>
            <w:bookmarkEnd w:id="470"/>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2023 </w:t>
            </w:r>
            <w:bookmarkStart w:id="471" w:name="xdx_F4E_zjgDSMGwxmrd"/>
            <w:bookmarkEnd w:id="471"/>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72" w:name="xdx_40E_eus-gaap--LongTermDebtMaturities"/>
            <w:bookmarkEnd w:id="472"/>
          </w:p>
        </w:tc>
      </w:tr>
      <w:tr>
        <w:trPr/>
        <w:tc>
          <w:tcPr>
            <w:tcW w:w="4805"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938</w:t>
            </w:r>
          </w:p>
        </w:tc>
        <w:tc>
          <w:tcPr>
            <w:tcW w:w="110" w:type="dxa"/>
            <w:tcBorders/>
            <w:shd w:fill="CCEEFF" w:val="clear"/>
            <w:vAlign w:val="center"/>
          </w:tcPr>
          <w:p>
            <w:pPr>
              <w:pStyle w:val="TableContents"/>
              <w:bidi w:val="0"/>
              <w:spacing w:before="0" w:after="283"/>
              <w:jc w:val="left"/>
              <w:rPr/>
            </w:pPr>
            <w:r>
              <w:rPr/>
              <w:t> </w:t>
            </w:r>
            <w:bookmarkStart w:id="473" w:name="xdx_404_eus-gaap--LongTermDebtMaturities"/>
            <w:bookmarkEnd w:id="473"/>
          </w:p>
        </w:tc>
      </w:tr>
      <w:tr>
        <w:trPr/>
        <w:tc>
          <w:tcPr>
            <w:tcW w:w="480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w:t>
            </w:r>
          </w:p>
        </w:tc>
        <w:tc>
          <w:tcPr>
            <w:tcW w:w="110" w:type="dxa"/>
            <w:tcBorders/>
            <w:shd w:fill="FFFFFF" w:val="clear"/>
            <w:vAlign w:val="center"/>
          </w:tcPr>
          <w:p>
            <w:pPr>
              <w:pStyle w:val="TableContents"/>
              <w:bidi w:val="0"/>
              <w:spacing w:before="0" w:after="283"/>
              <w:jc w:val="left"/>
              <w:rPr/>
            </w:pPr>
            <w:r>
              <w:rPr/>
              <w:t> </w:t>
            </w:r>
            <w:bookmarkStart w:id="474" w:name="xdx_402_eus-gaap--LongTermDebtMaturities"/>
            <w:bookmarkEnd w:id="474"/>
          </w:p>
        </w:tc>
      </w:tr>
      <w:tr>
        <w:trPr/>
        <w:tc>
          <w:tcPr>
            <w:tcW w:w="480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91,775</w:t>
            </w:r>
          </w:p>
        </w:tc>
        <w:tc>
          <w:tcPr>
            <w:tcW w:w="110" w:type="dxa"/>
            <w:tcBorders/>
            <w:shd w:fill="CCEEFF" w:val="clear"/>
            <w:vAlign w:val="center"/>
          </w:tcPr>
          <w:p>
            <w:pPr>
              <w:pStyle w:val="TableContents"/>
              <w:bidi w:val="0"/>
              <w:spacing w:before="0" w:after="283"/>
              <w:jc w:val="left"/>
              <w:rPr/>
            </w:pPr>
            <w:r>
              <w:rPr/>
              <w:t> </w:t>
            </w:r>
            <w:bookmarkStart w:id="475" w:name="xdx_408_ecustom--LongTermDebtMaturitiesR"/>
            <w:bookmarkEnd w:id="475"/>
          </w:p>
        </w:tc>
      </w:tr>
      <w:tr>
        <w:trPr/>
        <w:tc>
          <w:tcPr>
            <w:tcW w:w="48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96,463</w:t>
            </w:r>
          </w:p>
        </w:tc>
        <w:tc>
          <w:tcPr>
            <w:tcW w:w="110" w:type="dxa"/>
            <w:tcBorders/>
            <w:shd w:fill="FFFFFF" w:val="clear"/>
            <w:vAlign w:val="center"/>
          </w:tcPr>
          <w:p>
            <w:pPr>
              <w:pStyle w:val="TableContents"/>
              <w:bidi w:val="0"/>
              <w:spacing w:before="0" w:after="283"/>
              <w:jc w:val="left"/>
              <w:rPr/>
            </w:pPr>
            <w:r>
              <w:rPr/>
              <w:t> </w:t>
            </w:r>
            <w:bookmarkStart w:id="476" w:name="xdx_402_ecustom--EstimatedInterestPaidin"/>
            <w:bookmarkEnd w:id="476"/>
          </w:p>
        </w:tc>
      </w:tr>
      <w:tr>
        <w:trPr/>
        <w:tc>
          <w:tcPr>
            <w:tcW w:w="4805" w:type="dxa"/>
            <w:tcBorders/>
            <w:shd w:fill="CCEEFF" w:val="clear"/>
            <w:vAlign w:val="center"/>
          </w:tcPr>
          <w:p>
            <w:pPr>
              <w:pStyle w:val="TableContents"/>
              <w:bidi w:val="0"/>
              <w:spacing w:before="0" w:after="283"/>
              <w:jc w:val="left"/>
              <w:rPr/>
            </w:pPr>
            <w:r>
              <w:rPr/>
              <w:t>Less: Estimated interest paid-in-kind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(19,033</w:t>
            </w:r>
          </w:p>
        </w:tc>
        <w:tc>
          <w:tcPr>
            <w:tcW w:w="110" w:type="dxa"/>
            <w:tcBorders/>
            <w:shd w:fill="CCEEFF" w:val="clear"/>
            <w:vAlign w:val="center"/>
          </w:tcPr>
          <w:p>
            <w:pPr>
              <w:pStyle w:val="TableContents"/>
              <w:bidi w:val="0"/>
              <w:spacing w:before="0" w:after="283"/>
              <w:jc w:val="left"/>
              <w:rPr/>
            </w:pPr>
            <w:r>
              <w:rPr/>
              <w:t>)</w:t>
            </w:r>
            <w:bookmarkStart w:id="477" w:name="xdx_401_eus-gaap--LongTermDebt_iTI_pn3n3"/>
            <w:bookmarkEnd w:id="477"/>
          </w:p>
        </w:tc>
      </w:tr>
      <w:tr>
        <w:trPr/>
        <w:tc>
          <w:tcPr>
            <w:tcW w:w="4805"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77,430</w:t>
            </w:r>
          </w:p>
        </w:tc>
        <w:tc>
          <w:tcPr>
            <w:tcW w:w="110" w:type="dxa"/>
            <w:tcBorders/>
            <w:shd w:fill="FFFFFF" w:val="clear"/>
            <w:vAlign w:val="center"/>
          </w:tcPr>
          <w:p>
            <w:pPr>
              <w:pStyle w:val="TableContents"/>
              <w:bidi w:val="0"/>
              <w:spacing w:before="0" w:after="283"/>
              <w:jc w:val="left"/>
              <w:rPr/>
            </w:pPr>
            <w:r>
              <w:rPr/>
              <w:t> </w:t>
            </w:r>
            <w:bookmarkStart w:id="478" w:name="xdx_407_eus-gaap--DeferredFinanceCostsNe"/>
            <w:bookmarkEnd w:id="478"/>
          </w:p>
        </w:tc>
      </w:tr>
      <w:tr>
        <w:trPr/>
        <w:tc>
          <w:tcPr>
            <w:tcW w:w="4805" w:type="dxa"/>
            <w:tcBorders/>
            <w:shd w:fill="CCEEFF" w:val="clear"/>
            <w:vAlign w:val="center"/>
          </w:tcPr>
          <w:p>
            <w:pPr>
              <w:pStyle w:val="TableContents"/>
              <w:bidi w:val="0"/>
              <w:spacing w:before="0" w:after="283"/>
              <w:jc w:val="left"/>
              <w:rPr/>
            </w:pPr>
            <w:r>
              <w:rPr/>
              <w:t>Less: Unamortized debt issuance costs,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(56,731</w:t>
            </w:r>
          </w:p>
        </w:tc>
        <w:tc>
          <w:tcPr>
            <w:tcW w:w="110" w:type="dxa"/>
            <w:tcBorders/>
            <w:shd w:fill="CCEEFF" w:val="clear"/>
            <w:vAlign w:val="center"/>
          </w:tcPr>
          <w:p>
            <w:pPr>
              <w:pStyle w:val="TableContents"/>
              <w:bidi w:val="0"/>
              <w:spacing w:before="0" w:after="283"/>
              <w:jc w:val="left"/>
              <w:rPr/>
            </w:pPr>
            <w:r>
              <w:rPr/>
              <w:t>)</w:t>
            </w:r>
            <w:bookmarkStart w:id="479" w:name="xdx_40F_eus-gaap--DebtInstrumentCarrying"/>
            <w:bookmarkEnd w:id="479"/>
          </w:p>
        </w:tc>
      </w:tr>
      <w:tr>
        <w:trPr/>
        <w:tc>
          <w:tcPr>
            <w:tcW w:w="4805" w:type="dxa"/>
            <w:tcBorders/>
            <w:shd w:fill="FFFFFF" w:val="clear"/>
            <w:vAlign w:val="center"/>
          </w:tcPr>
          <w:p>
            <w:pPr>
              <w:pStyle w:val="TableContents"/>
              <w:bidi w:val="0"/>
              <w:spacing w:before="0" w:after="283"/>
              <w:jc w:val="left"/>
              <w:rPr/>
            </w:pPr>
            <w:r>
              <w:rPr/>
              <w:t>Total 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20,699</w:t>
            </w:r>
          </w:p>
        </w:tc>
        <w:tc>
          <w:tcPr>
            <w:tcW w:w="110" w:type="dxa"/>
            <w:tcBorders/>
            <w:shd w:fill="FFFFFF" w:val="clear"/>
            <w:vAlign w:val="center"/>
          </w:tcPr>
          <w:p>
            <w:pPr>
              <w:pStyle w:val="TableContents"/>
              <w:bidi w:val="0"/>
              <w:spacing w:before="0" w:after="283"/>
              <w:jc w:val="left"/>
              <w:rPr/>
            </w:pPr>
            <w:r>
              <w:rPr/>
              <w:t> </w:t>
            </w:r>
            <w:bookmarkStart w:id="480" w:name="xdx_407_eus-gaap--LongTermDebtCurrent_iN"/>
            <w:bookmarkEnd w:id="480"/>
          </w:p>
        </w:tc>
      </w:tr>
      <w:tr>
        <w:trPr/>
        <w:tc>
          <w:tcPr>
            <w:tcW w:w="4805" w:type="dxa"/>
            <w:tcBorders/>
            <w:shd w:fill="CCEEFF" w:val="clear"/>
            <w:vAlign w:val="center"/>
          </w:tcPr>
          <w:p>
            <w:pPr>
              <w:pStyle w:val="TableContents"/>
              <w:bidi w:val="0"/>
              <w:spacing w:before="0" w:after="283"/>
              <w:jc w:val="left"/>
              <w:rPr/>
            </w:pPr>
            <w:r>
              <w:rPr/>
              <w:t>Less: Current portion of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(20,699</w:t>
            </w:r>
          </w:p>
        </w:tc>
        <w:tc>
          <w:tcPr>
            <w:tcW w:w="110" w:type="dxa"/>
            <w:tcBorders/>
            <w:shd w:fill="CCEEFF" w:val="clear"/>
            <w:vAlign w:val="center"/>
          </w:tcPr>
          <w:p>
            <w:pPr>
              <w:pStyle w:val="TableContents"/>
              <w:bidi w:val="0"/>
              <w:spacing w:before="0" w:after="283"/>
              <w:jc w:val="left"/>
              <w:rPr/>
            </w:pPr>
            <w:r>
              <w:rPr/>
              <w:t>)</w:t>
            </w:r>
            <w:bookmarkStart w:id="481" w:name="xdx_401_eus-gaap--LongTermDebtNoncurrent"/>
            <w:bookmarkEnd w:id="481"/>
          </w:p>
        </w:tc>
      </w:tr>
      <w:tr>
        <w:trPr/>
        <w:tc>
          <w:tcPr>
            <w:tcW w:w="4805" w:type="dxa"/>
            <w:tcBorders/>
            <w:shd w:fill="FFFFFF" w:val="clear"/>
            <w:vAlign w:val="center"/>
          </w:tcPr>
          <w:p>
            <w:pPr>
              <w:pStyle w:val="TableContents"/>
              <w:bidi w:val="0"/>
              <w:spacing w:before="0" w:after="283"/>
              <w:jc w:val="left"/>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82" w:name="xdx_F04_zNFlD67V8a8a"/>
            <w:bookmarkEnd w:id="482"/>
            <w:r>
              <w:rPr>
                <w:rFonts w:ascii="Times New Roman;Times;Serif" w:hAnsi="Times New Roman;Times;Serif"/>
                <w:b w:val="false"/>
                <w:i w:val="false"/>
                <w:caps w:val="false"/>
                <w:smallCaps w:val="false"/>
                <w:sz w:val="20"/>
              </w:rPr>
              <w:t>(1)</w:t>
            </w:r>
          </w:p>
        </w:tc>
        <w:tc>
          <w:tcPr>
            <w:tcW w:w="7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83" w:name="xdx_F1B_z2jRjrZrunc8"/>
            <w:bookmarkEnd w:id="483"/>
            <w:r>
              <w:rPr>
                <w:rFonts w:ascii="Times New Roman;Times;Serif" w:hAnsi="Times New Roman;Times;Serif"/>
                <w:b w:val="false"/>
                <w:i w:val="false"/>
                <w:caps w:val="false"/>
                <w:smallCaps w:val="false"/>
                <w:sz w:val="20"/>
              </w:rPr>
              <w:t>Represents scheduled payments for the remaining nine-month period ending December 31, 2023</w:t>
            </w:r>
          </w:p>
        </w:tc>
      </w:tr>
    </w:tbl>
    <w:p>
      <w:pPr>
        <w:pStyle w:val="TextBody"/>
        <w:bidi w:val="0"/>
        <w:spacing w:before="0" w:after="0"/>
        <w:ind w:left="0" w:right="0" w:hanging="0"/>
        <w:jc w:val="both"/>
        <w:rPr>
          <w:caps w:val="false"/>
          <w:smallCaps w:val="false"/>
        </w:rPr>
      </w:pPr>
      <w:bookmarkStart w:id="484" w:name="xdx_8A8_zxd2jxCvdWP2"/>
      <w:bookmarkEnd w:id="48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85" w:name="xdx_801_eus-gaap--AssetAcquisitionTextBl"/>
      <w:bookmarkEnd w:id="485"/>
      <w:r>
        <w:rPr>
          <w:rFonts w:ascii="Times New Roman;Times;Serif" w:hAnsi="Times New Roman;Times;Serif"/>
          <w:b/>
          <w:i w:val="false"/>
          <w:caps/>
          <w:sz w:val="20"/>
        </w:rPr>
        <w:t xml:space="preserve">NOTE 7 - </w:t>
      </w:r>
      <w:bookmarkStart w:id="486" w:name="xdx_82C_zTUtulXWmgj3"/>
      <w:bookmarkEnd w:id="486"/>
      <w:r>
        <w:rPr>
          <w:rFonts w:ascii="Times New Roman;Times;Serif" w:hAnsi="Times New Roman;Times;Serif"/>
          <w:b/>
          <w:i w:val="false"/>
          <w:caps/>
          <w:sz w:val="20"/>
        </w:rPr>
        <w:t>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Bourns Production,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w:t>
      </w:r>
      <w:bookmarkStart w:id="487" w:name="xdx_905_eus-gaap--AssetAcquisitionConsid"/>
      <w:bookmarkEnd w:id="487"/>
      <w:r>
        <w:rPr>
          <w:rFonts w:ascii="Times New Roman;Times;Serif" w:hAnsi="Times New Roman;Times;Serif"/>
          <w:b w:val="false"/>
          <w:i w:val="false"/>
          <w:caps w:val="false"/>
          <w:smallCaps w:val="false"/>
          <w:sz w:val="20"/>
        </w:rPr>
        <w:t>197 which approximated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(the “April 2022 Asset Purchase Agreement”) with William Thomason, Richard Jones, and Thomason Jones Company, LLC (“Thomason Jones”) whereby the Company acquired inventory and intellectual property assets for up to $</w:t>
      </w:r>
      <w:bookmarkStart w:id="488" w:name="xdx_908_eus-gaap--AssetAcquisitionConsid"/>
      <w:bookmarkEnd w:id="488"/>
      <w:r>
        <w:rPr>
          <w:rFonts w:ascii="Times New Roman;Times;Serif" w:hAnsi="Times New Roman;Times;Serif"/>
          <w:b w:val="false"/>
          <w:i w:val="false"/>
          <w:caps w:val="false"/>
          <w:smallCaps w:val="false"/>
          <w:sz w:val="20"/>
        </w:rPr>
        <w:t>700 cash plus contingent payments of $</w:t>
      </w:r>
      <w:bookmarkStart w:id="489" w:name="xdx_905_eus-gaap--AssetAcquisitionConsid"/>
      <w:bookmarkEnd w:id="489"/>
      <w:r>
        <w:rPr>
          <w:rFonts w:ascii="Times New Roman;Times;Serif" w:hAnsi="Times New Roman;Times;Serif"/>
          <w:b w:val="false"/>
          <w:i w:val="false"/>
          <w:caps w:val="false"/>
          <w:smallCaps w:val="false"/>
          <w:sz w:val="20"/>
        </w:rPr>
        <w:t>1,000 each to William Thomason and Richard Jones (the “Earn Out”). The Company determined the contingent consideration to be recognized as contingent compensation to Mr. Thomason and Mr. Jones. The Company concluded the purchase price to be $</w:t>
      </w:r>
      <w:bookmarkStart w:id="490" w:name="xdx_901_eus-gaap--AssetAcquisitionConsid"/>
      <w:bookmarkEnd w:id="490"/>
      <w:r>
        <w:rPr>
          <w:rFonts w:ascii="Times New Roman;Times;Serif" w:hAnsi="Times New Roman;Times;Serif"/>
          <w:b w:val="false"/>
          <w:i w:val="false"/>
          <w:caps w:val="false"/>
          <w:smallCaps w:val="false"/>
          <w:sz w:val="20"/>
        </w:rPr>
        <w:t>444 and was allocated in its entirety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twenty-four months of the Agreement the Company realizes $</w:t>
      </w:r>
      <w:bookmarkStart w:id="491" w:name="xdx_90B_eus-gaap--Revenues_pn3n3_c202301"/>
      <w:bookmarkEnd w:id="491"/>
      <w:r>
        <w:rPr>
          <w:rFonts w:ascii="Times New Roman;Times;Serif" w:hAnsi="Times New Roman;Times;Serif"/>
          <w:b w:val="false"/>
          <w:i w:val="false"/>
          <w:caps w:val="false"/>
          <w:smallCaps w:val="false"/>
          <w:sz w:val="20"/>
        </w:rPr>
        <w:t>3,000 in gross sales of product either (a) sold under the Wakespeed brand and/or (b) which incorporates any portion of Purchased IP as listed within the agreement, then the Company will pay to Thomason and Jones each the amount of $</w:t>
      </w:r>
      <w:bookmarkStart w:id="492" w:name="xdx_907_eus-gaap--OtherLiabilities_iI_pn"/>
      <w:bookmarkEnd w:id="492"/>
      <w:r>
        <w:rPr>
          <w:rFonts w:ascii="Times New Roman;Times;Serif" w:hAnsi="Times New Roman;Times;Serif"/>
          <w:b w:val="false"/>
          <w:i w:val="false"/>
          <w:caps w:val="false"/>
          <w:smallCaps w:val="false"/>
          <w:sz w:val="20"/>
        </w:rPr>
        <w:t>1,000 as soon as reasonably practicable. This payment may be made in cash or common stock, in the sole discretion of the Company. As a result, the Company determined that a liability should be recorded ratably over the 24 month period. The Company recognized immediate compensation expense within sales and marketing of $</w:t>
      </w:r>
      <w:bookmarkStart w:id="493" w:name="xdx_907_eus-gaap--SellingAndMarketingExp"/>
      <w:bookmarkEnd w:id="493"/>
      <w:r>
        <w:rPr>
          <w:rFonts w:ascii="Times New Roman;Times;Serif" w:hAnsi="Times New Roman;Times;Serif"/>
          <w:b w:val="false"/>
          <w:i w:val="false"/>
          <w:caps w:val="false"/>
          <w:smallCaps w:val="false"/>
          <w:sz w:val="20"/>
        </w:rPr>
        <w:t>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an accrual related to the Earn Out in the amount of $</w:t>
      </w:r>
      <w:bookmarkStart w:id="494" w:name="xdx_900_eus-gaap--AccruedLiabilitiesAndO"/>
      <w:bookmarkEnd w:id="494"/>
      <w:r>
        <w:rPr>
          <w:rFonts w:ascii="Times New Roman;Times;Serif" w:hAnsi="Times New Roman;Times;Serif"/>
          <w:b w:val="false"/>
          <w:i w:val="false"/>
          <w:caps w:val="false"/>
          <w:smallCaps w:val="false"/>
          <w:sz w:val="20"/>
        </w:rPr>
        <w:t>1,147 and $</w:t>
      </w:r>
      <w:bookmarkStart w:id="495" w:name="xdx_908_eus-gaap--AccruedLiabilitiesAndO"/>
      <w:bookmarkEnd w:id="495"/>
      <w:r>
        <w:rPr>
          <w:rFonts w:ascii="Times New Roman;Times;Serif" w:hAnsi="Times New Roman;Times;Serif"/>
          <w:b w:val="false"/>
          <w:i w:val="false"/>
          <w:caps w:val="false"/>
          <w:smallCaps w:val="false"/>
          <w:sz w:val="20"/>
        </w:rPr>
        <w:t>782 as of March 31, 2023 and December 31, 2022.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96" w:name="xdx_800_eus-gaap--RelatedPartyTransactio"/>
      <w:bookmarkEnd w:id="496"/>
      <w:r>
        <w:rPr>
          <w:rFonts w:ascii="Times New Roman;Times;Serif" w:hAnsi="Times New Roman;Times;Serif"/>
          <w:b/>
          <w:i w:val="false"/>
          <w:caps/>
          <w:sz w:val="20"/>
        </w:rPr>
        <w:t xml:space="preserve">NOTE 8 - </w:t>
      </w:r>
      <w:bookmarkStart w:id="497" w:name="xdx_82A_zFVWfVdygwi3"/>
      <w:bookmarkEnd w:id="497"/>
      <w:r>
        <w:rPr>
          <w:rFonts w:ascii="Times New Roman;Times;Serif" w:hAnsi="Times New Roman;Times;Serif"/>
          <w:b/>
          <w:i w:val="false"/>
          <w:caps/>
          <w:sz w:val="20"/>
        </w:rPr>
        <w:t>RELATED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loaned its Chief Financial Officer $</w:t>
      </w:r>
      <w:bookmarkStart w:id="498" w:name="xdx_902_eus-gaap--RelatedPartyTransactio"/>
      <w:bookmarkEnd w:id="498"/>
      <w:r>
        <w:rPr>
          <w:rFonts w:ascii="Times New Roman;Times;Serif" w:hAnsi="Times New Roman;Times;Serif"/>
          <w:b w:val="false"/>
          <w:i w:val="false"/>
          <w:caps w:val="false"/>
          <w:smallCaps w:val="false"/>
          <w:sz w:val="20"/>
        </w:rPr>
        <w:t>469 to repay amounts owed by him to his former employer and entered into a related Promissory Note with a maturity date of March 1, 2026. The loan was forgiven in full in March of 2022 and was recorded within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(“COO”). As consideration for the COO’s execution of the agreement, the Company agreed to pay the employee a lump sum payment of $</w:t>
      </w:r>
      <w:bookmarkStart w:id="499" w:name="xdx_90F_eus-gaap--RelatedPartyTransactio"/>
      <w:bookmarkEnd w:id="499"/>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500" w:name="xdx_90D_eus-gaap--OtherLiabilities_iI_pn"/>
      <w:bookmarkEnd w:id="500"/>
      <w:r>
        <w:rPr>
          <w:rFonts w:ascii="Times New Roman;Times;Serif" w:hAnsi="Times New Roman;Times;Serif"/>
          <w:b w:val="false"/>
          <w:i w:val="false"/>
          <w:caps w:val="false"/>
          <w:smallCaps w:val="false"/>
          <w:sz w:val="20"/>
        </w:rPr>
        <w:t>1,000 divided into 24 monthly payments commencing on December 1, 2022, and all outstanding equity-based compensation awards to become fully vested and exercisable. The COO shall have 12 months from the termination date to exercise 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ownership of a Company van was transferred to the former COO in connection with his severance. The Company accounted for the cost of the van as an employee bonus, resulting in $116 of general and administrative expense for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w:t>
      </w:r>
      <w:bookmarkStart w:id="501" w:name="xdx_902_eus-gaap--ConvertibleNotesPayabl"/>
      <w:bookmarkEnd w:id="501"/>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502" w:name="xdx_90D_eus-gaap--DebtInstrumentFaceAmou"/>
      <w:bookmarkEnd w:id="502"/>
      <w:r>
        <w:rPr>
          <w:rFonts w:ascii="Times New Roman;Times;Serif" w:hAnsi="Times New Roman;Times;Serif"/>
          <w:b w:val="false"/>
          <w:i w:val="false"/>
          <w:caps w:val="false"/>
          <w:smallCaps w:val="false"/>
          <w:sz w:val="20"/>
        </w:rPr>
        <w:t>100 (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03" w:name="xdx_804_ecustom--WarrantLiabilitiesDiscl"/>
      <w:bookmarkEnd w:id="503"/>
      <w:r>
        <w:rPr>
          <w:rFonts w:ascii="Times New Roman;Times;Serif" w:hAnsi="Times New Roman;Times;Serif"/>
          <w:b/>
          <w:i w:val="false"/>
          <w:caps/>
          <w:sz w:val="20"/>
        </w:rPr>
        <w:t xml:space="preserve">NOTE 9 - </w:t>
      </w:r>
      <w:bookmarkStart w:id="504" w:name="xdx_82B_z7OC6RNs6iv5"/>
      <w:bookmarkEnd w:id="504"/>
      <w:r>
        <w:rPr>
          <w:rFonts w:ascii="Times New Roman;Times;Serif" w:hAnsi="Times New Roman;Times;Serif"/>
          <w:b/>
          <w:i w:val="false"/>
          <w:caps/>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Warrant entitles the holder to the right to purchase one share of common stock at an exercise price of $</w:t>
      </w:r>
      <w:bookmarkStart w:id="505" w:name="xdx_905_eus-gaap--ClassOfWarrantOrRightE"/>
      <w:bookmarkEnd w:id="505"/>
      <w:r>
        <w:rPr>
          <w:rFonts w:ascii="Times New Roman;Times;Serif" w:hAnsi="Times New Roman;Times;Serif"/>
          <w:b w:val="false"/>
          <w:i w:val="false"/>
          <w:caps w:val="false"/>
          <w:smallCaps w:val="false"/>
          <w:sz w:val="20"/>
        </w:rPr>
        <w:t>11.50 per share. No fractional shares will be issued upon exercise of the Public Warrants. The Company may elect to redeem the Public Warrants subject to certain conditions, in whole and not in part, at a price of $</w:t>
      </w:r>
      <w:bookmarkStart w:id="506" w:name="xdx_900_eus-gaap--ClassOfWarrantOrRightE"/>
      <w:bookmarkEnd w:id="506"/>
      <w:r>
        <w:rPr>
          <w:rFonts w:ascii="Times New Roman;Times;Serif" w:hAnsi="Times New Roman;Times;Serif"/>
          <w:b w:val="false"/>
          <w:i w:val="false"/>
          <w:caps w:val="false"/>
          <w:smallCaps w:val="false"/>
          <w:sz w:val="20"/>
        </w:rPr>
        <w:t>0.01 per Public Warrant if (i) 30 days’ prior written notice of redemption is provided to the holders, and (ii) the last reported sale price of the Company’s common stock equals or exceeds $</w:t>
      </w:r>
      <w:bookmarkStart w:id="507" w:name="xdx_90C_eus-gaap--SharePrice_iI_pid_c202"/>
      <w:bookmarkEnd w:id="507"/>
      <w:r>
        <w:rPr>
          <w:rFonts w:ascii="Times New Roman;Times;Serif" w:hAnsi="Times New Roman;Times;Serif"/>
          <w:b w:val="false"/>
          <w:i w:val="false"/>
          <w:caps w:val="false"/>
          <w:smallCaps w:val="false"/>
          <w:sz w:val="20"/>
        </w:rPr>
        <w:t xml:space="preserve">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w:t>
      </w:r>
      <w:bookmarkStart w:id="508" w:name="xdx_900_eus-gaap--ClassOfWarrantOrRightO"/>
      <w:bookmarkEnd w:id="508"/>
      <w:r>
        <w:rPr>
          <w:rFonts w:ascii="Times New Roman;Times;Serif" w:hAnsi="Times New Roman;Times;Serif"/>
          <w:b w:val="false"/>
          <w:i w:val="false"/>
          <w:caps w:val="false"/>
          <w:smallCaps w:val="false"/>
          <w:sz w:val="20"/>
        </w:rPr>
        <w:t>9,487,500 Public Warrants issued and outstanding. The Public Warrants are not precluded from equity classification and are accounted for as such on the date of issuance, and each balance sheet date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Company received proceeds from public warrant exercises of $</w:t>
      </w:r>
      <w:bookmarkStart w:id="509" w:name="xdx_901_ecustom--StockIssuedDuringPeriod"/>
      <w:bookmarkEnd w:id="509"/>
      <w:r>
        <w:rPr>
          <w:rFonts w:ascii="Times New Roman;Times;Serif" w:hAnsi="Times New Roman;Times;Serif"/>
          <w:b w:val="false"/>
          <w:i w:val="false"/>
          <w:caps w:val="false"/>
          <w:smallCaps w:val="false"/>
          <w:sz w:val="20"/>
        </w:rPr>
        <w:t xml:space="preserve">747 in exchange for </w:t>
      </w:r>
      <w:bookmarkStart w:id="510" w:name="xdx_90F_ecustom--StockIssuedDuringPeriod"/>
      <w:bookmarkEnd w:id="510"/>
      <w:r>
        <w:rPr>
          <w:rFonts w:ascii="Times New Roman;Times;Serif" w:hAnsi="Times New Roman;Times;Serif"/>
          <w:b w:val="false"/>
          <w:i w:val="false"/>
          <w:caps w:val="false"/>
          <w:smallCaps w:val="false"/>
          <w:sz w:val="20"/>
        </w:rPr>
        <w:t>64,971 common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Warrants classified as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three months ended March 31, 2023, private placement warrant holders exercised </w:t>
      </w:r>
      <w:bookmarkStart w:id="511" w:name="xdx_90F_eus-gaap--ClassOfWarrantOrRightN"/>
      <w:bookmarkEnd w:id="511"/>
      <w:r>
        <w:rPr>
          <w:rFonts w:ascii="Times New Roman;Times;Serif" w:hAnsi="Times New Roman;Times;Serif"/>
          <w:b w:val="false"/>
          <w:i w:val="false"/>
          <w:caps w:val="false"/>
          <w:smallCaps w:val="false"/>
          <w:sz w:val="20"/>
        </w:rPr>
        <w:t xml:space="preserve">3,126,472 warrants on a cashless basis, with the Company agreeing to issue </w:t>
      </w:r>
      <w:bookmarkStart w:id="512" w:name="xdx_902_eus-gaap--StockIssuedDuringPerio"/>
      <w:bookmarkEnd w:id="512"/>
      <w:r>
        <w:rPr>
          <w:rFonts w:ascii="Times New Roman;Times;Serif" w:hAnsi="Times New Roman;Times;Serif"/>
          <w:b w:val="false"/>
          <w:i w:val="false"/>
          <w:caps w:val="false"/>
          <w:smallCaps w:val="false"/>
          <w:sz w:val="20"/>
        </w:rPr>
        <w:t xml:space="preserve">1,100,000 shares of common stock in connection with such exercise. There were </w:t>
      </w:r>
      <w:bookmarkStart w:id="513" w:name="xdx_90B_eus-gaap--ClassOfWarrantOrRightO"/>
      <w:bookmarkEnd w:id="513"/>
      <w:r>
        <w:rPr>
          <w:rFonts w:ascii="Times New Roman;Times;Serif" w:hAnsi="Times New Roman;Times;Serif"/>
          <w:b w:val="false"/>
          <w:i w:val="false"/>
          <w:caps w:val="false"/>
          <w:smallCaps w:val="false"/>
          <w:sz w:val="20"/>
        </w:rPr>
        <w:t xml:space="preserve">1,501,386 and </w:t>
      </w:r>
      <w:bookmarkStart w:id="514" w:name="xdx_90F_eus-gaap--ClassOfWarrantOrRightO"/>
      <w:bookmarkEnd w:id="514"/>
      <w:r>
        <w:rPr>
          <w:rFonts w:ascii="Times New Roman;Times;Serif" w:hAnsi="Times New Roman;Times;Serif"/>
          <w:b w:val="false"/>
          <w:i w:val="false"/>
          <w:caps w:val="false"/>
          <w:smallCaps w:val="false"/>
          <w:sz w:val="20"/>
        </w:rPr>
        <w:t>4,627,858 private warrants issued and outstanding as of March 31,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515" w:name="xdx_906_eus-gaap--ClassOfWarrantOrRightN"/>
      <w:bookmarkEnd w:id="515"/>
      <w:r>
        <w:rPr>
          <w:rFonts w:ascii="Times New Roman;Times;Serif" w:hAnsi="Times New Roman;Times;Serif"/>
          <w:b w:val="false"/>
          <w:i w:val="false"/>
          <w:caps w:val="false"/>
          <w:smallCaps w:val="false"/>
          <w:sz w:val="20"/>
        </w:rPr>
        <w:t xml:space="preserve">2,593,056 shares (the “Penny Warrants”) and (ii) the $10 warrants to issue warrants to the Term Loan Lenders exercisable to purchase an aggregate of </w:t>
      </w:r>
      <w:bookmarkStart w:id="516" w:name="xdx_901_eus-gaap--ClassOfWarrantOrRightN"/>
      <w:bookmarkEnd w:id="516"/>
      <w:r>
        <w:rPr>
          <w:rFonts w:ascii="Times New Roman;Times;Serif" w:hAnsi="Times New Roman;Times;Serif"/>
          <w:b w:val="false"/>
          <w:i w:val="false"/>
          <w:caps w:val="false"/>
          <w:smallCaps w:val="false"/>
          <w:sz w:val="20"/>
        </w:rPr>
        <w:t>1,600,000 shares of common stock at $</w:t>
      </w:r>
      <w:bookmarkStart w:id="517" w:name="xdx_907_eus-gaap--SharePrice_iI_pid_c202"/>
      <w:bookmarkEnd w:id="517"/>
      <w:r>
        <w:rPr>
          <w:rFonts w:ascii="Times New Roman;Times;Serif" w:hAnsi="Times New Roman;Times;Serif"/>
          <w:b w:val="false"/>
          <w:i w:val="false"/>
          <w:caps w:val="false"/>
          <w:smallCaps w:val="false"/>
          <w:sz w:val="20"/>
        </w:rPr>
        <w:t xml:space="preserve">10 per share (the “$10 Warrants” and, together with the Penny Warrants, the “Term Loan Warrants”). The $10 Warrants were exercised on a cashless basis on October 10, 2022, with the Company issuing </w:t>
      </w:r>
      <w:bookmarkStart w:id="518" w:name="xdx_90D_eus-gaap--ClassOfWarrantOrRightN"/>
      <w:bookmarkEnd w:id="518"/>
      <w:r>
        <w:rPr>
          <w:rFonts w:ascii="Times New Roman;Times;Serif" w:hAnsi="Times New Roman;Times;Serif"/>
          <w:b w:val="false"/>
          <w:i w:val="false"/>
          <w:caps w:val="false"/>
          <w:smallCaps w:val="false"/>
          <w:sz w:val="20"/>
        </w:rPr>
        <w:t xml:space="preserve">457,142 shares of Common Stock in connection with such exercise. During the three months ended March 31, 2023, penny warrant holders exercised </w:t>
      </w:r>
      <w:bookmarkStart w:id="519" w:name="xdx_90C_eus-gaap--ClassOfWarrantOrRightN"/>
      <w:bookmarkEnd w:id="519"/>
      <w:r>
        <w:rPr>
          <w:rFonts w:ascii="Times New Roman;Times;Serif" w:hAnsi="Times New Roman;Times;Serif"/>
          <w:b w:val="false"/>
          <w:i w:val="false"/>
          <w:caps w:val="false"/>
          <w:smallCaps w:val="false"/>
          <w:sz w:val="20"/>
        </w:rPr>
        <w:t xml:space="preserve">1,250,000 warrants on a cashless basis, with the Company agreeing to issue </w:t>
      </w:r>
      <w:bookmarkStart w:id="520" w:name="xdx_904_eus-gaap--ClassOfWarrantOrRightN"/>
      <w:bookmarkEnd w:id="520"/>
      <w:r>
        <w:rPr>
          <w:rFonts w:ascii="Times New Roman;Times;Serif" w:hAnsi="Times New Roman;Times;Serif"/>
          <w:b w:val="false"/>
          <w:i w:val="false"/>
          <w:caps w:val="false"/>
          <w:smallCaps w:val="false"/>
          <w:sz w:val="20"/>
        </w:rPr>
        <w:t>1,248,294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1" w:name="xdx_89A_eus-gaap--DisclosureOfShareBased"/>
      <w:bookmarkEnd w:id="521"/>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2" w:name="xdx_8B9_zgK1AlVD0xm"/>
      <w:bookmarkEnd w:id="522"/>
      <w:r>
        <w:rPr>
          <w:rFonts w:ascii="Times New Roman;Times;Serif" w:hAnsi="Times New Roman;Times;Serif"/>
          <w:b w:val="false"/>
          <w:i w:val="false"/>
          <w:caps w:val="false"/>
          <w:smallCaps w:val="false"/>
          <w:sz w:val="20"/>
        </w:rPr>
        <w:t>SCHEDULE FAIR VALUE WARRANTS  </w:t>
      </w:r>
    </w:p>
    <w:tbl>
      <w:tblPr>
        <w:tblW w:w="5995" w:type="dxa"/>
        <w:jc w:val="left"/>
        <w:tblInd w:w="0" w:type="dxa"/>
        <w:tblLayout w:type="fixed"/>
        <w:tblCellMar>
          <w:top w:w="0" w:type="dxa"/>
          <w:left w:w="0" w:type="dxa"/>
          <w:bottom w:w="0" w:type="dxa"/>
          <w:right w:w="0" w:type="dxa"/>
        </w:tblCellMar>
      </w:tblPr>
      <w:tblGrid>
        <w:gridCol w:w="2000"/>
        <w:gridCol w:w="60"/>
        <w:gridCol w:w="307"/>
        <w:gridCol w:w="1228"/>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March 31,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12" w:space="0" w:color="000000"/>
            </w:tcBorders>
            <w:tcMar>
              <w:bottom w:w="28" w:type="dxa"/>
            </w:tcMar>
            <w:vAlign w:val="center"/>
          </w:tcPr>
          <w:p>
            <w:pPr>
              <w:pStyle w:val="TableContents"/>
              <w:bidi w:val="0"/>
              <w:jc w:val="center"/>
              <w:rPr/>
            </w:pPr>
            <w:r>
              <w:rPr/>
              <w:t>As of</w:t>
            </w:r>
          </w:p>
          <w:p>
            <w:pPr>
              <w:pStyle w:val="TableContents"/>
              <w:bidi w:val="0"/>
              <w:spacing w:before="0" w:after="283"/>
              <w:jc w:val="center"/>
              <w:rPr/>
            </w:pPr>
            <w:r>
              <w:rPr/>
              <w:t>December 31, 2022</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523" w:name="xdx_983_eus-gaap--SharePrice_iI_pid_c202"/>
            <w:bookmarkEnd w:id="523"/>
          </w:p>
        </w:tc>
        <w:tc>
          <w:tcPr>
            <w:tcW w:w="1228" w:type="dxa"/>
            <w:tcBorders/>
            <w:shd w:fill="CCEEFF" w:val="clear"/>
            <w:vAlign w:val="center"/>
          </w:tcPr>
          <w:p>
            <w:pPr>
              <w:pStyle w:val="TableContents"/>
              <w:bidi w:val="0"/>
              <w:spacing w:before="0" w:after="283"/>
              <w:jc w:val="right"/>
              <w:rPr/>
            </w:pPr>
            <w:r>
              <w:rPr/>
              <w:t>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524" w:name="xdx_982_eus-gaap--SharePrice_iI_pid_c202"/>
            <w:bookmarkEnd w:id="524"/>
          </w:p>
        </w:tc>
        <w:tc>
          <w:tcPr>
            <w:tcW w:w="1516" w:type="dxa"/>
            <w:tcBorders/>
            <w:shd w:fill="CCEEFF" w:val="clear"/>
            <w:vAlign w:val="center"/>
          </w:tcPr>
          <w:p>
            <w:pPr>
              <w:pStyle w:val="TableContents"/>
              <w:bidi w:val="0"/>
              <w:spacing w:before="0" w:after="283"/>
              <w:jc w:val="right"/>
              <w:rPr/>
            </w:pPr>
            <w:r>
              <w:rPr/>
              <w:t>11.09</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525" w:name="xdx_98C_eus-gaap--WarrantsAndRightsOutst"/>
            <w:bookmarkEnd w:id="525"/>
          </w:p>
        </w:tc>
        <w:tc>
          <w:tcPr>
            <w:tcW w:w="1228"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526" w:name="xdx_982_eus-gaap--WarrantsAndRightsOutst"/>
            <w:bookmarkEnd w:id="526"/>
          </w:p>
        </w:tc>
        <w:tc>
          <w:tcPr>
            <w:tcW w:w="1516" w:type="dxa"/>
            <w:tcBorders/>
            <w:shd w:fill="FFFFFF" w:val="clear"/>
            <w:vAlign w:val="center"/>
          </w:tcPr>
          <w:p>
            <w:pPr>
              <w:pStyle w:val="TableContents"/>
              <w:bidi w:val="0"/>
              <w:spacing w:before="0" w:after="283"/>
              <w:jc w:val="right"/>
              <w:rPr/>
            </w:pPr>
            <w:r>
              <w:rPr/>
              <w:t>0.01</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bookmarkStart w:id="527" w:name="xdx_909_eus-gaap--WarrantsAndRightsOutst"/>
            <w:bookmarkEnd w:id="527"/>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bookmarkStart w:id="528" w:name="xdx_90E_eus-gaap--WarrantsAndRightsOutst"/>
            <w:bookmarkEnd w:id="528"/>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bookmarkStart w:id="529" w:name="xdx_90E_eus-gaap--WarrantsAndRightsOutst"/>
            <w:bookmarkEnd w:id="529"/>
            <w:r>
              <w:rPr/>
              <w:t>9.52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bookmarkStart w:id="530" w:name="xdx_904_eus-gaap--WarrantsAndRightsOutst"/>
            <w:bookmarkEnd w:id="530"/>
            <w:r>
              <w:rPr/>
              <w:t>9.77</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bookmarkStart w:id="531" w:name="xdx_981_eus-gaap--WarrantsAndRightsOutst"/>
            <w:bookmarkEnd w:id="531"/>
          </w:p>
        </w:tc>
        <w:tc>
          <w:tcPr>
            <w:tcW w:w="1228" w:type="dxa"/>
            <w:tcBorders/>
            <w:shd w:fill="CCEEFF" w:val="clear"/>
            <w:vAlign w:val="center"/>
          </w:tcPr>
          <w:p>
            <w:pPr>
              <w:pStyle w:val="TableContents"/>
              <w:bidi w:val="0"/>
              <w:spacing w:before="0" w:after="283"/>
              <w:jc w:val="right"/>
              <w:rPr/>
            </w:pPr>
            <w:r>
              <w:rPr/>
              <w:t>89.00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532" w:name="xdx_983_eus-gaap--WarrantsAndRightsOutst"/>
            <w:bookmarkEnd w:id="532"/>
          </w:p>
        </w:tc>
        <w:tc>
          <w:tcPr>
            <w:tcW w:w="1516" w:type="dxa"/>
            <w:tcBorders/>
            <w:shd w:fill="CCEEFF" w:val="clear"/>
            <w:vAlign w:val="center"/>
          </w:tcPr>
          <w:p>
            <w:pPr>
              <w:pStyle w:val="TableContents"/>
              <w:bidi w:val="0"/>
              <w:spacing w:before="0" w:after="283"/>
              <w:jc w:val="right"/>
              <w:rPr/>
            </w:pPr>
            <w:r>
              <w:rPr/>
              <w:t>90.00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533" w:name="xdx_987_eus-gaap--WarrantsAndRightsOutst"/>
            <w:bookmarkEnd w:id="533"/>
          </w:p>
        </w:tc>
        <w:tc>
          <w:tcPr>
            <w:tcW w:w="1228" w:type="dxa"/>
            <w:tcBorders/>
            <w:shd w:fill="FFFFFF" w:val="clear"/>
            <w:vAlign w:val="center"/>
          </w:tcPr>
          <w:p>
            <w:pPr>
              <w:pStyle w:val="TableContents"/>
              <w:bidi w:val="0"/>
              <w:spacing w:before="0" w:after="283"/>
              <w:jc w:val="right"/>
              <w:rPr/>
            </w:pPr>
            <w:r>
              <w:rPr/>
              <w:t>3.43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534" w:name="xdx_981_eus-gaap--WarrantsAndRightsOutst"/>
            <w:bookmarkEnd w:id="534"/>
          </w:p>
        </w:tc>
        <w:tc>
          <w:tcPr>
            <w:tcW w:w="1516"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535" w:name="xdx_98C_ecustom--FairValueOfWarrant_iI_p"/>
            <w:bookmarkEnd w:id="535"/>
          </w:p>
        </w:tc>
        <w:tc>
          <w:tcPr>
            <w:tcW w:w="1228" w:type="dxa"/>
            <w:tcBorders/>
            <w:shd w:fill="CCEEFF" w:val="clear"/>
            <w:vAlign w:val="center"/>
          </w:tcPr>
          <w:p>
            <w:pPr>
              <w:pStyle w:val="TableContents"/>
              <w:bidi w:val="0"/>
              <w:spacing w:before="0" w:after="283"/>
              <w:jc w:val="right"/>
              <w:rPr/>
            </w:pPr>
            <w:r>
              <w:rPr/>
              <w:t>2.99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w:t>
            </w:r>
            <w:bookmarkStart w:id="536" w:name="xdx_98F_ecustom--FairValueOfWarrant_iI_p"/>
            <w:bookmarkEnd w:id="536"/>
          </w:p>
        </w:tc>
        <w:tc>
          <w:tcPr>
            <w:tcW w:w="1516" w:type="dxa"/>
            <w:tcBorders/>
            <w:shd w:fill="CCEEFF" w:val="clear"/>
            <w:vAlign w:val="center"/>
          </w:tcPr>
          <w:p>
            <w:pPr>
              <w:pStyle w:val="TableContents"/>
              <w:bidi w:val="0"/>
              <w:spacing w:before="0" w:after="283"/>
              <w:jc w:val="right"/>
              <w:rPr/>
            </w:pPr>
            <w:r>
              <w:rPr/>
              <w:t>11.89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7" w:name="xdx_8A2_zrWvcdJPGiha"/>
      <w:bookmarkEnd w:id="5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8" w:name="xdx_891_eus-gaap--ScheduleOfStockholders"/>
      <w:bookmarkEnd w:id="538"/>
      <w:r>
        <w:rPr>
          <w:rFonts w:ascii="Times New Roman;Times;Serif" w:hAnsi="Times New Roman;Times;Serif"/>
          <w:b w:val="false"/>
          <w:i w:val="false"/>
          <w:caps w:val="false"/>
          <w:smallCaps w:val="false"/>
          <w:sz w:val="20"/>
        </w:rPr>
        <w:t>The following table presents a roll-forward of the Company’s warrants from January 1, 2023 to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9" w:name="xdx_8B0_zBeXHweQ8xPi"/>
      <w:bookmarkEnd w:id="539"/>
      <w:r>
        <w:rPr>
          <w:rFonts w:ascii="Times New Roman;Times;Serif" w:hAnsi="Times New Roman;Times;Serif"/>
          <w:b w:val="false"/>
          <w:i w:val="false"/>
          <w:caps w:val="false"/>
          <w:smallCaps w:val="false"/>
          <w:sz w:val="20"/>
        </w:rPr>
        <w:t>SCHEDULE OF ROLL FORWARD IN WARRANTS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0" w:name="xdx_496_20230101__20230331__us-gaap--Sta"/>
            <w:bookmarkEnd w:id="540"/>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541" w:name="xdx_40A_eus-gaap--ShareBasedCompensation"/>
            <w:bookmarkEnd w:id="541"/>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4,627,858</w:t>
            </w:r>
          </w:p>
        </w:tc>
        <w:tc>
          <w:tcPr>
            <w:tcW w:w="110" w:type="dxa"/>
            <w:tcBorders/>
            <w:shd w:fill="CCEEFF" w:val="clear"/>
            <w:vAlign w:val="center"/>
          </w:tcPr>
          <w:p>
            <w:pPr>
              <w:pStyle w:val="TableContents"/>
              <w:bidi w:val="0"/>
              <w:spacing w:before="0" w:after="283"/>
              <w:jc w:val="left"/>
              <w:rPr/>
            </w:pPr>
            <w:r>
              <w:rPr/>
              <w:t> </w:t>
            </w:r>
            <w:bookmarkStart w:id="542" w:name="xdx_409_eus-gaap--ShareBasedCompensation"/>
            <w:bookmarkEnd w:id="542"/>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(3,126,472</w:t>
            </w:r>
          </w:p>
        </w:tc>
        <w:tc>
          <w:tcPr>
            <w:tcW w:w="110" w:type="dxa"/>
            <w:tcBorders/>
            <w:shd w:fill="FFFFFF" w:val="clear"/>
            <w:vAlign w:val="center"/>
          </w:tcPr>
          <w:p>
            <w:pPr>
              <w:pStyle w:val="TableContents"/>
              <w:bidi w:val="0"/>
              <w:spacing w:before="0" w:after="283"/>
              <w:jc w:val="left"/>
              <w:rPr/>
            </w:pPr>
            <w:r>
              <w:rPr/>
              <w:t>)</w:t>
            </w:r>
            <w:bookmarkStart w:id="543" w:name="xdx_40E_eus-gaap--ShareBasedCompensation"/>
            <w:bookmarkEnd w:id="543"/>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1,501,386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private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6"/>
        <w:gridCol w:w="1418"/>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4" w:name="xdx_490_20230101__20230331__us-gaap--Sta"/>
            <w:bookmarkEnd w:id="544"/>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545" w:name="xdx_40A_eus-gaap--ShareBasedCompensation"/>
            <w:bookmarkEnd w:id="545"/>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9,487,500</w:t>
            </w:r>
          </w:p>
        </w:tc>
        <w:tc>
          <w:tcPr>
            <w:tcW w:w="110" w:type="dxa"/>
            <w:tcBorders/>
            <w:shd w:fill="CCEEFF" w:val="clear"/>
            <w:vAlign w:val="center"/>
          </w:tcPr>
          <w:p>
            <w:pPr>
              <w:pStyle w:val="TableContents"/>
              <w:bidi w:val="0"/>
              <w:spacing w:before="0" w:after="283"/>
              <w:jc w:val="left"/>
              <w:rPr/>
            </w:pPr>
            <w:r>
              <w:rPr/>
              <w:t> </w:t>
            </w:r>
            <w:bookmarkStart w:id="546" w:name="xdx_40A_eus-gaap--ShareBasedCompensation"/>
            <w:bookmarkEnd w:id="546"/>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12" w:space="0" w:color="000000"/>
            </w:tcBorders>
            <w:shd w:fill="FFFFFF" w:val="clear"/>
            <w:tcMar>
              <w:bottom w:w="28" w:type="dxa"/>
            </w:tcMar>
            <w:vAlign w:val="center"/>
          </w:tcPr>
          <w:p>
            <w:pPr>
              <w:pStyle w:val="TableContents"/>
              <w:bidi w:val="0"/>
              <w:spacing w:before="0" w:after="283"/>
              <w:jc w:val="right"/>
              <w:rPr/>
            </w:pPr>
            <w:r>
              <w:rPr/>
              <w:t>(64,971</w:t>
            </w:r>
          </w:p>
        </w:tc>
        <w:tc>
          <w:tcPr>
            <w:tcW w:w="110" w:type="dxa"/>
            <w:tcBorders/>
            <w:shd w:fill="FFFFFF" w:val="clear"/>
            <w:vAlign w:val="center"/>
          </w:tcPr>
          <w:p>
            <w:pPr>
              <w:pStyle w:val="TableContents"/>
              <w:bidi w:val="0"/>
              <w:spacing w:before="0" w:after="283"/>
              <w:jc w:val="left"/>
              <w:rPr/>
            </w:pPr>
            <w:r>
              <w:rPr/>
              <w:t>)</w:t>
            </w:r>
            <w:bookmarkStart w:id="547" w:name="xdx_40E_eus-gaap--ShareBasedCompensation"/>
            <w:bookmarkEnd w:id="547"/>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pPr>
            <w:r>
              <w:rPr/>
              <w:t>9,422,529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public warrants issued, exercised and outstanding from the period January 1, 2022 through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740"/>
        <w:gridCol w:w="60"/>
        <w:gridCol w:w="80"/>
        <w:gridCol w:w="1424"/>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8" w:name="xdx_492_20230101__20230331__us-gaap--Sta"/>
            <w:bookmarkEnd w:id="548"/>
          </w:p>
        </w:tc>
        <w:tc>
          <w:tcPr>
            <w:tcW w:w="1504" w:type="dxa"/>
            <w:gridSpan w:val="2"/>
            <w:tcBorders>
              <w:bottom w:val="single" w:sz="12" w:space="0" w:color="000000"/>
            </w:tcBorders>
            <w:tcMar>
              <w:bottom w:w="28" w:type="dxa"/>
            </w:tcMar>
            <w:vAlign w:val="center"/>
          </w:tcPr>
          <w:p>
            <w:pPr>
              <w:pStyle w:val="TableContents"/>
              <w:bidi w:val="0"/>
              <w:jc w:val="center"/>
              <w:rPr/>
            </w:pPr>
            <w:r>
              <w:rPr/>
              <w:t>Common Stock</w:t>
            </w:r>
          </w:p>
          <w:p>
            <w:pPr>
              <w:pStyle w:val="TableContents"/>
              <w:bidi w:val="0"/>
              <w:spacing w:before="0" w:after="283"/>
              <w:jc w:val="center"/>
              <w:rPr/>
            </w:pPr>
            <w:r>
              <w:rPr/>
              <w:t>Warrants</w:t>
            </w:r>
          </w:p>
        </w:tc>
        <w:tc>
          <w:tcPr>
            <w:tcW w:w="110" w:type="dxa"/>
            <w:tcBorders/>
            <w:vAlign w:val="center"/>
          </w:tcPr>
          <w:p>
            <w:pPr>
              <w:pStyle w:val="TableContents"/>
              <w:bidi w:val="0"/>
              <w:spacing w:before="0" w:after="283"/>
              <w:jc w:val="left"/>
              <w:rPr/>
            </w:pPr>
            <w:r>
              <w:rPr/>
              <w:t> </w:t>
            </w:r>
            <w:bookmarkStart w:id="549" w:name="xdx_40C_eus-gaap--ShareBasedCompensation"/>
            <w:bookmarkEnd w:id="549"/>
          </w:p>
        </w:tc>
      </w:tr>
      <w:tr>
        <w:trPr/>
        <w:tc>
          <w:tcPr>
            <w:tcW w:w="3740" w:type="dxa"/>
            <w:tcBorders/>
            <w:shd w:fill="CCEEFF" w:val="clear"/>
            <w:vAlign w:val="center"/>
          </w:tcPr>
          <w:p>
            <w:pPr>
              <w:pStyle w:val="TableContents"/>
              <w:bidi w:val="0"/>
              <w:spacing w:before="0" w:after="283"/>
              <w:jc w:val="left"/>
              <w:rPr/>
            </w:pPr>
            <w:r>
              <w:rPr/>
              <w:t>Warrants Outstanding, January 1, 2023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2,593,056</w:t>
            </w:r>
          </w:p>
        </w:tc>
        <w:tc>
          <w:tcPr>
            <w:tcW w:w="110" w:type="dxa"/>
            <w:tcBorders/>
            <w:shd w:fill="CCEEFF" w:val="clear"/>
            <w:vAlign w:val="center"/>
          </w:tcPr>
          <w:p>
            <w:pPr>
              <w:pStyle w:val="TableContents"/>
              <w:bidi w:val="0"/>
              <w:spacing w:before="0" w:after="283"/>
              <w:jc w:val="left"/>
              <w:rPr/>
            </w:pPr>
            <w:r>
              <w:rPr/>
              <w:t> </w:t>
            </w:r>
            <w:bookmarkStart w:id="550" w:name="xdx_404_eus-gaap--ShareBasedCompensation"/>
            <w:bookmarkEnd w:id="550"/>
          </w:p>
        </w:tc>
      </w:tr>
      <w:tr>
        <w:trPr/>
        <w:tc>
          <w:tcPr>
            <w:tcW w:w="374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FFFFFF" w:val="clear"/>
            <w:tcMar>
              <w:bottom w:w="28" w:type="dxa"/>
            </w:tcMar>
            <w:vAlign w:val="center"/>
          </w:tcPr>
          <w:p>
            <w:pPr>
              <w:pStyle w:val="TableContents"/>
              <w:bidi w:val="0"/>
              <w:spacing w:before="0" w:after="283"/>
              <w:jc w:val="right"/>
              <w:rPr/>
            </w:pPr>
            <w:r>
              <w:rPr/>
              <w:t>(1,250,000</w:t>
            </w:r>
          </w:p>
        </w:tc>
        <w:tc>
          <w:tcPr>
            <w:tcW w:w="110" w:type="dxa"/>
            <w:tcBorders/>
            <w:shd w:fill="FFFFFF" w:val="clear"/>
            <w:vAlign w:val="center"/>
          </w:tcPr>
          <w:p>
            <w:pPr>
              <w:pStyle w:val="TableContents"/>
              <w:bidi w:val="0"/>
              <w:spacing w:before="0" w:after="283"/>
              <w:jc w:val="left"/>
              <w:rPr/>
            </w:pPr>
            <w:r>
              <w:rPr/>
              <w:t>)</w:t>
            </w:r>
            <w:bookmarkStart w:id="551" w:name="xdx_40A_eus-gaap--ShareBasedCompensation"/>
            <w:bookmarkEnd w:id="551"/>
          </w:p>
        </w:tc>
      </w:tr>
      <w:tr>
        <w:trPr/>
        <w:tc>
          <w:tcPr>
            <w:tcW w:w="3740" w:type="dxa"/>
            <w:tcBorders/>
            <w:shd w:fill="CCEEFF" w:val="clear"/>
            <w:vAlign w:val="center"/>
          </w:tcPr>
          <w:p>
            <w:pPr>
              <w:pStyle w:val="TableContents"/>
              <w:bidi w:val="0"/>
              <w:spacing w:before="0" w:after="283"/>
              <w:jc w:val="both"/>
              <w:rPr/>
            </w:pPr>
            <w:r>
              <w:rPr/>
              <w:t>Warrants Outstanding, March 31, 2023</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pPr>
            <w:r>
              <w:rPr/>
              <w:t>1,343,056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term loan warrants issued, exercised and outstanding from the period January 1, 2022 through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 forward of the aggregate fair values of the Company’s warrant liabilities for which fair value is determined by Level 3 Inputs. The only class of warrants that were determined to be Level 3 are the term loan warrants.</w:t>
      </w:r>
    </w:p>
    <w:p>
      <w:pPr>
        <w:pStyle w:val="TextBody"/>
        <w:bidi w:val="0"/>
        <w:spacing w:before="0" w:after="0"/>
        <w:ind w:left="0" w:right="0" w:hanging="0"/>
        <w:jc w:val="both"/>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080"/>
        <w:gridCol w:w="60"/>
        <w:gridCol w:w="256"/>
        <w:gridCol w:w="1383"/>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2" w:name="xdx_49F_20230101__20230331__us-gaap--Sta"/>
            <w:bookmarkEnd w:id="552"/>
          </w:p>
        </w:tc>
        <w:tc>
          <w:tcPr>
            <w:tcW w:w="1639" w:type="dxa"/>
            <w:gridSpan w:val="2"/>
            <w:tcBorders>
              <w:bottom w:val="single" w:sz="12" w:space="0" w:color="000000"/>
            </w:tcBorders>
            <w:tcMar>
              <w:bottom w:w="28" w:type="dxa"/>
            </w:tcMar>
            <w:vAlign w:val="center"/>
          </w:tcPr>
          <w:p>
            <w:pPr>
              <w:pStyle w:val="TableContents"/>
              <w:bidi w:val="0"/>
              <w:spacing w:before="0" w:after="283"/>
              <w:jc w:val="center"/>
              <w:rPr/>
            </w:pPr>
            <w:r>
              <w:rPr/>
              <w:t>Warrant Liability</w:t>
            </w:r>
          </w:p>
        </w:tc>
        <w:tc>
          <w:tcPr>
            <w:tcW w:w="110" w:type="dxa"/>
            <w:tcBorders/>
            <w:vAlign w:val="center"/>
          </w:tcPr>
          <w:p>
            <w:pPr>
              <w:pStyle w:val="TableContents"/>
              <w:bidi w:val="0"/>
              <w:spacing w:before="0" w:after="283"/>
              <w:jc w:val="left"/>
              <w:rPr/>
            </w:pPr>
            <w:r>
              <w:rPr/>
              <w:t> </w:t>
            </w:r>
            <w:bookmarkStart w:id="553" w:name="xdx_400_eus-gaap--SharesSubjectToMandato"/>
            <w:bookmarkEnd w:id="553"/>
          </w:p>
        </w:tc>
      </w:tr>
      <w:tr>
        <w:trPr/>
        <w:tc>
          <w:tcPr>
            <w:tcW w:w="3080"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30,841</w:t>
            </w:r>
          </w:p>
        </w:tc>
        <w:tc>
          <w:tcPr>
            <w:tcW w:w="110" w:type="dxa"/>
            <w:tcBorders/>
            <w:shd w:fill="CCEEFF" w:val="clear"/>
            <w:vAlign w:val="center"/>
          </w:tcPr>
          <w:p>
            <w:pPr>
              <w:pStyle w:val="TableContents"/>
              <w:bidi w:val="0"/>
              <w:spacing w:before="0" w:after="283"/>
              <w:jc w:val="left"/>
              <w:rPr/>
            </w:pPr>
            <w:r>
              <w:rPr/>
              <w:t> </w:t>
            </w:r>
            <w:bookmarkStart w:id="554" w:name="xdx_40A_ecustom--ExerciseOfWarrants_iN_p"/>
            <w:bookmarkEnd w:id="554"/>
          </w:p>
        </w:tc>
      </w:tr>
      <w:tr>
        <w:trPr/>
        <w:tc>
          <w:tcPr>
            <w:tcW w:w="308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(8,822</w:t>
            </w:r>
          </w:p>
        </w:tc>
        <w:tc>
          <w:tcPr>
            <w:tcW w:w="110" w:type="dxa"/>
            <w:tcBorders/>
            <w:shd w:fill="FFFFFF" w:val="clear"/>
            <w:vAlign w:val="center"/>
          </w:tcPr>
          <w:p>
            <w:pPr>
              <w:pStyle w:val="TableContents"/>
              <w:bidi w:val="0"/>
              <w:spacing w:before="0" w:after="283"/>
              <w:jc w:val="left"/>
              <w:rPr/>
            </w:pPr>
            <w:r>
              <w:rPr/>
              <w:t>)</w:t>
            </w:r>
            <w:bookmarkStart w:id="555" w:name="xdx_407_eus-gaap--FairValueAdjustmentOfW"/>
            <w:bookmarkEnd w:id="555"/>
          </w:p>
        </w:tc>
      </w:tr>
      <w:tr>
        <w:trPr/>
        <w:tc>
          <w:tcPr>
            <w:tcW w:w="3080" w:type="dxa"/>
            <w:tcBorders/>
            <w:shd w:fill="CCEEFF" w:val="clear"/>
            <w:vAlign w:val="center"/>
          </w:tcPr>
          <w:p>
            <w:pPr>
              <w:pStyle w:val="TableContents"/>
              <w:bidi w:val="0"/>
              <w:spacing w:before="0" w:after="283"/>
              <w:jc w:val="both"/>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(17,998</w:t>
            </w:r>
          </w:p>
        </w:tc>
        <w:tc>
          <w:tcPr>
            <w:tcW w:w="110" w:type="dxa"/>
            <w:tcBorders/>
            <w:shd w:fill="CCEEFF" w:val="clear"/>
            <w:vAlign w:val="center"/>
          </w:tcPr>
          <w:p>
            <w:pPr>
              <w:pStyle w:val="TableContents"/>
              <w:bidi w:val="0"/>
              <w:spacing w:before="0" w:after="283"/>
              <w:jc w:val="left"/>
              <w:rPr/>
            </w:pPr>
            <w:r>
              <w:rPr/>
              <w:t>)</w:t>
            </w:r>
            <w:bookmarkStart w:id="556" w:name="xdx_404_eus-gaap--SharesSubjectToMandato"/>
            <w:bookmarkEnd w:id="556"/>
          </w:p>
        </w:tc>
      </w:tr>
      <w:tr>
        <w:trPr/>
        <w:tc>
          <w:tcPr>
            <w:tcW w:w="3080" w:type="dxa"/>
            <w:tcBorders/>
            <w:shd w:fill="FFFFFF" w:val="clear"/>
            <w:vAlign w:val="center"/>
          </w:tcPr>
          <w:p>
            <w:pPr>
              <w:pStyle w:val="TableContents"/>
              <w:bidi w:val="0"/>
              <w:spacing w:before="0" w:after="283"/>
              <w:jc w:val="both"/>
              <w:rPr/>
            </w:pPr>
            <w:r>
              <w:rPr/>
              <w:t>Balances, March 31, 2023</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4,021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57" w:name="xdx_8A2_z5fchmM6Avzh"/>
      <w:bookmarkEnd w:id="55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58" w:name="xdx_801_eus-gaap--StockholdersEquityNote"/>
      <w:bookmarkEnd w:id="558"/>
      <w:r>
        <w:rPr>
          <w:rFonts w:ascii="Times New Roman;Times;Serif" w:hAnsi="Times New Roman;Times;Serif"/>
          <w:b/>
          <w:i w:val="false"/>
          <w:caps/>
          <w:sz w:val="20"/>
        </w:rPr>
        <w:t xml:space="preserve">NOTE 10 - </w:t>
      </w:r>
      <w:bookmarkStart w:id="559" w:name="xdx_822_ztE5lCQZE5Nf"/>
      <w:bookmarkEnd w:id="559"/>
      <w:r>
        <w:rPr>
          <w:rFonts w:ascii="Times New Roman;Times;Serif" w:hAnsi="Times New Roman;Times;Serif"/>
          <w:b/>
          <w:i w:val="false"/>
          <w:caps/>
          <w:sz w:val="20"/>
        </w:rPr>
        <w:t>COMMON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w:t>
      </w:r>
      <w:bookmarkStart w:id="560" w:name="xdx_90F_eus-gaap--CommonStockSharesAutho"/>
      <w:bookmarkEnd w:id="560"/>
      <w:r>
        <w:rPr>
          <w:rFonts w:ascii="Times New Roman;Times;Serif" w:hAnsi="Times New Roman;Times;Serif"/>
          <w:b w:val="false"/>
          <w:i w:val="false"/>
          <w:caps w:val="false"/>
          <w:smallCaps w:val="false"/>
          <w:sz w:val="20"/>
        </w:rPr>
        <w:t>170,000,000 shares of common stock with $</w:t>
      </w:r>
      <w:bookmarkStart w:id="561" w:name="xdx_909_eus-gaap--CommonStockParOrStated"/>
      <w:bookmarkEnd w:id="561"/>
      <w:r>
        <w:rPr>
          <w:rFonts w:ascii="Times New Roman;Times;Serif" w:hAnsi="Times New Roman;Times;Serif"/>
          <w:b w:val="false"/>
          <w:i w:val="false"/>
          <w:caps w:val="false"/>
          <w:smallCaps w:val="false"/>
          <w:sz w:val="20"/>
        </w:rPr>
        <w:t>0.0001 par value. Common stockholders are entitled to dividends if and when declared by the Board of Directors subject to the rights of the preferred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2" w:name="xdx_899_ecustom--SummaryOfReservedShares"/>
      <w:bookmarkEnd w:id="562"/>
      <w:r>
        <w:rPr>
          <w:rFonts w:ascii="Times New Roman;Times;Serif" w:hAnsi="Times New Roman;Times;Serif"/>
          <w:b w:val="false"/>
          <w:i w:val="false"/>
          <w:caps w:val="false"/>
          <w:smallCaps w:val="false"/>
          <w:sz w:val="20"/>
        </w:rPr>
        <w:t>For the three months ended March 31, 2023 and 2022, the Company had reserved shares of common stock for issuance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3" w:name="xdx_8B6_zvGq0t1dEtV8"/>
      <w:bookmarkEnd w:id="563"/>
      <w:r>
        <w:rPr>
          <w:rFonts w:ascii="Times New Roman;Times;Serif" w:hAnsi="Times New Roman;Times;Serif"/>
          <w:b w:val="false"/>
          <w:i w:val="false"/>
          <w:caps w:val="false"/>
          <w:smallCaps w:val="false"/>
          <w:sz w:val="20"/>
        </w:rPr>
        <w:t>SUMMARY OF RESERVED SHARES OF COMMON STOCK FOR ISSUANCE </w:t>
      </w:r>
    </w:p>
    <w:tbl>
      <w:tblPr>
        <w:tblW w:w="6688" w:type="dxa"/>
        <w:jc w:val="left"/>
        <w:tblInd w:w="0" w:type="dxa"/>
        <w:tblLayout w:type="fixed"/>
        <w:tblCellMar>
          <w:top w:w="0" w:type="dxa"/>
          <w:left w:w="0" w:type="dxa"/>
          <w:bottom w:w="0" w:type="dxa"/>
          <w:right w:w="0" w:type="dxa"/>
        </w:tblCellMar>
      </w:tblPr>
      <w:tblGrid>
        <w:gridCol w:w="3365"/>
        <w:gridCol w:w="60"/>
        <w:gridCol w:w="71"/>
        <w:gridCol w:w="1463"/>
        <w:gridCol w:w="60"/>
        <w:gridCol w:w="60"/>
        <w:gridCol w:w="79"/>
        <w:gridCol w:w="1455"/>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4" w:name="xdx_495_20230331_zoaQ6IzTuZCd"/>
            <w:bookmarkEnd w:id="564"/>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5" w:name="xdx_49B_20220331_zRUL0DM0oX6e"/>
            <w:bookmarkEnd w:id="565"/>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bookmarkStart w:id="566" w:name="xdx_40E_eus-gaap--ShareBasedCompensation"/>
            <w:bookmarkEnd w:id="566"/>
          </w:p>
        </w:tc>
      </w:tr>
      <w:tr>
        <w:trPr/>
        <w:tc>
          <w:tcPr>
            <w:tcW w:w="3365" w:type="dxa"/>
            <w:tcBorders/>
            <w:shd w:fill="CCEEFF" w:val="clear"/>
            <w:vAlign w:val="center"/>
          </w:tcPr>
          <w:p>
            <w:pPr>
              <w:pStyle w:val="TableContents"/>
              <w:bidi w:val="0"/>
              <w:spacing w:before="0" w:after="283"/>
              <w:jc w:val="left"/>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3,731,392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bookmarkStart w:id="567" w:name="xdx_40F_eus-gaap--CommonStockSharesOutst"/>
            <w:bookmarkEnd w:id="567"/>
          </w:p>
        </w:tc>
      </w:tr>
      <w:tr>
        <w:trPr/>
        <w:tc>
          <w:tcPr>
            <w:tcW w:w="3365" w:type="dxa"/>
            <w:tcBorders/>
            <w:shd w:fill="FFFFFF" w:val="clear"/>
            <w:vAlign w:val="center"/>
          </w:tcPr>
          <w:p>
            <w:pPr>
              <w:pStyle w:val="TableContents"/>
              <w:bidi w:val="0"/>
              <w:spacing w:before="0" w:after="283"/>
              <w:jc w:val="left"/>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36,581,910</w:t>
            </w:r>
          </w:p>
        </w:tc>
        <w:tc>
          <w:tcPr>
            <w:tcW w:w="75" w:type="dxa"/>
            <w:tcBorders/>
            <w:shd w:fill="FFFFFF" w:val="clear"/>
            <w:vAlign w:val="center"/>
          </w:tcPr>
          <w:p>
            <w:pPr>
              <w:pStyle w:val="TableContents"/>
              <w:bidi w:val="0"/>
              <w:spacing w:before="0" w:after="283"/>
              <w:jc w:val="left"/>
              <w:rPr/>
            </w:pPr>
            <w:r>
              <w:rPr/>
              <w:t> </w:t>
            </w:r>
            <w:bookmarkStart w:id="568" w:name="xdx_406_eus-gaap--ClassOfWarrantOrRightO"/>
            <w:bookmarkEnd w:id="568"/>
          </w:p>
        </w:tc>
      </w:tr>
      <w:tr>
        <w:trPr/>
        <w:tc>
          <w:tcPr>
            <w:tcW w:w="3365"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12,266,971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69" w:name="xdx_403_ecustom--EarnoutShares_iI_pid_zr"/>
            <w:bookmarkEnd w:id="569"/>
          </w:p>
        </w:tc>
      </w:tr>
      <w:tr>
        <w:trPr/>
        <w:tc>
          <w:tcPr>
            <w:tcW w:w="3365" w:type="dxa"/>
            <w:tcBorders/>
            <w:shd w:fill="FFFFFF" w:val="clear"/>
            <w:vAlign w:val="center"/>
          </w:tcPr>
          <w:p>
            <w:pPr>
              <w:pStyle w:val="TableContents"/>
              <w:bidi w:val="0"/>
              <w:spacing w:before="0" w:after="283"/>
              <w:jc w:val="left"/>
              <w:rPr/>
            </w:pPr>
            <w:r>
              <w:rPr/>
              <w:t>Earnout shares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70" w:name="xdx_40D_eus-gaap--ShareBasedCompensation"/>
            <w:bookmarkEnd w:id="570"/>
          </w:p>
        </w:tc>
      </w:tr>
      <w:tr>
        <w:trPr/>
        <w:tc>
          <w:tcPr>
            <w:tcW w:w="3365" w:type="dxa"/>
            <w:tcBorders/>
            <w:shd w:fill="CCEEFF" w:val="clear"/>
            <w:vAlign w:val="center"/>
          </w:tcPr>
          <w:p>
            <w:pPr>
              <w:pStyle w:val="TableContents"/>
              <w:bidi w:val="0"/>
              <w:spacing w:before="0" w:after="283"/>
              <w:jc w:val="left"/>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12" w:space="0" w:color="000000"/>
            </w:tcBorders>
            <w:shd w:fill="CCEEFF" w:val="clear"/>
            <w:tcMar>
              <w:bottom w:w="28" w:type="dxa"/>
            </w:tcMar>
            <w:vAlign w:val="center"/>
          </w:tcPr>
          <w:p>
            <w:pPr>
              <w:pStyle w:val="TableContents"/>
              <w:bidi w:val="0"/>
              <w:spacing w:before="0" w:after="283"/>
              <w:jc w:val="right"/>
              <w:rPr/>
            </w:pPr>
            <w:r>
              <w:rPr/>
              <w:t>4,319,309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1,205,790</w:t>
            </w:r>
          </w:p>
        </w:tc>
        <w:tc>
          <w:tcPr>
            <w:tcW w:w="75" w:type="dxa"/>
            <w:tcBorders/>
            <w:shd w:fill="CCEEFF" w:val="clear"/>
            <w:vAlign w:val="center"/>
          </w:tcPr>
          <w:p>
            <w:pPr>
              <w:pStyle w:val="TableContents"/>
              <w:bidi w:val="0"/>
              <w:spacing w:before="0" w:after="283"/>
              <w:jc w:val="left"/>
              <w:rPr/>
            </w:pPr>
            <w:r>
              <w:rPr/>
              <w:t> </w:t>
            </w:r>
            <w:bookmarkStart w:id="571" w:name="xdx_40E_eus-gaap--CommonStockCapitalShar"/>
            <w:bookmarkEnd w:id="571"/>
          </w:p>
        </w:tc>
      </w:tr>
      <w:tr>
        <w:trPr/>
        <w:tc>
          <w:tcPr>
            <w:tcW w:w="33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double" w:sz="6" w:space="0" w:color="000000"/>
            </w:tcBorders>
            <w:shd w:fill="FFFFFF" w:val="clear"/>
            <w:tcMar>
              <w:bottom w:w="28" w:type="dxa"/>
            </w:tcMar>
            <w:vAlign w:val="center"/>
          </w:tcPr>
          <w:p>
            <w:pPr>
              <w:pStyle w:val="TableContents"/>
              <w:bidi w:val="0"/>
              <w:spacing w:before="0" w:after="283"/>
              <w:jc w:val="right"/>
              <w:rPr/>
            </w:pPr>
            <w:r>
              <w:rPr/>
              <w:t>106,113,174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double" w:sz="6" w:space="0" w:color="000000"/>
            </w:tcBorders>
            <w:shd w:fill="FFFFFF" w:val="clear"/>
            <w:tcMar>
              <w:bottom w:w="28" w:type="dxa"/>
            </w:tcMar>
            <w:vAlign w:val="center"/>
          </w:tcPr>
          <w:p>
            <w:pPr>
              <w:pStyle w:val="TableContents"/>
              <w:bidi w:val="0"/>
              <w:spacing w:before="0" w:after="283"/>
              <w:jc w:val="right"/>
              <w:rPr/>
            </w:pPr>
            <w:r>
              <w:rPr/>
              <w:t>41,418,702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72" w:name="xdx_8AD_zk3GHsjO0wDa"/>
      <w:bookmarkEnd w:id="572"/>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w:t>
      </w:r>
      <w:bookmarkStart w:id="573" w:name="xdx_909_ecustom--PlanOfMergerMaximumAggr"/>
      <w:bookmarkEnd w:id="573"/>
      <w:r>
        <w:rPr>
          <w:rFonts w:ascii="Times New Roman;Times;Serif" w:hAnsi="Times New Roman;Times;Serif"/>
          <w:b w:val="false"/>
          <w:i w:val="false"/>
          <w:caps w:val="false"/>
          <w:smallCaps w:val="false"/>
          <w:sz w:val="20"/>
        </w:rPr>
        <w:t xml:space="preserve">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w:t>
      </w:r>
      <w:bookmarkStart w:id="574" w:name="xdx_903_eus-gaap--StockIssuedDuringPerio"/>
      <w:bookmarkEnd w:id="574"/>
      <w:r>
        <w:rPr>
          <w:rFonts w:ascii="Times New Roman;Times;Serif" w:hAnsi="Times New Roman;Times;Serif"/>
          <w:b w:val="false"/>
          <w:i w:val="false"/>
          <w:caps w:val="false"/>
          <w:smallCaps w:val="false"/>
          <w:sz w:val="20"/>
        </w:rPr>
        <w:t>73,500 shares pursuant to the Purchase Agreement with CCM LLC for aggregate net proceeds to the Company of $</w:t>
      </w:r>
      <w:bookmarkStart w:id="575" w:name="xdx_902_eus-gaap--ProceedsFromIssuanceOf"/>
      <w:bookmarkEnd w:id="575"/>
      <w:r>
        <w:rPr>
          <w:rFonts w:ascii="Times New Roman;Times;Serif" w:hAnsi="Times New Roman;Times;Serif"/>
          <w:b w:val="false"/>
          <w:i w:val="false"/>
          <w:caps w:val="false"/>
          <w:smallCaps w:val="false"/>
          <w:sz w:val="20"/>
        </w:rPr>
        <w:t>597 from the period January 1, 2023 through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76" w:name="xdx_80E_eus-gaap--DisclosureOfCompensati"/>
      <w:bookmarkEnd w:id="576"/>
      <w:r>
        <w:rPr>
          <w:rFonts w:ascii="Times New Roman;Times;Serif" w:hAnsi="Times New Roman;Times;Serif"/>
          <w:b/>
          <w:i w:val="false"/>
          <w:caps/>
          <w:sz w:val="20"/>
        </w:rPr>
        <w:t xml:space="preserve">NOTE 11 - </w:t>
      </w:r>
      <w:bookmarkStart w:id="577" w:name="xdx_82F_z4shRzZzMUWd"/>
      <w:bookmarkEnd w:id="577"/>
      <w:r>
        <w:rPr>
          <w:rFonts w:ascii="Times New Roman;Times;Serif" w:hAnsi="Times New Roman;Times;Serif"/>
          <w:b/>
          <w:i w:val="false"/>
          <w:caps/>
          <w:sz w:val="20"/>
        </w:rPr>
        <w:t>STOCK-BASED COMPENSATION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578" w:name="xdx_905_eus-gaap--AllocatedShareBasedCom"/>
      <w:bookmarkEnd w:id="578"/>
      <w:r>
        <w:rPr>
          <w:rFonts w:ascii="Times New Roman;Times;Serif" w:hAnsi="Times New Roman;Times;Serif"/>
          <w:b w:val="false"/>
          <w:i w:val="false"/>
          <w:caps w:val="false"/>
          <w:smallCaps w:val="false"/>
          <w:sz w:val="20"/>
        </w:rPr>
        <w:t>4,487 and $</w:t>
      </w:r>
      <w:bookmarkStart w:id="579" w:name="xdx_902_eus-gaap--AllocatedShareBasedCom"/>
      <w:bookmarkEnd w:id="579"/>
      <w:r>
        <w:rPr>
          <w:rFonts w:ascii="Times New Roman;Times;Serif" w:hAnsi="Times New Roman;Times;Serif"/>
          <w:b w:val="false"/>
          <w:i w:val="false"/>
          <w:caps w:val="false"/>
          <w:smallCaps w:val="false"/>
          <w:sz w:val="20"/>
        </w:rPr>
        <w:t>288 was recognized in the Company’s consolidated statements of operations for the three months ended March 31, 2023 and 2022, respectively. Of the $</w:t>
      </w:r>
      <w:bookmarkStart w:id="580" w:name="xdx_905_eus-gaap--AllocatedShareBasedCom"/>
      <w:bookmarkEnd w:id="580"/>
      <w:r>
        <w:rPr>
          <w:rFonts w:ascii="Times New Roman;Times;Serif" w:hAnsi="Times New Roman;Times;Serif"/>
          <w:b w:val="false"/>
          <w:i w:val="false"/>
          <w:caps w:val="false"/>
          <w:smallCaps w:val="false"/>
          <w:sz w:val="20"/>
        </w:rPr>
        <w:t>4,487 of share-based compensation incurred during the three months ended March 31, 2023, $</w:t>
      </w:r>
      <w:bookmarkStart w:id="581" w:name="xdx_902_eus-gaap--AllocatedShareBasedCom"/>
      <w:bookmarkEnd w:id="581"/>
      <w:r>
        <w:rPr>
          <w:rFonts w:ascii="Times New Roman;Times;Serif" w:hAnsi="Times New Roman;Times;Serif"/>
          <w:b w:val="false"/>
          <w:i w:val="false"/>
          <w:caps w:val="false"/>
          <w:smallCaps w:val="false"/>
          <w:sz w:val="20"/>
        </w:rPr>
        <w:t>36 is allocated to cost of goods sold, $</w:t>
      </w:r>
      <w:bookmarkStart w:id="582" w:name="xdx_90A_eus-gaap--AllocatedShareBasedCom"/>
      <w:bookmarkEnd w:id="582"/>
      <w:r>
        <w:rPr>
          <w:rFonts w:ascii="Times New Roman;Times;Serif" w:hAnsi="Times New Roman;Times;Serif"/>
          <w:b w:val="false"/>
          <w:i w:val="false"/>
          <w:caps w:val="false"/>
          <w:smallCaps w:val="false"/>
          <w:sz w:val="20"/>
        </w:rPr>
        <w:t>29 to research and development, $</w:t>
      </w:r>
      <w:bookmarkStart w:id="583" w:name="xdx_901_eus-gaap--AllocatedShareBasedCom"/>
      <w:bookmarkEnd w:id="583"/>
      <w:r>
        <w:rPr>
          <w:rFonts w:ascii="Times New Roman;Times;Serif" w:hAnsi="Times New Roman;Times;Serif"/>
          <w:b w:val="false"/>
          <w:i w:val="false"/>
          <w:caps w:val="false"/>
          <w:smallCaps w:val="false"/>
          <w:sz w:val="20"/>
        </w:rPr>
        <w:t>856 to selling and marketing, and $</w:t>
      </w:r>
      <w:bookmarkStart w:id="584" w:name="xdx_906_eus-gaap--AllocatedShareBasedCom"/>
      <w:bookmarkEnd w:id="584"/>
      <w:r>
        <w:rPr>
          <w:rFonts w:ascii="Times New Roman;Times;Serif" w:hAnsi="Times New Roman;Times;Serif"/>
          <w:b w:val="false"/>
          <w:i w:val="false"/>
          <w:caps w:val="false"/>
          <w:smallCaps w:val="false"/>
          <w:sz w:val="20"/>
        </w:rPr>
        <w:t>3,566 to general and administrative expenses. Of the $</w:t>
      </w:r>
      <w:bookmarkStart w:id="585" w:name="xdx_90B_eus-gaap--AllocatedShareBasedCom"/>
      <w:bookmarkEnd w:id="585"/>
      <w:r>
        <w:rPr>
          <w:rFonts w:ascii="Times New Roman;Times;Serif" w:hAnsi="Times New Roman;Times;Serif"/>
          <w:b w:val="false"/>
          <w:i w:val="false"/>
          <w:caps w:val="false"/>
          <w:smallCaps w:val="false"/>
          <w:sz w:val="20"/>
        </w:rPr>
        <w:t>288 of share-based compensation incurred during the three months ended March 31, 2022, $</w:t>
      </w:r>
      <w:bookmarkStart w:id="586" w:name="xdx_904_eus-gaap--AllocatedShareBasedCom"/>
      <w:bookmarkEnd w:id="586"/>
      <w:r>
        <w:rPr>
          <w:rFonts w:ascii="Times New Roman;Times;Serif" w:hAnsi="Times New Roman;Times;Serif"/>
          <w:b w:val="false"/>
          <w:i w:val="false"/>
          <w:caps w:val="false"/>
          <w:smallCaps w:val="false"/>
          <w:sz w:val="20"/>
        </w:rPr>
        <w:t>97 is allocated to cost of goods sold, $</w:t>
      </w:r>
      <w:bookmarkStart w:id="587" w:name="xdx_90F_eus-gaap--AllocatedShareBasedCom"/>
      <w:bookmarkEnd w:id="587"/>
      <w:r>
        <w:rPr>
          <w:rFonts w:ascii="Times New Roman;Times;Serif" w:hAnsi="Times New Roman;Times;Serif"/>
          <w:b w:val="false"/>
          <w:i w:val="false"/>
          <w:caps w:val="false"/>
          <w:smallCaps w:val="false"/>
          <w:sz w:val="20"/>
        </w:rPr>
        <w:t>37 to research and development, $</w:t>
      </w:r>
      <w:bookmarkStart w:id="588" w:name="xdx_901_eus-gaap--AllocatedShareBasedCom"/>
      <w:bookmarkEnd w:id="588"/>
      <w:r>
        <w:rPr>
          <w:rFonts w:ascii="Times New Roman;Times;Serif" w:hAnsi="Times New Roman;Times;Serif"/>
          <w:b w:val="false"/>
          <w:i w:val="false"/>
          <w:caps w:val="false"/>
          <w:smallCaps w:val="false"/>
          <w:sz w:val="20"/>
        </w:rPr>
        <w:t>60 to selling and marketing, and $</w:t>
      </w:r>
      <w:bookmarkStart w:id="589" w:name="xdx_90E_eus-gaap--AllocatedShareBasedCom"/>
      <w:bookmarkEnd w:id="589"/>
      <w:r>
        <w:rPr>
          <w:rFonts w:ascii="Times New Roman;Times;Serif" w:hAnsi="Times New Roman;Times;Serif"/>
          <w:b w:val="false"/>
          <w:i w:val="false"/>
          <w:caps w:val="false"/>
          <w:smallCaps w:val="false"/>
          <w:sz w:val="20"/>
        </w:rPr>
        <w:t>94 to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0" w:name="xdx_892_eus-gaap--ScheduleOfShareBasedCo"/>
      <w:bookmarkEnd w:id="590"/>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1" w:name="xdx_8B0_zPNjKyC1i9b1"/>
      <w:bookmarkEnd w:id="591"/>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386"/>
        <w:gridCol w:w="60"/>
        <w:gridCol w:w="60"/>
        <w:gridCol w:w="980"/>
        <w:gridCol w:w="95"/>
        <w:gridCol w:w="60"/>
        <w:gridCol w:w="215"/>
        <w:gridCol w:w="1605"/>
        <w:gridCol w:w="60"/>
        <w:gridCol w:w="60"/>
        <w:gridCol w:w="240"/>
        <w:gridCol w:w="1580"/>
        <w:gridCol w:w="60"/>
        <w:gridCol w:w="60"/>
        <w:gridCol w:w="181"/>
        <w:gridCol w:w="2243"/>
        <w:gridCol w:w="60"/>
        <w:gridCol w:w="60"/>
        <w:gridCol w:w="181"/>
        <w:gridCol w:w="883"/>
        <w:gridCol w:w="76"/>
      </w:tblGrid>
      <w:tr>
        <w:trPr/>
        <w:tc>
          <w:tcPr>
            <w:tcW w:w="1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w:t>
            </w:r>
            <w:bookmarkStart w:id="592" w:name="xdx_F5B_zOgfIDlBTjZe"/>
            <w:bookmarkEnd w:id="592"/>
            <w:r>
              <w:rPr>
                <w:rFonts w:ascii="Times New Roman;Times;Serif" w:hAnsi="Times New Roman;Times;Serif"/>
                <w:b w:val="false"/>
                <w:i w:val="false"/>
                <w:caps w:val="false"/>
                <w:smallCaps w:val="false"/>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jc w:val="center"/>
              <w:rPr/>
            </w:pPr>
            <w:r>
              <w:rPr/>
              <w:t>Grant</w:t>
            </w:r>
          </w:p>
          <w:p>
            <w:pPr>
              <w:pStyle w:val="TableContents"/>
              <w:bidi w:val="0"/>
              <w:jc w:val="center"/>
              <w:rPr/>
            </w:pPr>
            <w:r>
              <w:rPr/>
              <w:t>Date Fair</w:t>
            </w:r>
          </w:p>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4" w:type="dxa"/>
            <w:gridSpan w:val="2"/>
            <w:tcBorders>
              <w:bottom w:val="single" w:sz="12" w:space="0" w:color="000000"/>
            </w:tcBorders>
            <w:tcMar>
              <w:bottom w:w="30" w:type="dxa"/>
            </w:tcMar>
            <w:vAlign w:val="center"/>
          </w:tcPr>
          <w:p>
            <w:pPr>
              <w:pStyle w:val="TableContents"/>
              <w:bidi w:val="0"/>
              <w:spacing w:before="0" w:after="283"/>
              <w:jc w:val="center"/>
              <w:rPr/>
            </w:pPr>
            <w:r>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jc w:val="center"/>
              <w:rPr/>
            </w:pPr>
            <w:r>
              <w:rPr/>
              <w:t>Aggregate</w:t>
            </w:r>
          </w:p>
          <w:p>
            <w:pPr>
              <w:pStyle w:val="TableContents"/>
              <w:bidi w:val="0"/>
              <w:spacing w:before="0" w:after="283"/>
              <w:jc w:val="center"/>
              <w:rPr/>
            </w:pPr>
            <w:r>
              <w:rPr/>
              <w:t>intrinsic value</w:t>
            </w:r>
          </w:p>
        </w:tc>
        <w:tc>
          <w:tcPr>
            <w:tcW w:w="76" w:type="dxa"/>
            <w:tcBorders/>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3" w:name="xdx_98B_eus-gaap--ShareBasedCompensation"/>
            <w:bookmarkEnd w:id="593"/>
          </w:p>
        </w:tc>
        <w:tc>
          <w:tcPr>
            <w:tcW w:w="980" w:type="dxa"/>
            <w:tcBorders/>
            <w:shd w:fill="CCEEFF" w:val="clear"/>
            <w:vAlign w:val="center"/>
          </w:tcPr>
          <w:p>
            <w:pPr>
              <w:pStyle w:val="TableContents"/>
              <w:bidi w:val="0"/>
              <w:spacing w:before="0" w:after="283"/>
              <w:jc w:val="right"/>
              <w:rPr/>
            </w:pPr>
            <w:r>
              <w:rPr/>
              <w:t>3,690,955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594" w:name="xdx_984_eus-gaap--ShareBasedCompensation"/>
            <w:bookmarkEnd w:id="594"/>
          </w:p>
        </w:tc>
        <w:tc>
          <w:tcPr>
            <w:tcW w:w="1605" w:type="dxa"/>
            <w:tcBorders/>
            <w:shd w:fill="CCEEFF" w:val="clear"/>
            <w:vAlign w:val="center"/>
          </w:tcPr>
          <w:p>
            <w:pPr>
              <w:pStyle w:val="TableContents"/>
              <w:bidi w:val="0"/>
              <w:spacing w:before="0" w:after="283"/>
              <w:jc w:val="right"/>
              <w:rPr/>
            </w:pPr>
            <w:r>
              <w:rPr/>
              <w:t>          </w:t>
            </w: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595" w:name="xdx_98F_eus-gaap--SharebasedCompensation"/>
            <w:bookmarkEnd w:id="595"/>
          </w:p>
        </w:tc>
        <w:tc>
          <w:tcPr>
            <w:tcW w:w="1580" w:type="dxa"/>
            <w:tcBorders/>
            <w:shd w:fill="CCEEFF" w:val="clear"/>
            <w:vAlign w:val="center"/>
          </w:tcPr>
          <w:p>
            <w:pPr>
              <w:pStyle w:val="TableContents"/>
              <w:bidi w:val="0"/>
              <w:spacing w:before="0" w:after="283"/>
              <w:jc w:val="right"/>
              <w:rPr/>
            </w:pPr>
            <w:r>
              <w:rPr/>
              <w:t>        </w:t>
            </w: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bookmarkStart w:id="596" w:name="xdx_90E_ecustom--SharebasedCompensationA"/>
            <w:bookmarkEnd w:id="596"/>
            <w:r>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597" w:name="xdx_983_eus-gaap--ShareBasedCompensation"/>
            <w:bookmarkEnd w:id="597"/>
          </w:p>
        </w:tc>
        <w:tc>
          <w:tcPr>
            <w:tcW w:w="883" w:type="dxa"/>
            <w:tcBorders/>
            <w:shd w:fill="CCEEFF" w:val="clear"/>
            <w:vAlign w:val="center"/>
          </w:tcPr>
          <w:p>
            <w:pPr>
              <w:pStyle w:val="TableContents"/>
              <w:bidi w:val="0"/>
              <w:spacing w:before="0" w:after="283"/>
              <w:jc w:val="right"/>
              <w:rPr/>
            </w:pPr>
            <w:r>
              <w:rPr/>
              <w:t>6,550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8" w:name="xdx_989_eus-gaap--ShareBasedCompensation"/>
            <w:bookmarkEnd w:id="598"/>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599" w:name="xdx_983_eus-gaap--ShareBasedCompensation"/>
            <w:bookmarkEnd w:id="599"/>
          </w:p>
        </w:tc>
        <w:tc>
          <w:tcPr>
            <w:tcW w:w="1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600" w:name="xdx_980_eus-gaap--ShareBasedCompensation"/>
            <w:bookmarkEnd w:id="600"/>
          </w:p>
        </w:tc>
        <w:tc>
          <w:tcPr>
            <w:tcW w:w="15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601" w:name="xdx_98C_ecustom--ShareBasedCompensationA"/>
            <w:bookmarkEnd w:id="601"/>
          </w:p>
        </w:tc>
        <w:tc>
          <w:tcPr>
            <w:tcW w:w="883"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2" w:name="xdx_981_eus-gaap--ShareBasedCompensation"/>
            <w:bookmarkEnd w:id="602"/>
          </w:p>
        </w:tc>
        <w:tc>
          <w:tcPr>
            <w:tcW w:w="980" w:type="dxa"/>
            <w:tcBorders/>
            <w:shd w:fill="CCEEFF" w:val="clear"/>
            <w:vAlign w:val="center"/>
          </w:tcPr>
          <w:p>
            <w:pPr>
              <w:pStyle w:val="TableContents"/>
              <w:bidi w:val="0"/>
              <w:spacing w:before="0" w:after="283"/>
              <w:jc w:val="right"/>
              <w:rPr/>
            </w:pPr>
            <w:r>
              <w:rPr/>
              <w:t>(11,584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603" w:name="xdx_989_eus-gaap--ShareBasedCompensation"/>
            <w:bookmarkEnd w:id="603"/>
          </w:p>
        </w:tc>
        <w:tc>
          <w:tcPr>
            <w:tcW w:w="1605" w:type="dxa"/>
            <w:tcBorders/>
            <w:shd w:fill="CCEEFF" w:val="cle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bookmarkStart w:id="604" w:name="xdx_982_eus-gaap--SharebasedCompensation"/>
            <w:bookmarkEnd w:id="604"/>
          </w:p>
        </w:tc>
        <w:tc>
          <w:tcPr>
            <w:tcW w:w="1580" w:type="dxa"/>
            <w:tcBorders/>
            <w:shd w:fill="CCEEFF" w:val="clear"/>
            <w:vAlign w:val="center"/>
          </w:tcPr>
          <w:p>
            <w:pPr>
              <w:pStyle w:val="TableContents"/>
              <w:bidi w:val="0"/>
              <w:spacing w:before="0" w:after="283"/>
              <w:jc w:val="right"/>
              <w:rPr/>
            </w:pPr>
            <w:r>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605" w:name="xdx_986_ecustom--ShareBasedCompensationA"/>
            <w:bookmarkEnd w:id="605"/>
          </w:p>
        </w:tc>
        <w:tc>
          <w:tcPr>
            <w:tcW w:w="883"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6" w:name="xdx_987_eus-gaap--StockIssuedDuringPerio"/>
            <w:bookmarkEnd w:id="606"/>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7" w:name="xdx_980_eus-gaap--ShareBasedCompensation"/>
            <w:bookmarkEnd w:id="607"/>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8" w:name="xdx_986_eus-gaap--SharebasedCompensation"/>
            <w:bookmarkEnd w:id="608"/>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9" w:name="xdx_987_eus-gaap--ShareBasedCompensation"/>
            <w:bookmarkEnd w:id="609"/>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10" w:name="xdx_98F_eus-gaap--ShareBasedCompensation"/>
            <w:bookmarkEnd w:id="610"/>
          </w:p>
        </w:tc>
        <w:tc>
          <w:tcPr>
            <w:tcW w:w="980" w:type="dxa"/>
            <w:tcBorders/>
            <w:shd w:fill="CCEEFF" w:val="clear"/>
            <w:vAlign w:val="center"/>
          </w:tcPr>
          <w:p>
            <w:pPr>
              <w:pStyle w:val="TableContents"/>
              <w:bidi w:val="0"/>
              <w:spacing w:before="0" w:after="283"/>
              <w:jc w:val="right"/>
              <w:rPr/>
            </w:pPr>
            <w:r>
              <w:rPr/>
              <w:t>3,631,002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611" w:name="xdx_980_eus-gaap--ShareBasedCompensation"/>
            <w:bookmarkEnd w:id="611"/>
          </w:p>
        </w:tc>
        <w:tc>
          <w:tcPr>
            <w:tcW w:w="1605"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612" w:name="xdx_98C_eus-gaap--SharebasedCompensation"/>
            <w:bookmarkEnd w:id="612"/>
          </w:p>
        </w:tc>
        <w:tc>
          <w:tcPr>
            <w:tcW w:w="1580"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613" w:name="xdx_900_eus-gaap--SharebasedCompensation"/>
            <w:bookmarkEnd w:id="613"/>
            <w:r>
              <w:rPr/>
              <w:t>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614" w:name="xdx_980_eus-gaap--ShareBasedCompensation"/>
            <w:bookmarkEnd w:id="614"/>
          </w:p>
        </w:tc>
        <w:tc>
          <w:tcPr>
            <w:tcW w:w="883" w:type="dxa"/>
            <w:tcBorders/>
            <w:shd w:fill="CCEEFF" w:val="clear"/>
            <w:vAlign w:val="center"/>
          </w:tcPr>
          <w:p>
            <w:pPr>
              <w:pStyle w:val="TableContents"/>
              <w:bidi w:val="0"/>
              <w:spacing w:before="0" w:after="283"/>
              <w:jc w:val="right"/>
              <w:rPr/>
            </w:pPr>
            <w:r>
              <w:rPr/>
              <w:t>6,377</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15" w:name="xdx_98F_eus-gaap--ShareBasedCompensation"/>
            <w:bookmarkEnd w:id="615"/>
          </w:p>
        </w:tc>
        <w:tc>
          <w:tcPr>
            <w:tcW w:w="980" w:type="dxa"/>
            <w:tcBorders/>
            <w:shd w:fill="CCEEFF" w:val="clear"/>
            <w:vAlign w:val="center"/>
          </w:tcPr>
          <w:p>
            <w:pPr>
              <w:pStyle w:val="TableContents"/>
              <w:bidi w:val="0"/>
              <w:spacing w:before="0" w:after="283"/>
              <w:jc w:val="right"/>
              <w:rPr/>
            </w:pPr>
            <w:r>
              <w:rPr/>
              <w:t>3,642,958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616" w:name="xdx_981_eus-gaap--ShareBasedCompensation"/>
            <w:bookmarkEnd w:id="616"/>
          </w:p>
        </w:tc>
        <w:tc>
          <w:tcPr>
            <w:tcW w:w="1605"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617" w:name="xdx_982_eus-gaap--SharebasedCompensation"/>
            <w:bookmarkEnd w:id="617"/>
          </w:p>
        </w:tc>
        <w:tc>
          <w:tcPr>
            <w:tcW w:w="1580"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618" w:name="xdx_90A_ecustom--SharebasedCompensationA"/>
            <w:bookmarkEnd w:id="618"/>
            <w:r>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619" w:name="xdx_987_eus-gaap--ShareBasedCompensation"/>
            <w:bookmarkEnd w:id="619"/>
          </w:p>
        </w:tc>
        <w:tc>
          <w:tcPr>
            <w:tcW w:w="883" w:type="dxa"/>
            <w:tcBorders/>
            <w:shd w:fill="CCEEFF" w:val="clear"/>
            <w:vAlign w:val="center"/>
          </w:tcPr>
          <w:p>
            <w:pPr>
              <w:pStyle w:val="TableContents"/>
              <w:bidi w:val="0"/>
              <w:spacing w:before="0" w:after="283"/>
              <w:jc w:val="right"/>
              <w:rPr/>
            </w:pPr>
            <w:r>
              <w:rPr/>
              <w:t>35,989</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20" w:name="xdx_982_eus-gaap--ShareBasedCompensation"/>
            <w:bookmarkEnd w:id="620"/>
          </w:p>
        </w:tc>
        <w:tc>
          <w:tcPr>
            <w:tcW w:w="980" w:type="dxa"/>
            <w:tcBorders/>
            <w:shd w:fill="FFFFFF" w:val="clear"/>
            <w:vAlign w:val="center"/>
          </w:tcPr>
          <w:p>
            <w:pPr>
              <w:pStyle w:val="TableContents"/>
              <w:bidi w:val="0"/>
              <w:spacing w:before="0" w:after="283"/>
              <w:jc w:val="right"/>
              <w:rPr/>
            </w:pPr>
            <w:r>
              <w:rPr/>
              <w:t>143,607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bookmarkStart w:id="621" w:name="xdx_98B_eus-gaap--ShareBasedCompensation"/>
            <w:bookmarkEnd w:id="621"/>
          </w:p>
        </w:tc>
        <w:tc>
          <w:tcPr>
            <w:tcW w:w="1605" w:type="dxa"/>
            <w:tcBorders/>
            <w:shd w:fill="FFFFFF" w:val="clear"/>
            <w:vAlign w:val="center"/>
          </w:tcPr>
          <w:p>
            <w:pPr>
              <w:pStyle w:val="TableContents"/>
              <w:bidi w:val="0"/>
              <w:spacing w:before="0" w:after="283"/>
              <w:jc w:val="right"/>
              <w:rPr/>
            </w:pPr>
            <w:r>
              <w:rPr/>
              <w:t>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622" w:name="xdx_986_eus-gaap--ShareBasedCompensation"/>
            <w:bookmarkEnd w:id="622"/>
          </w:p>
        </w:tc>
        <w:tc>
          <w:tcPr>
            <w:tcW w:w="1580" w:type="dxa"/>
            <w:tcBorders/>
            <w:shd w:fill="FFFFFF" w:val="clear"/>
            <w:vAlign w:val="center"/>
          </w:tcPr>
          <w:p>
            <w:pPr>
              <w:pStyle w:val="TableContents"/>
              <w:bidi w:val="0"/>
              <w:spacing w:before="0" w:after="283"/>
              <w:jc w:val="right"/>
              <w:rPr/>
            </w:pPr>
            <w:r>
              <w:rPr/>
              <w:t>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623" w:name="xdx_98D_ecustom--ShareBasedCompensationA"/>
            <w:bookmarkEnd w:id="623"/>
          </w:p>
        </w:tc>
        <w:tc>
          <w:tcPr>
            <w:tcW w:w="883" w:type="dxa"/>
            <w:tcBorders/>
            <w:shd w:fill="FFFFFF" w:val="clear"/>
            <w:vAlign w:val="center"/>
          </w:tcPr>
          <w:p>
            <w:pPr>
              <w:pStyle w:val="TableContents"/>
              <w:bidi w:val="0"/>
              <w:spacing w:before="0" w:after="283"/>
              <w:jc w:val="right"/>
              <w:rPr/>
            </w:pPr>
            <w:r>
              <w:rPr/>
              <w:t>632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24" w:name="xdx_98A_eus-gaap--ShareBasedCompensation"/>
            <w:bookmarkEnd w:id="624"/>
          </w:p>
        </w:tc>
        <w:tc>
          <w:tcPr>
            <w:tcW w:w="980" w:type="dxa"/>
            <w:tcBorders/>
            <w:shd w:fill="CCEEFF" w:val="clear"/>
            <w:vAlign w:val="center"/>
          </w:tcPr>
          <w:p>
            <w:pPr>
              <w:pStyle w:val="TableContents"/>
              <w:bidi w:val="0"/>
              <w:spacing w:before="0" w:after="283"/>
              <w:jc w:val="right"/>
              <w:rPr/>
            </w:pPr>
            <w:r>
              <w:rPr/>
              <w:t>(19,164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bookmarkStart w:id="625" w:name="xdx_984_eus-gaap--ShareBasedCompensation"/>
            <w:bookmarkEnd w:id="625"/>
          </w:p>
        </w:tc>
        <w:tc>
          <w:tcPr>
            <w:tcW w:w="1605" w:type="dxa"/>
            <w:tcBorders/>
            <w:shd w:fill="CCEEFF" w:val="clear"/>
            <w:vAlign w:val="center"/>
          </w:tcPr>
          <w:p>
            <w:pPr>
              <w:pStyle w:val="TableContents"/>
              <w:bidi w:val="0"/>
              <w:spacing w:before="0" w:after="283"/>
              <w:jc w:val="right"/>
              <w:rPr/>
            </w:pPr>
            <w:r>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bookmarkStart w:id="626" w:name="xdx_984_eus-gaap--SharebasedCompensation"/>
            <w:bookmarkEnd w:id="626"/>
          </w:p>
        </w:tc>
        <w:tc>
          <w:tcPr>
            <w:tcW w:w="1580"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627" w:name="xdx_986_ecustom--ShareBasedCompensationA"/>
            <w:bookmarkEnd w:id="627"/>
          </w:p>
        </w:tc>
        <w:tc>
          <w:tcPr>
            <w:tcW w:w="883" w:type="dxa"/>
            <w:tcBorders/>
            <w:shd w:fill="CCEEFF" w:val="clear"/>
            <w:vAlign w:val="center"/>
          </w:tcPr>
          <w:p>
            <w:pPr>
              <w:pStyle w:val="TableContents"/>
              <w:bidi w:val="0"/>
              <w:spacing w:before="0" w:after="283"/>
              <w:jc w:val="right"/>
              <w:rPr/>
            </w:pPr>
            <w:r>
              <w:rPr/>
              <w:t>6</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28" w:name="xdx_98B_eus-gaap--StockIssuedDuringPerio"/>
            <w:bookmarkEnd w:id="628"/>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(36,009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29" w:name="xdx_988_eus-gaap--ShareBasedCompensation"/>
            <w:bookmarkEnd w:id="629"/>
          </w:p>
        </w:tc>
        <w:tc>
          <w:tcPr>
            <w:tcW w:w="160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30" w:name="xdx_982_eus-gaap--SharebasedCompensation"/>
            <w:bookmarkEnd w:id="630"/>
          </w:p>
        </w:tc>
        <w:tc>
          <w:tcPr>
            <w:tcW w:w="1580"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31" w:name="xdx_98A_eus-gaap--ShareBasedCompensation"/>
            <w:bookmarkEnd w:id="631"/>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232</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Balances,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32" w:name="xdx_983_eus-gaap--ShareBasedCompensation"/>
            <w:bookmarkEnd w:id="63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3" w:name="xdx_98C_eus-gaap--ShareBasedCompensation"/>
            <w:bookmarkEnd w:id="633"/>
          </w:p>
        </w:tc>
        <w:tc>
          <w:tcPr>
            <w:tcW w:w="1605" w:type="dxa"/>
            <w:tcBorders>
              <w:bottom w:val="double" w:sz="6" w:space="0" w:color="000000"/>
            </w:tcBorders>
            <w:shd w:fill="CCEEFF" w:val="clear"/>
            <w:tcMar>
              <w:bottom w:w="28" w:type="dxa"/>
            </w:tcM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4" w:name="xdx_983_eus-gaap--SharebasedCompensation"/>
            <w:bookmarkEnd w:id="634"/>
          </w:p>
        </w:tc>
        <w:tc>
          <w:tcPr>
            <w:tcW w:w="1580" w:type="dxa"/>
            <w:tcBorders>
              <w:bottom w:val="double" w:sz="6" w:space="0" w:color="000000"/>
            </w:tcBorders>
            <w:shd w:fill="CCEEFF" w:val="clear"/>
            <w:tcMar>
              <w:bottom w:w="28" w:type="dxa"/>
            </w:tcM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635" w:name="xdx_90E_eus-gaap--SharebasedCompensation"/>
            <w:bookmarkEnd w:id="635"/>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6" w:name="xdx_987_eus-gaap--ShareBasedCompensation"/>
            <w:bookmarkEnd w:id="636"/>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both"/>
              <w:rPr/>
            </w:pPr>
            <w:r>
              <w:rPr/>
              <w:t>Vested and 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7" w:name="xdx_98B_eus-gaap--ShareBasedCompensation"/>
            <w:bookmarkEnd w:id="637"/>
          </w:p>
        </w:tc>
        <w:tc>
          <w:tcPr>
            <w:tcW w:w="980" w:type="dxa"/>
            <w:tcBorders/>
            <w:shd w:fill="FFFFFF" w:val="clear"/>
            <w:vAlign w:val="center"/>
          </w:tcPr>
          <w:p>
            <w:pPr>
              <w:pStyle w:val="TableContents"/>
              <w:bidi w:val="0"/>
              <w:spacing w:before="0" w:after="283"/>
              <w:jc w:val="right"/>
              <w:rPr/>
            </w:pPr>
            <w:r>
              <w:rPr/>
              <w:t>2,029,985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bookmarkStart w:id="638" w:name="xdx_982_eus-gaap--ShareBasedCompensation"/>
            <w:bookmarkEnd w:id="638"/>
          </w:p>
        </w:tc>
        <w:tc>
          <w:tcPr>
            <w:tcW w:w="1605"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bookmarkStart w:id="639" w:name="xdx_90B_eus-gaap--SharebasedCompensation"/>
            <w:bookmarkEnd w:id="639"/>
            <w:r>
              <w:rPr/>
              <w:t>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bookmarkStart w:id="640" w:name="xdx_982_eus-gaap--ShareBasedCompensation"/>
            <w:bookmarkEnd w:id="640"/>
          </w:p>
        </w:tc>
        <w:tc>
          <w:tcPr>
            <w:tcW w:w="883" w:type="dxa"/>
            <w:tcBorders/>
            <w:shd w:fill="FFFFFF" w:val="clear"/>
            <w:vAlign w:val="center"/>
          </w:tcPr>
          <w:p>
            <w:pPr>
              <w:pStyle w:val="TableContents"/>
              <w:bidi w:val="0"/>
              <w:spacing w:before="0" w:after="283"/>
              <w:jc w:val="right"/>
              <w:rPr/>
            </w:pPr>
            <w:r>
              <w:rPr/>
              <w:t>3,120</w:t>
            </w:r>
          </w:p>
        </w:tc>
        <w:tc>
          <w:tcPr>
            <w:tcW w:w="76" w:type="dxa"/>
            <w:tcBorders/>
            <w:shd w:fill="FFFFFF" w:val="clear"/>
            <w:vAlign w:val="center"/>
          </w:tcPr>
          <w:p>
            <w:pPr>
              <w:pStyle w:val="TableContents"/>
              <w:bidi w:val="0"/>
              <w:spacing w:before="0" w:after="283"/>
              <w:jc w:val="left"/>
              <w:rPr/>
            </w:pPr>
            <w:r>
              <w:rPr/>
              <w:t> </w:t>
            </w:r>
          </w:p>
        </w:tc>
      </w:tr>
      <w:tr>
        <w:trPr/>
        <w:tc>
          <w:tcPr>
            <w:tcW w:w="1386" w:type="dxa"/>
            <w:tcBorders/>
            <w:shd w:fill="CCEEFF" w:val="clear"/>
            <w:vAlign w:val="center"/>
          </w:tcPr>
          <w:p>
            <w:pPr>
              <w:pStyle w:val="TableContents"/>
              <w:bidi w:val="0"/>
              <w:spacing w:before="0" w:after="283"/>
              <w:jc w:val="both"/>
              <w:rPr/>
            </w:pPr>
            <w:r>
              <w:rPr/>
              <w:t>Vested and expected to vest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1" w:name="xdx_98B_eus-gaap--ShareBasedCompensation"/>
            <w:bookmarkEnd w:id="641"/>
          </w:p>
        </w:tc>
        <w:tc>
          <w:tcPr>
            <w:tcW w:w="980" w:type="dxa"/>
            <w:tcBorders/>
            <w:shd w:fill="CCEEFF" w:val="clear"/>
            <w:vAlign w:val="center"/>
          </w:tcPr>
          <w:p>
            <w:pPr>
              <w:pStyle w:val="TableContents"/>
              <w:bidi w:val="0"/>
              <w:spacing w:before="0" w:after="283"/>
              <w:jc w:val="right"/>
              <w:rPr/>
            </w:pPr>
            <w:r>
              <w:rPr/>
              <w:t>3,731,392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bookmarkStart w:id="642" w:name="xdx_984_eus-gaap--ShareBasedCompensation"/>
            <w:bookmarkEnd w:id="642"/>
          </w:p>
        </w:tc>
        <w:tc>
          <w:tcPr>
            <w:tcW w:w="1605" w:type="dxa"/>
            <w:tcBorders/>
            <w:shd w:fill="CCEEFF" w:val="cle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bookmarkStart w:id="643" w:name="xdx_901_eus-gaap--SharebasedCompensation"/>
            <w:bookmarkEnd w:id="643"/>
            <w:r>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644" w:name="xdx_98E_eus-gaap--ShareBasedCompensation"/>
            <w:bookmarkEnd w:id="644"/>
          </w:p>
        </w:tc>
        <w:tc>
          <w:tcPr>
            <w:tcW w:w="883" w:type="dxa"/>
            <w:tcBorders/>
            <w:shd w:fill="CCEEFF" w:val="clear"/>
            <w:vAlign w:val="center"/>
          </w:tcPr>
          <w:p>
            <w:pPr>
              <w:pStyle w:val="TableContents"/>
              <w:bidi w:val="0"/>
              <w:spacing w:before="0" w:after="283"/>
              <w:jc w:val="right"/>
              <w:rPr/>
            </w:pPr>
            <w:r>
              <w:rPr/>
              <w:t>3,800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right"/>
              <w:rPr>
                <w:rFonts w:ascii="Times New Roman;Times;Serif" w:hAnsi="Times New Roman;Times;Serif"/>
                <w:sz w:val="20"/>
              </w:rPr>
            </w:pPr>
            <w:bookmarkStart w:id="645" w:name="xdx_F08_zcUw0P8GhtV"/>
            <w:bookmarkEnd w:id="645"/>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bookmarkStart w:id="646" w:name="xdx_F1C_z4NoZtaT67Mk"/>
            <w:bookmarkEnd w:id="646"/>
            <w:r>
              <w:rPr>
                <w:rFonts w:ascii="Times New Roman;Times;Serif" w:hAnsi="Times New Roman;Times;Serif"/>
                <w:sz w:val="20"/>
              </w:rPr>
              <w:t xml:space="preserve">Number of options and weighted average exercise price has been adjusted to reflect the exchange of Legacy Dragonfly’s stock options for New Dragonfly stock options at an exchange ratio of approximately </w:t>
            </w:r>
            <w:bookmarkStart w:id="647" w:name="xdx_900_eus-gaap--StockholdersEquityNote"/>
            <w:bookmarkEnd w:id="647"/>
            <w:r>
              <w:rPr>
                <w:rFonts w:ascii="Times New Roman;Times;Serif" w:hAnsi="Times New Roman;Times;Serif"/>
                <w:sz w:val="20"/>
              </w:rPr>
              <w:t>1.182 as a result of the merger.</w:t>
            </w:r>
          </w:p>
        </w:tc>
      </w:tr>
    </w:tbl>
    <w:p>
      <w:pPr>
        <w:pStyle w:val="TextBody"/>
        <w:bidi w:val="0"/>
        <w:spacing w:before="0" w:after="0"/>
        <w:ind w:left="0" w:right="0" w:hanging="0"/>
        <w:jc w:val="both"/>
        <w:rPr>
          <w:caps w:val="false"/>
          <w:smallCaps w:val="false"/>
        </w:rPr>
      </w:pPr>
      <w:bookmarkStart w:id="648" w:name="xdx_8A3_zSw64sGHWSj7"/>
      <w:bookmarkEnd w:id="648"/>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the Company granted </w:t>
      </w:r>
      <w:bookmarkStart w:id="649" w:name="xdx_90A_eus-gaap--ShareBasedCompensation"/>
      <w:bookmarkEnd w:id="649"/>
      <w:r>
        <w:rPr>
          <w:rFonts w:ascii="Times New Roman;Times;Serif" w:hAnsi="Times New Roman;Times;Serif"/>
          <w:b w:val="false"/>
          <w:i w:val="false"/>
          <w:caps w:val="false"/>
          <w:smallCaps w:val="false"/>
          <w:sz w:val="20"/>
        </w:rPr>
        <w:t>180,000 restricted stock units under the 2022 plan which vest one year from the grant date. The fair value of the restricted stock units on the date of grant was $</w:t>
      </w:r>
      <w:bookmarkStart w:id="650" w:name="xdx_905_eus-gaap--StockIssuedDuringPerio"/>
      <w:bookmarkEnd w:id="650"/>
      <w:r>
        <w:rPr>
          <w:rFonts w:ascii="Times New Roman;Times;Serif" w:hAnsi="Times New Roman;Times;Serif"/>
          <w:b w:val="false"/>
          <w:i w:val="false"/>
          <w:caps w:val="false"/>
          <w:smallCaps w:val="false"/>
          <w:sz w:val="20"/>
        </w:rPr>
        <w:t xml:space="preserve">2,520, which is recognized as compensation expense over the requisite service period based on the value of the underlying shares on the date of grant. On February 10, 2023, the Company granted </w:t>
      </w:r>
      <w:bookmarkStart w:id="651" w:name="xdx_904_eus-gaap--ShareBasedCompensation"/>
      <w:bookmarkEnd w:id="651"/>
      <w:r>
        <w:rPr>
          <w:rFonts w:ascii="Times New Roman;Times;Serif" w:hAnsi="Times New Roman;Times;Serif"/>
          <w:b w:val="false"/>
          <w:i w:val="false"/>
          <w:caps w:val="false"/>
          <w:smallCaps w:val="false"/>
          <w:sz w:val="20"/>
        </w:rPr>
        <w:t>461,998 restricted stock units under the 2022 plan which vest immediately. The fair value of the restricted stock units on the date of grant was $</w:t>
      </w:r>
      <w:bookmarkStart w:id="652" w:name="xdx_902_eus-gaap--StockIssuedDuringPerio"/>
      <w:bookmarkEnd w:id="652"/>
      <w:r>
        <w:rPr>
          <w:rFonts w:ascii="Times New Roman;Times;Serif" w:hAnsi="Times New Roman;Times;Serif"/>
          <w:b w:val="false"/>
          <w:i w:val="false"/>
          <w:caps w:val="false"/>
          <w:smallCaps w:val="false"/>
          <w:sz w:val="20"/>
        </w:rPr>
        <w:t>3,464 and was recorded as compensation expense.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3" w:name="xdx_89C_eus-gaap--ScheduleOfUnvestedRest"/>
      <w:bookmarkEnd w:id="653"/>
      <w:r>
        <w:rPr>
          <w:rFonts w:ascii="Times New Roman;Times;Serif" w:hAnsi="Times New Roman;Times;Serif"/>
          <w:b w:val="false"/>
          <w:i w:val="false"/>
          <w:caps w:val="false"/>
          <w:smallCaps w:val="false"/>
          <w:sz w:val="20"/>
        </w:rPr>
        <w:t>There were no grants of restricted stock units prior to October 7, 2022. The following table presents the restricted stock units activity for the three months ended March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4" w:name="xdx_8BC_zWNykOTCHlw1"/>
      <w:bookmarkEnd w:id="654"/>
      <w:r>
        <w:rPr>
          <w:rFonts w:ascii="Times New Roman;Times;Serif" w:hAnsi="Times New Roman;Times;Serif"/>
          <w:b w:val="false"/>
          <w:i w:val="false"/>
          <w:caps w:val="false"/>
          <w:smallCaps w:val="false"/>
          <w:sz w:val="20"/>
        </w:rPr>
        <w:t>SCHEDULE OF RESTRICTED STOCK UNITS ACTIVITY </w:t>
      </w:r>
    </w:p>
    <w:tbl>
      <w:tblPr>
        <w:tblW w:w="6544" w:type="dxa"/>
        <w:jc w:val="left"/>
        <w:tblInd w:w="0" w:type="dxa"/>
        <w:tblLayout w:type="fixed"/>
        <w:tblCellMar>
          <w:top w:w="0" w:type="dxa"/>
          <w:left w:w="0" w:type="dxa"/>
          <w:bottom w:w="0" w:type="dxa"/>
          <w:right w:w="0" w:type="dxa"/>
        </w:tblCellMar>
      </w:tblPr>
      <w:tblGrid>
        <w:gridCol w:w="3380"/>
        <w:gridCol w:w="60"/>
        <w:gridCol w:w="67"/>
        <w:gridCol w:w="987"/>
        <w:gridCol w:w="95"/>
        <w:gridCol w:w="60"/>
        <w:gridCol w:w="196"/>
        <w:gridCol w:w="1624"/>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jc w:val="center"/>
              <w:rPr/>
            </w:pPr>
            <w:r>
              <w:rPr/>
              <w:t>Number of</w:t>
            </w:r>
          </w:p>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0" w:type="dxa"/>
            <w:gridSpan w:val="2"/>
            <w:tcBorders>
              <w:bottom w:val="single" w:sz="12" w:space="0" w:color="000000"/>
            </w:tcBorders>
            <w:tcMar>
              <w:bottom w:w="28" w:type="dxa"/>
            </w:tcMar>
            <w:vAlign w:val="center"/>
          </w:tcPr>
          <w:p>
            <w:pPr>
              <w:pStyle w:val="TableContents"/>
              <w:bidi w:val="0"/>
              <w:jc w:val="center"/>
              <w:rPr/>
            </w:pPr>
            <w:r>
              <w:rPr/>
              <w:t>Weighted-Average</w:t>
            </w:r>
          </w:p>
          <w:p>
            <w:pPr>
              <w:pStyle w:val="TableContents"/>
              <w:bidi w:val="0"/>
              <w:spacing w:before="0" w:after="283"/>
              <w:jc w:val="center"/>
              <w:rPr/>
            </w:pPr>
            <w:r>
              <w:rPr/>
              <w:t>Fair Market Value</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Unvested shares at January 1, 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655" w:name="xdx_984_eus-gaap--ShareBasedCompensation"/>
            <w:bookmarkEnd w:id="655"/>
          </w:p>
        </w:tc>
        <w:tc>
          <w:tcPr>
            <w:tcW w:w="987" w:type="dxa"/>
            <w:tcBorders/>
            <w:shd w:fill="CCEEFF" w:val="clear"/>
            <w:vAlign w:val="center"/>
          </w:tcPr>
          <w:p>
            <w:pPr>
              <w:pStyle w:val="TableContents"/>
              <w:bidi w:val="0"/>
              <w:spacing w:before="0" w:after="283"/>
              <w:jc w:val="right"/>
              <w:rPr/>
            </w:pPr>
            <w:r>
              <w:rPr/>
              <w:t>180,000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bookmarkStart w:id="656" w:name="xdx_98C_eus-gaap--ShareBasedCompensation"/>
            <w:bookmarkEnd w:id="656"/>
          </w:p>
        </w:tc>
        <w:tc>
          <w:tcPr>
            <w:tcW w:w="1624" w:type="dxa"/>
            <w:tcBorders/>
            <w:shd w:fill="CCEEFF" w:val="clear"/>
            <w:vAlign w:val="center"/>
          </w:tcPr>
          <w:p>
            <w:pPr>
              <w:pStyle w:val="TableContents"/>
              <w:bidi w:val="0"/>
              <w:spacing w:before="0" w:after="283"/>
              <w:jc w:val="right"/>
              <w:rPr/>
            </w:pPr>
            <w:r>
              <w:rPr/>
              <w:t>          </w:t>
            </w:r>
            <w:r>
              <w:rPr/>
              <w:t>14.00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657" w:name="xdx_984_eus-gaap--ShareBasedCompensation"/>
            <w:bookmarkEnd w:id="657"/>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658" w:name="xdx_98D_eus-gaap--ShareBasedCompensation"/>
            <w:bookmarkEnd w:id="658"/>
          </w:p>
        </w:tc>
        <w:tc>
          <w:tcPr>
            <w:tcW w:w="1624"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59" w:name="xdx_984_eus-gaap--ShareBasedCompensation"/>
            <w:bookmarkEnd w:id="659"/>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(461,998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660" w:name="xdx_987_eus-gaap--ShareBasedCompensation"/>
            <w:bookmarkEnd w:id="660"/>
          </w:p>
        </w:tc>
        <w:tc>
          <w:tcPr>
            <w:tcW w:w="1624" w:type="dxa"/>
            <w:tcBorders/>
            <w:shd w:fill="CCEEFF" w:val="clear"/>
            <w:vAlign w:val="center"/>
          </w:tcPr>
          <w:p>
            <w:pPr>
              <w:pStyle w:val="TableContents"/>
              <w:bidi w:val="0"/>
              <w:spacing w:before="0" w:after="283"/>
              <w:jc w:val="right"/>
              <w:rPr/>
            </w:pPr>
            <w:r>
              <w:rPr/>
              <w:t>7.50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Unvested shares,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61" w:name="xdx_985_eus-gaap--ShareBasedCompensation"/>
            <w:bookmarkEnd w:id="661"/>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bookmarkStart w:id="662" w:name="xdx_989_eus-gaap--ShareBasedCompensation"/>
            <w:bookmarkEnd w:id="662"/>
          </w:p>
        </w:tc>
        <w:tc>
          <w:tcPr>
            <w:tcW w:w="1624"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Vested as of March 31, 2023</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663" w:name="xdx_984_eus-gaap--SharebasedCompensation"/>
            <w:bookmarkEnd w:id="663"/>
          </w:p>
        </w:tc>
        <w:tc>
          <w:tcPr>
            <w:tcW w:w="987" w:type="dxa"/>
            <w:tcBorders/>
            <w:shd w:fill="FFFFFF" w:val="clear"/>
            <w:vAlign w:val="center"/>
          </w:tcPr>
          <w:p>
            <w:pPr>
              <w:pStyle w:val="TableContents"/>
              <w:bidi w:val="0"/>
              <w:spacing w:before="0" w:after="283"/>
              <w:jc w:val="right"/>
              <w:rPr/>
            </w:pPr>
            <w:r>
              <w:rPr/>
              <w:t>461,998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bookmarkStart w:id="664" w:name="xdx_98B_ecustom--SharebasedCompensationA"/>
            <w:bookmarkEnd w:id="664"/>
          </w:p>
        </w:tc>
        <w:tc>
          <w:tcPr>
            <w:tcW w:w="1624" w:type="dxa"/>
            <w:tcBorders/>
            <w:shd w:fill="FFFFFF" w:val="clear"/>
            <w:vAlign w:val="center"/>
          </w:tcPr>
          <w:p>
            <w:pPr>
              <w:pStyle w:val="TableContents"/>
              <w:bidi w:val="0"/>
              <w:spacing w:before="0" w:after="283"/>
              <w:jc w:val="right"/>
              <w:rPr/>
            </w:pPr>
            <w:r>
              <w:rPr/>
              <w:t>7.50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5" w:name="xdx_8A0_zQ0qlyT1Rdf9"/>
      <w:bookmarkEnd w:id="66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there were </w:t>
      </w:r>
      <w:bookmarkStart w:id="666" w:name="xdx_903_eus-gaap--ClassOfWarrantOrRightU"/>
      <w:bookmarkEnd w:id="666"/>
      <w:r>
        <w:rPr>
          <w:rFonts w:ascii="Times New Roman;Times;Serif" w:hAnsi="Times New Roman;Times;Serif"/>
          <w:b w:val="false"/>
          <w:i w:val="false"/>
          <w:caps w:val="false"/>
          <w:smallCaps w:val="false"/>
          <w:sz w:val="20"/>
        </w:rPr>
        <w:t>4,319,309 shares of unissued authorized and available for future awards under the 2022 Equity Incentive Plan and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67" w:name="xdx_806_eus-gaap--EarningsPerShareTextBl"/>
      <w:bookmarkEnd w:id="667"/>
      <w:r>
        <w:rPr>
          <w:rFonts w:ascii="Times New Roman;Times;Serif" w:hAnsi="Times New Roman;Times;Serif"/>
          <w:b/>
          <w:i w:val="false"/>
          <w:caps/>
          <w:sz w:val="20"/>
        </w:rPr>
        <w:t xml:space="preserve">NOTE 12 - </w:t>
      </w:r>
      <w:bookmarkStart w:id="668" w:name="xdx_824_zjHF7DbJWfKb"/>
      <w:bookmarkEnd w:id="668"/>
      <w:r>
        <w:rPr>
          <w:rFonts w:ascii="Times New Roman;Times;Serif" w:hAnsi="Times New Roman;Times;Serif"/>
          <w:b/>
          <w:i w:val="false"/>
          <w:caps/>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69" w:name="xdx_893_eus-gaap--ScheduleOfEarningsPerS"/>
      <w:bookmarkEnd w:id="669"/>
      <w:r>
        <w:rPr>
          <w:rFonts w:ascii="Times New Roman;Times;Serif" w:hAnsi="Times New Roman;Times;Serif"/>
          <w:b w:val="false"/>
          <w:i w:val="false"/>
          <w:caps w:val="false"/>
          <w:smallCaps w:val="false"/>
          <w:sz w:val="20"/>
        </w:rPr>
        <w:t>The following table sets forth the information needed to compute basic and diluted earnings (loss) per share for the three months ended March 31, 2023 and 2022: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70" w:name="xdx_8B0_z9XbL80feS03"/>
      <w:bookmarkEnd w:id="670"/>
      <w:r>
        <w:rPr>
          <w:rFonts w:ascii="Times New Roman;Times;Serif" w:hAnsi="Times New Roman;Times;Serif"/>
          <w:b w:val="false"/>
          <w:i w:val="false"/>
          <w:caps w:val="false"/>
          <w:smallCaps w:val="false"/>
          <w:sz w:val="20"/>
        </w:rPr>
        <w:t>SCHEDULE OF INFORMATION NEEDED TO COMPUTE BASIC AND DILUTED EARNINGS PER SHARE </w:t>
      </w:r>
    </w:p>
    <w:tbl>
      <w:tblPr>
        <w:tblW w:w="8433" w:type="dxa"/>
        <w:jc w:val="left"/>
        <w:tblInd w:w="0" w:type="dxa"/>
        <w:tblLayout w:type="fixed"/>
        <w:tblCellMar>
          <w:top w:w="0" w:type="dxa"/>
          <w:left w:w="0" w:type="dxa"/>
          <w:bottom w:w="0" w:type="dxa"/>
          <w:right w:w="0" w:type="dxa"/>
        </w:tblCellMar>
      </w:tblPr>
      <w:tblGrid>
        <w:gridCol w:w="5075"/>
        <w:gridCol w:w="60"/>
        <w:gridCol w:w="173"/>
        <w:gridCol w:w="1361"/>
        <w:gridCol w:w="60"/>
        <w:gridCol w:w="60"/>
        <w:gridCol w:w="173"/>
        <w:gridCol w:w="1361"/>
        <w:gridCol w:w="11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1" w:name="xdx_494_20230101__20230331_zUb0qjqERBg"/>
            <w:bookmarkEnd w:id="671"/>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2" w:name="xdx_497_20220101__20220331_zg6uUeXAFHV"/>
            <w:bookmarkEnd w:id="672"/>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110" w:type="dxa"/>
            <w:tcBorders/>
            <w:vAlign w:val="center"/>
          </w:tcPr>
          <w:p>
            <w:pPr>
              <w:pStyle w:val="TableContents"/>
              <w:bidi w:val="0"/>
              <w:spacing w:before="0" w:after="283"/>
              <w:jc w:val="left"/>
              <w:rPr/>
            </w:pPr>
            <w:r>
              <w:rPr/>
              <w:t> </w:t>
            </w:r>
            <w:bookmarkStart w:id="673" w:name="xdx_40C_eus-gaap--EarningsPerShareBasicA"/>
            <w:bookmarkEnd w:id="673"/>
          </w:p>
        </w:tc>
      </w:tr>
      <w:tr>
        <w:trPr/>
        <w:tc>
          <w:tcPr>
            <w:tcW w:w="5075" w:type="dxa"/>
            <w:tcBorders/>
            <w:shd w:fill="CCEEFF" w:val="clear"/>
            <w:vAlign w:val="center"/>
          </w:tcPr>
          <w:p>
            <w:pPr>
              <w:pStyle w:val="TableContents"/>
              <w:bidi w:val="0"/>
              <w:spacing w:before="0" w:after="283"/>
              <w:jc w:val="left"/>
              <w:rPr>
                <w:b/>
              </w:rPr>
            </w:pPr>
            <w:r>
              <w:rPr>
                <w:b/>
              </w:rPr>
              <w:t>Basic Earnings (Loss) per common share: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74" w:name="xdx_405_eus-gaap--NetIncomeLossAvailable"/>
            <w:bookmarkEnd w:id="674"/>
          </w:p>
        </w:tc>
      </w:tr>
      <w:tr>
        <w:trPr/>
        <w:tc>
          <w:tcPr>
            <w:tcW w:w="5075" w:type="dxa"/>
            <w:tcBorders/>
            <w:shd w:fill="FFFFFF" w:val="clear"/>
            <w:vAlign w:val="center"/>
          </w:tcPr>
          <w:p>
            <w:pPr>
              <w:pStyle w:val="TableContents"/>
              <w:bidi w:val="0"/>
              <w:spacing w:before="0" w:after="283"/>
              <w:jc w:val="left"/>
              <w:rPr/>
            </w:pPr>
            <w:r>
              <w:rPr/>
              <w:t>Net Income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4,892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(2,298</w:t>
            </w:r>
          </w:p>
        </w:tc>
        <w:tc>
          <w:tcPr>
            <w:tcW w:w="110" w:type="dxa"/>
            <w:tcBorders/>
            <w:shd w:fill="FFFFFF" w:val="clear"/>
            <w:vAlign w:val="center"/>
          </w:tcPr>
          <w:p>
            <w:pPr>
              <w:pStyle w:val="TableContents"/>
              <w:bidi w:val="0"/>
              <w:spacing w:before="0" w:after="283"/>
              <w:jc w:val="left"/>
              <w:rPr/>
            </w:pPr>
            <w:r>
              <w:rPr/>
              <w:t>)</w:t>
            </w:r>
            <w:bookmarkStart w:id="675" w:name="xdx_405_eus-gaap--WeightedAverageNumberO"/>
            <w:bookmarkEnd w:id="675"/>
          </w:p>
        </w:tc>
      </w:tr>
      <w:tr>
        <w:trPr/>
        <w:tc>
          <w:tcPr>
            <w:tcW w:w="5075" w:type="dxa"/>
            <w:tcBorders/>
            <w:shd w:fill="CCEEFF" w:val="clear"/>
            <w:vAlign w:val="center"/>
          </w:tcPr>
          <w:p>
            <w:pPr>
              <w:pStyle w:val="TableContents"/>
              <w:bidi w:val="0"/>
              <w:spacing w:before="0" w:after="283"/>
              <w:jc w:val="left"/>
              <w:rPr/>
            </w:pPr>
            <w:r>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45,104,515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36,542,944</w:t>
            </w:r>
          </w:p>
        </w:tc>
        <w:tc>
          <w:tcPr>
            <w:tcW w:w="110" w:type="dxa"/>
            <w:tcBorders/>
            <w:shd w:fill="CCEEFF" w:val="clear"/>
            <w:vAlign w:val="center"/>
          </w:tcPr>
          <w:p>
            <w:pPr>
              <w:pStyle w:val="TableContents"/>
              <w:bidi w:val="0"/>
              <w:spacing w:before="0" w:after="283"/>
              <w:jc w:val="left"/>
              <w:rPr/>
            </w:pPr>
            <w:r>
              <w:rPr/>
              <w:t> </w:t>
            </w:r>
            <w:bookmarkStart w:id="676" w:name="xdx_404_eus-gaap--EarningsPerShareBasic_"/>
            <w:bookmarkEnd w:id="676"/>
          </w:p>
        </w:tc>
      </w:tr>
      <w:tr>
        <w:trPr/>
        <w:tc>
          <w:tcPr>
            <w:tcW w:w="5075" w:type="dxa"/>
            <w:tcBorders/>
            <w:shd w:fill="FFFFFF" w:val="clear"/>
            <w:vAlign w:val="center"/>
          </w:tcPr>
          <w:p>
            <w:pPr>
              <w:pStyle w:val="TableContents"/>
              <w:bidi w:val="0"/>
              <w:spacing w:before="0" w:after="283"/>
              <w:jc w:val="left"/>
              <w:rPr/>
            </w:pPr>
            <w:r>
              <w:rPr/>
              <w:t>Earnings (Loss) per share, basic</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77" w:name="xdx_402_eus-gaap--EarningsPerShareDilute"/>
            <w:bookmarkEnd w:id="677"/>
          </w:p>
        </w:tc>
      </w:tr>
      <w:tr>
        <w:trPr/>
        <w:tc>
          <w:tcPr>
            <w:tcW w:w="5075" w:type="dxa"/>
            <w:tcBorders/>
            <w:shd w:fill="FFFFFF" w:val="clear"/>
            <w:vAlign w:val="center"/>
          </w:tcPr>
          <w:p>
            <w:pPr>
              <w:pStyle w:val="TableContents"/>
              <w:bidi w:val="0"/>
              <w:spacing w:before="0" w:after="283"/>
              <w:jc w:val="left"/>
              <w:rPr>
                <w:b/>
              </w:rPr>
            </w:pPr>
            <w:r>
              <w:rPr>
                <w:b/>
              </w:rPr>
              <w:t>Diluted Earnings (Loss) per common share: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78" w:name="xdx_405_eus-gaap--NetIncomeLossAvailable"/>
            <w:bookmarkEnd w:id="678"/>
          </w:p>
        </w:tc>
      </w:tr>
      <w:tr>
        <w:trPr/>
        <w:tc>
          <w:tcPr>
            <w:tcW w:w="5075" w:type="dxa"/>
            <w:tcBorders/>
            <w:shd w:fill="CCEEFF" w:val="clear"/>
            <w:vAlign w:val="center"/>
          </w:tcPr>
          <w:p>
            <w:pPr>
              <w:pStyle w:val="TableContents"/>
              <w:bidi w:val="0"/>
              <w:spacing w:before="0" w:after="283"/>
              <w:jc w:val="left"/>
              <w:rPr/>
            </w:pPr>
            <w:r>
              <w:rPr/>
              <w:t>Net Income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4,892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bookmarkStart w:id="679" w:name="xdx_40D_eus-gaap--WeightedAverageNumberO"/>
            <w:bookmarkEnd w:id="679"/>
          </w:p>
        </w:tc>
      </w:tr>
      <w:tr>
        <w:trPr/>
        <w:tc>
          <w:tcPr>
            <w:tcW w:w="507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45,104,515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bookmarkStart w:id="680" w:name="xdx_40D_eus-gaap--IncrementalCommonShare"/>
            <w:bookmarkEnd w:id="680"/>
          </w:p>
        </w:tc>
      </w:tr>
      <w:tr>
        <w:trPr/>
        <w:tc>
          <w:tcPr>
            <w:tcW w:w="5075" w:type="dxa"/>
            <w:tcBorders/>
            <w:shd w:fill="CCEEFF" w:val="clear"/>
            <w:vAlign w:val="center"/>
          </w:tcPr>
          <w:p>
            <w:pPr>
              <w:pStyle w:val="TableContents"/>
              <w:bidi w:val="0"/>
              <w:spacing w:before="0" w:after="283"/>
              <w:jc w:val="left"/>
              <w:rPr/>
            </w:pPr>
            <w:r>
              <w:rPr/>
              <w:t>Dilutive effect related to stock options and warrants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3,351,481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81" w:name="xdx_400_eus-gaap--WeightedAverageNumberO"/>
            <w:bookmarkEnd w:id="681"/>
          </w:p>
        </w:tc>
      </w:tr>
      <w:tr>
        <w:trPr/>
        <w:tc>
          <w:tcPr>
            <w:tcW w:w="5075" w:type="dxa"/>
            <w:tcBorders/>
            <w:shd w:fill="FFFFFF" w:val="clear"/>
            <w:vAlign w:val="center"/>
          </w:tcPr>
          <w:p>
            <w:pPr>
              <w:pStyle w:val="TableContents"/>
              <w:bidi w:val="0"/>
              <w:spacing w:before="0" w:after="283"/>
              <w:jc w:val="left"/>
              <w:rPr/>
            </w:pPr>
            <w:r>
              <w:rPr/>
              <w:t>Weighted average diluted shares outstanding</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48,455,996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36,542,944</w:t>
            </w:r>
          </w:p>
        </w:tc>
        <w:tc>
          <w:tcPr>
            <w:tcW w:w="110" w:type="dxa"/>
            <w:tcBorders/>
            <w:shd w:fill="FFFFFF" w:val="clear"/>
            <w:vAlign w:val="center"/>
          </w:tcPr>
          <w:p>
            <w:pPr>
              <w:pStyle w:val="TableContents"/>
              <w:bidi w:val="0"/>
              <w:spacing w:before="0" w:after="283"/>
              <w:jc w:val="left"/>
              <w:rPr/>
            </w:pPr>
            <w:r>
              <w:rPr/>
              <w:t> </w:t>
            </w:r>
            <w:bookmarkStart w:id="682" w:name="xdx_40C_eus-gaap--EarningsPerShareDilute"/>
            <w:bookmarkEnd w:id="682"/>
          </w:p>
        </w:tc>
      </w:tr>
      <w:tr>
        <w:trPr/>
        <w:tc>
          <w:tcPr>
            <w:tcW w:w="5075" w:type="dxa"/>
            <w:tcBorders/>
            <w:shd w:fill="CCEEFF" w:val="clear"/>
            <w:vAlign w:val="center"/>
          </w:tcPr>
          <w:p>
            <w:pPr>
              <w:pStyle w:val="TableContents"/>
              <w:bidi w:val="0"/>
              <w:spacing w:before="0" w:after="283"/>
              <w:jc w:val="left"/>
              <w:rPr/>
            </w:pPr>
            <w:r>
              <w:rPr/>
              <w:t>Earnings (Loss) per share, diluted</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83" w:name="xdx_8A4_zUziNFKc9COh"/>
      <w:bookmarkEnd w:id="6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4" w:name="xdx_89A_eus-gaap--ScheduleOfAntidilutive"/>
      <w:bookmarkEnd w:id="684"/>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income per share net income (loss) per share because their effect was anti-dilutive: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5" w:name="xdx_8B1_zNH58TzjrNpd"/>
      <w:bookmarkEnd w:id="685"/>
      <w:r>
        <w:rPr>
          <w:rFonts w:ascii="Times New Roman;Times;Serif" w:hAnsi="Times New Roman;Times;Serif"/>
          <w:b w:val="false"/>
          <w:i w:val="false"/>
          <w:caps w:val="false"/>
          <w:smallCaps w:val="false"/>
          <w:sz w:val="20"/>
        </w:rPr>
        <w:t>SCHEDULE OF POTENTIAL SHARES OF COMMON STOCK EXCLUDED FROM DILUTED NET (LOSS) INCOME PER SHARE </w:t>
      </w:r>
    </w:p>
    <w:tbl>
      <w:tblPr>
        <w:tblW w:w="8188" w:type="dxa"/>
        <w:jc w:val="left"/>
        <w:tblInd w:w="0" w:type="dxa"/>
        <w:tblLayout w:type="fixed"/>
        <w:tblCellMar>
          <w:top w:w="0" w:type="dxa"/>
          <w:left w:w="0" w:type="dxa"/>
          <w:bottom w:w="0" w:type="dxa"/>
          <w:right w:w="0" w:type="dxa"/>
        </w:tblCellMar>
      </w:tblPr>
      <w:tblGrid>
        <w:gridCol w:w="4865"/>
        <w:gridCol w:w="60"/>
        <w:gridCol w:w="79"/>
        <w:gridCol w:w="1455"/>
        <w:gridCol w:w="60"/>
        <w:gridCol w:w="60"/>
        <w:gridCol w:w="88"/>
        <w:gridCol w:w="1446"/>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pPr>
            <w:r>
              <w:rPr/>
              <w:t>March 31, 2022</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686" w:name="xdx_98E_eus-gaap--AntidilutiveSecurities"/>
            <w:bookmarkEnd w:id="686"/>
          </w:p>
        </w:tc>
        <w:tc>
          <w:tcPr>
            <w:tcW w:w="1455" w:type="dxa"/>
            <w:tcBorders/>
            <w:shd w:fill="CCEEFF" w:val="clear"/>
            <w:vAlign w:val="center"/>
          </w:tcPr>
          <w:p>
            <w:pPr>
              <w:pStyle w:val="TableContents"/>
              <w:bidi w:val="0"/>
              <w:spacing w:before="0" w:after="283"/>
              <w:jc w:val="right"/>
              <w:rPr/>
            </w:pPr>
            <w:r>
              <w:rPr/>
              <w:t>10,923,915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687" w:name="xdx_98B_eus-gaap--AntidilutiveSecurities"/>
            <w:bookmarkEnd w:id="687"/>
          </w:p>
        </w:tc>
        <w:tc>
          <w:tcPr>
            <w:tcW w:w="144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688" w:name="xdx_981_eus-gaap--AntidilutiveSecurities"/>
            <w:bookmarkEnd w:id="688"/>
          </w:p>
        </w:tc>
        <w:tc>
          <w:tcPr>
            <w:tcW w:w="1455" w:type="dxa"/>
            <w:tcBorders/>
            <w:shd w:fill="FFFFFF" w:val="clear"/>
            <w:vAlign w:val="center"/>
          </w:tcPr>
          <w:p>
            <w:pPr>
              <w:pStyle w:val="TableContents"/>
              <w:bidi w:val="0"/>
              <w:spacing w:before="0" w:after="283"/>
              <w:jc w:val="right"/>
              <w:rPr/>
            </w:pPr>
            <w:r>
              <w:rPr/>
              <w:t>111,015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bookmarkStart w:id="689" w:name="xdx_98E_eus-gaap--AntidilutiveSecurities"/>
            <w:bookmarkEnd w:id="689"/>
          </w:p>
        </w:tc>
        <w:tc>
          <w:tcPr>
            <w:tcW w:w="144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90" w:name="xdx_98B_eus-gaap--AntidilutiveSecurities"/>
            <w:bookmarkEnd w:id="690"/>
          </w:p>
        </w:tc>
        <w:tc>
          <w:tcPr>
            <w:tcW w:w="1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691" w:name="xdx_987_eus-gaap--AntidilutiveSecurities"/>
            <w:bookmarkEnd w:id="691"/>
          </w:p>
        </w:tc>
        <w:tc>
          <w:tcPr>
            <w:tcW w:w="1446" w:type="dxa"/>
            <w:tcBorders>
              <w:bottom w:val="single" w:sz="12" w:space="0" w:color="000000"/>
            </w:tcBorders>
            <w:shd w:fill="CCEEFF" w:val="clear"/>
            <w:tcMar>
              <w:bottom w:w="28" w:type="dxa"/>
            </w:tcMar>
            <w:vAlign w:val="center"/>
          </w:tcPr>
          <w:p>
            <w:pPr>
              <w:pStyle w:val="TableContents"/>
              <w:bidi w:val="0"/>
              <w:spacing w:before="0" w:after="283"/>
              <w:jc w:val="right"/>
              <w:rPr/>
            </w:pPr>
            <w:r>
              <w:rPr/>
              <w:t>3,631,002</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92" w:name="xdx_989_eus-gaap--AntidilutiveSecurities"/>
            <w:bookmarkEnd w:id="692"/>
          </w:p>
        </w:tc>
        <w:tc>
          <w:tcPr>
            <w:tcW w:w="1455" w:type="dxa"/>
            <w:tcBorders>
              <w:bottom w:val="single" w:sz="12" w:space="0" w:color="000000"/>
            </w:tcBorders>
            <w:shd w:fill="FFFFFF" w:val="clear"/>
            <w:tcMar>
              <w:bottom w:w="28" w:type="dxa"/>
            </w:tcMar>
            <w:vAlign w:val="center"/>
          </w:tcPr>
          <w:p>
            <w:pPr>
              <w:pStyle w:val="TableContents"/>
              <w:bidi w:val="0"/>
              <w:spacing w:before="0" w:after="283"/>
              <w:jc w:val="right"/>
              <w:rPr/>
            </w:pPr>
            <w:r>
              <w:rPr/>
              <w:t>11,034,930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93" w:name="xdx_98D_eus-gaap--AntidilutiveSecurities"/>
            <w:bookmarkEnd w:id="693"/>
          </w:p>
        </w:tc>
        <w:tc>
          <w:tcPr>
            <w:tcW w:w="1446" w:type="dxa"/>
            <w:tcBorders>
              <w:bottom w:val="single" w:sz="12" w:space="0" w:color="000000"/>
            </w:tcBorders>
            <w:shd w:fill="FFFFFF" w:val="clear"/>
            <w:tcMar>
              <w:bottom w:w="28" w:type="dxa"/>
            </w:tcMar>
            <w:vAlign w:val="center"/>
          </w:tcPr>
          <w:p>
            <w:pPr>
              <w:pStyle w:val="TableContents"/>
              <w:bidi w:val="0"/>
              <w:spacing w:before="0" w:after="283"/>
              <w:jc w:val="right"/>
              <w:rPr/>
            </w:pPr>
            <w:r>
              <w:rPr/>
              <w:t>3,631,002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94" w:name="xdx_8A7_zLjL2AeWCoR7"/>
      <w:bookmarkEnd w:id="69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5" w:name="xdx_804_eus-gaap--IncomeTaxDisclosureTex"/>
      <w:bookmarkEnd w:id="695"/>
      <w:r>
        <w:rPr>
          <w:rFonts w:ascii="Times New Roman;Times;Serif" w:hAnsi="Times New Roman;Times;Serif"/>
          <w:b/>
          <w:i w:val="false"/>
          <w:caps w:val="false"/>
          <w:smallCaps w:val="false"/>
          <w:sz w:val="20"/>
        </w:rPr>
        <w:t xml:space="preserve">NOTE 13 – </w:t>
      </w:r>
      <w:bookmarkStart w:id="696" w:name="xdx_825_zZgPxI5Cjoz5"/>
      <w:bookmarkEnd w:id="696"/>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provision and the resulting effective tax rate for interim periods is determined based upon its estimated annual effective tax rate adjusted for the effect of discrete items arising in that quarter. The Company recorded an income tax expense (benefit) of $</w:t>
      </w:r>
      <w:bookmarkStart w:id="697" w:name="xdx_90B_eus-gaap--IncomeTaxExpenseBenefi"/>
      <w:bookmarkEnd w:id="697"/>
      <w:r>
        <w:rPr>
          <w:rFonts w:ascii="Times New Roman;Times;Serif" w:hAnsi="Times New Roman;Times;Serif"/>
          <w:b w:val="false"/>
          <w:i w:val="false"/>
          <w:caps w:val="false"/>
          <w:smallCaps w:val="false"/>
          <w:sz w:val="20"/>
        </w:rPr>
        <w:t>0 and ($</w:t>
      </w:r>
      <w:bookmarkStart w:id="698" w:name="xdx_904_eus-gaap--IncomeTaxExpenseBenefi"/>
      <w:bookmarkEnd w:id="698"/>
      <w:r>
        <w:rPr>
          <w:rFonts w:ascii="Times New Roman;Times;Serif" w:hAnsi="Times New Roman;Times;Serif"/>
          <w:b w:val="false"/>
          <w:i w:val="false"/>
          <w:caps w:val="false"/>
          <w:smallCaps w:val="false"/>
          <w:sz w:val="20"/>
        </w:rPr>
        <w:t>527) during the three months ended March 31,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9" w:name="xdx_80A_eus-gaap--SubsequentEventsTextBl"/>
      <w:bookmarkEnd w:id="699"/>
      <w:r>
        <w:rPr>
          <w:rFonts w:ascii="Times New Roman;Times;Serif" w:hAnsi="Times New Roman;Times;Serif"/>
          <w:b/>
          <w:i w:val="false"/>
          <w:caps w:val="false"/>
          <w:smallCaps w:val="false"/>
          <w:sz w:val="20"/>
        </w:rPr>
        <w:t xml:space="preserve">NOTE 14 – </w:t>
      </w:r>
      <w:bookmarkStart w:id="700" w:name="xdx_82C_zZPLjaxbwqek"/>
      <w:bookmarkEnd w:id="700"/>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2023 the Company paid the $</w:t>
      </w:r>
      <w:bookmarkStart w:id="701" w:name="xdx_909_eus-gaap--ConvertibleNotesPayabl"/>
      <w:bookmarkEnd w:id="701"/>
      <w:r>
        <w:rPr>
          <w:rFonts w:ascii="Times New Roman;Times;Serif" w:hAnsi="Times New Roman;Times;Serif"/>
          <w:b w:val="false"/>
          <w:i w:val="false"/>
          <w:caps w:val="false"/>
          <w:smallCaps w:val="false"/>
          <w:sz w:val="20"/>
        </w:rPr>
        <w:t>1,000 Principal Amount on the Note previously issued to Brian Nelson on March 5, 2023. Upon execution of the Note and funding of the Principal Amount, a payment of the $</w:t>
      </w:r>
      <w:bookmarkStart w:id="702" w:name="xdx_900_eus-gaap--DebtInstrumentFaceAmou"/>
      <w:bookmarkEnd w:id="702"/>
      <w:r>
        <w:rPr>
          <w:rFonts w:ascii="Times New Roman;Times;Serif" w:hAnsi="Times New Roman;Times;Serif"/>
          <w:b w:val="false"/>
          <w:i w:val="false"/>
          <w:caps w:val="false"/>
          <w:smallCaps w:val="false"/>
          <w:sz w:val="20"/>
        </w:rPr>
        <w:t>100 Loan Fee, was fully earned as of the date of the note and was due and paid in full in cash on April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“Separation Date”), the Company’s Chief Legal Officer’s employment with the Company ended and her employment agreement was deemed terminated as of that date by the Company without cause for purposes of determining severance thereunder. Under the terms of her employment agreement, Ms. Harvey is entitled to receive cash severance equal to $</w:t>
      </w:r>
      <w:bookmarkStart w:id="703" w:name="xdx_905_eus-gaap--Cash_iI_pn3n3_c2023042"/>
      <w:bookmarkEnd w:id="703"/>
      <w:r>
        <w:rPr>
          <w:rFonts w:ascii="Times New Roman;Times;Serif" w:hAnsi="Times New Roman;Times;Serif"/>
          <w:b w:val="false"/>
          <w:i w:val="false"/>
          <w:caps w:val="false"/>
          <w:smallCaps w:val="false"/>
          <w:sz w:val="20"/>
        </w:rPr>
        <w:t>334,000 payable in 52 biweekly installments commencing 30 days from the Separation Date. Ms. Harvey’s outstanding options granted by the Company fully vested, and are exercisable for three (3) months following the Separation Date.</w:t>
      </w:r>
    </w:p>
    <w:p>
      <w:pPr>
        <w:pStyle w:val="TextBody"/>
        <w:bidi w:val="0"/>
        <w:spacing w:before="0" w:after="0"/>
        <w:ind w:left="0" w:right="0" w:hanging="0"/>
        <w:jc w:val="left"/>
        <w:rPr>
          <w:caps w:val="false"/>
          <w:smallCaps w:val="false"/>
        </w:rPr>
      </w:pPr>
      <w:bookmarkStart w:id="704" w:name="xdx_814_zUiOa95WpNCk"/>
      <w:bookmarkEnd w:id="70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5" w:name="a_008"/>
      <w:bookmarkEnd w:id="70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report (the “Quarterly Report”) to “we,” “us” or the “Company” refer to Dragonfly Energy Holdings Corp.. References to our “Sponsor” refer to Chardan NexTech Investments 2 LLC, a Delaware limited liability company and to “Legacy Dragonfly” refer to Dragonfly Energy Corp., a Nevada corporation and our wholly-owned subsidiary.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2022 included in our Annual Report on Form 10-K filed with the Securities and Exchange Commission (“SEC”),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 Looking-Statements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made pursuant to the safe harbor provisions of the Private Securities Litigation Reform Act of 1995 under Section 27A of the Securities Act of 1933, as amended (the “Securities Act”), and Section 21E of the Securities Exchange Act of 1934, as amended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our recent Business Combination, which may be affected by, among other things, the factors listed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Nasdaq Global Market and our public warrants on the Nasdaq Capital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including any mutations or variants thereof, and its effect on business and financial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of our Annual Report on Form 10-K for the year ended December 31, 2022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 (“RV”), marine vessel, and solar and off-grid industries, with disruptive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246,000 batteries. For the quarters ended March 31, 2023, and March 31, 2022, we sold 20,331 and 19,664 batteries, respectively, and had $18.8 million and $18.3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(“DTC”) and “Dragonfly” branded batteries to original equipment manufacturers (“OEMs”).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increased total sales are a reflection of strong growth in OEM sales and Wakespeed Offshore brand (“Wakespeed”) products, partially offset by a decline in DTC sales. Our RV OEM customers currently include Keystone RV Company (“Keystone”), THOR Industries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lithium iron phosphate (“LFP”) batteries, we have been developing proprietary LFP solid-state cell technology and manufacturing processes. Our solid-state technology design allows for a much safer, more efficient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we had cash totaling $15.8 million. Our net income for the quarter ended March 31, 2023 was $4.9 million and our net loss for the quarter ended March 31, 2022 was $2.3 million. As a result of becoming a publicly traded company, we continue to need to hire additional personnel and implement procedures and processes to address public company regulatory requirements and customary practices. We expect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our $150 million equity facility (the “ChEF Equity Facility”) with Chardan Capital Markets LLC (“CCM LLC”)and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Chardan NexTech 2 Acquisition Corp., a Delaware company (“Chardan”), and Legacy Dragonfly consummated the merger pursuant to the Agreement and Plan of Merger, dated as of May 15, 2022 (as amended, the “Business Combination Agreement”), by and among Chardan, Bronco Merger Sub, Inc., a Delaware corporation and wholly-owned subsidiary of Chardan (“Merger Sub”), and Legacy Dragonfly. Pursuant to the Business Combination Agreement, Merger Sub merged with and into Legacy Dragonfly (the “Merger” and, together with the other transactions contemplated by the Business Combination Agreement, the “Business Combination”), with Legacy Dragonfly continuing as the surviving corporation in the Merger and as our wholly owned subsidiary. In connection with the Business Combination, Chardan changed its name to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Chardan was treated as the acquired company for financial statement reporting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such as inflation and rising interest rates, have caused a downward shift in decisions taken by end market consumers around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inventory compared to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March 31, 2023 and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quarters ended March 31, 2023, and March 31, 2022.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4460"/>
        <w:gridCol w:w="60"/>
        <w:gridCol w:w="140"/>
        <w:gridCol w:w="680"/>
        <w:gridCol w:w="95"/>
        <w:gridCol w:w="60"/>
        <w:gridCol w:w="119"/>
        <w:gridCol w:w="1130"/>
        <w:gridCol w:w="95"/>
        <w:gridCol w:w="60"/>
        <w:gridCol w:w="140"/>
        <w:gridCol w:w="680"/>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38.6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553" w:type="dxa"/>
        <w:jc w:val="left"/>
        <w:tblInd w:w="0" w:type="dxa"/>
        <w:tblLayout w:type="fixed"/>
        <w:tblCellMar>
          <w:top w:w="0" w:type="dxa"/>
          <w:left w:w="0" w:type="dxa"/>
          <w:bottom w:w="0" w:type="dxa"/>
          <w:right w:w="0" w:type="dxa"/>
        </w:tblCellMar>
      </w:tblPr>
      <w:tblGrid>
        <w:gridCol w:w="1190"/>
        <w:gridCol w:w="60"/>
        <w:gridCol w:w="269"/>
        <w:gridCol w:w="1307"/>
        <w:gridCol w:w="115"/>
        <w:gridCol w:w="115"/>
        <w:gridCol w:w="115"/>
        <w:gridCol w:w="1307"/>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Retailer</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7,069</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13,035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Distributor</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2,969</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FFFFFF" w:val="clear"/>
            <w:tcMar>
              <w:bottom w:w="28" w:type="dxa"/>
            </w:tcMar>
            <w:vAlign w:val="center"/>
          </w:tcPr>
          <w:p>
            <w:pPr>
              <w:pStyle w:val="TableContents"/>
              <w:bidi w:val="0"/>
              <w:spacing w:before="0" w:after="283"/>
              <w:jc w:val="right"/>
              <w:rPr/>
            </w:pPr>
            <w:r>
              <w:rPr/>
              <w:t>2,087</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10,038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15,122</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53.4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82.6</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8,754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3,181</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46.6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18,791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18,303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$0.5 million, or 2.7%, to $18.8 million for the quarter ended March 31, 2023, as compared to $18.3 million for the quarter ended March 31, 2022. This increase was primarily due to higher OEM battery and accessory sales partially offset by lower DTC sales. For the quarter ended March 31, 2023, OEM revenue increased by $5.6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$5.1 million as a result of decreased customer demand for our products due to rising interest rates and inflation.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$1.2 million, or 9.7%, to $14.0 million for the quarter ended March 31, 2023, as compared to $12.8 million for the quarter ended March 31, 2022. This increase was primarily due to higher material costs associated with growth in the number of units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$0.8 million, or 13.7%, to $4.7 million for the quarter ended March 31, 2023, as compared to $5.5 million for the quarter ended March 31, 2022. The decrease in gross profit was primarily due to a change in revenue mix that included a larger percentage of lower margin OEM sales and a lower percentage of higher margin DTC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$0.6 million or 159.6%, to $0.9 million for the quarter ended March 31, 2023, as compared to $0.3 million for the quarter ended March 31, 2022. The increase was primarily due to higher wage expense of $0.4 million associated with increased headcount, higher materials and supply costs associated with development work and increased patent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$5.9 million, or 161.8%, to $9.5 million for the quarter ended March 31, 2023, as compared to $3.6 million for the quarter ended March 31, 2022. This increase was primarily due to a $3.5 million increase in stock-based compensation costs and a $2.1 million increase in professional fees, compliance, and insurance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$1.1 million, or 35.3%, to $4.2 million for the quarter ended March 31, 2023, as compared to $3.1 million for the quarter ended March 31, 2022. This increase was primarily due to a $1.6 million increase in wage-related expenses primarily due to the addition of sales and marketing personnel to support growth in our existing end markets, as well as to drive growth in the new, adjacent end markets we are targeting. This increase was partially offset by lower spending in outsourced advertising costs along with lower shipping costs, due to the change in revenue mix.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totaled $14.7 million for the quarter ended March 31, 2023 as compared to total other expense of $1.3 million for the quarter ended March 31, 2022. Other income in quarter ended March 31, 2023 is comprised of a change in fair market value of our warrants in the amount of $18.5 million offset by $3.8 million in interest expense related to the debt securities of $75 million. The $1.3 million expense in the quarter ended March 31, 2022 was comprised of interest expense related to the senior secured notes of $45 million which were retired as a result of the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quarter ended March 31, 2023, as compared to $0.5 million benefit for the quarter ended March 31, 2022. No tax expense was recorded in the quarter ended March 31, 2023 due to utilization of a portion of the $10.6 million valuation allowance. The income tax benefit of $0.5 million for the quarter ended March 31, 2022 was expected to be used against future tax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net income of $4.9 million for the quarter ended March 31, 2023, as compared to net loss of $2.3 million for the quarter ended March 31, 2022. As described above, this result was driven primarily by higher sales offset by increased cost of goods sold, higher operating expenses, and increased other income (primarily as a result of a change in fair market value of warrants).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9—Warrants” in our accompanying consolidated financial statements for information on the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(“RSU”) awards are valued based on the closing trading price of the Company’s common stock on the date of grant. Changes in assumptions used to estimate fair value could result in materially different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a non-generally accepted account principles within the United States (“U.S. GAAP”) measure that we use to supplement our results presented in accordance with U.S. GAAP. Earnings before interest tax and amortization (“EBITDA”) is defined as earnings before interest and other income (expenses), income taxes, and depreciation and amortization. Adjusted EBITDA is calculated as EBITDA adjusted for stock-based compensation, Enterprise Resource Planning (“ERP”) implementation,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income (loss) for the quarters ended March 31, 2023, and March 31, 2022.</w:t>
      </w:r>
    </w:p>
    <w:p>
      <w:pPr>
        <w:pStyle w:val="TextBody"/>
        <w:bidi w:val="0"/>
        <w:spacing w:before="0" w:after="0"/>
        <w:ind w:left="0" w:right="0" w:hanging="0"/>
        <w:jc w:val="both"/>
        <w:rPr>
          <w:caps w:val="false"/>
          <w:smallCaps w:val="false"/>
        </w:rPr>
      </w:pPr>
      <w:r>
        <w:rPr>
          <w:caps w:val="false"/>
          <w:smallCaps w:val="false"/>
        </w:rPr>
        <w:t> </w:t>
      </w:r>
    </w:p>
    <w:tbl>
      <w:tblPr>
        <w:tblW w:w="7497" w:type="dxa"/>
        <w:jc w:val="left"/>
        <w:tblInd w:w="0" w:type="dxa"/>
        <w:tblLayout w:type="fixed"/>
        <w:tblCellMar>
          <w:top w:w="0" w:type="dxa"/>
          <w:left w:w="0" w:type="dxa"/>
          <w:bottom w:w="0" w:type="dxa"/>
          <w:right w:w="0" w:type="dxa"/>
        </w:tblCellMar>
      </w:tblPr>
      <w:tblGrid>
        <w:gridCol w:w="4100"/>
        <w:gridCol w:w="60"/>
        <w:gridCol w:w="247"/>
        <w:gridCol w:w="1336"/>
        <w:gridCol w:w="168"/>
        <w:gridCol w:w="106"/>
        <w:gridCol w:w="247"/>
        <w:gridCol w:w="1123"/>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4,892</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(2,298</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3,815</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1,263</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(527</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28" w:type="dxa"/>
            </w:tcMar>
            <w:vAlign w:val="center"/>
          </w:tcPr>
          <w:p>
            <w:pPr>
              <w:pStyle w:val="TableContents"/>
              <w:bidi w:val="0"/>
              <w:spacing w:before="0" w:after="283"/>
              <w:jc w:val="right"/>
              <w:rPr/>
            </w:pPr>
            <w:r>
              <w:rPr/>
              <w:t>297</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192</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9,004</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(1,370</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i/>
              </w:rPr>
            </w:pPr>
            <w:r>
              <w:rPr>
                <w:i/>
              </w:rPr>
              <w:t>Adjusted for:</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4,487</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ERP Implementation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w:t>
            </w:r>
          </w:p>
        </w:tc>
        <w:tc>
          <w:tcPr>
            <w:tcW w:w="16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233</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Forgiveness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469</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28" w:type="dxa"/>
            </w:tcMar>
            <w:vAlign w:val="center"/>
          </w:tcPr>
          <w:p>
            <w:pPr>
              <w:pStyle w:val="TableContents"/>
              <w:bidi w:val="0"/>
              <w:spacing w:before="0" w:after="283"/>
              <w:jc w:val="right"/>
              <w:rPr/>
            </w:pPr>
            <w:r>
              <w:rPr/>
              <w:t>(18,523</w:t>
            </w:r>
          </w:p>
        </w:tc>
        <w:tc>
          <w:tcPr>
            <w:tcW w:w="168" w:type="dxa"/>
            <w:tcBorders/>
            <w:shd w:fill="FFFFFF" w:val="clear"/>
            <w:vAlign w:val="center"/>
          </w:tcPr>
          <w:p>
            <w:pPr>
              <w:pStyle w:val="TableContents"/>
              <w:bidi w:val="0"/>
              <w:spacing w:before="0" w:after="283"/>
              <w:jc w:val="left"/>
              <w:rPr/>
            </w:pPr>
            <w:r>
              <w:rPr/>
              <w:t>)</w:t>
            </w:r>
          </w:p>
        </w:tc>
        <w:tc>
          <w:tcPr>
            <w:tcW w:w="106"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pPr>
            <w:r>
              <w:rPr/>
              <w:t>(5,032</w:t>
            </w:r>
          </w:p>
        </w:tc>
        <w:tc>
          <w:tcPr>
            <w:tcW w:w="16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ERP Implementation is comprised of costs and expenses associated with our implementation of an ERP system in anticipation of the Business Combination and becoming a public company.</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Promissory Note Forgiveness is comprised of the loan that was forgiven, prior to the Business Combination, in connection with the promissory note, with a maturity date of March 1, 2026, between us and John Marchetti, our Chief Financial Officer. </w:t>
            </w:r>
          </w:p>
        </w:tc>
      </w:tr>
      <w:tr>
        <w:trPr/>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2023 through March 31, 2023.</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2023, we had cash totaling $15.8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first quarter of 2023, we continued to increase our inventory purchasing activities. As a result, our inventory balance at March 31, 2023 increased by $1.9 million to $51.8 million, compared to $49.9 million at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“Term Loan Agreement”), the proceeds of which were used to repay the $45 million fixed rate senior notes, and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Alter Domus (US) LLC, as administrative agent for the lenders (the “Administrative Agent”) and EICF Agent LLC (“EIP”) and certain third-party financing source (collectively with EIP, the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secured overnight financing rate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our common stock at an exercise price of $10.00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1, 2023 to May 15, 2023, we issued and sold approximately 98,500 shares of our common stock under the ChEF Equity Facility, resulting in net cash proceeds of $670,593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“Principal Amount”) to Brian Nelson, one of our directors, in a private placement in exchange for cash in an equal amount (the “Note”). The Note became due and payable in full on April 1, 2023. We were also obligated to pay a fee in the amount of $100,000 (the “Loan Fee”) to Mr. Nelson on April 4, 2023. The Principal Amount of the Note was paid in full on April 1, 2023 and the Loan Fee was paid in full on April 4, 2023.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March 31, 2023, we generated net income of $4.9 million but had a negative cash flow from operations. As of March 31, 2023, we had approximately $15.8 million in cash and cash equivalents and working capital of $24.5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2023, and March 31, 2022</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672" w:type="dxa"/>
        <w:jc w:val="left"/>
        <w:tblInd w:w="0" w:type="dxa"/>
        <w:tblLayout w:type="fixed"/>
        <w:tblCellMar>
          <w:top w:w="0" w:type="dxa"/>
          <w:left w:w="0" w:type="dxa"/>
          <w:bottom w:w="0" w:type="dxa"/>
          <w:right w:w="0" w:type="dxa"/>
        </w:tblCellMar>
      </w:tblPr>
      <w:tblGrid>
        <w:gridCol w:w="3275"/>
        <w:gridCol w:w="60"/>
        <w:gridCol w:w="247"/>
        <w:gridCol w:w="1123"/>
        <w:gridCol w:w="168"/>
        <w:gridCol w:w="106"/>
        <w:gridCol w:w="247"/>
        <w:gridCol w:w="1336"/>
        <w:gridCol w:w="110"/>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b/>
              </w:rPr>
            </w:pPr>
            <w:r>
              <w:rPr>
                <w:b/>
              </w:rPr>
              <w:t>Net Cash provided by/(used in):</w:t>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2980"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(3,838</w:t>
            </w:r>
          </w:p>
        </w:tc>
        <w:tc>
          <w:tcPr>
            <w:tcW w:w="168"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336" w:type="dxa"/>
            <w:tcBorders/>
            <w:shd w:fill="CCEEFF" w:val="clear"/>
            <w:vAlign w:val="center"/>
          </w:tcPr>
          <w:p>
            <w:pPr>
              <w:pStyle w:val="TableContents"/>
              <w:bidi w:val="0"/>
              <w:spacing w:before="0" w:after="283"/>
              <w:jc w:val="right"/>
              <w:rPr>
                <w:b/>
              </w:rPr>
            </w:pPr>
            <w:r>
              <w:rPr>
                <w:b/>
              </w:rPr>
              <w:t>(11,110</w:t>
            </w:r>
          </w:p>
        </w:tc>
        <w:tc>
          <w:tcPr>
            <w:tcW w:w="110" w:type="dxa"/>
            <w:tcBorders/>
            <w:shd w:fill="CCEEFF" w:val="clear"/>
            <w:vAlign w:val="center"/>
          </w:tcPr>
          <w:p>
            <w:pPr>
              <w:pStyle w:val="TableContents"/>
              <w:bidi w:val="0"/>
              <w:spacing w:before="0" w:after="283"/>
              <w:jc w:val="left"/>
              <w:rPr>
                <w:b/>
              </w:rPr>
            </w:pPr>
            <w:r>
              <w:rPr>
                <w:b/>
              </w:rPr>
              <w:t>)</w:t>
            </w:r>
          </w:p>
        </w:tc>
      </w:tr>
      <w:tr>
        <w:trPr/>
        <w:tc>
          <w:tcPr>
            <w:tcW w:w="327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b/>
              </w:rPr>
            </w:pPr>
            <w:r>
              <w:rPr>
                <w:b/>
              </w:rPr>
              <w:t>$</w:t>
            </w:r>
          </w:p>
        </w:tc>
        <w:tc>
          <w:tcPr>
            <w:tcW w:w="1123" w:type="dxa"/>
            <w:tcBorders/>
            <w:shd w:fill="FFFFFF" w:val="clear"/>
            <w:vAlign w:val="center"/>
          </w:tcPr>
          <w:p>
            <w:pPr>
              <w:pStyle w:val="TableContents"/>
              <w:bidi w:val="0"/>
              <w:spacing w:before="0" w:after="283"/>
              <w:jc w:val="right"/>
              <w:rPr>
                <w:b/>
              </w:rPr>
            </w:pPr>
            <w:r>
              <w:rPr>
                <w:b/>
              </w:rPr>
              <w:t>(589</w:t>
            </w:r>
          </w:p>
        </w:tc>
        <w:tc>
          <w:tcPr>
            <w:tcW w:w="168" w:type="dxa"/>
            <w:tcBorders/>
            <w:shd w:fill="FFFFFF" w:val="clear"/>
            <w:vAlign w:val="center"/>
          </w:tcPr>
          <w:p>
            <w:pPr>
              <w:pStyle w:val="TableContents"/>
              <w:bidi w:val="0"/>
              <w:spacing w:before="0" w:after="283"/>
              <w:jc w:val="left"/>
              <w:rPr>
                <w:b/>
              </w:rPr>
            </w:pPr>
            <w:r>
              <w:rPr>
                <w:b/>
              </w:rPr>
              <w:t>)</w:t>
            </w:r>
          </w:p>
        </w:tc>
        <w:tc>
          <w:tcPr>
            <w:tcW w:w="1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b/>
              </w:rPr>
            </w:pPr>
            <w:r>
              <w:rPr>
                <w:b/>
              </w:rPr>
              <w:t>$</w:t>
            </w:r>
          </w:p>
        </w:tc>
        <w:tc>
          <w:tcPr>
            <w:tcW w:w="1336" w:type="dxa"/>
            <w:tcBorders/>
            <w:shd w:fill="FFFFFF" w:val="clear"/>
            <w:vAlign w:val="center"/>
          </w:tcPr>
          <w:p>
            <w:pPr>
              <w:pStyle w:val="TableContents"/>
              <w:bidi w:val="0"/>
              <w:spacing w:before="0" w:after="283"/>
              <w:jc w:val="right"/>
              <w:rPr>
                <w:b/>
              </w:rPr>
            </w:pPr>
            <w:r>
              <w:rPr>
                <w:b/>
              </w:rPr>
              <w:t>(4,524</w:t>
            </w:r>
          </w:p>
        </w:tc>
        <w:tc>
          <w:tcPr>
            <w:tcW w:w="110" w:type="dxa"/>
            <w:tcBorders/>
            <w:shd w:fill="FFFFFF" w:val="clear"/>
            <w:vAlign w:val="center"/>
          </w:tcPr>
          <w:p>
            <w:pPr>
              <w:pStyle w:val="TableContents"/>
              <w:bidi w:val="0"/>
              <w:spacing w:before="0" w:after="283"/>
              <w:jc w:val="left"/>
              <w:rPr>
                <w:b/>
              </w:rPr>
            </w:pPr>
            <w:r>
              <w:rPr>
                <w:b/>
              </w:rPr>
              <w:t>)</w:t>
            </w:r>
          </w:p>
        </w:tc>
      </w:tr>
      <w:tr>
        <w:trPr/>
        <w:tc>
          <w:tcPr>
            <w:tcW w:w="327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2,437</w:t>
            </w:r>
          </w:p>
        </w:tc>
        <w:tc>
          <w:tcPr>
            <w:tcW w:w="16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336" w:type="dxa"/>
            <w:tcBorders/>
            <w:shd w:fill="CCEEFF" w:val="clear"/>
            <w:vAlign w:val="center"/>
          </w:tcPr>
          <w:p>
            <w:pPr>
              <w:pStyle w:val="TableContents"/>
              <w:bidi w:val="0"/>
              <w:spacing w:before="0" w:after="283"/>
              <w:jc w:val="right"/>
              <w:rPr>
                <w:b/>
              </w:rPr>
            </w:pPr>
            <w:r>
              <w:rPr>
                <w:b/>
              </w:rPr>
              <w:t>111</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$3.8 million for three months ended March 31, 2023, primarily due to a net operating loss of $9.8 million during the period offset by an increase in accounts payable and accrued expenses as a result of extended payments for the large influx of cells received late in 2022 and early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$11.1 million for the three months ended March 31, 2022, primarily due to a net loss during the period in addition to an increase in inventory and reduction of accounts payable and accrued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$0.6 million for the three months ended March 31, 2023, as compared to net cash used in investing activities of $4.5 million for the three months ended March 31, 2022. The decrease in cash used in investing activities was primarily due to a decrease in capital equipment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$2.4 million for the three months ended March 31, 2023, as compared to net cash provided by financing activities of $0.1 million for the three months ended March 31, 2022, and was primarily due to proceeds from a $1.0 million note payable and proceeds from public offering and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March 31, 2023, we had $1.2 million in short-term operating lease liabilities and $3.2 million in long-term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As of March 31, 2023, the principal amount outstanding under the Term Loan was $77.4 million.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706" w:name="a_009"/>
      <w:bookmarkEnd w:id="706"/>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7" w:name="a_010"/>
      <w:bookmarkEnd w:id="707"/>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and Chief Financial Officer, to allow timely decisions regarding required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Quarterly Report on Form 10-Q for the quarter ended March 31, 2023, our management, with the participation of our Chief Executive Officer and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our Chief Financial Officer concluded that, due to the material weaknesses previously reported in our 2022 Annual Report that have not yet been remediated, our disclosure controls and procedures were not effective as of March 31,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plan described within our 2022 Annual Report, there were no changes in our internal controls over financial reporting that occurred during the quarter ended March 31, 2023 that materially affected, or are reasonably likely to materially affect, our internal control over financial reporting. Management will continue to evaluate and enhance our processes as noted in the remediation plan described within our 2022 Annual Report. The elements of our remediation plan can only be accomplished over time, and we can offer no assurance that these initiatives will ultimately have the intended effects.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8" w:name="a_011"/>
      <w:bookmarkEnd w:id="708"/>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9" w:name="a_012"/>
      <w:bookmarkEnd w:id="709"/>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0" w:name="a_013"/>
      <w:bookmarkEnd w:id="710"/>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1" w:name="a_014"/>
      <w:bookmarkEnd w:id="711"/>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2" w:name="a_015"/>
      <w:bookmarkEnd w:id="712"/>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3" w:name="a_016"/>
      <w:bookmarkEnd w:id="713"/>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4" w:name="a_017"/>
      <w:bookmarkEnd w:id="714"/>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5" w:name="a_018"/>
      <w:bookmarkEnd w:id="715"/>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
        <w:gridCol w:w="60"/>
        <w:gridCol w:w="7359"/>
        <w:gridCol w:w="60"/>
        <w:gridCol w:w="504"/>
        <w:gridCol w:w="60"/>
        <w:gridCol w:w="656"/>
        <w:gridCol w:w="60"/>
        <w:gridCol w:w="686"/>
      </w:tblGrid>
      <w:tr>
        <w:trPr/>
        <w:tc>
          <w:tcPr>
            <w:tcW w:w="7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6"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Plan of Conversion, dated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Articles of Incorporation, as filed with the Secretary of State of the State of Nevada on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Bylaws, dated March 31,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Promissory Note of the Company, dated March 5,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03/09/23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First Amended and Restated Employment Agreement, dated February 24, 2023, by and between Dragonfly Energy Holdings Corp. and John Marchetti.</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03/02/23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Limited Waiver, dated as of March 29, 2023, to the Term Loan, Guarantee and Security Agreement, dated as of October 7, 2022,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Articles of Conversion, as filed with the Secretary of State of the State of Nevada on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shd w:fill="FFFFFF" w:val="cle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Certificate of Conversion, as filed with the Secretary of State of the State of Delaware on March 30, 2023.</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03/31/23</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Labels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as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6"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16" w:name="a_019"/>
      <w:bookmarkEnd w:id="716"/>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1655"/>
        <w:gridCol w:w="320"/>
        <w:gridCol w:w="365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Dragonfly Energy Holdings Corp.</w:t>
            </w:r>
            <w:r>
              <w:rPr>
                <w:rFonts w:ascii="Times New Roman;Times;Serif" w:hAnsi="Times New Roman;Times;Serif"/>
                <w:b w:val="false"/>
                <w:i w:val="false"/>
                <w:caps w:val="false"/>
                <w:smallCaps w:val="false"/>
                <w:sz w:val="20"/>
              </w:rPr>
              <w: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Marchetti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717" w:name="ex31-1.htm"/>
      <w:bookmarkStart w:id="718" w:name="ksex311"/>
      <w:bookmarkEnd w:id="717"/>
      <w:bookmarkEnd w:id="71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period ended March 31, 2023 of Dragonfly Energy Holdings Corp.;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19" w:name="ex31-2.htm"/>
      <w:bookmarkStart w:id="720" w:name="ksex312"/>
      <w:bookmarkEnd w:id="719"/>
      <w:bookmarkEnd w:id="72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John Marchetti,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period ended March 31, 2023 of Dragonfly Energy Holdings Corp.;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John Marchetti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caps w:val="false"/>
          <w:smallCaps w:val="false"/>
        </w:rPr>
      </w:pPr>
      <w:bookmarkStart w:id="721" w:name="ex32-1.htm"/>
      <w:bookmarkStart w:id="722" w:name="ksex321"/>
      <w:bookmarkEnd w:id="721"/>
      <w:bookmarkEnd w:id="72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“Company”) for the quarter ended March 31, 2023 (the “Quarterly Report”), each of Denis Phares, as Chief Executive Officer, and John Marchetti, as Chief Financial Officer, certifies in his or her capacity as such officer of the Company, that to such officer’s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 w:type="dxa"/>
            <w:tcBorders/>
            <w:vAlign w:val="center"/>
          </w:tcPr>
          <w:p>
            <w:pPr>
              <w:pStyle w:val="TableContents"/>
              <w:bidi w:val="0"/>
              <w:spacing w:before="0" w:after="283"/>
              <w:jc w:val="left"/>
              <w:rPr>
                <w:caps w:val="false"/>
                <w:smallCaps w:val="false"/>
              </w:rPr>
            </w:pPr>
            <w:r>
              <w:rPr>
                <w:caps w:val="false"/>
                <w:smallCaps w:val="false"/>
              </w:rPr>
              <w:t> </w:t>
            </w:r>
          </w:p>
        </w:tc>
        <w:tc>
          <w:tcPr>
            <w:tcW w:w="99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w:t>
            </w:r>
          </w:p>
        </w:tc>
      </w:tr>
    </w:tbl>
    <w:p>
      <w:pPr>
        <w:pStyle w:val="TextBody"/>
        <w:bidi w:val="0"/>
        <w:ind w:left="0" w:right="0" w:firstLine="360"/>
        <w:jc w:val="both"/>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760"/>
        <w:gridCol w:w="320"/>
        <w:gridCol w:w="236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15,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Denis Phares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760"/>
        <w:gridCol w:w="320"/>
        <w:gridCol w:w="230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15,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John Marchetti</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49315223010262/ex2-1.htm" TargetMode="External"/><Relationship Id="rId3" Type="http://schemas.openxmlformats.org/officeDocument/2006/relationships/hyperlink" Target="https://www.sec.gov/Archives/edgar/data/1847986/000149315223010262/ex3-1.htm" TargetMode="External"/><Relationship Id="rId4" Type="http://schemas.openxmlformats.org/officeDocument/2006/relationships/hyperlink" Target="https://www.sec.gov/Archives/edgar/data/1847986/000149315223010262/ex3-2.htm" TargetMode="External"/><Relationship Id="rId5" Type="http://schemas.openxmlformats.org/officeDocument/2006/relationships/hyperlink" Target="https://www.sec.gov/Archives/edgar/data/1847986/000149315223007147/ex4-1.htm" TargetMode="External"/><Relationship Id="rId6" Type="http://schemas.openxmlformats.org/officeDocument/2006/relationships/hyperlink" Target="https://www.sec.gov/Archives/edgar/data/1847986/000149315223006564/ex10-1.htm" TargetMode="External"/><Relationship Id="rId7" Type="http://schemas.openxmlformats.org/officeDocument/2006/relationships/hyperlink" Target="https://www.sec.gov/Archives/edgar/data/1847986/000149315223009479/ex10-1.htm" TargetMode="External"/><Relationship Id="rId8" Type="http://schemas.openxmlformats.org/officeDocument/2006/relationships/hyperlink" Target="https://www.sec.gov/Archives/edgar/data/1847986/000149315223010262/ex99-1.htm" TargetMode="External"/><Relationship Id="rId9" Type="http://schemas.openxmlformats.org/officeDocument/2006/relationships/hyperlink" Target="https://www.sec.gov/Archives/edgar/data/1847986/000149315223010262/ex99-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21090</Words>
  <Characters>114071</Characters>
  <CharactersWithSpaces>136610</CharactersWithSpaces>
  <Paragraphs>5414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