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1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ind w:left="4640"/>
        <w:spacing w:after="0" w:line="208" w:lineRule="auto"/>
        <w:rPr>
          <w:sz w:val="20"/>
          <w:szCs w:val="20"/>
          <w:color w:val="auto"/>
        </w:rPr>
      </w:pPr>
      <w:r>
        <w:rPr>
          <w:rFonts w:ascii="Times New Roman" w:cs="Times New Roman" w:eastAsia="Times New Roman" w:hAnsi="Times New Roman"/>
          <w:sz w:val="18"/>
          <w:szCs w:val="18"/>
          <w:b w:val="1"/>
          <w:bCs w:val="1"/>
          <w:color w:val="auto"/>
        </w:rPr>
        <w:t>17 State Street, 21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10004</w:t>
      </w:r>
    </w:p>
    <w:p>
      <w:pPr>
        <w:spacing w:after="0" w:line="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21, 2022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Attn:</w:t>
        <w:tab/>
        <w:t>Heather Clark</w:t>
      </w:r>
    </w:p>
    <w:p>
      <w:pPr>
        <w:spacing w:after="0" w:line="2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Anne McConnell</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Bradley Ecker</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Sherry Haywood</w:t>
      </w:r>
    </w:p>
    <w:p>
      <w:pPr>
        <w:spacing w:after="0" w:line="234" w:lineRule="exact"/>
        <w:rPr>
          <w:sz w:val="24"/>
          <w:szCs w:val="24"/>
          <w:color w:val="auto"/>
        </w:rPr>
      </w:pPr>
    </w:p>
    <w:tbl>
      <w:tblPr>
        <w:tblLayout w:type="fixed"/>
        <w:tblInd w:w="114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Chardan NexTech Acquisition 2 Corp.</w:t>
            </w:r>
          </w:p>
        </w:tc>
      </w:tr>
      <w:tr>
        <w:trPr>
          <w:trHeight w:val="216"/>
        </w:trPr>
        <w:tc>
          <w:tcPr>
            <w:tcW w:w="6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S-4</w:t>
            </w:r>
          </w:p>
        </w:tc>
      </w:tr>
      <w:tr>
        <w:trPr>
          <w:trHeight w:val="234"/>
        </w:trPr>
        <w:tc>
          <w:tcPr>
            <w:tcW w:w="680" w:type="dxa"/>
            <w:vAlign w:val="bottom"/>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File No. 333-265713</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Reference is made to the Registration Statement on Form S-4 (File No. 333-265713) filed by Chardan NexTech Acquisition 2 Corp., a Delaware corporation (the “Company”), on June 17, 2022 (as amended, the “Registration Statement”).</w:t>
      </w:r>
    </w:p>
    <w:p>
      <w:pPr>
        <w:spacing w:after="0" w:line="162" w:lineRule="exact"/>
        <w:rPr>
          <w:sz w:val="24"/>
          <w:szCs w:val="24"/>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Further to our conversation, the Company hereby respectfully requests that the Securities and Exchange Commission (the “Commission”) consent to the withdrawal, effective as of the date hereof or at the earliest practicable date hereafter, of the Registration Statement together with all exhibits and amendments thereto (collectively, the “Registration Statement”). The Registration Statement was originally filed with the Commission on June 17, 2022 and amended on July 11, 2022.</w:t>
      </w:r>
    </w:p>
    <w:p>
      <w:pPr>
        <w:spacing w:after="0" w:line="180"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requests that, in accordance with Rule 457(p) under the Securities Act, all fees paid to the Commission in connection with the filing of the Registration Statement be credited for future use.</w:t>
      </w:r>
    </w:p>
    <w:p>
      <w:pPr>
        <w:spacing w:after="0" w:line="162"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Should you have any questions regarding this correspondence, please contact Jeffrey Brill or Peter Serating of Skadden, Arps, Slate, Meagher &amp; Flom LLP at (212) 735-2587 or (212) 735-2286.</w:t>
      </w:r>
    </w:p>
    <w:p>
      <w:pPr>
        <w:spacing w:after="0" w:line="162"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25" w:lineRule="exact"/>
        <w:rPr>
          <w:sz w:val="24"/>
          <w:szCs w:val="24"/>
          <w:color w:val="auto"/>
        </w:rPr>
      </w:pPr>
    </w:p>
    <w:tbl>
      <w:tblPr>
        <w:tblLayout w:type="fixed"/>
        <w:tblInd w:w="564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 Jonas Grossman</w:t>
            </w:r>
          </w:p>
        </w:tc>
      </w:tr>
      <w:tr>
        <w:trPr>
          <w:trHeight w:val="191"/>
        </w:trPr>
        <w:tc>
          <w:tcPr>
            <w:tcW w:w="320" w:type="dxa"/>
            <w:vAlign w:val="bottom"/>
          </w:tcPr>
          <w:p>
            <w:pPr>
              <w:spacing w:after="0"/>
              <w:rPr>
                <w:sz w:val="16"/>
                <w:szCs w:val="16"/>
                <w:color w:val="auto"/>
              </w:rPr>
            </w:pP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Jonas Grossman</w:t>
            </w:r>
          </w:p>
        </w:tc>
      </w:tr>
      <w:tr>
        <w:trPr>
          <w:trHeight w:val="234"/>
        </w:trPr>
        <w:tc>
          <w:tcPr>
            <w:tcW w:w="3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198" w:lineRule="exact"/>
        <w:rPr>
          <w:sz w:val="24"/>
          <w:szCs w:val="24"/>
          <w:color w:val="auto"/>
        </w:rPr>
      </w:pPr>
    </w:p>
    <w:p>
      <w:pPr>
        <w:ind w:left="580" w:right="9240" w:hanging="568"/>
        <w:spacing w:after="0" w:line="276" w:lineRule="auto"/>
        <w:tabs>
          <w:tab w:leader="none" w:pos="5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Jeffrey Brill, Esq. Peter Serating, Esq.</w:t>
      </w:r>
    </w:p>
    <w:p>
      <w:pPr>
        <w:ind w:left="580" w:right="74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Skadden, Arps, Slate, Meagher &amp; Flom LLP One Manhattan West</w:t>
      </w: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New York, NY 10001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2022-07-22T05:18:42Z</dcterms:created>
  <dcterms:modified xsi:type="dcterms:W3CDTF">2022-07-22T05:18:42Z</dcterms:modified>
</cp:coreProperties>
</file>