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 Announces Extraordinary General Meeting to Amend Charter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Special Meeting of Shareholders to be Held on August 5, 2022</w:t>
      </w:r>
    </w:p>
    <w:p>
      <w:pPr>
        <w:spacing w:after="0" w:line="207" w:lineRule="exact"/>
        <w:rPr>
          <w:sz w:val="24"/>
          <w:szCs w:val="24"/>
          <w:color w:val="auto"/>
        </w:rPr>
      </w:pPr>
    </w:p>
    <w:p>
      <w:pPr>
        <w:ind w:right="280"/>
        <w:spacing w:after="0" w:line="289" w:lineRule="auto"/>
        <w:rPr>
          <w:sz w:val="20"/>
          <w:szCs w:val="20"/>
          <w:color w:val="auto"/>
        </w:rPr>
      </w:pPr>
      <w:r>
        <w:rPr>
          <w:rFonts w:ascii="Arial" w:cs="Arial" w:eastAsia="Arial" w:hAnsi="Arial"/>
          <w:sz w:val="17"/>
          <w:szCs w:val="17"/>
          <w:b w:val="1"/>
          <w:bCs w:val="1"/>
          <w:color w:val="auto"/>
        </w:rPr>
        <w:t xml:space="preserve">New York, NY, July 28, 2022 </w:t>
      </w:r>
      <w:r>
        <w:rPr>
          <w:rFonts w:ascii="Arial" w:cs="Arial" w:eastAsia="Arial" w:hAnsi="Arial"/>
          <w:sz w:val="17"/>
          <w:szCs w:val="17"/>
          <w:color w:val="auto"/>
        </w:rPr>
        <w:t>– Chardan NexTech (Nasdaq: CNTQ) (“CNTQ” or the "Company") announced today that the special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of the Company (the “Special Meeting”) to vote on the approval to amend its charter will be held on August 5, 2022 at 10:00 A.M. Eastern Time. Stockholders of record as of the close of business on July 11, 2022 are entitled to vote at the Special Meeting.</w:t>
      </w:r>
    </w:p>
    <w:p>
      <w:pPr>
        <w:spacing w:after="0" w:line="162"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As previously announced on May 16, 2022, CNTQ has entered into a merger agreement, as amended on July 12, 2022, for a business combination transaction with Dragonfly Energy Corp. (“Dragonfly”). Dragonfly is a leader in energy storage and producer of deep cycle lithium-ion storage batteries. The transaction is currently expected to close in the second half of 2022.</w:t>
      </w:r>
    </w:p>
    <w:p>
      <w:pPr>
        <w:spacing w:after="0" w:line="184"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Stockholders of CNTQ are encouraged to submit their vote as soon as possible to ensure they are represented at the Special Meeting. CNTQ has engaged Morrow Sodali LLC (“Morrow Sodali”) as its proxy solicitor in connection with the Special Meeting. Stockholders needing assistance in voting can contact Morrow Sodali by calling 800-662-5200, or banks and brokers can call collect at 203-658-9400, or by emailing CNTQ.info@investor.morrowsodali.com.</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Chardan NexTech Acquisition 2 Corp.</w:t>
      </w:r>
    </w:p>
    <w:p>
      <w:pPr>
        <w:spacing w:after="0" w:line="229" w:lineRule="exact"/>
        <w:rPr>
          <w:sz w:val="24"/>
          <w:szCs w:val="24"/>
          <w:color w:val="auto"/>
        </w:rPr>
      </w:pPr>
    </w:p>
    <w:p>
      <w:pPr>
        <w:ind w:right="140"/>
        <w:spacing w:after="0" w:line="301" w:lineRule="auto"/>
        <w:rPr>
          <w:sz w:val="20"/>
          <w:szCs w:val="20"/>
          <w:color w:val="auto"/>
        </w:rPr>
      </w:pPr>
      <w:r>
        <w:rPr>
          <w:rFonts w:ascii="Arial" w:cs="Arial" w:eastAsia="Arial" w:hAnsi="Arial"/>
          <w:sz w:val="16"/>
          <w:szCs w:val="16"/>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Arial" w:cs="Arial" w:eastAsia="Arial" w:hAnsi="Arial"/>
          <w:sz w:val="16"/>
          <w:szCs w:val="16"/>
          <w:u w:val="single" w:color="auto"/>
          <w:color w:val="auto"/>
        </w:rPr>
        <w:t>https://www.cnaq.com/</w:t>
      </w:r>
      <w:r>
        <w:rPr>
          <w:rFonts w:ascii="Arial" w:cs="Arial" w:eastAsia="Arial" w:hAnsi="Arial"/>
          <w:sz w:val="16"/>
          <w:szCs w:val="16"/>
          <w:color w:val="auto"/>
        </w:rPr>
        <w:t>.</w:t>
      </w: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Dragonfly</w:t>
      </w:r>
    </w:p>
    <w:p>
      <w:pPr>
        <w:spacing w:after="0" w:line="229" w:lineRule="exact"/>
        <w:rPr>
          <w:sz w:val="24"/>
          <w:szCs w:val="24"/>
          <w:color w:val="auto"/>
        </w:rPr>
      </w:pPr>
    </w:p>
    <w:p>
      <w:pPr>
        <w:ind w:right="80"/>
        <w:spacing w:after="0" w:line="272" w:lineRule="auto"/>
        <w:rPr>
          <w:sz w:val="20"/>
          <w:szCs w:val="20"/>
          <w:color w:val="auto"/>
        </w:rPr>
      </w:pPr>
      <w:r>
        <w:rPr>
          <w:rFonts w:ascii="Arial" w:cs="Arial" w:eastAsia="Arial" w:hAnsi="Arial"/>
          <w:sz w:val="17"/>
          <w:szCs w:val="17"/>
          <w:color w:val="auto"/>
        </w:rPr>
        <w:t>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Dragonfly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DragonflyIR@icrinc.com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Relations, Media – Dragonfly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DragonflyPR@icrinc.com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2022-07-29T05:25:51Z</dcterms:created>
  <dcterms:modified xsi:type="dcterms:W3CDTF">2022-07-29T05:25:51Z</dcterms:modified>
</cp:coreProperties>
</file>