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333-275559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November 24, 2023)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36,000,000 Shares of Common Stock</w:t>
      </w:r>
    </w:p>
    <w:p>
      <w:pPr>
        <w:spacing w:after="0" w:line="42" w:lineRule="exact"/>
        <w:rPr>
          <w:sz w:val="24"/>
          <w:szCs w:val="24"/>
          <w:color w:val="auto"/>
        </w:rPr>
      </w:pPr>
    </w:p>
    <w:p>
      <w:pPr>
        <w:jc w:val="center"/>
        <w:ind w:left="340" w:right="1100"/>
        <w:spacing w:after="0" w:line="268" w:lineRule="auto"/>
        <w:rPr>
          <w:sz w:val="20"/>
          <w:szCs w:val="20"/>
          <w:color w:val="auto"/>
        </w:rPr>
      </w:pPr>
      <w:r>
        <w:rPr>
          <w:rFonts w:ascii="Times New Roman" w:cs="Times New Roman" w:eastAsia="Times New Roman" w:hAnsi="Times New Roman"/>
          <w:sz w:val="28"/>
          <w:szCs w:val="28"/>
          <w:b w:val="1"/>
          <w:bCs w:val="1"/>
          <w:color w:val="auto"/>
        </w:rPr>
        <w:t>Pre-Funded Warrants to Purchase 5,000,000 Shares of Common Stock 5,000,000 Shares of Common Stock Underlying the Pre-Funded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109220</wp:posOffset>
            </wp:positionV>
            <wp:extent cx="174879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4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offering 36,000,000 shares of our common stock, and, in lieu of shares of common stock to investors that so choose, pre-funded warrants to purchase 5,000,000 shares of our common stock, or the “pre-funded warrants” (and the shares of common stock issuable from time to time upon exercise of each of the pre-funded warrants). The public offering price is $1.35 per share. The pre-funded warrants will be exercisable immediately and are exercisable for one share of our common stock. The purchase price of each pre-funded warrant is equal to the public offering price at which a share of common stock is sold to the public in this offering, minus $0.0001, and the exercise price of each pre-funded warrant is $0.0001 per share of common stock. Each pre-funded warrant will be exercisable for one share of common stock at any time after the date of issuance of such pre-funded warrant, subject to an ownership limitation. This prospectus supplement also relates to the offering of the shares of common stock issuable upon exercise of the pre-funded warrants.</w:t>
      </w:r>
    </w:p>
    <w:p>
      <w:pPr>
        <w:spacing w:after="0" w:line="19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and our public warrants (the “Public Warrants”) are currently listed on the Nasdaq Capital Market under the symbol “DFLIW.” On October 14, 2025, the last reported sales price of our common stock on the Nasdaq Capital Market was $1.53 per share and the last reported sales price of our Public Warrants was $0.185. There is no established public trading market for the pre-funded warrants, and we do not expect a market to develop. In addition, we do not intend to apply for listing of the pre-funded warrants on any securities exchange or recognized trading system.</w:t>
      </w:r>
    </w:p>
    <w:p>
      <w:pPr>
        <w:spacing w:after="0" w:line="1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for future filings. See “Prospectus Supplement Summary—Emerging Growth Company and Smaller Reporting Company.”</w:t>
      </w:r>
    </w:p>
    <w:p>
      <w:pPr>
        <w:spacing w:after="0" w:line="172"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Before buying any securities, you should read the discussion of material risks of investing in our securities in “Risk Factors” beginning on page S-5 of this prospectus supplement, on page 3 of the accompanying prospectus and in the documents incorporated by reference in this prospectus supplement.</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 PRE-FUNDED</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WARRANT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1.3499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55,349,500.00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(1)</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0.081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3,321,000.00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1.2689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52,028,500.00</w:t>
            </w:r>
          </w:p>
        </w:tc>
      </w:tr>
    </w:tbl>
    <w:p>
      <w:pPr>
        <w:spacing w:after="0" w:line="194" w:lineRule="exact"/>
        <w:rPr>
          <w:sz w:val="24"/>
          <w:szCs w:val="24"/>
          <w:color w:val="auto"/>
        </w:rPr>
      </w:pPr>
    </w:p>
    <w:p>
      <w:pPr>
        <w:ind w:right="20" w:firstLine="8"/>
        <w:spacing w:after="0" w:line="286" w:lineRule="auto"/>
        <w:tabs>
          <w:tab w:leader="none" w:pos="26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of their reasonable out-of-pocket expenses. See “Underwriting” beginning on page 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 for more information on this offering and the underwriting arrangements.</w:t>
      </w:r>
    </w:p>
    <w:p>
      <w:pPr>
        <w:spacing w:after="0" w:line="15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Delivery of the shares of common stock and pre-funded warrants is expected to be made on or about October 17, 2025. We have granted the underwriters an option for a period of 30 days to purchase up to 6,150,000 additional shares of our common stock. If the underwriters exercise the option in full, the total underwriting discounts and commissions payable by us will be $3,819,150.00 and the total proceeds to us, before expenses, will be $59,832,850.00.</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Co-Manager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Roth Capital Partners</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19"/>
                <w:szCs w:val="19"/>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 SUPPLEMENT</w:t>
            </w:r>
          </w:p>
        </w:tc>
        <w:tc>
          <w:tcPr>
            <w:tcW w:w="6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600" w:type="dxa"/>
            <w:vAlign w:val="bottom"/>
            <w:gridSpan w:val="2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6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S-1</w:t>
            </w:r>
          </w:p>
        </w:tc>
      </w:tr>
      <w:tr>
        <w:trPr>
          <w:trHeight w:val="175"/>
        </w:trPr>
        <w:tc>
          <w:tcPr>
            <w:tcW w:w="344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71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S-4</w:t>
            </w:r>
          </w:p>
        </w:tc>
      </w:tr>
      <w:tr>
        <w:trPr>
          <w:trHeight w:val="176"/>
        </w:trPr>
        <w:tc>
          <w:tcPr>
            <w:tcW w:w="12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32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53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UNDERWRITING</w:t>
            </w:r>
          </w:p>
        </w:tc>
        <w:tc>
          <w:tcPr>
            <w:tcW w:w="92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2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color w:val="auto"/>
                <w:w w:val="99"/>
              </w:rPr>
              <w:t>PROSPECTUS</w:t>
            </w:r>
          </w:p>
        </w:tc>
        <w:tc>
          <w:tcPr>
            <w:tcW w:w="64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74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common stock and pre-funded warrants and also adds to and updates information contained in the accompanying prospectus and the documents incorporated by reference into this prospectus supplement and the accompanying prospectus. The second part, the accompanying prospectus dated November 24, 2023,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the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information different from or inconsistent with the information contained in or incorporated by reference in this prospectus supplement, the accompanying prospectus and in any free writing prospectus that we have authorized for use in connection with this offering. We and the underwriters take no responsibility for, and can provide no assurance as to the reliability of, any other information that others may give you. You should assume that the information appearing in this prospectus supplement, the accompanying prospectus and the documents incorporated by reference in this prospectus supplement and the accompanying prospectus is accurate only as of the date of those respective documents, regardless of the time of delivery of those respective documents.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entitled “Additional Information” and “Incorporation of Certain Information by Reference.”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the underwriters are offering to sell, and seeking offers to buy, shares of our common stock and pre-funded warrants only in jurisdictions where offers and sales are permitted. The distribution of this prospectus supplement and the accompanying prospectus and the offering of our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our common stock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references in this prospectus supplement or the accompanying prospectus to “Dragonfly Energy,” the “Company,” “we,” “us,” or “our” mean Dragonfly Energy Holdings Corp. and its subsidiaries unless we state otherwise or the context otherwise indicates. This prospectus supplement and the information incorporated herein by reference contain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trademarks, service marks or trade names to imply a relationship with, or endorsement or sponsorship of us by, any other companies. Other trademarks, service marks and trade names appearing in this prospectus supplement are the property of their respective owners.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or incorporated by reference into this prospectus supplement or the accompanying prospectus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or pre-funded warrants.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S-5 and in the documents incorporated by reference into this prospectus supplement and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 (“RV”), marine vessel, and solar, oil and gas and off-grid industries, with disruptive solid-state cell technology currently under development.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currently offer several lines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 (“OEMs”). Our RV OEM customers currently include Keystone, THOR Industries, Airstream, and REV, and we are in ongoing discussions with a number of additional RV OEMs to further increase adoption of our products.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 In April 2022, we also acquired the assets, including the Wakespeed Offshore brand of Thomason Jones, allowing us to include our own alternator regulator in systems that we sell.</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we have successfully developed innovative manufacturing processes for dry-electrode manufacturing of lithium-ion cells, and continue development efforts relating to next-generation solid-state technology. Since our inception, we have built a comprehensive patent portfolio around our proprietary dry 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 In October 2023, we announced the successful dry deposition of anode and cathode electrodes at scale using our patented battery manufacturing process. We are currently producing sample cells for prospective customers across a variety of chemistries and end-markets. In addition, we are currently exploring opportunities within North America as part of our efforts to build a cell manufacturing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Debt Restructuring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reached an agreement in principle with the lenders (the “Lenders”) under our Term Loan, Guarantee and Security Agreement, dated October 7, 2022, with ALTER DOMUS (US) LLC, as agent, and the Lenders (as amended to date, the “Term Loan Agreement”), pursuant to which we would restructure our outstanding indebtedness as follows (the “Proposed Restructuring”):</w:t>
      </w:r>
    </w:p>
    <w:p>
      <w:pPr>
        <w:spacing w:after="0" w:line="176" w:lineRule="exact"/>
        <w:rPr>
          <w:sz w:val="20"/>
          <w:szCs w:val="20"/>
          <w:color w:val="auto"/>
        </w:rPr>
      </w:pPr>
    </w:p>
    <w:p>
      <w:pPr>
        <w:ind w:left="640" w:right="20" w:hanging="321"/>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make a prepayment of $45.0 million of outstanding indebtedness under the Term Loan Agreement from the net proceeds of this offering;</w:t>
      </w:r>
    </w:p>
    <w:p>
      <w:pPr>
        <w:jc w:val="both"/>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would convert $25 million of the outstanding principal amount of the loan into shares of newly created preferred stock which preferred stock would (i) be convertible into shares of our common stock at the Lenders option at a conversion price of $3.15 per share, or an aggregate of 7,936,508 shares of our common stock, (ii) have a dividend of 8% per annum payable quarterly in cash and (iii) have a dividend of 2% per annum payable quarterly in kind. In addition, we would have a right to redeem any outstanding shares of such preferred stock at our option at the greater of (i) the stated value plus any outstanding dividends and (ii) the as-converted value of the shares of common stock underlying such preferred stock (the “Optional Redemption Price”). The Lenders would also agree not to convert any share of such preferred stock for a period of six months following the closing of this offering. In connection with any future equity offerings, we would be required to use 25% of the net proceeds from such offering to redeem outstanding shares of such preferred stock at the Optional Redemption Price. In the event we have not redeemed such preferred stock by October 7, 2027, the holders would have the right to require us to redeem the preferred stock at the Optional Redemption Price;</w:t>
      </w:r>
    </w:p>
    <w:p>
      <w:pPr>
        <w:spacing w:after="0" w:line="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would forgive the repayment of $5 million of the outstanding principal under the Term Loan Agreement;</w:t>
      </w:r>
    </w:p>
    <w:p>
      <w:pPr>
        <w:spacing w:after="0" w:line="9" w:lineRule="exact"/>
        <w:rPr>
          <w:rFonts w:ascii="Times New Roman" w:cs="Times New Roman" w:eastAsia="Times New Roman" w:hAnsi="Times New Roman"/>
          <w:sz w:val="18"/>
          <w:szCs w:val="18"/>
          <w:color w:val="auto"/>
        </w:rPr>
      </w:pPr>
    </w:p>
    <w:p>
      <w:pPr>
        <w:jc w:val="both"/>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outstanding principal amount under the Term Loan Agreement of $17 million, after the repayment and forgiveness disclosed above, would have a fixed interest rate of 12% per annum, payable monthly commencing December 31, 2025 and would mature in October 2027;</w:t>
      </w:r>
    </w:p>
    <w:p>
      <w:pPr>
        <w:spacing w:after="0" w:line="1" w:lineRule="exact"/>
        <w:rPr>
          <w:rFonts w:ascii="Times New Roman" w:cs="Times New Roman" w:eastAsia="Times New Roman" w:hAnsi="Times New Roman"/>
          <w:sz w:val="18"/>
          <w:szCs w:val="18"/>
          <w:color w:val="auto"/>
        </w:rPr>
      </w:pPr>
    </w:p>
    <w:p>
      <w:pPr>
        <w:ind w:left="640" w:right="20" w:hanging="321"/>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pay a fee to the Lenders equal to approximately $450,000 in cash and $450,000 added to principal outstanding amount of the loan under the Term Loan Agreement; and</w:t>
      </w:r>
    </w:p>
    <w:p>
      <w:pPr>
        <w:ind w:left="640" w:right="20" w:hanging="321"/>
        <w:spacing w:after="0" w:line="26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covenants under the Term Loan Agreement would be waived through December 31, 2026, except that we would agree to a minimum liquidity covenant of $5.0 million calculated on a monthly basis.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agreement in principle is not binding, and there can be no assurance that we and the Lenders will ultimately enter into a definitive agreement for the Proposed Restructuring, that the Proposed Restructuring will be consummated, or as to the timing or ultimate terms of any Proposed Restructuring</w:t>
      </w:r>
    </w:p>
    <w:p>
      <w:pPr>
        <w:sectPr>
          <w:pgSz w:w="11900" w:h="16941" w:orient="portrait"/>
          <w:cols w:equalWidth="0" w:num="1">
            <w:col w:w="10940"/>
          </w:cols>
          <w:pgMar w:left="480" w:top="914" w:right="479" w:bottom="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may occur. The closing of the Proposed Restructuring would be subject to significant closing conditions, including the negotiation and execution of the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-296545</wp:posOffset>
            </wp:positionV>
            <wp:extent cx="7136130" cy="2479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47967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2025 Preliminary Results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anticipate third quarter 2025 Net Sales of $16.0 million and Adjusted EBITDA of $(2.2) million. The anticipated results represent 26% year-over-year growth in Net Sales and an approximately $3.3 million reduction in Adjusted EBITDA loss. The third quarter 2025 Net Sales and Adjusted EBITDA are preliminary and are subject to finalization and adjustment in connection with the preparation of our Quarterly Report on Form 10-Q for the three months ended September 30, 2025. The preliminary financial results included in this prospectus supplement have been prepared by, and are the responsibility of, our management. CBIZ CPAs P.C., our independent registered public accounting firm, has not audited, reviewed, examined, complied, nor applied agreed-upon procedures with respect to the preliminary financial results. Accordingly, CBIZ CPAs P.C. does not express an opinion or any other form of assurance with respect thereto. During the course of the preparation of our financial statements and related notes as of and for the three months ended September 30, 2025, we may identify items that would require us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United States generally accepted accounting principles (“GAAP”) and reviewed by our independent registered public accounting firm. See “Risk Factors” and “Special Note Regarding Forward-Looking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121" w:right="479" w:bottom="1440" w:gutter="0" w:footer="0" w:header="0"/>
        </w:sectPr>
      </w:pPr>
    </w:p>
    <w:bookmarkStart w:id="5" w:name="page6"/>
    <w:bookmarkEnd w:id="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Adjusted EBITDA is a non-GAAP measure and should be considered only as supplemental to, and not as superior to, financial measures prepared in accordance with GAAP. The table below provides a reconciliation between reconciliation of Adjusted EBITDA to its nearest GAAP measure based on preliminary information that is subject to the caveats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6"/>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29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18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(11,089)</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 Based Compensation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Separation Agreement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Impairment</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Financing expenses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Restructure Expense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is defined as earnings before interest and other income (expenses), income taxes, and depreciation and amortization. Adjusted EBITDA is calculated as EBITDA adjusted for stock-based compensation and changes in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GAAP and should not be considered as an alternative to information reported in accordance with GAAP.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Allowance</w:t>
      </w:r>
    </w:p>
    <w:p>
      <w:pPr>
        <w:spacing w:after="0" w:line="23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We were issued a Notice of Allowance for our latest patent application, strengthening our Dragonfly IntelLigence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battery communication technology and expanding our growing portfolio of U.S. intellectual property. The newly allowed patent is related to the use of multiple battery system and related wireless devices that wirelessly share information with one another over a connected mesh network. Through this capability, key operating data may be shared and error and/or warning codes may be propagated if certain conditions are detected even if one of the battery systems is powered down. This networked communication layer enhances system awareness, reliability, and coordination across connected energy systems.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Tech Hub Award</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Nevada Tech Hub, a program designed to strengthen Nevada’s lithium battery supply chain, has selected us for funding in its first round of awards. The agreement relating to the award is currently being finalized. The award, expected to total approximately $300,000, will be applied toward high-impact modernization and workforce development initiatives. Key elements of the project include advancing toward ISO 9001 certification, modernizing production systems and upgrading our battery manufacturing lines. There can be no assurance that a definitive agreement will be executed, that the final award amount will be as expected or that the contemplated project will be undertaken or completed as described.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Nasdaq Continued Listing Standards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2025, we received a notice from the Listing Qualifications Staff (the “Staff”) of The Nasdaq Stock Market LLC (“Nasdaq”) indicating that, based upon our non-compliance with the $1.00 minimum bid price requirement for continued listing on The Nasdaq Capital Market under Nasdaq Listing Rule 5550(a)(2) (the “Bid Price Requirement”), the Staff had determined to delist the our securities from Nasdaq, subject to our request for a hearing before a Nasdaq Hearings Panel (the “Panel”). We timely requested a hearing before the Panel. In addition, on June 11, 2025, we received an additional staff determination letter indicating that, based upon our non-compliance with the requirement to maintain a minimum market value of listed securities (“MVLS”) of $35 million for continued listing on The Nasdaq Capital Market under Nasdaq Listing Rule 5550(b)(2)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a notice (the “Notice”) from Nasdaq that, based on the plan of compliance that we had submitted, the Panel had granted us an exception until November 10, 2025 (the “Exception”) to regain compliance with the Bid Price Requirement and the MVLS Requirement, subject to our achievement of certain milestones, including the conversion by the holder of its remaining outstanding shares of our preferred stock into shares of our common stock and the restructuring of a portion of our outstanding debt or conversion of such debt into shares of our common stock. Following this offering, we may need to raise additional capital depending on the amount of debt we may be able to convert in the future, if any, with the lenders to meet the continued listing requirements on Nasdaq.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ectPr>
          <w:pgSz w:w="11900" w:h="16838" w:orient="portrait"/>
          <w:cols w:equalWidth="0" w:num="1">
            <w:col w:w="10940"/>
          </w:cols>
          <w:pgMar w:left="480" w:top="918" w:right="479" w:bottom="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125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4125595"/>
                    </a:xfrm>
                    <a:prstGeom prst="rect">
                      <a:avLst/>
                    </a:prstGeom>
                    <a:noFill/>
                  </pic:spPr>
                </pic:pic>
              </a:graphicData>
            </a:graphic>
          </wp:anchor>
        </w:drawing>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mailing address of our principal executive office is 12915 Old Virginia Road, Reno, Nevada 89521, and our telephone number is (775) 622-3448. Our corporate website is: www.dragonflyenergy.com. Information contained on or accessible through our website is not incorporated by reference into this prospectus supplement, and you should not consider any information contained on, or that can be accessed through, our website as part of this prospectus supplement.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26035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480" w:top="337"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9219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9219565"/>
                    </a:xfrm>
                    <a:prstGeom prst="rect">
                      <a:avLst/>
                    </a:prstGeom>
                    <a:noFill/>
                  </pic:spPr>
                </pic:pic>
              </a:graphicData>
            </a:graphic>
          </wp:anchor>
        </w:drawing>
        <w:t>THE OFFERING</w:t>
      </w:r>
    </w:p>
    <w:p>
      <w:pPr>
        <w:sectPr>
          <w:pgSz w:w="11900" w:h="16838" w:orient="portrait"/>
          <w:cols w:equalWidth="0" w:num="1">
            <w:col w:w="10940"/>
          </w:cols>
          <w:pgMar w:left="480" w:top="914" w:right="479" w:bottom="65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36,000,000 shares</w:t>
      </w:r>
    </w:p>
    <w:p>
      <w:pPr>
        <w:spacing w:after="0" w:line="200" w:lineRule="exact"/>
        <w:rPr>
          <w:sz w:val="20"/>
          <w:szCs w:val="20"/>
          <w:color w:val="auto"/>
        </w:rPr>
      </w:pPr>
    </w:p>
    <w:p>
      <w:pPr>
        <w:sectPr>
          <w:pgSz w:w="11900" w:h="16838" w:orient="portrait"/>
          <w:cols w:equalWidth="0" w:num="2">
            <w:col w:w="2080" w:space="660"/>
            <w:col w:w="8200"/>
          </w:cols>
          <w:pgMar w:left="480" w:top="914" w:right="479" w:bottom="65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offered by 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are also offering, in lieu of shares of common stock to certain investors that so choose, pre-funded warrants to purchase 5,000,000 shares of common stock. Each pre-funded warrant will have an initial exercise price per share of $0.0001, subject to certain adjustments. The purchase price of each pre-funded warrant is equal to the price at which the share of common stock is being sold to the public in this offering, minus $0.0001. The pre-funded warrants are exercisable immediately and may be exercised at any time until all of the pre-funded warrants are exercised in full. For more information, see the section titled “Description of Securities We Are Offering—Pre-Funded Warrants.” This prospectus supplement also relates to the offering of the shares of common stock issuable upon the exercise of such pre-funded warrants.</w:t>
      </w:r>
    </w:p>
    <w:p>
      <w:pPr>
        <w:spacing w:after="0" w:line="192" w:lineRule="exact"/>
        <w:rPr>
          <w:sz w:val="20"/>
          <w:szCs w:val="20"/>
          <w:color w:val="auto"/>
        </w:rPr>
      </w:pPr>
    </w:p>
    <w:p>
      <w:pPr>
        <w:sectPr>
          <w:pgSz w:w="11900" w:h="16838" w:orient="portrait"/>
          <w:cols w:equalWidth="0" w:num="2">
            <w:col w:w="2460" w:space="280"/>
            <w:col w:w="8200"/>
          </w:cols>
          <w:pgMar w:left="480" w:top="914" w:right="479" w:bottom="650" w:gutter="0" w:footer="0" w:header="0"/>
          <w:type w:val="continuous"/>
        </w:sectPr>
      </w:pPr>
    </w:p>
    <w:p>
      <w:pPr>
        <w:jc w:val="both"/>
        <w:ind w:left="2740" w:right="20"/>
        <w:spacing w:after="0" w:line="255" w:lineRule="auto"/>
        <w:rPr>
          <w:sz w:val="20"/>
          <w:szCs w:val="20"/>
          <w:color w:val="auto"/>
        </w:rPr>
      </w:pPr>
      <w:r>
        <w:rPr>
          <w:rFonts w:ascii="Times New Roman" w:cs="Times New Roman" w:eastAsia="Times New Roman" w:hAnsi="Times New Roman"/>
          <w:sz w:val="18"/>
          <w:szCs w:val="18"/>
          <w:color w:val="auto"/>
        </w:rPr>
        <w:t>Each pre-funded warrant is exercisable for one share of common stock (subject to adjustment as provided therein) at any time at the option of the holder, provided that the holder will be prohibited from exercising its pre-funded warrant for shares of our common stock if, as a result of such exercise, the holder, together with its affiliates, would own more than 9.99% (or, at the election of the purchaser, 4.99%) of the total number of shares of our common stock then issued and outstanding. However, any holder may increase or decrease such percentage to any other percentage not in excess of 9.99%, provided that any increase or decrease in such percentage shall not be effective until the sixty-first (61st) day after such notice to us.</w:t>
      </w:r>
    </w:p>
    <w:p>
      <w:pPr>
        <w:sectPr>
          <w:pgSz w:w="11900" w:h="16838" w:orient="portrait"/>
          <w:cols w:equalWidth="0" w:num="1">
            <w:col w:w="10940"/>
          </w:cols>
          <w:pgMar w:left="480" w:top="914" w:right="479" w:bottom="650" w:gutter="0" w:footer="0" w:header="0"/>
          <w:type w:val="continuous"/>
        </w:sectPr>
      </w:pPr>
    </w:p>
    <w:p>
      <w:pPr>
        <w:spacing w:after="0" w:line="18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125,786,915 shares (or 131,936,915 shares if the underwriters exercise in full their option to purchase additional shares) in each case, assuming all of the pre-funded warrants issued in this offering are exercised.</w:t>
      </w:r>
    </w:p>
    <w:p>
      <w:pPr>
        <w:spacing w:after="0" w:line="161" w:lineRule="exact"/>
        <w:rPr>
          <w:sz w:val="20"/>
          <w:szCs w:val="20"/>
          <w:color w:val="auto"/>
        </w:rPr>
      </w:pPr>
    </w:p>
    <w:p>
      <w:pPr>
        <w:sectPr>
          <w:pgSz w:w="11900" w:h="16838" w:orient="portrait"/>
          <w:cols w:equalWidth="0" w:num="2">
            <w:col w:w="2380" w:space="360"/>
            <w:col w:w="8200"/>
          </w:cols>
          <w:pgMar w:left="480" w:top="914" w:right="479" w:bottom="65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from us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the option, exercisable for 30 days from the date of this prospectus supplement, to purchase up to 6,150,000 additional shares of our common stock.</w:t>
      </w:r>
    </w:p>
    <w:p>
      <w:pPr>
        <w:spacing w:after="0" w:line="162" w:lineRule="exact"/>
        <w:rPr>
          <w:sz w:val="20"/>
          <w:szCs w:val="20"/>
          <w:color w:val="auto"/>
        </w:rPr>
      </w:pPr>
    </w:p>
    <w:p>
      <w:pPr>
        <w:sectPr>
          <w:pgSz w:w="11900" w:h="16838" w:orient="portrait"/>
          <w:cols w:equalWidth="0" w:num="2">
            <w:col w:w="2120" w:space="620"/>
            <w:col w:w="8200"/>
          </w:cols>
          <w:pgMar w:left="480" w:top="914" w:right="479" w:bottom="65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prepayment of $45.0 million of outstanding indebtedness under the Term Loan Agreement, continued investments in initiatives intended to drive near term revenue, and continued strategic investment in next generation battery technologies, including scaling the dry electrode process and its application to solid-state batteries. See “Use of Proceeds” on page S-8.</w:t>
      </w:r>
    </w:p>
    <w:p>
      <w:pPr>
        <w:spacing w:after="0" w:line="183" w:lineRule="exact"/>
        <w:rPr>
          <w:sz w:val="20"/>
          <w:szCs w:val="20"/>
          <w:color w:val="auto"/>
        </w:rPr>
      </w:pPr>
    </w:p>
    <w:p>
      <w:pPr>
        <w:sectPr>
          <w:pgSz w:w="11900" w:h="16838" w:orient="portrait"/>
          <w:cols w:equalWidth="0" w:num="2">
            <w:col w:w="2020" w:space="720"/>
            <w:col w:w="8200"/>
          </w:cols>
          <w:pgMar w:left="480" w:top="914" w:right="479" w:bottom="65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S-5 of this prospectus supplement and under similar headings in the other documents that are filed after the date hereof and incorporated by reference in this prospectus supplement and the accompanying prospectus for a discussion of factors to consider before deciding to purchase our securities.</w:t>
      </w:r>
    </w:p>
    <w:p>
      <w:pPr>
        <w:spacing w:after="0" w:line="180" w:lineRule="exact"/>
        <w:rPr>
          <w:sz w:val="20"/>
          <w:szCs w:val="20"/>
          <w:color w:val="auto"/>
        </w:rPr>
      </w:pPr>
    </w:p>
    <w:p>
      <w:pPr>
        <w:sectPr>
          <w:pgSz w:w="11900" w:h="16838" w:orient="portrait"/>
          <w:cols w:equalWidth="0" w:num="2">
            <w:col w:w="2020" w:space="720"/>
            <w:col w:w="8200"/>
          </w:cols>
          <w:pgMar w:left="480" w:top="914" w:right="479" w:bottom="65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“DFLI.” There is no established public trading market for the pre-funded warrants and we do not expect a market to develop. In addition, we do not intend to apply for listing of the pre-funded warrants on any securities exchange or recognized trading system. See the section titled “Description of Securities We Are Offering—Pre-Funded Warrants.”</w:t>
      </w:r>
    </w:p>
    <w:p>
      <w:pPr>
        <w:spacing w:after="0" w:line="180" w:lineRule="exact"/>
        <w:rPr>
          <w:sz w:val="20"/>
          <w:szCs w:val="20"/>
          <w:color w:val="auto"/>
        </w:rPr>
      </w:pPr>
    </w:p>
    <w:p>
      <w:pPr>
        <w:sectPr>
          <w:pgSz w:w="11900" w:h="16838" w:orient="portrait"/>
          <w:cols w:equalWidth="0" w:num="2">
            <w:col w:w="2240" w:space="500"/>
            <w:col w:w="8200"/>
          </w:cols>
          <w:pgMar w:left="480" w:top="914" w:right="479" w:bottom="65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84,786,915 shares of common stock outstanding on October 15, 2025 and excludes:</w:t>
      </w:r>
    </w:p>
    <w:p>
      <w:pPr>
        <w:spacing w:after="0" w:line="162" w:lineRule="exact"/>
        <w:rPr>
          <w:sz w:val="20"/>
          <w:szCs w:val="20"/>
          <w:color w:val="auto"/>
        </w:rPr>
      </w:pPr>
    </w:p>
    <w:p>
      <w:pPr>
        <w:ind w:left="640" w:hanging="321"/>
        <w:spacing w:after="0" w:line="261"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our merger in October 2022 (the “Business Combination”);</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1,046,948 shares of common stock issuable upon exercise of Public Warrants outstanding as of October 15, 2025, with an exercise price of $103.50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(the “Private Warrants”) outstanding as of October 15, 2025, with an exercise price of $103.50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1,300,254 shares of common stock issuable upon exercise of other warrants outstanding as of October 15, 2025, with a weighted average exercise price of $18.22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(the “Penny Warrants”) outstanding as of October 15, 2025, with an exercise price of $0.09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680,473 shares of common stock issuable upon exercise of Penny Warrants outstanding as of October 15, 2025, with an exercise price of $0.01 per share;</w:t>
      </w:r>
    </w:p>
    <w:p>
      <w:pPr>
        <w:ind w:left="640" w:right="20" w:hanging="321"/>
        <w:spacing w:after="0" w:line="250"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137,522 shares of common stock underlying outstanding options as October 15, 2025, with a weighted average exercise price of $24.90 per share;</w:t>
      </w: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169,484 shares of common stock underlying outstanding restricted stock units as of October 15, 2025; and</w:t>
      </w:r>
    </w:p>
    <w:p>
      <w:pPr>
        <w:spacing w:after="0" w:line="9"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10,168,204 shares of common stock available for future awards under our equity incentive plans and employee stock purchase plan.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noted, all information in this prospectus supplement assumes (i) no exercise of the underwriters’ option to purchase 6,150,000 additional shares and (ii) the exercise in full of all pre-funded warrants sold in this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65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Prior to making a decision about investing in our securities, you should carefully consider the following risks, uncertainties and assumptions, as well as those discussed under Item 1A, “Risk Factors,” in our Annual Report on Form 10-K for the fiscal year ended December 31, 2024, which is incorporated herein by reference and may be amended, supplemented or superseded from time to time by other reports we file with the SEC in the future, together with information in this prospectus supplement and any other information incorporated by reference into this prospectus supplement and the accompanying prospectus, including the risk factors set forth below. See the sections of this prospectus supplement entitled “Additional Information” and “Incorporation of Certain Information by Reference.”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also contains forward-looking statements that involve risks and uncertainties. Our actual results could differ materially from those anticipated in these forward-looking statements as a result of certain factors, including the risks faced by us described below and elsewhere in this prospectus. See “Special Note Regarding Forward-Looking Statements” for information relating to these forward-looking statements.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 in principle with the Lenders regarding the Proposed Restructuring is non-binding and we may be unable to consummate the transactions contemplated by such agreement.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15, 2025, we reached an agreement in principle with the Lenders regarding the Proposed Restructuring. The agreement in principle is non-binding, and there can be no assurance that we and the Lenders will ultimately enter into a definitive agreement for the Proposed Restructuring, that the Proposed Restructuring will be consummated, or as to the timing or ultimate terms of any Proposed Restructuring that may occur. The closing of the Proposed Restructuring would be subject to significant closing conditions, including the negotiation and execution of the definitive agreement and required board approval. Failure to consummate the transactions contemplated by the agreement in principle could have adverse effects on our business and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Capital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14, 2025, we received a notice from the Staff of Nasdaq indicating that, based upon our non-compliance with the Bid Price Requirement, the Staff had determined to delist our securities from Nasdaq, subject to our request for a hearing before the Panel. We timely requested a hearing before the Panel. In addition, on June 11, 2025, we received an additional staff determination letter indicating that, based upon our non-compliance with the MVLS Requirement, the Staff had determined such non-compliance served as an additional basis for delisting our securities from Nasdaq. Additionally, as of the date of this prospectus supplement,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 2025, following our hearing with the Panel on June 24, 2025, we received the Notice from Nasdaq that, based on the plan of compliance that we had submitted, the Panel had granted us the Exception, until November 10, 2025, to regain compliance with the Bid Price Requirement and the MVLS Requirement, subject to our achievement of certain milestones, including the conversion by the holder of its remaining outstanding shares of our preferred stock into shares of our common stock and the restructuring of a portion of our outstanding debt or conversion of such debt into shares of our common stock. Following this offering, we may need to raise additional capital depending on the amount of debt we may be able to convert in the future, if any, with the lenders to meet the continued listing requirements on Nasdaq.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intend to continue to take definitive steps and use reasonable best efforts to achieve these milestones and achieve compliance with the Bid Price Requirement and the MVLS Requirement within the established dates or maintain compliance with the other Nasdaq listing requirements, there is significant risk that we may not be able to achieve these milestones or regain compliance with the Bid Price Requirement and the MVLS Requirement within the established dates or maintain compliance with the other Nasdaq listing requirements. In the event we are unable to do so, our securities will be delisted from Nasdaq.</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preliminary financial information represents management’s current estimates and are subject to change.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preliminary financial results contained in “Prospectus Supplement Summary — Recent Developments — Third Quarter 2025 Preliminary Results” represents only preliminary estimates and is based on information available to management as of the date of this prospectus supplement and these estimates could change. Our actual financial results for the three months ended September 30, 2025 are subject to the completion of our financial statements as of such date, and for such period. Such actual financial results will not be available until after this offering is completed and, consequently, will not be available to you prior to investing in this offering. Our actual financial results as of, and for the three months ended September 30, 2025 may differ materially from the preliminary financial results we have provided as a result of completion of our final adjustments and review by our independent registered public accounting firm. Our independent registered public accounting firm has not audited or completed its review with respect to such preliminary estimates and, accordingly, does not express an opinion or any other form of assurance with respect thereto. Complete results as of, and for the three and nine months ended September 30, 2025 will be included in our Quarterly Report on Form 10-Q for the quarterly period ended September 30, 2025. See the other risks described in this section and “Special Note Regarding Forward-Looking Statements” for additional information regarding factors that could result in differences between these preliminary and the actual financial results we will report as of, and for the three months ended June September, 2025.</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or pre-funded warrants in this offering, you will experience immediate and substantial dilution in your investment.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Purchasers of common stock (or pre-funded warrants at the public offering price less $0.0001) in this offering will experience immediate dilution to the extent of the difference between the public offering price per share of common stock and the pro forma net tangible book value per share of common stock immediately after this offering. After giving effect to the sale of shares of our common stock at the public offering price of $1.35 per share, and after deducting underwriting discounts and commissions and estimated offering expenses, you will experience immediate dilution of $0.81 per share, representing the difference between our pro forma net tangible book value per share as of June 30, 2025 after giving effect to this offering at the public offering price. See “Dilution” for a more detailed discussion of the dilution you will incur if you purchase shares of common stock or pre-funded warrants in this offering.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shares of common stock we issue in connection with the restructuring of our outstanding debt or conversion of such debt into shares of our common stock will result in further dilution to our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The net proceeds from this offering will be used for working capital and other general corporate purposes, including the prepayment of $45.0 million of outstanding indebtedness under the Term Loan Agreement, continued investments in initiatives intended to drive near term revenue, and continued strategic investment in next generation battery technologies, including scaling the dry electrode process and its application to solid-state batteries.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will not have the opportunity, as part of your investment decision, to assess whether the proceeds are being used appropriately. The net proceeds from this offering may be used for corporate purposes that do not increase our operating results or enhance the value of our common stock.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15, 2025, we had (i) 2,777,778 shares of common stock reserved for issuance in the event of certain milestones in connection the Business Combination; (ii) 1,046,948 shares of common stock issuable upon exercise of Public Warrants, with an exercise price of $103.50 per share; (iii) 166,821 shares of common stock issuable upon exercise of Private Warrants, with an exercise price of $103.50 per share; (iv) 1,300,254 shares of common stock issuable upon exercise of other warrants, with a weighted average exercise price of $18.22 per share; (v) 1,061,685 shares of common stock issuable upon exercise of Penny Warrants, with an exercise price of $0.09 per share; (vi) 680,473 shares of common stock issuable upon exercise of Penny Warrants, with an exercise price of $0.01 per share; (vii) 137,522 shares of common stock underlying outstanding options, with a weighted average exercise price of $24.90 per share; (viii) 169,484 shares of common stock underlying outstanding restricted stock and (ix) 10,168,204 shares of commons stock available for future awards under our equity incentive plans and employee stock purchase plan. The issuance of such common stock will result in further dilution of your investment. If our existing stockholders sell substantial amounts of our common stock in the public market, or if the public perceives that such sales could occur, this could have an adverse impact on the market price of our common stock, even if there is no relationship between such sales and the performance of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by us in this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they acquire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shares of our common stock may not be permitted to exercise the pre-funded warrants that they hold.</w:t>
      </w:r>
    </w:p>
    <w:p>
      <w:pPr>
        <w:sectPr>
          <w:pgSz w:w="11900" w:h="16860" w:orient="portrait"/>
          <w:cols w:equalWidth="0" w:num="1">
            <w:col w:w="11240"/>
          </w:cols>
          <w:pgMar w:left="320" w:top="684" w:right="339" w:bottom="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warrants which, upon giving effect to such exercise, would cause (i) the aggregate number of shares of our common stock beneficially owned by the holder (together with its affiliates) to exceed 9.99% (or, at the election of the purchaser, 4.99%)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pre-funded warrants. Such percentage may be increased or decreased by written notice by the holder of the pre-funded warrants to any other percentage not in excess of 9.99%. Such increase or decrease will not be effective until the sixty-first (61st) day after such notice is delivered to us.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herein by reference contain forward-looking statements that involve substantial risks and uncertainties for purposes of the safe harbor provided by the Private Securities Litigation Reform Act of 1995. All statements contained in this prospectus other than statements of historical fact, including statements regarding our strategy, future operations, future financial position, liquidity, future revenue, projected expenses, results of operations, expectations concerning the timing and our ability to commence and subsequently report data from planned non-clinical studies and clinical trials, prospects, plans and objectives of management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are subject to a number of risks, uncertainties, and assumptions,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These factors include, but are not limited to:</w:t>
      </w:r>
    </w:p>
    <w:p>
      <w:pPr>
        <w:spacing w:after="0" w:line="176"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 definitive agreement for and consummate the Proposed Restructuring;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cure any listing deficiencies and maintain the listing of our common stock and Public Warrants on the Nasdaq Capital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in our existing markets or new markets that we enter, including the trucking and industrials markets, and our ability to achieve and maintain profitability;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produce lithium battery cells in the United States in a timely manner or at all, or to scale to mass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achieve the anticipated benefits of our recent licensing arrangement with Stryten Energy LLC;</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committed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one manufacturing facility;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and macroeconomic conditions, including economic, political and social instability, including the Russia-Ukraine conflict, the India-Pakistan conflict and Hamas’ attack on Israel, and their effects on our operations.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as amended (the “Securities Act”), do not protect any forward-looking statements that we make in connection with this offering. All forward-looking statements included in this prospectus supplement, the accompanying prospectus and the information incorporated herein by reference are based on information available to us on the date of this prospectus supplement, the accompanying prospectus and the information incorporated herein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We qualify all of our forward-looking statements by these cautionary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also read carefully the factors described in the “Risk Factors” section of this prospectus supplement, the accompanying prospectus and the information incorporated herein by reference, to better understand the risks and uncertainties inherent in our business and underlying any forward-looking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$51.7 million, after deducting the underwriting discounts and commissions and estimated offering expenses payable by us. If the underwriters exercise in full their option to purchase additional shares, we estimate that the aggregate net proceeds from this offering will be approximately $59.5 million, after deducting the underwriting discounts and commissions and estimated offering expenses payable by 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other general corporate purposes, including the prepayment of $45.0 million of outstanding indebtedness under the Term Loan Agreement, continued investments in initiatives intended to drive near term revenue, and continued strategic investment in next generation battery technologies, including scaling the dry electrode process and its application to solid-state batteries. The Term Loan Agreement provides for senior secured term loan facility (the “Term Loan”), the principal of which is approximately $66.0 million as of the date of this prospectus supplement and before the repayment set forth above. The Term Loan matures on October 7, 2027 and accrues interest at a per annum rate equal to adjusted SOFR plus a margin ranging from 9.75% to 13.5%, depending on our senior leverage ratio. See “Prospectus Supplement Summary — Recent Developments — Proposed Debt Restructuring” for a description of the Proposed Restructuring of the Term Loan.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with respect to the prepayment of a portion of the Term Loan, we have not determined the amount of net proceeds to be used specifically for such purposes and, as a result, management will retain broad discretion over the allocation of net proceeds. The occurrence of unforeseen events or changed business conditions could result in the application of the net proceeds from this offering in a manner other than as described in this prospectus supplement. Pending their uses, we intend to invest the net proceeds of this offering in interest-bearing bank accounts or in short-term, interest-bearing, investment-grade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Purchasers of common stock or pre-funded warrants in this offering will experience immediate dilution to the extent of the difference between the public offering price per share of common stock and the pro forma net tangible book value per share of common stock immediately after this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tangible book deficit as of June 30, 2025 was approximately $(15.4 million), or $(0.41) per share of common stock. Net tangible book value per share is determined by dividing total tangible assets, which excludes intangible assets, less total liabilities, by the aggregate number of shares of common stock outstanding as of June 30, 2025.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giving effect to (i) the conversion of 3.13 shares of our Series A Convertible Preferred Stock, par value $0.0001 per share (the “Series A Preferred Stock”) into 217,840 shares of common stock; (ii) the issuance of 2,100,000 shares of common stock in exchange for the remaining shares of Series A Preferred Stock, (iii) the issuance of 21,980,000 shares of common stock at a public offering price of $0.25 per share for net proceeds of $5.0 million in our public offering that closed on July 31, 2025 (the “July 2025 Offering”), and (iv) the issuance of 23,000,000 shares of common stock at a public offering price of $1.25 per share for net proceeds of $26.9 million in our offering that closed on October 7, 2025 (the “October 2025 Offering”), each subsequent to June 30, 2025 (the “Pro Forma Events”), our pro forma net tangible book value as of June 30, 2025, would have been approximately $16.6 million, or $0.20 per share of common stock.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by us of 41,000,000 shares of common stock (which assumes the exercise of all pre-funded warrants sold in this offering) at the public offering price of $1.35 per share and after deducting underwriting discounts and commissions and estimated offering expenses payable by us, our pro forma net tangible book value as of June 30, 2025 would have been approximately $68.3 million, or $0.54 per share. This represents an immediate increase in pro forma net tangible book value of $0.34 per share to our existing stockholders and an immediate dilution of $0.81 per share issued to the new investors purchasing securities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per-share basis:</w:t>
            </w: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 of common stock</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deficit per share as of June 30, 2025</w:t>
            </w: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(0.41)</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Pro Forma Events</w:t>
            </w: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0.61</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2025</w:t>
            </w: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w:t>
            </w: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0.34</w:t>
            </w: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4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tcPr>
          <w:p>
            <w:pPr>
              <w:spacing w:after="0"/>
              <w:rPr>
                <w:sz w:val="19"/>
                <w:szCs w:val="19"/>
                <w:color w:val="auto"/>
              </w:rPr>
            </w:pP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of common stock in this offering at the public offering price of $1.35 per share, our pro forma net tangible book value after the offering would be $0.58 per share, the increase in the pro forma net tangible book value to existing stockholders would be $0.38 per share, and the dilution to new investors purchasing securities in this offering would be $0.77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2,777,778 shares of common stock reserved for issuance in the event of certain milestones in connection with the Business Combination;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1,046,948 shares of common stock issuable upon exercise of Public Warrants outstanding as of June 30, 2025, with an exercise price of $103.50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166,821 shares of common stock issuable upon exercise of Private Warrants outstanding as of June 30, 2025, with an exercise price of $103.50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1,300,254 shares of common stock issuable upon exercise of warrants outstanding as of June 30, 2025, with a weighted average exercise price of $18.22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1,061,685 shares of common stock issuable upon exercise of Penny Warrants outstanding as of June 30, 2025, with an exercise price of $0.09 per share;</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680,473 shares of common stock issuable upon exercise of Penny Warrants outstanding as of June 30, 2025, with an exercise price of $0.01 per share;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158,247 shares of common stock underlying outstanding options as of June 30, 2025, with a weighted average exercise price of $25.59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195,878 shares of common stock underlying outstanding restricted stock units as of June 30, 2025;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1,189,254 shares of commons stock available for future awards under our equity incentive plans and employee stock purchase plan.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options or warrants are exercised, new options are issued, or we issue additional shares of common stock in the future, there may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that qualifies or limits our common stock are described under the caption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in the accompanying prospectus. We have 405,000,000 shares of capital stock authorized under our Articles of Incorporation, which consists of 400,000,000 shares of common stock with a par value of $0.0001 per share and 5,000,000 shares of preferred stock with par value $0.0001 per share. Our common stock is listed on The Nasdaq Capital Market under the symbol “DFLI.” Our transfer agent is Equiniti Trust Company,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material terms and provisions of the pre-funded warrants being issued in this offering are summarized below. The following description is subject to, and qualified in its entirety by, the form of pre-funded warrant which will be filed as an exhibit to a Current Report on Form 8-K to be filed by us with the SEC in connection with this offering. You should review the form of pre-funded warrant for a complete description of the terms and conditions applicable to the pre-funded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color w:val="auto"/>
        </w:rPr>
        <w:t>The pre-funded warrants will not expire.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Duration and exercise price. </w:t>
      </w:r>
      <w:r>
        <w:rPr>
          <w:rFonts w:ascii="Times New Roman" w:cs="Times New Roman" w:eastAsia="Times New Roman" w:hAnsi="Times New Roman"/>
          <w:sz w:val="18"/>
          <w:szCs w:val="18"/>
          <w:color w:val="auto"/>
        </w:rPr>
        <w:t>Each pre-funded warrant offered hereby will have an initial exercise price per share equal to $0.0001. The exercise price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common stock issuable upon exercise is subject to appropriate adjustment in the event of stock dividends, stock splits, reorganizations or similar events affecting our common stock and the exercise price.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pre-funded warrants will be exercisable at any time on or after the original issuance date. The pre-funded warrants will be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pre-funded warrant to the extent that the holder would own more than 9.99% (or, at the election of the purchaser, 4.99%) of the outstanding shares of common stock immediately after exercise, except that upon at least sixty-one (61) days’ written prior notice from the holder to us, the holder may increase or decrease the amount of ownership of outstanding shares of common stock after exercising the holder’s pre-funded warrants up to 9.99% of the number of shares of common stock outstanding immediately after giving effect to the exercise, as such percentage ownership is determined in accordance with the terms of the pre-funded warrants. No fractional shares of common stock will be issued in connection with the exercise of a pre-funded warrant. In lieu of fractional shares, we will either pay the holder an amount in cash equal to the fractional amount multiplied by the exercise price or round up to the next whole share.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Cashless exercise. </w:t>
      </w:r>
      <w:r>
        <w:rPr>
          <w:rFonts w:ascii="Times New Roman" w:cs="Times New Roman" w:eastAsia="Times New Roman" w:hAnsi="Times New Roman"/>
          <w:sz w:val="18"/>
          <w:szCs w:val="18"/>
          <w:color w:val="auto"/>
        </w:rPr>
        <w:t>In lieu of making the cash payment otherwise contemplated to be made to us upon such exercise in payment of the aggregate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the holder may elect instead to receive upon such exercise (either in whole or in part) the net number of shares of common stock determined according to a formula set forth in the pre-funded warrants.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compliance with any applicable securities laws, the pre-funded warrants are separately tradeable immediately after issuance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option of the holders and may be transferred at the option of the holders.</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No Listing</w:t>
      </w:r>
      <w:r>
        <w:rPr>
          <w:rFonts w:ascii="Times New Roman" w:cs="Times New Roman" w:eastAsia="Times New Roman" w:hAnsi="Times New Roman"/>
          <w:sz w:val="18"/>
          <w:szCs w:val="18"/>
          <w:color w:val="auto"/>
        </w:rPr>
        <w:t>. There is no established public trading market for the pre-funded warrants and we do not expect a market to develop. In addition,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 to apply for listing of the pre-funded warrants on any securities exchange or recognized trading system, including The Nasdaq Capital Market. Without an active market, the liquidity of the pre-funded warrants will be limited.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Fundamental Transactions</w:t>
      </w:r>
      <w:r>
        <w:rPr>
          <w:rFonts w:ascii="Times New Roman" w:cs="Times New Roman" w:eastAsia="Times New Roman" w:hAnsi="Times New Roman"/>
          <w:sz w:val="18"/>
          <w:szCs w:val="18"/>
          <w:color w:val="auto"/>
        </w:rPr>
        <w:t>. In the event of a fundamental transaction, as described in the pre-funded warrants and generally including any reorganization,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or reclassification of our common stock, the sale, transfer or other disposition of all or substantially all of our assets, our consolidation or merger with or into another person or the acquisition of 50% or more of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pre-funded warrants or by virtue of a holder’s ownership of shares of our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pre-funded warrants do not have the rights or privileges of holders of our common stock, including the right to receive dividend payments, vote or respond to tender offers, until they exercise their pre-funded warrants.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We will act as warrant agent for the pre-funded warrants.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October 16, 2025, between us and Canaccord Genuity LLC, or Canaccord Genuity, as representative of the underwriters, we have agreed to sell to the underwriters, and the underwriters have agreed, severally and not jointly, to purchase from us, the number of shares of common stock and pre-funded warrants shown opposite their respective names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WARRANTS</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34,200,000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Roth Capital Partners, LLC</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1,800,000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36,000,000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and pre-funded warrants if any of them are purchased.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shares of common stock and pre-funded warrants subject to their acceptance of the shares of common stock and pre-funded warrants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 The underwriters have not been engaged to act as warrant agent for the pre-funded warrants or to act as underwriter or agent or otherwise participate in the issuance of our common stock upon the exercise of the pre-funded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shares of common stock and pre-funded warrants to the public at the public offering price set forth on the cover page of this prospectus supplement and to certain dealers, which may include the underwriters, at that price less a concession not in excess of $0.0486 per share of common stock or pre-funded warrant. After the offering, the public offering price, concession and reallowance to dealers may be reduced by the representative. No such reduction will change the amount of proceeds to be received by us as set forth on the cover page of this prospectus supplement.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tbl>
      <w:tblPr>
        <w:tblLayout w:type="fixed"/>
        <w:tblInd w:w="114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7"/>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WITHOUT</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 TO</w:t>
            </w:r>
          </w:p>
        </w:tc>
        <w:tc>
          <w:tcPr>
            <w:tcW w:w="1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OPTION TO</w:t>
            </w: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26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54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r>
      <w:tr>
        <w:trPr>
          <w:trHeight w:val="238"/>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WARRANT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55,349,500.00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63,652,000.00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 commissions paid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by us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0.081</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3,321,000.00</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3,819,150.00</w:t>
            </w:r>
          </w:p>
        </w:tc>
        <w:tc>
          <w:tcPr>
            <w:tcW w:w="80" w:type="dxa"/>
            <w:vAlign w:val="bottom"/>
          </w:tcPr>
          <w:p>
            <w:pPr>
              <w:spacing w:after="0"/>
              <w:rPr>
                <w:sz w:val="20"/>
                <w:szCs w:val="20"/>
                <w:color w:val="auto"/>
              </w:rPr>
            </w:pPr>
          </w:p>
        </w:tc>
      </w:tr>
      <w:tr>
        <w:trPr>
          <w:trHeight w:val="43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52,028,500.00</w:t>
            </w:r>
          </w:p>
        </w:tc>
        <w:tc>
          <w:tcPr>
            <w:tcW w:w="1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59,832,850.00</w:t>
            </w:r>
          </w:p>
        </w:tc>
        <w:tc>
          <w:tcPr>
            <w:tcW w:w="80" w:type="dxa"/>
            <w:vAlign w:val="bottom"/>
            <w:shd w:val="clear" w:color="auto" w:fill="CCEEFF"/>
          </w:tcPr>
          <w:p>
            <w:pPr>
              <w:spacing w:after="0"/>
              <w:rPr>
                <w:sz w:val="24"/>
                <w:szCs w:val="24"/>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net expenses payable by us in connection with this offering, other than the estimated underwriting discounts and commissions referred to above, will be approximately $300,000. We have agreed to reimburse the underwriters for certain of their expenses incurred in connection with this offering in an amount not to exceed $100,000 in the aggregate.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“DFLI.”</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The Nasdaq Capital Market, any other national securities exchange or any other nationally recognized trading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purchase securities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to Purchase Additional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from time to time, in whole or in part, up to an aggregate of 6,150,000 shares from us at the public offering price set forth on the cover page of this prospectus supplement, less underwriting discounts and commissions. If the underwriters exercise this option, the underwriters will be obligated, subject to specified conditions, to purchase a number of additional shares proportionate to that underwriter’s initial purchase commitment as indicated in the table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Sales of Similar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agreed, subject to specified exceptions, not to directly or indirectly:</w:t>
      </w:r>
    </w:p>
    <w:p>
      <w:pPr>
        <w:spacing w:after="0" w:line="225" w:lineRule="exact"/>
        <w:rPr>
          <w:sz w:val="20"/>
          <w:szCs w:val="20"/>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us or our affiliates or any person in privity with us or our affiliates),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 intention to do any of the foregoing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90 days after the date of this prospectus supplement without the prior written consent of Canaccord Genuity.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‘‘lock-up’’ agreements, our executive officers and directors have agreed, subject to certain exceptions, not to (i) directly or indirectly, 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Securities Act with respect to any of the foregoing or (ii) enter into any swap or any other agreement or any transaction that transfers, in whole or in part, directly or indirectly, the economic consequence of ownership of our common stock, whether any such swap or transaction described in clause (i) or (ii) above is to be settled by delivery of our common stock or other securities, in cash or otherwise, without the prior written consent of Canaccord Genuity, for a period of 90 days after the date of this prospectus.</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Canaccord Genuity, in its sole discretion, may release our common stock and other securities subject to the lock-up agreements described above in whole or in part at any time. When determining whether or not to release our common stock and other securities from lock-up agreements, Canaccord Genuity will consider, among other factors, the holder’s reasons for requesting the release, the number of shares for which the release is being requested and market conditions at the time of the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Stabilization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it may purchase shares through the option to purchase additional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in connection with the offering if the common stock originally sold are purchased in a covering transaction and therefore have not been effectively placed.</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common stock on The Nasdaq Capital Market in accordance with Rule 103 of Regulation M during a period before the commencement of offers or sales of our securities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 Distribution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the underwriters is not part of this prospectus supplement, has not been approved and/or endorsed by us or the underwriters and should not be relied upon by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Activities and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accounts and for the accounts of their respective customers, and such investment and securities activities may involve securities and/or instruments issued by us and our affiliates. If the underwriters or their affiliates have a lending relationship with us, they routinely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Canaccord Genuity served as the underwriter for the July 2025 Offering and the October 2025 Offering and received compensation in connection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Restrictions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have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18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 for any such offer; or</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any of the representative to publish a prospectus pursuant to Article 3 of the Prospectus Regulation or supplement a prospectus pursuant to Article 23 of the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person in a Relevant Member State who receives any communication in respect of, or who acquires any securities under, the offering contemplated hereby will be deemed to have represented, warranted and agreed to and with the underwriters and their affiliates and us that:</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investor within the meaning of the Prospectus Regulation; and</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book-running manager has been given to the offer or resale; or (ii) where the securities have been acquired by it on behalf of persons in any Relevant Member State other than qualified investors, the offer of those securities to it is not treated under the Prospectus Regulation as having been made to such persons.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underwriters of such fact in writing may, with the prior consent of the underwriters, be permitted to acquire securities in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the offering to the public in the United Kingdom prior to the publication of a prospectus in relation to the securities which has been approved by the Financial Conduct Authority in accordance with the transition provisions in Regulation 74 of the Prospectus (Amendment etc.) (EU Exit) Regulations 2019, except that it may make an offer to the public in the United Kingdom of any securities at any time under the following exemptions under the UK Prospectus Regulation:</w:t>
      </w:r>
    </w:p>
    <w:p>
      <w:pPr>
        <w:spacing w:after="0" w:line="18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 for any such offer; or</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the “FSMA”),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or the underwriters to publish a prospectus pursuant to section 85 of the FSMA or supplement a prospectus pursuant to Article 23 of the UK Prospectus Regulation.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the “Order”);</w:t>
      </w:r>
    </w:p>
    <w:p>
      <w:pPr>
        <w:spacing w:after="0" w:line="1" w:lineRule="exact"/>
        <w:rPr>
          <w:sz w:val="20"/>
          <w:szCs w:val="20"/>
          <w:color w:val="auto"/>
        </w:rPr>
      </w:pPr>
    </w:p>
    <w:p>
      <w:pPr>
        <w:jc w:val="both"/>
        <w:ind w:firstLine="8"/>
        <w:spacing w:after="0" w:line="253" w:lineRule="auto"/>
        <w:tabs>
          <w:tab w:leader="none" w:pos="2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net worth entities or other persons falling within Article 49(2)(a) to (d)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offering and any securities to be offered so as to enable an investor to decide to purchase or subscribe for any securities, and the expression “UK Prospectus Regulation” means the Regulation (EU) 2017/1129 as it forms part of domestic law by virtue of the European Union (Withdrawal) Act 2018.</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person in the UK who acquires any securities in the offer or to whom any offer is made will be deemed to have represented, acknowledged and agreed to and with us, the underwriters and their affiliates that it meets the criteria outlined in this section.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Bermuda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or invitation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225"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Singapore SFA Product Classification - In connection with Section 309B of the SFA and the Securities and Futures (Capital Markets Products) Regulations 2018 (the “CMP Regulations 2018”),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the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Resale Restrictions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Representations of Canadian Purchasers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purchasing securities in Canada and accepting delivery of a purchase confirmation, a purchaser is representing to us and the dealer from whom the purchase confirmation is received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Prospectus Exemptions or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as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right="20" w:hanging="328"/>
        <w:spacing w:after="0" w:line="261"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31-103 - Registration Requirements, Exemptions and Ongoing Registrant Obligations;</w:t>
      </w: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204"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Conflicts of Interest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Statutory Rights of Action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Enforcement of Legal Rights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Taxation and Eligibility for Investment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Israel</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Non-U.S. Legend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is for use solely in connection with the proposed offering in certain jurisdictions. This prospectus supplement is not to be distributed in any other jurisdiction and is not to be used in connection with any offer of, or any invitation or solicitation by or on behalf of the Company to subscribe for or purchase, securities in any other jurisdiction. This prospectus supplement is personal to each offeree and does not constitute an offer to any person or to the public generally to subscribe for or otherwise acquire the securities. Distribution of this prospectus supplement to any person other than the prospective investor and any person retained to advise such prospective investor with respect to its purchase is unauthorized.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Delivery of this prospectus supplement shall not constitute an offer to sell or the solicitation of an offer to buy the securities described herein.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distribution of this prospectus supplement in certain jurisdictions may be restricted by law. You must inform yourself about, and observe, any such restrictions. You must comply with all applicable laws and regulations in force in any jurisdiction in which you purchase, offer or sell the securities or possess or distribute this prospectus supplement and must obtain any consent, approval or permission required for your purchase, offer or sale of the securities under the laws and regulations in force in any jurisdiction to which you are subject or in which you make such purchases, offers or sales. We and the underwriters are not making an offer of, or invitation to purchase, any of the securities to any person in any jurisdiction in which such offer or solicitation would be unlawful.</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submitted to the review or registration procedures of any regulatory authority outside the United States. The offering of the securities pursuant to this prospectus supplement has not been approved or recommended by any governmental securities regulator.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validity of the securities being offered will be passed upon for us by Parsons Behle &amp; Latimer, Reno, Nevada and Lowenstein Sandler LLP, New York, New York. Mintz, Levin, Cohn, Ferris, Glovsky and Popeo, P.C., New York, New York is counsel for the underwriters in connection with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Dragonfly Energy Holdings Corp. as of and for the years ended December 31, 2024 and 2023 have been so incorporated in reliance on the report of Marcum LLP,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we file annual, quarterly, and other reports, proxy statements and other information with the SEC under the Exchange Act. Such reports, proxy statements and other information, including the Registration Statement, and exhibits and schedules thereto, are available to the public through the SEC’s website at www.sec.gov.</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otherwise furnish it to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does not contain all of the information set forth in the registration statement. You can obtain a copy of the registration statement, at prescribed rates, from the SEC at the address listed above, or for free at www.sec.gov. The registration statement and the documents referred to below under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are also available on our website, https://www.dragonflyenergy.com/.</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incorporated by reference into this prospectus supplement the information on our website, and you should not consider it to be a part of this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supplement and the accompanying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supplement, the accompanying prospectus and any accompanying prospectus supplement.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w:t>
      </w:r>
      <w:hyperlink r:id="rId39">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w:t>
      </w:r>
      <w:hyperlink r:id="rId40">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filed with the SEC on May 16, 2025 and August 14, 2025, respectively;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January 3, 2025</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February 5, 2025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February 27, 2025</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March 10, 2025</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March 24, 2025</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May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June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June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June 27,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July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July 21,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July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July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7">
        <w:r>
          <w:rPr>
            <w:rFonts w:ascii="Times New Roman" w:cs="Times New Roman" w:eastAsia="Times New Roman" w:hAnsi="Times New Roman"/>
            <w:sz w:val="18"/>
            <w:szCs w:val="18"/>
            <w:u w:val="single" w:color="auto"/>
            <w:color w:val="0000EE"/>
          </w:rPr>
          <w:t xml:space="preserve">September 4, 2025, </w:t>
        </w:r>
      </w:hyperlink>
      <w:hyperlink r:id="rId58">
        <w:r>
          <w:rPr>
            <w:rFonts w:ascii="Times New Roman" w:cs="Times New Roman" w:eastAsia="Times New Roman" w:hAnsi="Times New Roman"/>
            <w:sz w:val="18"/>
            <w:szCs w:val="18"/>
            <w:u w:val="single" w:color="auto"/>
            <w:color w:val="0000EE"/>
          </w:rPr>
          <w:t>October 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9">
        <w:r>
          <w:rPr>
            <w:rFonts w:ascii="Times New Roman" w:cs="Times New Roman" w:eastAsia="Times New Roman" w:hAnsi="Times New Roman"/>
            <w:sz w:val="18"/>
            <w:szCs w:val="18"/>
            <w:u w:val="single" w:color="auto"/>
            <w:color w:val="0000EE"/>
          </w:rPr>
          <w:t xml:space="preserve">October 15,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0">
        <w:r>
          <w:rPr>
            <w:rFonts w:ascii="Times New Roman" w:cs="Times New Roman" w:eastAsia="Times New Roman" w:hAnsi="Times New Roman"/>
            <w:sz w:val="18"/>
            <w:szCs w:val="18"/>
            <w:u w:val="single" w:color="auto"/>
            <w:color w:val="0000EE"/>
          </w:rPr>
          <w:t>October 16,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75" w:lineRule="exact"/>
        <w:rPr>
          <w:rFonts w:ascii="Times New Roman" w:cs="Times New Roman" w:eastAsia="Times New Roman" w:hAnsi="Times New Roman"/>
          <w:sz w:val="18"/>
          <w:szCs w:val="18"/>
          <w:color w:val="0000EE"/>
        </w:rPr>
      </w:pPr>
    </w:p>
    <w:p>
      <w:pPr>
        <w:jc w:val="both"/>
        <w:ind w:left="660" w:right="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our Registration Statement on </w:t>
      </w:r>
      <w:hyperlink r:id="rId61">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August 10, 2021 under Section 12(b) of the Exchange Act including any amendments or reports filed for the purpose of updating such description, including </w:t>
      </w:r>
      <w:hyperlink r:id="rId62">
        <w:r>
          <w:rPr>
            <w:rFonts w:ascii="Times New Roman" w:cs="Times New Roman" w:eastAsia="Times New Roman" w:hAnsi="Times New Roman"/>
            <w:sz w:val="18"/>
            <w:szCs w:val="18"/>
            <w:u w:val="single" w:color="auto"/>
            <w:color w:val="0000EE"/>
          </w:rPr>
          <w:t>Exhibit 4.18</w:t>
        </w:r>
      </w:hyperlink>
      <w:r>
        <w:rPr>
          <w:rFonts w:ascii="Times New Roman" w:cs="Times New Roman" w:eastAsia="Times New Roman" w:hAnsi="Times New Roman"/>
          <w:sz w:val="18"/>
          <w:szCs w:val="18"/>
          <w:color w:val="auto"/>
        </w:rPr>
        <w:t xml:space="preserve"> to our Annual Report Form 10-K Form </w:t>
      </w:r>
      <w:hyperlink r:id="rId63">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31, 2025.</w:t>
      </w:r>
    </w:p>
    <w:p>
      <w:pPr>
        <w:spacing w:after="0" w:line="176"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reports, exhibits and other information that we “furnish” to the SEC will not be considered incorporated by reference into this prospectus. Any statement contained in a document incorporated by reference in this prospectus or any subsequent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subsequent prospectus supplement.</w:t>
      </w:r>
    </w:p>
    <w:p>
      <w:pPr>
        <w:spacing w:after="0" w:line="192"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Dragonfly Energy Holdings Corp., Attn: Chief Executive Officer, 12915 Old Virginia Road, Reno, Nevada 89521. You may also direct any requests for documents to us by telephone at (775) 622-3448.</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156845</wp:posOffset>
            </wp:positionV>
            <wp:extent cx="1842770" cy="882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184277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issue and sell from time to time together or separately, in one or more offerings, any combination of (i) our common stock, (ii) our preferred stock, which we may issue in one or more series, (iii) warrants, (iv) senior or subordinated debt securities, (v) subscription rights and (vi) units. The debt securities may consist of debentures, notes, or other types of debt. The debt securities, preferred stock, warrants and subscription rights may be convertible into, or exercisable or exchangeable for, common or preferred stock or other securities of ours. The units may consist of any combination of the securities listed above.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public offering price of the securities that we may offer will not exceed $150,000,000. We will offer the securities in an amount and on terms that market conditions will determine at the time of the offering. Our common stock, par value $0.0001 per share, is currently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“DFLI” and our public warrants are currently listed on the Nasdaq Capital Market under the symbol “DFLIW”. On November 9, 2023, the last reported sale price of our common stock was $0.716 per share. On November 9, 2023, the last reported sale price of our public warrants was $0.056. You are urged to obtain current market quotations of our common stock and public warrants. We have no preferred stock, debt securities, subscription rights or units listed on any market. Each prospectus supplement will indicate if the securities offered thereby will be listed on any securities exchange.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You should carefully consider the risks that we refer you to under the section captioned “Risk Factors” in this prospectus on page 3 before buying our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we offer any of the securities described in this prospectus, we will provide you with the specific terms of the particular securities being offered in supplements to this prospectus. You should read this prospectus and any supplement, together with additional information described under the headings “Additional Information” and “Incorporation of Certain Information by Reference” carefully before you invest. This prospectus may not be used to sell securities unless accompanied by a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these securities directly to our stockholders or to other purchasers or through agents on our behalf or through underwriters or dealers as designated from time to time. If any agents or underwriters are involved in the sale of any of these securities, the applicable prospectus supplement will provide the names of the agents or underwriters and any applicable fees, commissions or discounts.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40" w:type="dxa"/>
            <w:vAlign w:val="bottom"/>
          </w:tcPr>
          <w:p>
            <w:pPr>
              <w:spacing w:after="0"/>
              <w:rPr>
                <w:sz w:val="17"/>
                <w:szCs w:val="17"/>
                <w:color w:val="auto"/>
              </w:rPr>
            </w:pPr>
          </w:p>
        </w:tc>
      </w:tr>
      <w:tr>
        <w:trPr>
          <w:trHeight w:val="237"/>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440" w:type="dxa"/>
            <w:vAlign w:val="bottom"/>
            <w:tcBorders>
              <w:bottom w:val="single" w:sz="8" w:color="CCEEFF"/>
            </w:tcBorders>
            <w:gridSpan w:val="1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40" w:type="dxa"/>
            <w:vAlign w:val="bottom"/>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2540" w:type="dxa"/>
            <w:vAlign w:val="bottom"/>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820" w:type="dxa"/>
            <w:vAlign w:val="bottom"/>
            <w:tcBorders>
              <w:bottom w:val="single" w:sz="8" w:color="CCEEFF"/>
            </w:tcBorders>
            <w:gridSpan w:val="8"/>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81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STOCK WARRANTS</w:t>
            </w:r>
          </w:p>
        </w:tc>
        <w:tc>
          <w:tcPr>
            <w:tcW w:w="5580" w:type="dxa"/>
            <w:vAlign w:val="bottom"/>
            <w:tcBorders>
              <w:bottom w:val="single" w:sz="8" w:color="CCEEFF"/>
            </w:tcBorders>
            <w:gridSpan w:val="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20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6680" w:type="dxa"/>
            <w:vAlign w:val="bottom"/>
            <w:tcBorders>
              <w:top w:val="single" w:sz="8" w:color="CCEEFF"/>
            </w:tcBorders>
            <w:gridSpan w:val="14"/>
          </w:tcPr>
          <w:p>
            <w:pPr>
              <w:spacing w:after="0"/>
              <w:rPr>
                <w:sz w:val="15"/>
                <w:szCs w:val="15"/>
                <w:color w:val="auto"/>
              </w:rPr>
            </w:pPr>
          </w:p>
        </w:tc>
        <w:tc>
          <w:tcPr>
            <w:tcW w:w="2540" w:type="dxa"/>
            <w:vAlign w:val="bottom"/>
            <w:tcBorders>
              <w:top w:val="single" w:sz="8" w:color="CCEEFF"/>
            </w:tcBorders>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640" w:type="dxa"/>
            <w:vAlign w:val="bottom"/>
            <w:tcBorders>
              <w:bottom w:val="single" w:sz="8" w:color="CCEEFF"/>
            </w:tcBorders>
            <w:gridSpan w:val="1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920" w:type="dxa"/>
            <w:vAlign w:val="bottom"/>
            <w:tcBorders>
              <w:bottom w:val="single" w:sz="8" w:color="CCEEFF"/>
            </w:tcBorders>
            <w:gridSpan w:val="1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8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2540" w:type="dxa"/>
            <w:vAlign w:val="bottom"/>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75"/>
        </w:trPr>
        <w:tc>
          <w:tcPr>
            <w:tcW w:w="8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540" w:type="dxa"/>
            <w:vAlign w:val="bottom"/>
            <w:shd w:val="clear" w:color="auto" w:fill="CCEEFF"/>
          </w:tcPr>
          <w:p>
            <w:pPr>
              <w:jc w:val="center"/>
              <w:ind w:left="17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Dragonfly Energy Holdings Corp. is referred to herein as “Dragonfly Energy,” “the Company,” “we,” “us,” and “our,” unless the context otherwise indicates.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may only rely on the information contained in this prospectus and the accompanying prospectus supplement or that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“Additional Information” and “Incorporation of Certain Information by Reference.”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3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recreational vehicles, marine vessel, solar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2020, we have sold over 281,000 batteries.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original equipment manufacturers.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battery offerings, we also offer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addition to our conventional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 In October 2023, we announced the successful dry deposition of anode and cathode electrodes at scale using our patented battery manufacturing process. We expect to begin producing LFP cells in the United States by the end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Chardan NexTech 2 Acquisition Corp., a Delaware company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pursuant to the Agreement and Plan of Merger, dated as of May 15, 2022 (as amended,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 Agreement</w:t>
      </w:r>
      <w:r>
        <w:rPr>
          <w:rFonts w:ascii="Times New Roman" w:cs="Times New Roman" w:eastAsia="Times New Roman" w:hAnsi="Times New Roman"/>
          <w:sz w:val="18"/>
          <w:szCs w:val="18"/>
          <w:color w:val="auto"/>
        </w:rPr>
        <w:t>”), by and among CNTQ, Bronco Merger Sub, Inc., a Delaware corporation and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we changed our name from “Chardan NexTech Acquisition 2 Corp.” to “Dragonfly Energy Holdings Corp.” Following the Business Combination, our business is the business of Legacy Dragonfly.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ectPr>
          <w:pgSz w:w="11900" w:h="16838" w:orient="portrait"/>
          <w:cols w:equalWidth="0" w:num="1">
            <w:col w:w="11240"/>
          </w:cols>
          <w:pgMar w:left="320" w:top="684" w:right="3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address is 1190 Trademark Dr. #108, Reno, Nevada 89521, and our telephone number is (775) 622-3448. Our corporate website is: www.dragonflyenergy.com. The content of our website shall not be deemed incorporated by reference in this prospectus and you should not consider such information as part of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significant risks. Before making an investment decision, you should carefully consider the risks and other information we include or incorporate by reference in this prospectus and any prospectus supplement. In particular, you should consider the risk factors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The risks and uncertainties we have described are not the only ones facing our company. Additional risks and uncertainties not currently known to us may also affect our business operations. Additional risk factors may be included in a prospectus supplement relating to a particular offering of securities. Our business, financial condition or results of operations could be materially adversely affected by any of these risks. The trading price of our securities could decline due to any of these risks, and you may lose all or part of your investment. This prospectus is qualified in its entirety by these risk factors.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that we incorporate by reference, contains forward-looking statements as that term is defined in the federal securities laws. The events described in forward-looking statements contained in this prospectus, including the documents that we incorporate by reference, may not occur. Generally, these statements relate to our business plans or strategies, projected or anticipated benefits or other consequences of our plans or strategies, financing plans, projected or anticipated benefits from acquisitions that we may make, or projections involving anticipated revenues, earnings or other aspects of our operating results or financial position, and the outcome of any contingencies. Any such forward-looking statements are based on current expectations, estimates and projections of management. We intend for these forward-looking statements to be covered by the safe-harbor provisions for forward-looking statements. Words such as “may,”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that may affect our results include, but are not limited to, the risks and uncertainties discussed in the “Risk Factors” section on page 3 of this prospectus, in our Annual Report on Form 10-K for the fiscal year ended December 31, 2022 or in other reports we file with the SEC.</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We have not authorized any other person to provide you with different information. If anyone provides you with different or inconsistent information, you should not rely upon 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relating to a particular offering of securities, we will use the net proceeds from the sale of the securities offered by this prospectus and the exercise price from the exercise of any convertible securities, if any, for the repayment of all or a portion of our outstanding debt and for working capital and other general corporate purposes, which may include funding acquisitions or investments in businesses, products or technologies that are complementary to our own.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United States federal income tax considerations relating to the securities, and the securities exchange, if any, on which the securities will be listed.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common stock or preferred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shares of common stock, preferred stock or debt securities;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listed above.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warrants, debt securities, subscription rights and units collectively as “securities.” The total dollar amount of all securities that we may sell pursuant to this prospectus will not exceed $150,000,000.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You are encouraged to read the applicable provisions of the Nevada Revised Statutes, as amended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our Articles of Incorporation and our Bylaws in their entirety for a complete description of the rights and preferences of our securities. Copies of our Articles of Incorporation and Bylaws are filed as exhibits to our Annual Report on Form 10-K for the year ended December 31, 2022, filed with the SEC on April 17, 2023, as amended on May 1, 2023, and forms of securities, copies of which are filed as exhibits to the registration statement of which this prospectus forms a part, which are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175,000,000 shares of capital stock authorized under our Articles of Incorporation, which consists of 170,000,000 shares of common stock with a par value of $0.0001 per share and 5,000,000 shares of preferred stock with par value $0.0001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there were 59,550,812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7, 2022, we issued public warrants to purchase 9,487,500 shares of our common stock (the “</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As of November 9, 2023, Public Warrants to purchase up to 9,422,905 shares of our common stock were issued and outstanding.</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exercise price for the Public Warrants is subject to adjustment for stock splits or combinations, stock dividends and distributions, reclassifications, subdivisions, and other similar transactions. Pursuant to the Warrant Agreement (as defined below),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have certain anti-dilution and adjustment rights upon certain events.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between American Stock Transfer &amp; Trust Company, LLC, as warrant agent, and us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The Warrant Agreement provides that the terms of the Public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7, 2022, we issued warrants to purchase 4,627,858 shares of our common stock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 an affiliate of Chardan NexTech Investments 2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in a private placement. 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 As of November 9, 2023, Private Warrants to purchase up to 1,501,386 shares of our common stock were issued and outstanding.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Holders of our Private Warrants are entitled to certain registration rights. The Private Warrants purchased by Sponsor will not be exercisable on or after August 10, 2026, in accordance with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 5110(g), as long as Sponsor or any of its related persons beneficially own the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7, 2022, we issued warrants to purchase 2,593,056 shares of our common stock at an exercise price of $0.01 per share (the “</w:t>
      </w:r>
      <w:r>
        <w:rPr>
          <w:rFonts w:ascii="Times New Roman" w:cs="Times New Roman" w:eastAsia="Times New Roman" w:hAnsi="Times New Roman"/>
          <w:sz w:val="18"/>
          <w:szCs w:val="18"/>
          <w:b w:val="1"/>
          <w:bCs w:val="1"/>
          <w:color w:val="auto"/>
        </w:rPr>
        <w:t>Penny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The Penny Warrants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October 7, 2022, issuances pursuant to agreements in effect as of October 7, 2022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equity facility with Chardan Capital Markets LLC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Penny Warrants to purchase up to 597,834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22, 2023, we issued warrants to purchase 11,405,000 shares of our common stock at an exercise price of $2.00 per share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in an underwritten public offering (the “</w:t>
      </w:r>
      <w:r>
        <w:rPr>
          <w:rFonts w:ascii="Times New Roman" w:cs="Times New Roman" w:eastAsia="Times New Roman" w:hAnsi="Times New Roman"/>
          <w:sz w:val="18"/>
          <w:szCs w:val="18"/>
          <w:b w:val="1"/>
          <w:bCs w:val="1"/>
          <w:color w:val="auto"/>
        </w:rPr>
        <w:t>June 2023 Offering</w:t>
      </w:r>
      <w:r>
        <w:rPr>
          <w:rFonts w:ascii="Times New Roman" w:cs="Times New Roman" w:eastAsia="Times New Roman" w:hAnsi="Times New Roman"/>
          <w:sz w:val="18"/>
          <w:szCs w:val="18"/>
          <w:color w:val="auto"/>
        </w:rPr>
        <w:t>”). The Investor Warrants expire on June 22, 2028 and were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upon issuable.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9, 2023, Investor Warrants to purchase up to 11,131,900 shares of our common stock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Warrants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570,250 underwriters’ warrants issued in connection with our June 2023 Offering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were exercisable upon issuance and will expire on June 20, 2028. The initial exercise price of the Underwriters’ Warrants is $2.50 per share. The Underwriters’ Warrants have substantially the same rights as the Investor Warrants. As of November 9, 2023, Underwriters’ Warrants to purchase up to 570,250 shares of our common stock were issued and outstanding.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Public Warrants is Equiniti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Articles of Incorporation authorizes a total of 5,000,000 shares of preferred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our Articles of Incorporation,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Articles of Incorporation, in Article XI, includes a mandatory forum provision that, to the fullest extent permitted by law, and unless we consent in writing, the Second Judicial District Court, in and for the State of Nevada, located in Washoe County, shall be the sole and exclusive forum for</w:t>
      </w:r>
    </w:p>
    <w:p>
      <w:pPr>
        <w:jc w:val="both"/>
        <w:ind w:firstLine="8"/>
        <w:spacing w:after="0" w:line="253" w:lineRule="auto"/>
        <w:tabs>
          <w:tab w:leader="none" w:pos="2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Articles of Incorporation or Bylaws, (d) any action to interpret, apply, enforce or determine the validity of the Articles of Incorporation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Articles of Incorporation,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Articles of Incorporation,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Articles of Incorporation,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Articles of Incorporation,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Our Articles of Incorporation preclude stockholder action by written consent.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any director or directors of the corporation, except those elected by the holders of any series or class of preferred stock provided for or fixed pursuant to the provisions of Article V of the Articles of Incorporation,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Articles of Incorporation and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Articles of Incorporation further provides that the affirmative vote of holders of at least 66 2∕3% of the voting power of all of the then outstanding shares of stock entitled to vote in the election of directors, voting as a single class, is required to amend or repeal certain provisions of our Articles of Incorporation,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“DFLI” and our Public Warrants are currently listed on the Nasdaq Capital Market under the symbol “DFLIW”.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us or any third party including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the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the issuance of debt securities in uncertificated form;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or uncertificated debt securities, in such denominations as specified in the terms of the series.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may be issued under the indentures as Discounted Debt Securities to be offered and sold at a substantial discount from the principal amount thereof. Special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58" w:gutter="0" w:footer="0" w:header="0"/>
        </w:sectPr>
      </w:pPr>
    </w:p>
    <w:bookmarkStart w:id="46" w:name="page47"/>
    <w:bookmarkEnd w:id="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only a stockholder’s claim on the assets of our subsidiaries. This stockholder’s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debt securities will be obligations exclusively of Dragonfly Energy Holdings Corp. To the extent that our ability to service our debt, including the debt securities, may be dependent upon the earnings of our future subsidiaries, if any, our ability to do so will be dependent on the ability of our subsidiaries to distribute those earnings to us as dividends, loans or other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covenants that may apply to a particular series of debt securities will be described in the prospectus supplement relating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Obligor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unless otherwise specified in the securities resolution or supplemental indenture establishing a series of debt securities, we shall not consolidate with or merge into, or transfer all or substantially all of our assets to, any person in any transaction in which we are not the survivor, unless:</w:t>
      </w:r>
    </w:p>
    <w:p>
      <w:pPr>
        <w:spacing w:after="0" w:line="176"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jurisdiction within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relevant indenture, the debt securities and any coupons;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below) exists;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opinion of counsel stating that the transaction complies with the foregoing requirements and that all conditions precedent provided for in the indenture relating to the transaction have been complied with.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such event, the successor will be substituted for us, and thereafter all of our obligations under the relevant indenture, the debt securities and any coupons will terminate.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provide that these limitations shall not apply if our board of directors makes a good faith determination that the principal purpose of the transaction is to change our state of incorporation.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Exchange of Debt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and Remedies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debt securities will occur if:</w:t>
      </w:r>
    </w:p>
    <w:p>
      <w:pPr>
        <w:spacing w:after="0" w:line="162"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any payment of interest on any debt securities of such series when the same becomes due and payable and the default continues for a period of 30 days;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of all or any part of the principal and premium, if any, of any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performance of any of our other agreements applicable to the series and the default continues for 30 days after the notice specified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(as defined below) that: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in an involuntary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(as defined below)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us, and the order or decree remains unstayed and in effect for 90 consecutive days;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against us in an involuntary case,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Custodian for us or for any substantial part of our property,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general assignment for the benefit of our creditors; or</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of the United States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indentures do not have cross-default provisions. Thus, a default by us on any other debt, including any other series of debt securities, would not constitute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or any coupons of the series may be amended, and any Default may be waived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spacing w:after="0" w:line="183"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or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or interest payable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of a debt security or the currency in which the principal or interest on a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for calculating any redemption or repurchase price with respect to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 to receive payment of principal and interest or to institute suit for the enforcement of any such payment;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in payment of principal of or interest on a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holder’s rights with respect to redemption or repurchase of a debt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the consent of any securityholder, the indentures or the debt securities may be amended to:</w:t>
      </w:r>
    </w:p>
    <w:p>
      <w:pPr>
        <w:spacing w:after="0" w:line="225"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terms of the debt securities to the description thereof in the prospectus and prospectus supplement offering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series and establish its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acceptance of appointment by a successor trustee or to facilitate the administration of the trusts by more than one trustee;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or unregistered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our covenants;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to the indentures so long as no debt securities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securities resolution or supplemental indenture establishing a series of debt securities may provide that the debt securities of such series will be convertible at the option of the holders thereof into or for our common stock or other equity or debt instruments. The securities resolution or supplemental indenture may establish, among other things, (1) the number or amount of shares of common stock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federal income tax purposes.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trustee will also act as depository of funds, transfer agent, paying agent and conversion agent, as applicable, with respect to the debt securities. In certain circumstances, we or the securityholders may remove the trustee as the trustee under a given indenture. The indenture trustee may also provide additional unrelated services to us as a depository of funds, registrar, trustee and similar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New York law, except to the extent that the Trust Indenture Act of 1939 is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together with common or preferred stock as units or separately, warrants for the purchase of shares of our common or preferred stock. The terms of each warrant will be discussed in the applicable prospectus supplement relating to the particular series of warrants. The form(s) of certificate representing the warrants and/or the warrant agreement will be, in each case, filed with the SEC as an exhibit to a document incorporated by reference in the registration statement of which this prospectus is a part on or prior to the date of any prospectus supplement relating to an offering of the particular warrant. The following summary of material provisions of the warrants and the warrant agreements are subject to, and qualified in their entirety by reference to, all the provisions of the warrant agreement and warrant certificate applicable to a particular series of warrants.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warrants that are offered by this prospectus will describe, among other things, the following terms to the extent they are applicable to that series of warrants:</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and conditions relating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if any, issued with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any related shares of our common or preferred stock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or preferred stock which may be purchased upon exercise of the warrants and the price or prices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United States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of the warrants, if 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may entitle the holder to purchase for cash, or, in limited circumstances, by effecting a cashless exercise for, the number of shares of our common or preferred stock at the exercise price that is described in the applicable prospectus supplement. Warrants will be exercisable during the period of time described in the applicable prospectus supplement. After that period, unexercised warrants will be void. Warrants may be exercised in the manner described in the applicable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of a warrant will not have any of the rights of a holder of our common or preferred stock before the stock is purchased upon exercise of the warrant. Therefore, before a warrant is exercised, the holder of the warrant will not be entitled to receive any dividend payments or exercise any voting or other rights associated with shares of our common or preferred stock which may be purchased when the warrant is exercised.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if any,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purchase our equity securities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securities or debt securities upon the exercise of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equity securities and debt securities which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spacing w:after="0" w:line="183"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considerations relevant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global form.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and, to the extent applicable, warrants, subscription rights and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Principal, premium, if any,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the trustees or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Securities Exchange Act of 1934, as amended, or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9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set forth in a prospectus supplement accompanying this prospectus, we may sell the securities being offered hereby, from time to time, by one or more of the following methods:</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underwriting syndicates represented by managing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without a syndicate for them to offer and sell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 in negotiated sales or in competitively bid transactions.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Offerings of securities covered by this prospectus also may be made into an existing trading market for those securities in transactions at other than a fixed price, either:</w:t>
      </w:r>
    </w:p>
    <w:p>
      <w:pPr>
        <w:spacing w:after="0" w:line="162" w:lineRule="exact"/>
        <w:rPr>
          <w:sz w:val="20"/>
          <w:szCs w:val="20"/>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the Nasdaq Capital Market or any other securities exchange or quotation or trading service on which those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 than on the securities exchanges or quotation or trading services set forth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spacing w:after="0" w:line="176"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offered securities and the proceeds to us from such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commissions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such offered securities may be listed;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underwriter, agent or dealer involved in the offer and sale of any series of the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fixed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prospectus supplement will set forth the manner and terms of an offering of securities including:</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offering is being made to underwriters, through agents or directly to the public;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and procedures for any auction or bidding process, if used;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price or initial public offering price;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we anticipate from the sale of the securities, if 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Sales Through Underwriters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initial public offering price and any concessions allowed or reallowed to dealers may be changed intermittently.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Through Agents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offered securities directly to institutional investors or others. In this case, no underwriters or agents would be involved. The terms of such sales will be described in the applicable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any distribution of the offered securities may be deemed “underwriters” within the meaning of the Securities Act of 1933, as amended, or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spacing w:after="0" w:line="176"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participating broker, dealer, agent or underwriter;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involved;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securities were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paid or discounts or concessions allowed to any such broker, dealer, agent or underwriter, where applicable;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Rule 15c6-1 under the Exchange Act generally requires that trades in the secondary market settle in two business days, unless the parties to any such trade expressly agree otherwise. Your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spacing w:after="0" w:line="162" w:lineRule="exact"/>
        <w:rPr>
          <w:sz w:val="20"/>
          <w:szCs w:val="20"/>
          <w:color w:val="auto"/>
        </w:rPr>
      </w:pPr>
    </w:p>
    <w:p>
      <w:pPr>
        <w:ind w:left="980" w:right="44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part of this prospectus, any applicable prospectus supplement or any applicable pricing supplement or the registration statement of which they form a part;</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approved or endorsed by us or by any agent or dealer in its capacity as an agent or dealer, except, in each case, with respect to the respective website maintained by such entity;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relied upon by investors.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we will sell all or any of the securities offered by this prospectus.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may also be used in connection with any issuance of common stock or preferred stock upon exercise of a warrant if such issuance is not exempt from the registration requirements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hereby will be passed upon for us by Parsons Behle &amp; Latimer, Reno, Nevada and Lowenstein Sandler LLP, New York, New York. If the validity of the securities offered hereby in connection with offerings made pursuant to this prospectus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2022 and 2021 and for each of the two years in the period ended December 31, 2022 included in this Prospectus and in the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relating to the shares of our securities being offered hereby. This prospectus does not contain all of the information in the Registration Statement and its exhibits. The Registration Statement, its exhibits and the documents incorporated by reference in this prospectus and their exhibits, all contain information that is material to the offering of the securities hereby. Whenever a reference is made in this prospectus to any of our contracts or other documents, the reference may not be complete. You should refer to the exhibits that are a part of the Registration Statement in order to review a copy of the contract or documents. The Registration Statement and the exhibits are available at the SEC’s Public Reference Room or through its website.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www.dragonflyenergy.com. We have included our website address as an inactive textual reference only and our website and the information contained on, or that can be accessed through, our website will not be deemed to be incorporated by reference in, and are not considered part of, this prospectus.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an electronic or paper copy of any or all reports, proxy statements and other documents we file with the SEC, as well as any or all of the documents incorporated by reference in this prospectus (other than exhibits to such documents unless such exhibits are specifically incorporated by reference into such documents).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Denis Phares, Chairman of the Board, President,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(775) 622-3488</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such offer or sale is not permitted. You should assume that the information in this prospectus was accurate on the date of the front cover of this prospectus only. Our business, financial condition, results of operations and prospects may have changed since that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documents listed below that we have previously filed with the SEC:</w:t>
      </w:r>
    </w:p>
    <w:p>
      <w:pPr>
        <w:spacing w:after="0" w:line="225"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auto"/>
          </w:rPr>
          <w:t xml:space="preserve">our Annual Report on Form 10-K for the year ended December 31, 2022, as filed with the SEC on </w:t>
        </w:r>
        <w:r>
          <w:rPr>
            <w:rFonts w:ascii="Times New Roman" w:cs="Times New Roman" w:eastAsia="Times New Roman" w:hAnsi="Times New Roman"/>
            <w:sz w:val="18"/>
            <w:szCs w:val="18"/>
            <w:u w:val="single" w:color="auto"/>
            <w:color w:val="0000EE"/>
          </w:rPr>
          <w:t>April 17, 2023</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98">
        <w:r>
          <w:rPr>
            <w:rFonts w:ascii="Times New Roman" w:cs="Times New Roman" w:eastAsia="Times New Roman" w:hAnsi="Times New Roman"/>
            <w:sz w:val="18"/>
            <w:szCs w:val="18"/>
            <w:u w:val="single" w:color="auto"/>
            <w:color w:val="0000EE"/>
          </w:rPr>
          <w:t>March 31, 2023</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0">
        <w:r>
          <w:rPr>
            <w:rFonts w:ascii="Times New Roman" w:cs="Times New Roman" w:eastAsia="Times New Roman" w:hAnsi="Times New Roman"/>
            <w:sz w:val="18"/>
            <w:szCs w:val="18"/>
            <w:u w:val="single" w:color="auto"/>
            <w:color w:val="0000EE"/>
          </w:rPr>
          <w:t>September 30, 2023</w:t>
        </w:r>
      </w:hyperlink>
      <w:r>
        <w:rPr>
          <w:rFonts w:ascii="Times New Roman" w:cs="Times New Roman" w:eastAsia="Times New Roman" w:hAnsi="Times New Roman"/>
          <w:sz w:val="18"/>
          <w:szCs w:val="18"/>
          <w:color w:val="auto"/>
        </w:rPr>
        <w:t>, as filed with the SEC on May 15, 2023, August 21, 2023 and November 14, 2023, respectively;</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5"/>
        </w:numPr>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auto"/>
          </w:rPr>
          <w:t xml:space="preserve">our Current Reports on Form 8-K as filed with the SEC on </w:t>
        </w:r>
        <w:r>
          <w:rPr>
            <w:rFonts w:ascii="Times New Roman" w:cs="Times New Roman" w:eastAsia="Times New Roman" w:hAnsi="Times New Roman"/>
            <w:sz w:val="18"/>
            <w:szCs w:val="18"/>
            <w:u w:val="single" w:color="auto"/>
            <w:color w:val="0000EE"/>
          </w:rPr>
          <w:t>March 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2">
        <w:r>
          <w:rPr>
            <w:rFonts w:ascii="Times New Roman" w:cs="Times New Roman" w:eastAsia="Times New Roman" w:hAnsi="Times New Roman"/>
            <w:sz w:val="18"/>
            <w:szCs w:val="18"/>
            <w:u w:val="single" w:color="auto"/>
            <w:color w:val="0000EE"/>
          </w:rPr>
          <w:t xml:space="preserve">May 1, 2023 </w:t>
        </w:r>
      </w:hyperlink>
      <w:hyperlink r:id="rId10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3">
        <w:r>
          <w:rPr>
            <w:rFonts w:ascii="Times New Roman" w:cs="Times New Roman" w:eastAsia="Times New Roman" w:hAnsi="Times New Roman"/>
            <w:sz w:val="18"/>
            <w:szCs w:val="18"/>
            <w:u w:val="single" w:color="auto"/>
            <w:color w:val="0000EE"/>
          </w:rPr>
          <w:t>June 21, 2023</w:t>
        </w:r>
      </w:hyperlink>
      <w:hyperlink r:id="rId101">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13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and Warrants contained in our Registration Statement on </w:t>
      </w:r>
      <w:hyperlink r:id="rId6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2021 under Section 12 of the Exchange Act, including any amendments and reports filed for the purpose of updating such description, including the description of our common stock included as </w:t>
      </w:r>
      <w:hyperlink r:id="rId104">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2022, filed with the SEC on April 17, 2023.</w:t>
      </w:r>
    </w:p>
    <w:p>
      <w:pPr>
        <w:spacing w:after="0" w:line="180"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“Additional Information,” above.</w:t>
      </w:r>
    </w:p>
    <w:p>
      <w:pPr>
        <w:spacing w:after="0" w:line="1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448945</wp:posOffset>
            </wp:positionV>
            <wp:extent cx="1748790" cy="436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368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36,000,000 Shares of Common Stock</w:t>
      </w:r>
    </w:p>
    <w:p>
      <w:pPr>
        <w:spacing w:after="0" w:line="44" w:lineRule="exact"/>
        <w:rPr>
          <w:sz w:val="20"/>
          <w:szCs w:val="20"/>
          <w:color w:val="auto"/>
        </w:rPr>
      </w:pPr>
    </w:p>
    <w:p>
      <w:pPr>
        <w:jc w:val="center"/>
        <w:ind w:left="540" w:right="559"/>
        <w:spacing w:after="0" w:line="258" w:lineRule="auto"/>
        <w:rPr>
          <w:sz w:val="20"/>
          <w:szCs w:val="20"/>
          <w:color w:val="auto"/>
        </w:rPr>
      </w:pPr>
      <w:r>
        <w:rPr>
          <w:rFonts w:ascii="Times New Roman" w:cs="Times New Roman" w:eastAsia="Times New Roman" w:hAnsi="Times New Roman"/>
          <w:sz w:val="25"/>
          <w:szCs w:val="25"/>
          <w:b w:val="1"/>
          <w:bCs w:val="1"/>
          <w:color w:val="auto"/>
        </w:rPr>
        <w:t>Pre-Funded Warrants to Purchase 5,000,000 Shares of Common Stock 5,000,000 Shares of Common Stock Underlying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393065</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161290</wp:posOffset>
            </wp:positionV>
            <wp:extent cx="17830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Sole Bookrunner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Canaccord Genuity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Co-Manager</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132715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Roman"/>
      <w:start w:val="2"/>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upperLetter"/>
      <w:start w:val="2"/>
    </w:lvl>
    <w:lvl w:ilvl="1">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lvl w:ilvl="1">
      <w:lvlJc w:val="left"/>
      <w:lvlText w:val="(%2)"/>
      <w:numFmt w:val="upperLetter"/>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64" Type="http://schemas.openxmlformats.org/officeDocument/2006/relationships/image" Target="media/image32.png"/><Relationship Id="rId65" Type="http://schemas.openxmlformats.org/officeDocument/2006/relationships/image" Target="media/image33.jpeg"/><Relationship Id="rId66" Type="http://schemas.openxmlformats.org/officeDocument/2006/relationships/image" Target="media/image34.png"/><Relationship Id="rId67" Type="http://schemas.openxmlformats.org/officeDocument/2006/relationships/image" Target="media/image35.png"/><Relationship Id="rId68" Type="http://schemas.openxmlformats.org/officeDocument/2006/relationships/image" Target="media/image36.png"/><Relationship Id="rId69" Type="http://schemas.openxmlformats.org/officeDocument/2006/relationships/image" Target="media/image37.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jpe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39" Type="http://schemas.openxmlformats.org/officeDocument/2006/relationships/hyperlink" Target="https://www.sec.gov/ix?doc=/Archives/edgar/data/1847986/000164117225001755/form10-k.htm" TargetMode="External"/><Relationship Id="rId40" Type="http://schemas.openxmlformats.org/officeDocument/2006/relationships/hyperlink" Target="https://www.sec.gov/Archives/edgar/data/1847986/000164117225011280/form10-q.htm" TargetMode="External"/><Relationship Id="rId41" Type="http://schemas.openxmlformats.org/officeDocument/2006/relationships/hyperlink" Target="https://www.sec.gov/Archives/edgar/data/1847986/000149315225011982/form10-q.htm" TargetMode="External"/><Relationship Id="rId42" Type="http://schemas.openxmlformats.org/officeDocument/2006/relationships/hyperlink" Target="https://www.sec.gov/ix?doc=/Archives/edgar/data/1847986/000149315225000307/form8-k.htm" TargetMode="External"/><Relationship Id="rId43" Type="http://schemas.openxmlformats.org/officeDocument/2006/relationships/hyperlink" Target="https://www.sec.gov/ix?doc=/Archives/edgar/data/1847986/000149315225005013/form8-k.htm" TargetMode="External"/><Relationship Id="rId44" Type="http://schemas.openxmlformats.org/officeDocument/2006/relationships/hyperlink" Target="https://www.sec.gov/ix?doc=/Archives/edgar/data/1847986/000149315225008445/form8-k.htm" TargetMode="External"/><Relationship Id="rId45" Type="http://schemas.openxmlformats.org/officeDocument/2006/relationships/hyperlink" Target="https://www.sec.gov/ix?doc=/Archives/edgar/data/1847986/000149315225009633/form8-k.htm" TargetMode="External"/><Relationship Id="rId46" Type="http://schemas.openxmlformats.org/officeDocument/2006/relationships/hyperlink" Target="https://www.sec.gov/ix?doc=/Archives/edgar/data/1847986/000164117225000298/form8-k.htm" TargetMode="External"/><Relationship Id="rId47" Type="http://schemas.openxmlformats.org/officeDocument/2006/relationships/hyperlink" Target="https://www.sec.gov/ix?doc=/Archives/edgar/data/1847986/000164117225006463/form8-k.htm" TargetMode="External"/><Relationship Id="rId48" Type="http://schemas.openxmlformats.org/officeDocument/2006/relationships/hyperlink" Target="https://www.sec.gov/ix?doc=/Archives/edgar/data/1847986/000164117225009296/form8-k.htm" TargetMode="External"/><Relationship Id="rId49" Type="http://schemas.openxmlformats.org/officeDocument/2006/relationships/hyperlink" Target="https://www.sec.gov/ix?doc=/Archives/edgar/data/1847986/000164117225013480/form8-k.htm" TargetMode="External"/><Relationship Id="rId50" Type="http://schemas.openxmlformats.org/officeDocument/2006/relationships/hyperlink" Target="https://www.sec.gov/ix?doc=/Archives/edgar/data/1847986/000164117225015095/form8-k.htm" TargetMode="External"/><Relationship Id="rId51" Type="http://schemas.openxmlformats.org/officeDocument/2006/relationships/hyperlink" Target="https://www.sec.gov/ix?doc=/Archives/edgar/data/1847986/000164117225016196/form8-k.htm" TargetMode="External"/><Relationship Id="rId52" Type="http://schemas.openxmlformats.org/officeDocument/2006/relationships/hyperlink" Target="https://www.sec.gov/ix?doc=/Archives/edgar/data/1847986/000164117225016938/form8-k.htm" TargetMode="External"/><Relationship Id="rId53" Type="http://schemas.openxmlformats.org/officeDocument/2006/relationships/hyperlink" Target="https://www.sec.gov/ix?doc=/Archives/edgar/data/1847986/000164117225017928/form8-k.htm" TargetMode="External"/><Relationship Id="rId54" Type="http://schemas.openxmlformats.org/officeDocument/2006/relationships/hyperlink" Target="https://www.sec.gov/ix?doc=/Archives/edgar/data/1847986/000164117225020360/form8-k.htm" TargetMode="External"/><Relationship Id="rId55" Type="http://schemas.openxmlformats.org/officeDocument/2006/relationships/hyperlink" Target="https://www.sec.gov/Archives/edgar/data/1847986/000164117225021256/form8-k.htm" TargetMode="External"/><Relationship Id="rId56" Type="http://schemas.openxmlformats.org/officeDocument/2006/relationships/hyperlink" Target="https://www.sec.gov/Archives/edgar/data/1847986/000164117225021587/form8-k.htm" TargetMode="External"/><Relationship Id="rId57" Type="http://schemas.openxmlformats.org/officeDocument/2006/relationships/hyperlink" Target="https://www.sec.gov/Archives/edgar/data/1847986/000149315225012605/form8-k.htm" TargetMode="External"/><Relationship Id="rId58" Type="http://schemas.openxmlformats.org/officeDocument/2006/relationships/hyperlink" Target="http://www.sec.gov/Archives/edgar/data/1847986/000149315225017102/form8-k.htm" TargetMode="External"/><Relationship Id="rId59" Type="http://schemas.openxmlformats.org/officeDocument/2006/relationships/hyperlink" Target="https://www.sec.gov/Archives/edgar/data/1847986/000149315225018142/form8-k.htm" TargetMode="External"/><Relationship Id="rId60" Type="http://schemas.openxmlformats.org/officeDocument/2006/relationships/hyperlink" Target="https://www.sec.gov/Archives/edgar/data/1847986/000149315225018249/form8-k.htm" TargetMode="External"/><Relationship Id="rId61" Type="http://schemas.openxmlformats.org/officeDocument/2006/relationships/hyperlink" Target="https://www.sec.gov/Archives/edgar/data/1847986/000110465921102670/tm2124648d1_8a12b.htm" TargetMode="External"/><Relationship Id="rId62" Type="http://schemas.openxmlformats.org/officeDocument/2006/relationships/hyperlink" Target="https://www.sec.gov/Archives/edgar/data/1847986/000164117225001755/ex4-18.htm" TargetMode="External"/><Relationship Id="rId63" Type="http://schemas.openxmlformats.org/officeDocument/2006/relationships/hyperlink" Target="https://www.sec.gov/Archives/edgar/data/1847986/000164117225001755/form10-k.htm" TargetMode="External"/><Relationship Id="rId97" Type="http://schemas.openxmlformats.org/officeDocument/2006/relationships/hyperlink" Target="https://www.sec.gov/ix?doc=/Archives/edgar/data/1847986/000149315223014966/form10-ka.htm" TargetMode="External"/><Relationship Id="rId98" Type="http://schemas.openxmlformats.org/officeDocument/2006/relationships/hyperlink" Target="https://www.sec.gov/Archives/edgar/data/1847986/000149315223017432/form10-q.htm" TargetMode="External"/><Relationship Id="rId99" Type="http://schemas.openxmlformats.org/officeDocument/2006/relationships/hyperlink" Target="https://www.sec.gov/Archives/edgar/data/1847986/000149315223029680/form10-q.htm" TargetMode="External"/><Relationship Id="rId100" Type="http://schemas.openxmlformats.org/officeDocument/2006/relationships/hyperlink" Target="https://www.sec.gov/ix?doc=/Archives/edgar/data/1847986/000149315223041072/form10-q.htm" TargetMode="External"/><Relationship Id="rId101" Type="http://schemas.openxmlformats.org/officeDocument/2006/relationships/hyperlink" Target="https://www.sec.gov/ix?doc=/Archives/edgar/data/0001847986/000149315223010262/form8-k.htm" TargetMode="External"/><Relationship Id="rId102" Type="http://schemas.openxmlformats.org/officeDocument/2006/relationships/hyperlink" Target="https://www.sec.gov/ix?doc=/Archives/edgar/data/0001847986/000149315223014971/form8-k.htm" TargetMode="External"/><Relationship Id="rId103" Type="http://schemas.openxmlformats.org/officeDocument/2006/relationships/hyperlink" Target="https://www.sec.gov/ix?doc=/Archives/edgar/data/0001847986/000149315223021997/form8-k.htm" TargetMode="External"/><Relationship Id="rId104" Type="http://schemas.openxmlformats.org/officeDocument/2006/relationships/hyperlink" Target="https://www.sec.gov/Archives/edgar/data/1847986/000149315223012533/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2025-10-16T15:28:36Z</dcterms:created>
  <dcterms:modified xsi:type="dcterms:W3CDTF">2025-10-16T15:28:36Z</dcterms:modified>
</cp:coreProperties>
</file>