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jc w:val="right"/>
        <w:rPr>
          <w:b/>
        </w:rPr>
      </w:pPr>
      <w:r>
        <w:rPr>
          <w:b/>
        </w:rPr>
        <w:t>File No. 333-267983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71625" cy="1057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71625" cy="10572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21,512,027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potential offer and resale, from time to time, of up to 21,512,027 shares of our common stock, par value $0.0001 per share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by the selling stockholder, Chardan Capital Markets LLC (“</w:t>
      </w:r>
      <w:r>
        <w:rPr>
          <w:rFonts w:ascii="Times New Roman;Times;Serif" w:hAnsi="Times New Roman;Times;Serif"/>
          <w:b/>
          <w:i w:val="false"/>
          <w:caps w:val="false"/>
          <w:smallCaps w:val="false"/>
          <w:sz w:val="20"/>
        </w:rPr>
        <w:t>CCM</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selling stockholder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to which this prospectus relates includes shares that have been or may be issued to CCM pursuant to a purchase agreement between us and CCM, dated October 7, 2022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establishing an equity facility (the “</w:t>
      </w:r>
      <w:r>
        <w:rPr>
          <w:rFonts w:ascii="Times New Roman;Times;Serif" w:hAnsi="Times New Roman;Times;Serif"/>
          <w:b/>
          <w:i w:val="false"/>
          <w:caps w:val="false"/>
          <w:smallCaps w:val="false"/>
          <w:sz w:val="20"/>
        </w:rPr>
        <w:t>ChEF Equity Facility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of the proceeds from the sale of shares by the selling stockholder. However, we may receive gross proceeds of up to $150 million from the sale of shares to CCM under the Purchase Agreement, from time to time, in our discretion after the date of the registration statement of which this prospectus is a part is declared effective and after satisfaction of other conditions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is an “underwriter” within the meaning of Section 2(a)(11)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See “</w:t>
      </w:r>
      <w:r>
        <w:rPr>
          <w:rFonts w:ascii="Times New Roman;Times;Serif" w:hAnsi="Times New Roman;Times;Serif"/>
          <w:b w:val="false"/>
          <w:i/>
          <w:caps w:val="false"/>
          <w:smallCaps w:val="false"/>
          <w:sz w:val="20"/>
        </w:rPr>
        <w:t>ChEF Equity Facility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Plan of Distribution (Conflicts of Interest)</w:t>
      </w:r>
      <w:r>
        <w:rPr>
          <w:rFonts w:ascii="Times New Roman;Times;Serif" w:hAnsi="Times New Roman;Times;Serif"/>
          <w:b w:val="false"/>
          <w:i w:val="false"/>
          <w:caps w:val="false"/>
          <w:smallCaps w:val="false"/>
          <w:sz w:val="20"/>
        </w:rPr>
        <w:t>” for more information about how CCM may sell the shares of common stock being registered pursuant to this prospectus and for a description of compensation payable to CCM.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may sell the shares of common stock described in this prospectus in a number of different ways and at varying prices. The price that CCM will pay for the shares to be resold pursuant to this prospectus will depend upon the timing of sales and will fluctuate based on the trading price of our common stock. While the number of shares of common stock that CCM is required to purchase is subject to certain limitations under the Purchase Agreement, including the Beneficial Ownership Limitation, the number of shares of common stock that we can sell to CCM under the Purchase Agreement could constitute a considerable percentage of our public float at the time of such sales. As a result, the resale by CCM of shares of our common stock pursuant to this prospectus could have a significant negative impact on the trading price of our common stock. See “</w:t>
      </w:r>
      <w:r>
        <w:rPr>
          <w:rFonts w:ascii="Times New Roman;Times;Serif" w:hAnsi="Times New Roman;Times;Serif"/>
          <w:b w:val="false"/>
          <w:i/>
          <w:caps w:val="false"/>
          <w:smallCaps w:val="false"/>
          <w:sz w:val="20"/>
        </w:rPr>
        <w:t>ChEF Equity Facility</w:t>
      </w:r>
      <w:r>
        <w:rPr>
          <w:rFonts w:ascii="Times New Roman;Times;Serif" w:hAnsi="Times New Roman;Times;Serif"/>
          <w:b w:val="false"/>
          <w:i w:val="false"/>
          <w:caps w:val="false"/>
          <w:smallCaps w:val="false"/>
          <w:sz w:val="20"/>
        </w:rPr>
        <w:t>” on page 104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filed separate registration statements registering the issuance to and resale by certain third parties of certain shares of common stock and/or warrants issued prior to, or in connection with, the Business Combination. These third parties include CNTQ’s Sponsor, members of our senior management and our Term Loan Lenders. Any sales of such shares into the public market by such certain third parties could similarly have a significant negative impact on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bear all of the expenses incurred in connection with the registration of the shares to which this prospectus relates. CCM will pay or assume discounts, commissions, and fees of underwriters, selling brokers or dealer managers, if any, incurred in connection with the sale of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Global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“DFLI” and our public warrants are currently listed on the Nasdaq Capital Market under the symbol “DFLIW.” As of September 18, 2023, the closing price of our common stock and warrants was $1.77 and $0.15,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under applicable federal securities laws and will be subject to reduced public company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“RISK FACTORS” SECTION BEGINNING ON PAGE 9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September 27, 2023.</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9470"/>
        <w:gridCol w:w="350"/>
      </w:tblGrid>
      <w:tr>
        <w:trPr/>
        <w:tc>
          <w:tcPr>
            <w:tcW w:w="9470" w:type="dxa"/>
            <w:tcBorders/>
            <w:shd w:fill="CCEEFF" w:val="clear"/>
            <w:vAlign w:val="center"/>
          </w:tcPr>
          <w:p>
            <w:pPr>
              <w:pStyle w:val="TableContents"/>
              <w:bidi w:val="0"/>
              <w:spacing w:before="0" w:after="283"/>
              <w:jc w:val="left"/>
              <w:rPr/>
            </w:pPr>
            <w:hyperlink w:anchor="z_001">
              <w:r>
                <w:rPr>
                  <w:rStyle w:val="InternetLink"/>
                  <w:rFonts w:ascii="Times New Roman;Times;Serif" w:hAnsi="Times New Roman;Times;Serif"/>
                  <w:b w:val="false"/>
                  <w:i w:val="false"/>
                  <w:caps w:val="false"/>
                  <w:smallCaps w:val="false"/>
                  <w:sz w:val="20"/>
                </w:rPr>
                <w:t>INTRODUCTORY NOTE</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470" w:type="dxa"/>
            <w:tcBorders/>
            <w:shd w:fill="FFFFFF" w:val="clear"/>
            <w:vAlign w:val="center"/>
          </w:tcPr>
          <w:p>
            <w:pPr>
              <w:pStyle w:val="TableContents"/>
              <w:bidi w:val="0"/>
              <w:spacing w:before="0" w:after="283"/>
              <w:jc w:val="left"/>
              <w:rPr/>
            </w:pPr>
            <w:hyperlink w:anchor="z_002">
              <w:r>
                <w:rPr>
                  <w:rStyle w:val="InternetLink"/>
                  <w:rFonts w:ascii="Times New Roman;Times;Serif" w:hAnsi="Times New Roman;Times;Serif"/>
                  <w:b w:val="false"/>
                  <w:i w:val="false"/>
                  <w:caps w:val="false"/>
                  <w:smallCaps w:val="false"/>
                  <w:sz w:val="20"/>
                </w:rPr>
                <w:t>FREQUENTLY USED TERMS</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470" w:type="dxa"/>
            <w:tcBorders/>
            <w:shd w:fill="CCEEFF" w:val="clear"/>
            <w:vAlign w:val="center"/>
          </w:tcPr>
          <w:p>
            <w:pPr>
              <w:pStyle w:val="TableContents"/>
              <w:bidi w:val="0"/>
              <w:spacing w:before="0" w:after="283"/>
              <w:jc w:val="left"/>
              <w:rPr/>
            </w:pPr>
            <w:hyperlink w:anchor="z_003">
              <w:r>
                <w:rPr>
                  <w:rStyle w:val="InternetLink"/>
                  <w:rFonts w:ascii="Times New Roman;Times;Serif" w:hAnsi="Times New Roman;Times;Serif"/>
                  <w:b w:val="false"/>
                  <w:i w:val="false"/>
                  <w:caps w:val="false"/>
                  <w:smallCaps w:val="false"/>
                  <w:sz w:val="20"/>
                </w:rPr>
                <w:t>CAUTIONARY NOTE REGARDING FORWARD-LOOKING STATEMENTS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470" w:type="dxa"/>
            <w:tcBorders/>
            <w:shd w:fill="FFFFFF" w:val="clear"/>
            <w:vAlign w:val="center"/>
          </w:tcPr>
          <w:p>
            <w:pPr>
              <w:pStyle w:val="TableContents"/>
              <w:bidi w:val="0"/>
              <w:spacing w:before="0" w:after="283"/>
              <w:jc w:val="left"/>
              <w:rPr/>
            </w:pPr>
            <w:hyperlink w:anchor="z_004">
              <w:r>
                <w:rPr>
                  <w:rStyle w:val="InternetLink"/>
                  <w:rFonts w:ascii="Times New Roman;Times;Serif" w:hAnsi="Times New Roman;Times;Serif"/>
                  <w:b w:val="false"/>
                  <w:i w:val="false"/>
                  <w:caps w:val="false"/>
                  <w:smallCaps w:val="false"/>
                  <w:sz w:val="20"/>
                </w:rPr>
                <w:t>SUMMARY OF THE PROSPECTUS</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470" w:type="dxa"/>
            <w:tcBorders/>
            <w:shd w:fill="CCEEFF" w:val="clear"/>
            <w:vAlign w:val="center"/>
          </w:tcPr>
          <w:p>
            <w:pPr>
              <w:pStyle w:val="TableContents"/>
              <w:bidi w:val="0"/>
              <w:spacing w:before="0" w:after="283"/>
              <w:jc w:val="left"/>
              <w:rPr/>
            </w:pPr>
            <w:hyperlink w:anchor="z_005">
              <w:r>
                <w:rPr>
                  <w:rStyle w:val="InternetLink"/>
                  <w:rFonts w:ascii="Times New Roman;Times;Serif" w:hAnsi="Times New Roman;Times;Serif"/>
                  <w:b w:val="false"/>
                  <w:i w:val="false"/>
                  <w:caps w:val="false"/>
                  <w:smallCaps w:val="false"/>
                  <w:sz w:val="20"/>
                </w:rPr>
                <w:t>THE OFFERING</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470" w:type="dxa"/>
            <w:tcBorders/>
            <w:shd w:fill="FFFFFF" w:val="clear"/>
            <w:vAlign w:val="center"/>
          </w:tcPr>
          <w:p>
            <w:pPr>
              <w:pStyle w:val="TableContents"/>
              <w:bidi w:val="0"/>
              <w:spacing w:before="0" w:after="283"/>
              <w:jc w:val="left"/>
              <w:rPr/>
            </w:pPr>
            <w:hyperlink w:anchor="z_006">
              <w:r>
                <w:rPr>
                  <w:rStyle w:val="InternetLink"/>
                  <w:rFonts w:ascii="Times New Roman;Times;Serif" w:hAnsi="Times New Roman;Times;Serif"/>
                  <w:b w:val="false"/>
                  <w:i w:val="false"/>
                  <w:caps w:val="false"/>
                  <w:smallCaps w:val="false"/>
                  <w:sz w:val="20"/>
                </w:rPr>
                <w:t>RISK FACTORS</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470" w:type="dxa"/>
            <w:tcBorders/>
            <w:shd w:fill="CCEEFF" w:val="clear"/>
            <w:vAlign w:val="center"/>
          </w:tcPr>
          <w:p>
            <w:pPr>
              <w:pStyle w:val="TableContents"/>
              <w:bidi w:val="0"/>
              <w:spacing w:before="0" w:after="283"/>
              <w:jc w:val="left"/>
              <w:rPr/>
            </w:pPr>
            <w:hyperlink w:anchor="z_007">
              <w:r>
                <w:rPr>
                  <w:rStyle w:val="InternetLink"/>
                  <w:rFonts w:ascii="Times New Roman;Times;Serif" w:hAnsi="Times New Roman;Times;Serif"/>
                  <w:b w:val="false"/>
                  <w:i w:val="false"/>
                  <w:caps w:val="false"/>
                  <w:smallCaps w:val="false"/>
                  <w:sz w:val="20"/>
                </w:rPr>
                <w:t>USE OF PROCEEDS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470" w:type="dxa"/>
            <w:tcBorders/>
            <w:shd w:fill="FFFFFF" w:val="clear"/>
            <w:vAlign w:val="center"/>
          </w:tcPr>
          <w:p>
            <w:pPr>
              <w:pStyle w:val="TableContents"/>
              <w:bidi w:val="0"/>
              <w:spacing w:before="0" w:after="283"/>
              <w:jc w:val="left"/>
              <w:rPr/>
            </w:pPr>
            <w:hyperlink w:anchor="z_008">
              <w:r>
                <w:rPr>
                  <w:rStyle w:val="InternetLink"/>
                  <w:rFonts w:ascii="Times New Roman;Times;Serif" w:hAnsi="Times New Roman;Times;Serif"/>
                  <w:b w:val="false"/>
                  <w:i w:val="false"/>
                  <w:caps w:val="false"/>
                  <w:smallCaps w:val="false"/>
                  <w:sz w:val="20"/>
                </w:rPr>
                <w:t>DILUTION</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9470" w:type="dxa"/>
            <w:tcBorders/>
            <w:shd w:fill="CCEEFF" w:val="clear"/>
            <w:vAlign w:val="center"/>
          </w:tcPr>
          <w:p>
            <w:pPr>
              <w:pStyle w:val="TableContents"/>
              <w:bidi w:val="0"/>
              <w:spacing w:before="0" w:after="283"/>
              <w:jc w:val="left"/>
              <w:rPr/>
            </w:pPr>
            <w:hyperlink w:anchor="z_009">
              <w:r>
                <w:rPr>
                  <w:rStyle w:val="InternetLink"/>
                  <w:rFonts w:ascii="Times New Roman;Times;Serif" w:hAnsi="Times New Roman;Times;Serif"/>
                  <w:b w:val="false"/>
                  <w:i w:val="false"/>
                  <w:caps w:val="false"/>
                  <w:smallCaps w:val="false"/>
                  <w:sz w:val="20"/>
                </w:rPr>
                <w:t>MARKET PRICE AND DIVIDEND INFORMATION</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9470" w:type="dxa"/>
            <w:tcBorders/>
            <w:shd w:fill="FFFFFF" w:val="clear"/>
            <w:vAlign w:val="center"/>
          </w:tcPr>
          <w:p>
            <w:pPr>
              <w:pStyle w:val="TableContents"/>
              <w:bidi w:val="0"/>
              <w:spacing w:before="0" w:after="283"/>
              <w:jc w:val="left"/>
              <w:rPr/>
            </w:pPr>
            <w:hyperlink w:anchor="z_010">
              <w:r>
                <w:rPr>
                  <w:rStyle w:val="InternetLink"/>
                  <w:rFonts w:ascii="Times New Roman;Times;Serif" w:hAnsi="Times New Roman;Times;Serif"/>
                  <w:b w:val="false"/>
                  <w:i w:val="false"/>
                  <w:caps w:val="false"/>
                  <w:smallCaps w:val="false"/>
                  <w:sz w:val="20"/>
                </w:rPr>
                <w:t>BUSINESS</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470" w:type="dxa"/>
            <w:tcBorders/>
            <w:shd w:fill="CCEEFF" w:val="clear"/>
            <w:vAlign w:val="center"/>
          </w:tcPr>
          <w:p>
            <w:pPr>
              <w:pStyle w:val="TableContents"/>
              <w:bidi w:val="0"/>
              <w:spacing w:before="0" w:after="283"/>
              <w:jc w:val="left"/>
              <w:rPr/>
            </w:pPr>
            <w:hyperlink w:anchor="Na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9470" w:type="dxa"/>
            <w:tcBorders/>
            <w:shd w:fill="FFFFFF" w:val="clear"/>
            <w:vAlign w:val="center"/>
          </w:tcPr>
          <w:p>
            <w:pPr>
              <w:pStyle w:val="TableContents"/>
              <w:bidi w:val="0"/>
              <w:spacing w:before="0" w:after="283"/>
              <w:jc w:val="left"/>
              <w:rPr/>
            </w:pPr>
            <w:hyperlink w:anchor="Na_002">
              <w:r>
                <w:rPr>
                  <w:rStyle w:val="InternetLink"/>
                  <w:rFonts w:ascii="Times New Roman;Times;Serif" w:hAnsi="Times New Roman;Times;Serif"/>
                  <w:b w:val="false"/>
                  <w:i w:val="false"/>
                  <w:caps w:val="false"/>
                  <w:smallCaps w:val="false"/>
                  <w:sz w:val="20"/>
                </w:rPr>
                <w:t>MANAGEMENT</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9470" w:type="dxa"/>
            <w:tcBorders/>
            <w:shd w:fill="CCEEFF" w:val="clear"/>
            <w:vAlign w:val="center"/>
          </w:tcPr>
          <w:p>
            <w:pPr>
              <w:pStyle w:val="TableContents"/>
              <w:bidi w:val="0"/>
              <w:spacing w:before="0" w:after="283"/>
              <w:jc w:val="left"/>
              <w:rPr/>
            </w:pPr>
            <w:hyperlink w:anchor="Na_003">
              <w:r>
                <w:rPr>
                  <w:rStyle w:val="InternetLink"/>
                  <w:rFonts w:ascii="Times New Roman;Times;Serif" w:hAnsi="Times New Roman;Times;Serif"/>
                  <w:b w:val="false"/>
                  <w:i w:val="false"/>
                  <w:caps w:val="false"/>
                  <w:smallCaps w:val="false"/>
                  <w:sz w:val="20"/>
                </w:rPr>
                <w:t>EXECUTIVE AND DIRECTOR COMPENSATION</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9470" w:type="dxa"/>
            <w:tcBorders/>
            <w:shd w:fill="FFFFFF" w:val="clear"/>
            <w:vAlign w:val="center"/>
          </w:tcPr>
          <w:p>
            <w:pPr>
              <w:pStyle w:val="TableContents"/>
              <w:bidi w:val="0"/>
              <w:spacing w:before="0" w:after="283"/>
              <w:jc w:val="left"/>
              <w:rPr/>
            </w:pPr>
            <w:hyperlink w:anchor="Na_004">
              <w:r>
                <w:rPr>
                  <w:rStyle w:val="InternetLink"/>
                  <w:rFonts w:ascii="Times New Roman;Times;Serif" w:hAnsi="Times New Roman;Times;Serif"/>
                  <w:b w:val="false"/>
                  <w:i w:val="false"/>
                  <w:caps w:val="false"/>
                  <w:smallCaps w:val="false"/>
                  <w:sz w:val="20"/>
                </w:rPr>
                <w:t>CERTAIN RELATIONSHIPS AND RELATED PERSON TRANSACTIONS</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9470" w:type="dxa"/>
            <w:tcBorders/>
            <w:shd w:fill="CCEEFF" w:val="clear"/>
            <w:vAlign w:val="center"/>
          </w:tcPr>
          <w:p>
            <w:pPr>
              <w:pStyle w:val="TableContents"/>
              <w:bidi w:val="0"/>
              <w:spacing w:before="0" w:after="283"/>
              <w:jc w:val="left"/>
              <w:rPr/>
            </w:pPr>
            <w:hyperlink w:anchor="Na_005">
              <w:r>
                <w:rPr>
                  <w:rStyle w:val="InternetLink"/>
                  <w:rFonts w:ascii="Times New Roman;Times;Serif" w:hAnsi="Times New Roman;Times;Serif"/>
                  <w:b w:val="false"/>
                  <w:i w:val="false"/>
                  <w:caps w:val="false"/>
                  <w:smallCaps w:val="false"/>
                  <w:sz w:val="20"/>
                </w:rPr>
                <w:t>DESCRIPTION OF SECURITIES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9470" w:type="dxa"/>
            <w:tcBorders/>
            <w:shd w:fill="FFFFFF" w:val="clear"/>
            <w:vAlign w:val="center"/>
          </w:tcPr>
          <w:p>
            <w:pPr>
              <w:pStyle w:val="TableContents"/>
              <w:bidi w:val="0"/>
              <w:spacing w:before="0" w:after="283"/>
              <w:jc w:val="left"/>
              <w:rPr/>
            </w:pPr>
            <w:hyperlink w:anchor="Na_006">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470" w:type="dxa"/>
            <w:tcBorders/>
            <w:shd w:fill="CCEEFF" w:val="clear"/>
            <w:vAlign w:val="center"/>
          </w:tcPr>
          <w:p>
            <w:pPr>
              <w:pStyle w:val="TableContents"/>
              <w:bidi w:val="0"/>
              <w:spacing w:before="0" w:after="283"/>
              <w:jc w:val="left"/>
              <w:rPr/>
            </w:pPr>
            <w:hyperlink w:anchor="Na_007">
              <w:r>
                <w:rPr>
                  <w:rStyle w:val="InternetLink"/>
                  <w:rFonts w:ascii="Times New Roman;Times;Serif" w:hAnsi="Times New Roman;Times;Serif"/>
                  <w:b w:val="false"/>
                  <w:i w:val="false"/>
                  <w:caps w:val="false"/>
                  <w:smallCaps w:val="false"/>
                  <w:sz w:val="20"/>
                </w:rPr>
                <w:t>SELLING STOCKHOLDER</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9470" w:type="dxa"/>
            <w:tcBorders/>
            <w:shd w:fill="FFFFFF" w:val="clear"/>
            <w:vAlign w:val="center"/>
          </w:tcPr>
          <w:p>
            <w:pPr>
              <w:pStyle w:val="TableContents"/>
              <w:bidi w:val="0"/>
              <w:spacing w:before="0" w:after="283"/>
              <w:jc w:val="left"/>
              <w:rPr/>
            </w:pPr>
            <w:hyperlink w:anchor="Na_008">
              <w:r>
                <w:rPr>
                  <w:rStyle w:val="InternetLink"/>
                  <w:rFonts w:ascii="Times New Roman;Times;Serif" w:hAnsi="Times New Roman;Times;Serif"/>
                  <w:b w:val="false"/>
                  <w:i w:val="false"/>
                  <w:caps w:val="false"/>
                  <w:smallCaps w:val="false"/>
                  <w:sz w:val="20"/>
                </w:rPr>
                <w:t>U.S. FEDERAL INCOME TAX CONSIDERATIONS FOR NON-U.S. HOLDERS</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470" w:type="dxa"/>
            <w:tcBorders/>
            <w:shd w:fill="CCEEFF" w:val="clear"/>
            <w:vAlign w:val="center"/>
          </w:tcPr>
          <w:p>
            <w:pPr>
              <w:pStyle w:val="TableContents"/>
              <w:bidi w:val="0"/>
              <w:spacing w:before="0" w:after="283"/>
              <w:jc w:val="left"/>
              <w:rPr/>
            </w:pPr>
            <w:hyperlink w:anchor="Na_009">
              <w:r>
                <w:rPr>
                  <w:rStyle w:val="InternetLink"/>
                  <w:rFonts w:ascii="Times New Roman;Times;Serif" w:hAnsi="Times New Roman;Times;Serif"/>
                  <w:b w:val="false"/>
                  <w:i w:val="false"/>
                  <w:caps w:val="false"/>
                  <w:smallCaps w:val="false"/>
                  <w:sz w:val="20"/>
                </w:rPr>
                <w:t>CHEF EQUITY FACILITY</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470" w:type="dxa"/>
            <w:tcBorders/>
            <w:shd w:fill="FFFFFF" w:val="clear"/>
            <w:vAlign w:val="center"/>
          </w:tcPr>
          <w:p>
            <w:pPr>
              <w:pStyle w:val="TableContents"/>
              <w:bidi w:val="0"/>
              <w:spacing w:before="0" w:after="283"/>
              <w:jc w:val="left"/>
              <w:rPr/>
            </w:pPr>
            <w:hyperlink w:anchor="Na_010">
              <w:r>
                <w:rPr>
                  <w:rStyle w:val="InternetLink"/>
                  <w:rFonts w:ascii="Times New Roman;Times;Serif" w:hAnsi="Times New Roman;Times;Serif"/>
                  <w:b w:val="false"/>
                  <w:i w:val="false"/>
                  <w:caps w:val="false"/>
                  <w:smallCaps w:val="false"/>
                  <w:sz w:val="20"/>
                </w:rPr>
                <w:t>PLAN OF DISTRIBUTION (CONFLICTS OF INTEREST)</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9470" w:type="dxa"/>
            <w:tcBorders/>
            <w:shd w:fill="CCEEFF" w:val="clear"/>
            <w:vAlign w:val="center"/>
          </w:tcPr>
          <w:p>
            <w:pPr>
              <w:pStyle w:val="TableContents"/>
              <w:bidi w:val="0"/>
              <w:spacing w:before="0" w:after="283"/>
              <w:jc w:val="left"/>
              <w:rPr/>
            </w:pPr>
            <w:hyperlink w:anchor="Na_011">
              <w:r>
                <w:rPr>
                  <w:rStyle w:val="InternetLink"/>
                  <w:rFonts w:ascii="Times New Roman;Times;Serif" w:hAnsi="Times New Roman;Times;Serif"/>
                  <w:b w:val="false"/>
                  <w:i w:val="false"/>
                  <w:caps w:val="false"/>
                  <w:smallCaps w:val="false"/>
                  <w:sz w:val="20"/>
                </w:rPr>
                <w:t>LEGAL MATTERS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9470" w:type="dxa"/>
            <w:tcBorders/>
            <w:shd w:fill="FFFFFF" w:val="clear"/>
            <w:vAlign w:val="center"/>
          </w:tcPr>
          <w:p>
            <w:pPr>
              <w:pStyle w:val="TableContents"/>
              <w:bidi w:val="0"/>
              <w:spacing w:before="0" w:after="283"/>
              <w:jc w:val="left"/>
              <w:rPr/>
            </w:pPr>
            <w:hyperlink w:anchor="Na_012">
              <w:r>
                <w:rPr>
                  <w:rStyle w:val="InternetLink"/>
                  <w:rFonts w:ascii="Times New Roman;Times;Serif" w:hAnsi="Times New Roman;Times;Serif"/>
                  <w:b w:val="false"/>
                  <w:i w:val="false"/>
                  <w:caps w:val="false"/>
                  <w:smallCaps w:val="false"/>
                  <w:sz w:val="20"/>
                </w:rPr>
                <w:t>EXPERTS</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9470" w:type="dxa"/>
            <w:tcBorders/>
            <w:shd w:fill="CCEEFF" w:val="clear"/>
            <w:vAlign w:val="center"/>
          </w:tcPr>
          <w:p>
            <w:pPr>
              <w:pStyle w:val="TableContents"/>
              <w:bidi w:val="0"/>
              <w:spacing w:before="0" w:after="283"/>
              <w:jc w:val="left"/>
              <w:rPr/>
            </w:pPr>
            <w:hyperlink w:anchor="Na_013">
              <w:r>
                <w:rPr>
                  <w:rStyle w:val="InternetLink"/>
                  <w:rFonts w:ascii="Times New Roman;Times;Serif" w:hAnsi="Times New Roman;Times;Serif"/>
                  <w:b w:val="false"/>
                  <w:i w:val="false"/>
                  <w:caps w:val="false"/>
                  <w:smallCaps w:val="false"/>
                  <w:sz w:val="20"/>
                </w:rPr>
                <w:t>WHERE YOU CAN FIND MORE INFORMATION</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9470" w:type="dxa"/>
            <w:tcBorders/>
            <w:shd w:fill="FFFFFF" w:val="clear"/>
            <w:vAlign w:val="center"/>
          </w:tcPr>
          <w:p>
            <w:pPr>
              <w:pStyle w:val="TableContents"/>
              <w:bidi w:val="0"/>
              <w:spacing w:before="0" w:after="283"/>
              <w:jc w:val="left"/>
              <w:rPr/>
            </w:pPr>
            <w:hyperlink w:anchor="Naf_001">
              <w:r>
                <w:rPr>
                  <w:rStyle w:val="InternetLink"/>
                  <w:rFonts w:ascii="Times New Roman;Times;Serif" w:hAnsi="Times New Roman;Times;Serif"/>
                  <w:b w:val="false"/>
                  <w:i w:val="false"/>
                  <w:caps w:val="false"/>
                  <w:smallCaps w:val="false"/>
                  <w:sz w:val="20"/>
                </w:rPr>
                <w:t>INDEX TO FINANCIAL STATEMENTS</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For investors outside the United States: </w:t>
      </w:r>
      <w:r>
        <w:rPr>
          <w:rFonts w:ascii="Times New Roman;Times;Serif" w:hAnsi="Times New Roman;Times;Serif"/>
          <w:b w:val="false"/>
          <w:i w:val="false"/>
          <w:caps w:val="false"/>
          <w:smallCaps w:val="false"/>
          <w:sz w:val="20"/>
        </w:rPr>
        <w:t>We have not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pStyle w:val="TextBody"/>
        <w:bidi w:val="0"/>
        <w:spacing w:before="0" w:after="0"/>
        <w:ind w:left="0" w:right="0" w:firstLine="36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z_001"/>
      <w:bookmarkEnd w:id="2"/>
      <w:r>
        <w:rPr>
          <w:rFonts w:ascii="Times New Roman;Times;Serif" w:hAnsi="Times New Roman;Times;Serif"/>
          <w:b/>
          <w:i w:val="false"/>
          <w:caps w:val="false"/>
          <w:smallCaps w:val="false"/>
          <w:sz w:val="20"/>
        </w:rPr>
        <w:t>INTRODUCTORY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and such date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Chardan NexTech Acquisition 2 Corp., a Delaware corporation (“</w:t>
      </w:r>
      <w:r>
        <w:rPr>
          <w:rFonts w:ascii="Times New Roman;Times;Serif" w:hAnsi="Times New Roman;Times;Serif"/>
          <w:b/>
          <w:i w:val="false"/>
          <w:caps w:val="false"/>
          <w:smallCaps w:val="false"/>
          <w:sz w:val="20"/>
        </w:rPr>
        <w:t>CNTQ</w:t>
      </w:r>
      <w:r>
        <w:rPr>
          <w:rFonts w:ascii="Times New Roman;Times;Serif" w:hAnsi="Times New Roman;Times;Serif"/>
          <w:b w:val="false"/>
          <w:i w:val="false"/>
          <w:caps w:val="false"/>
          <w:smallCaps w:val="false"/>
          <w:sz w:val="20"/>
        </w:rPr>
        <w:t>”), and Bronco Merger Sub, Inc., a Nevada corporation and newly formed wholly-owned subsidiary of CNTQ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consummated the previously announced Business Combination (as defined below) pursuant to the terms of the Business Combination Agreement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 CNTQ changed its name to “Dragonfly Energy Holdings Corp.” (“</w:t>
      </w:r>
      <w:r>
        <w:rPr>
          <w:rFonts w:ascii="Times New Roman;Times;Serif" w:hAnsi="Times New Roman;Times;Serif"/>
          <w:b/>
          <w:i w:val="false"/>
          <w:caps w:val="false"/>
          <w:smallCaps w:val="false"/>
          <w:sz w:val="20"/>
        </w:rPr>
        <w:t>Dragonfly</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(ii) Merger Sub merged with and into Dragonfly Energy Corp., a Nevada corporation (“</w:t>
      </w:r>
      <w:r>
        <w:rPr>
          <w:rFonts w:ascii="Times New Roman;Times;Serif" w:hAnsi="Times New Roman;Times;Serif"/>
          <w:b/>
          <w:i w:val="false"/>
          <w:caps w:val="false"/>
          <w:smallCaps w:val="false"/>
          <w:sz w:val="20"/>
        </w:rPr>
        <w:t>Legacy Dragonfly</w:t>
      </w:r>
      <w:r>
        <w:rPr>
          <w:rFonts w:ascii="Times New Roman;Times;Serif" w:hAnsi="Times New Roman;Times;Serif"/>
          <w:b w:val="false"/>
          <w:i w:val="false"/>
          <w:caps w:val="false"/>
          <w:smallCaps w:val="false"/>
          <w:sz w:val="20"/>
        </w:rPr>
        <w:t>”), with Legacy Dragonfly surviving the Merger as a direct, wholly-owned subsidiary of the Company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and (iii) the parties to the Business Combination Agreement consummated the other transactions contemplated thereby. On March 31, 2023, Dragonfly was reincorporated under the laws of the State of Nevada pursuant to a reincorporation by conversion.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z_002"/>
      <w:bookmarkEnd w:id="3"/>
      <w:r>
        <w:rPr>
          <w:rFonts w:ascii="Times New Roman;Times;Serif" w:hAnsi="Times New Roman;Times;Serif"/>
          <w:b/>
          <w:i w:val="false"/>
          <w:caps w:val="false"/>
          <w:smallCaps w:val="false"/>
          <w:sz w:val="20"/>
        </w:rPr>
        <w:t>FREQUENTLY USED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references in this prospectus to “Dragonfly,” the “Company,” “us,” “we,” “our” and any related terms are intended to mean Dragonfly Energy Holdings Corp. and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$10 Warrants</w:t>
      </w:r>
      <w:r>
        <w:rPr>
          <w:rFonts w:ascii="Times New Roman;Times;Serif" w:hAnsi="Times New Roman;Times;Serif"/>
          <w:b w:val="false"/>
          <w:i w:val="false"/>
          <w:caps w:val="false"/>
          <w:smallCaps w:val="false"/>
          <w:sz w:val="20"/>
        </w:rPr>
        <w:t>” means warrants to initially acquire 1,600,000 shares of common stock at an initial $10.00 per share exercise price issued at Closing in connection with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$10 Warrants Shares</w:t>
      </w:r>
      <w:r>
        <w:rPr>
          <w:rFonts w:ascii="Times New Roman;Times;Serif" w:hAnsi="Times New Roman;Times;Serif"/>
          <w:b w:val="false"/>
          <w:i w:val="false"/>
          <w:caps w:val="false"/>
          <w:smallCaps w:val="false"/>
          <w:sz w:val="20"/>
        </w:rPr>
        <w:t>” means the 457,142 shares of common stock issued upon exercise of the $10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means the limitation by which CCM shall not be obligated to purchase or acquire, any shares of common stock under the Purchase Agreement which, when aggregated with all other shares of common stock then beneficially owned by CCM and its affiliates (as calculated pursuant to Section 13(d) of the Exchange Act and Rule 13d-3 promulgated thereunder), would result in the beneficial ownership by CCM and its affiliates (on an aggregated basis) of more than 9.9% of the outstanding voting power or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means the Merger and the other transactions contemplated by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means that certain Agreement and Plan of Merger, dated May 15, 2022, as amended on July 12, 2022, by and among CNTQ, Merger Sub and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CCM</w:t>
      </w:r>
      <w:r>
        <w:rPr>
          <w:rFonts w:ascii="Times New Roman;Times;Serif" w:hAnsi="Times New Roman;Times;Serif"/>
          <w:b w:val="false"/>
          <w:i w:val="false"/>
          <w:caps w:val="false"/>
          <w:smallCaps w:val="false"/>
          <w:sz w:val="20"/>
        </w:rPr>
        <w:t>” means Chardan Capital Markets LLC, a New York limited liability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means the articles of incorporation of Dragonfly, in effect as of the date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means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CNTQ</w:t>
      </w:r>
      <w:r>
        <w:rPr>
          <w:rFonts w:ascii="Times New Roman;Times;Serif" w:hAnsi="Times New Roman;Times;Serif"/>
          <w:b w:val="false"/>
          <w:i w:val="false"/>
          <w:caps w:val="false"/>
          <w:smallCaps w:val="false"/>
          <w:sz w:val="20"/>
        </w:rPr>
        <w:t>” means Chardan NexTech Acquisition 2 Corp., a Delaware corporation, which was renamed “Dragonfly Energy Holdings Corp.” in connection with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CNTQ Common Stock</w:t>
      </w:r>
      <w:r>
        <w:rPr>
          <w:rFonts w:ascii="Times New Roman;Times;Serif" w:hAnsi="Times New Roman;Times;Serif"/>
          <w:b w:val="false"/>
          <w:i w:val="false"/>
          <w:caps w:val="false"/>
          <w:smallCaps w:val="false"/>
          <w:sz w:val="20"/>
        </w:rPr>
        <w:t>” means, prior to consummation of the Business Combination, to CNTQ common stock, par value $0.0001 per share, and, following consummation of the Business Combination, to the common stock, par value $0.001 per share, of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CNTQ IPO</w:t>
      </w:r>
      <w:r>
        <w:rPr>
          <w:rFonts w:ascii="Times New Roman;Times;Serif" w:hAnsi="Times New Roman;Times;Serif"/>
          <w:b w:val="false"/>
          <w:i w:val="false"/>
          <w:caps w:val="false"/>
          <w:smallCaps w:val="false"/>
          <w:sz w:val="20"/>
        </w:rPr>
        <w:t>” means the initial public offering by CNTQ, which closed on August 13,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Dragonfly</w:t>
      </w:r>
      <w:r>
        <w:rPr>
          <w:rFonts w:ascii="Times New Roman;Times;Serif" w:hAnsi="Times New Roman;Times;Serif"/>
          <w:b w:val="false"/>
          <w:i w:val="false"/>
          <w:caps w:val="false"/>
          <w:smallCaps w:val="false"/>
          <w:sz w:val="20"/>
        </w:rPr>
        <w:t>” means Dragonfly Energy Holdings Corp., a Nevada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Earnout Shares</w:t>
      </w:r>
      <w:r>
        <w:rPr>
          <w:rFonts w:ascii="Times New Roman;Times;Serif" w:hAnsi="Times New Roman;Times;Serif"/>
          <w:b w:val="false"/>
          <w:i w:val="false"/>
          <w:caps w:val="false"/>
          <w:smallCaps w:val="false"/>
          <w:sz w:val="20"/>
        </w:rPr>
        <w:t>” means up to an additional 40,000,000 shares of Company common stock that may be issued to the Legacy Dragonfly stockholders at Closing if certain financial metrics or trading price metrics are achieved and other conditions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Founder Shares</w:t>
      </w:r>
      <w:r>
        <w:rPr>
          <w:rFonts w:ascii="Times New Roman;Times;Serif" w:hAnsi="Times New Roman;Times;Serif"/>
          <w:b w:val="false"/>
          <w:i w:val="false"/>
          <w:caps w:val="false"/>
          <w:smallCaps w:val="false"/>
          <w:sz w:val="20"/>
        </w:rPr>
        <w:t>” means the shares of CNTQ common stock held by the Sponsor, CNTQ’s directors, and affiliates of CNTQ’s management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Dragonfly</w:t>
      </w:r>
      <w:r>
        <w:rPr>
          <w:rFonts w:ascii="Times New Roman;Times;Serif" w:hAnsi="Times New Roman;Times;Serif"/>
          <w:b w:val="false"/>
          <w:i w:val="false"/>
          <w:caps w:val="false"/>
          <w:smallCaps w:val="false"/>
          <w:sz w:val="20"/>
        </w:rPr>
        <w:t>” means Dragonfly Energy Corp., a Nevada corporation, and includes the surviving corporation after the Merger. References herein to Dragonfly will include its subsidiaries, including Legacy Dragonfly, to the extent reasonably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means the merger of Merger Sub with and into Legacy Dragonfly, with Legacy Dragonfly continuing as the surviving corporation and as a wholly-owned subsidiary of CNTQ (which changed its name to Dragonfly Energy Holdings Corp. upon the Closing), in accordance with the terms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means Bronco Merger Sub, Inc., a Nevada corporation.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means the Nevada Revised Statutes.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Penny Warrants</w:t>
      </w:r>
      <w:r>
        <w:rPr>
          <w:rFonts w:ascii="Times New Roman;Times;Serif" w:hAnsi="Times New Roman;Times;Serif"/>
          <w:b w:val="false"/>
          <w:i w:val="false"/>
          <w:caps w:val="false"/>
          <w:smallCaps w:val="false"/>
          <w:sz w:val="20"/>
        </w:rPr>
        <w:t>” means warrants to initially acquire 2,593,056 shares of common stock at an exercise price of $0.01 per share issued at Closing in connection with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Private Warrants</w:t>
      </w:r>
      <w:r>
        <w:rPr>
          <w:rFonts w:ascii="Times New Roman;Times;Serif" w:hAnsi="Times New Roman;Times;Serif"/>
          <w:b w:val="false"/>
          <w:i w:val="false"/>
          <w:caps w:val="false"/>
          <w:smallCaps w:val="false"/>
          <w:sz w:val="20"/>
        </w:rPr>
        <w:t>” means warrants to acquire shares of common stock at an $11.50 per share exercise price issued to an affiliate of the Sponsor in a private placement simultaneously with the closing of the CNTQ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means warrants to acquire shares of common stock at an $11.50 per share exercise price sold as part of the units in the CNTQ IPO (whether they were purchased in the CNTQ IPO or thereafter in the open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means Chardan NexTech Investments 2 LLC, a Delaware limited liability company and an affiliate of CCM.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means the $75 million aggregate principal amount senior secured term loan facility entered into at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means the Merger, and the other transactions contemplated by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 Account</w:t>
      </w:r>
      <w:r>
        <w:rPr>
          <w:rFonts w:ascii="Times New Roman;Times;Serif" w:hAnsi="Times New Roman;Times;Serif"/>
          <w:b w:val="false"/>
          <w:i w:val="false"/>
          <w:caps w:val="false"/>
          <w:smallCaps w:val="false"/>
          <w:sz w:val="20"/>
        </w:rPr>
        <w:t>” means the trust account of CNTQ that held the proceeds from the CNTQ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means the Public Warrants, the Private Warrants and the Penny Warrants of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 Holdings</w:t>
      </w:r>
      <w:r>
        <w:rPr>
          <w:rFonts w:ascii="Times New Roman;Times;Serif" w:hAnsi="Times New Roman;Times;Serif"/>
          <w:b w:val="false"/>
          <w:i w:val="false"/>
          <w:caps w:val="false"/>
          <w:smallCaps w:val="false"/>
          <w:sz w:val="20"/>
        </w:rPr>
        <w:t>” means Chardan NexTech 2 Warrant Holdings LLC, a Delaware limited liability company.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z_003"/>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prospectus may constitute “forward-looking statements” within the meaning of the “safe harbor” provisions of the United States Private Securities Litigation Reform Act of 1995,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Securities Exchange Act of 1934, as amended. In addition, any statements that refer to projections, forecasts or other characterizations of future events or circumstances, including any underlying assumptions, are forward-looking statements.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matters. We caution readers of this prospectus that these forward-looking statements are subject to risks and uncertainties, most of which are difficult to predict and many of which are beyond our control, that could cause the actual results to differ materially from the expected results. These forward-looking statements include, but are not limited to, statements regarding estimates and forecasts of financial and performance metrics, projections of market opportunity and market share, potential benefits and the commercial attractiveness to our customers of our products and services, the potential success of our marketing and expansion strategies, the potential for us to achieve design awards, and the potential benefits of the Business Combination (including with respect to shareholder value). These statements are based on various assumptions, whether or not identified in this prospectus,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forward-looking statements are subject to a number of risks and uncertainties,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recognize the anticipated benefits of our recent Business Combination (as defined herein), which may be affected by, among other things, the factors listed below;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increase market penetration into target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addressable markets that we intend to target do not grow as expected;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members of our senior management team or other key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suppliers, including suppliers in China;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patents and other intellectual property;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successfully optimize solid-state cells or to produce commercially viable solid-state cells in a timely manner or at all, or to scale to mass production;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Nasdaq Global Market and Public Warrants (as defined herein) on the Nasdaq Capital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and/or competitive factors (including an economic slowdown or inflationary pressures);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sell the desired amounts of shares of common stock at desired prices under our equity facility;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events or circumstances that result in our failure to timely achieve the anticipated benefits of our customer arrangements with THOR Industries and its affiliate brands (including Keystone RV Company (“</w:t>
            </w:r>
            <w:r>
              <w:rPr>
                <w:rFonts w:ascii="Times New Roman;Times;Serif" w:hAnsi="Times New Roman;Times;Serif"/>
                <w:b/>
                <w:i w:val="false"/>
                <w:caps w:val="false"/>
                <w:smallCaps w:val="false"/>
                <w:sz w:val="20"/>
              </w:rPr>
              <w:t>Keystone</w:t>
            </w:r>
            <w:r>
              <w:rPr>
                <w:rFonts w:ascii="Times New Roman;Times;Serif" w:hAnsi="Times New Roman;Times;Serif"/>
                <w:b w:val="false"/>
                <w:i w:val="false"/>
                <w:caps w:val="false"/>
                <w:smallCaps w:val="false"/>
                <w:sz w:val="20"/>
              </w:rPr>
              <w:t>”)), including Keystone’s decision in July 2023, that, due to weaker demand for its products and their subsequent focus on reducing costs, it would no longer install our storage solutions as standard equipment, but rather return to offering those solutions as an option to dealers and consumers;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fund our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future product sales and our ability to achieve and maintain profitability;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projections and estimates regarding our expenses, capital requirements, cash utilization, and need for additional financing;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retain these customers for future orders;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two suppliers for our lithium iron phosphate cells and a single supplier for the manufacture of our battery management system;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dependence on a single manufacturing facility.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for additional risks which could adversely impact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expressly qualified in their entirety by this cautionary notice. You are cautioned not to place undue reliance on any forward-looking statements, which speak only as of the date of this Registration Statement. We have no obligation, and expressly disclaim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5" w:name="z_004"/>
      <w:bookmarkEnd w:id="5"/>
      <w:r>
        <w:rPr>
          <w:rFonts w:ascii="Times New Roman;Times;Serif" w:hAnsi="Times New Roman;Times;Serif"/>
          <w:b/>
          <w:i w:val="false"/>
          <w:caps w:val="false"/>
          <w:smallCaps w:val="false"/>
          <w:sz w:val="20"/>
          <w:bdr w:val="single" w:sz="12" w:space="1" w:color="000000"/>
        </w:rPr>
        <w:t>SUMMARY OF THE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 xml:space="preserve">This summary highlights selected information from this prospectus and does not contain all of the information that is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w:t>
      </w:r>
      <w:r>
        <w:rPr>
          <w:rFonts w:ascii="Times New Roman;Times;Serif" w:hAnsi="Times New Roman;Times;Serif"/>
          <w:b w:val="false"/>
          <w:i w:val="false"/>
          <w:caps w:val="false"/>
          <w:smallCaps w:val="false"/>
          <w:sz w:val="20"/>
          <w:bdr w:val="single" w:sz="12" w:space="1" w:color="000000"/>
        </w:rPr>
        <w:t>“</w:t>
      </w:r>
      <w:r>
        <w:rPr>
          <w:rFonts w:ascii="Times New Roman;Times;Serif" w:hAnsi="Times New Roman;Times;Serif"/>
          <w:b w:val="false"/>
          <w:i/>
          <w:caps w:val="false"/>
          <w:smallCaps w:val="false"/>
          <w:sz w:val="20"/>
          <w:bdr w:val="single" w:sz="12" w:space="1" w:color="000000"/>
        </w:rPr>
        <w:t>Risk Factors,</w:t>
      </w:r>
      <w:r>
        <w:rPr>
          <w:rFonts w:ascii="Times New Roman;Times;Serif" w:hAnsi="Times New Roman;Times;Serif"/>
          <w:b w:val="false"/>
          <w:i w:val="false"/>
          <w:caps w:val="false"/>
          <w:smallCaps w:val="false"/>
          <w:sz w:val="20"/>
          <w:bdr w:val="single" w:sz="12" w:space="1" w:color="000000"/>
        </w:rPr>
        <w:t>” “</w:t>
      </w:r>
      <w:r>
        <w:rPr>
          <w:rFonts w:ascii="Times New Roman;Times;Serif" w:hAnsi="Times New Roman;Times;Serif"/>
          <w:b w:val="false"/>
          <w:i/>
          <w:caps w:val="false"/>
          <w:smallCaps w:val="false"/>
          <w:sz w:val="20"/>
          <w:bdr w:val="single" w:sz="12" w:space="1" w:color="000000"/>
        </w:rPr>
        <w:t>Management’s</w:t>
      </w:r>
      <w:r>
        <w:rPr>
          <w:rFonts w:ascii="Times New Roman;Times;Serif" w:hAnsi="Times New Roman;Times;Serif"/>
          <w:b w:val="false"/>
          <w:i w:val="false"/>
          <w:caps w:val="false"/>
          <w:smallCaps w:val="false"/>
          <w:sz w:val="20"/>
          <w:bdr w:val="single" w:sz="12" w:space="1" w:color="000000"/>
        </w:rPr>
        <w:t xml:space="preserve"> </w:t>
      </w:r>
      <w:r>
        <w:rPr>
          <w:rFonts w:ascii="Times New Roman;Times;Serif" w:hAnsi="Times New Roman;Times;Serif"/>
          <w:b w:val="false"/>
          <w:i/>
          <w:caps w:val="false"/>
          <w:smallCaps w:val="false"/>
          <w:sz w:val="20"/>
          <w:bdr w:val="single" w:sz="12" w:space="1" w:color="000000"/>
        </w:rPr>
        <w:t>Discussion and Analysis of Financial Condition and Results of Operations,</w:t>
      </w:r>
      <w:r>
        <w:rPr>
          <w:rFonts w:ascii="Times New Roman;Times;Serif" w:hAnsi="Times New Roman;Times;Serif"/>
          <w:b w:val="false"/>
          <w:i w:val="false"/>
          <w:caps w:val="false"/>
          <w:smallCaps w:val="false"/>
          <w:sz w:val="20"/>
          <w:bdr w:val="single" w:sz="12" w:space="1" w:color="000000"/>
        </w:rPr>
        <w:t xml:space="preserve">” </w:t>
      </w:r>
      <w:r>
        <w:rPr>
          <w:rFonts w:ascii="Times New Roman;Times;Serif" w:hAnsi="Times New Roman;Times;Serif"/>
          <w:b w:val="false"/>
          <w:i/>
          <w:caps w:val="false"/>
          <w:smallCaps w:val="false"/>
          <w:sz w:val="20"/>
          <w:bdr w:val="single" w:sz="12" w:space="1" w:color="000000"/>
        </w:rPr>
        <w:t>and the financial statements included elsewhere in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manufacturer of non-toxic deep cycle lithium-ion batteries that are designed to displace lead acid batteries in a number of different storage applications and end markets including recreational vehicles (“</w:t>
      </w:r>
      <w:r>
        <w:rPr>
          <w:rFonts w:ascii="Times New Roman;Times;Serif" w:hAnsi="Times New Roman;Times;Serif"/>
          <w:b/>
          <w:i w:val="false"/>
          <w:caps w:val="false"/>
          <w:smallCaps w:val="false"/>
          <w:sz w:val="20"/>
          <w:bdr w:val="single" w:sz="12" w:space="1" w:color="000000"/>
        </w:rPr>
        <w:t>RV</w:t>
      </w:r>
      <w:r>
        <w:rPr>
          <w:rFonts w:ascii="Times New Roman;Times;Serif" w:hAnsi="Times New Roman;Times;Serif"/>
          <w:b w:val="false"/>
          <w:i w:val="false"/>
          <w:caps w:val="false"/>
          <w:smallCaps w:val="false"/>
          <w:sz w:val="20"/>
          <w:bdr w:val="single" w:sz="12" w:space="1" w:color="000000"/>
        </w:rPr>
        <w:t>”), marine vessel and off-grid residence industries,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Since 2020, we have sold over 266,000 batteries. We currently offer a line of batteries across our “Battle Born” (“</w:t>
      </w:r>
      <w:r>
        <w:rPr>
          <w:rFonts w:ascii="Times New Roman;Times;Serif" w:hAnsi="Times New Roman;Times;Serif"/>
          <w:b/>
          <w:i w:val="false"/>
          <w:caps w:val="false"/>
          <w:smallCaps w:val="false"/>
          <w:sz w:val="20"/>
          <w:bdr w:val="single" w:sz="12" w:space="1" w:color="000000"/>
        </w:rPr>
        <w:t>Battle Born</w:t>
      </w:r>
      <w:r>
        <w:rPr>
          <w:rFonts w:ascii="Times New Roman;Times;Serif" w:hAnsi="Times New Roman;Times;Serif"/>
          <w:b w:val="false"/>
          <w:i w:val="false"/>
          <w:caps w:val="false"/>
          <w:smallCaps w:val="false"/>
          <w:sz w:val="20"/>
          <w:bdr w:val="single" w:sz="12" w:space="1" w:color="000000"/>
        </w:rPr>
        <w:t>”) and “Dragonfly Energy” (“</w:t>
      </w:r>
      <w:r>
        <w:rPr>
          <w:rFonts w:ascii="Times New Roman;Times;Serif" w:hAnsi="Times New Roman;Times;Serif"/>
          <w:b/>
          <w:i w:val="false"/>
          <w:caps w:val="false"/>
          <w:smallCaps w:val="false"/>
          <w:sz w:val="20"/>
          <w:bdr w:val="single" w:sz="12" w:space="1" w:color="000000"/>
        </w:rPr>
        <w:t>Dragonfly Energy</w:t>
      </w:r>
      <w:r>
        <w:rPr>
          <w:rFonts w:ascii="Times New Roman;Times;Serif" w:hAnsi="Times New Roman;Times;Serif"/>
          <w:b w:val="false"/>
          <w:i w:val="false"/>
          <w:caps w:val="false"/>
          <w:smallCaps w:val="false"/>
          <w:sz w:val="20"/>
          <w:bdr w:val="single" w:sz="12" w:space="1" w:color="000000"/>
        </w:rPr>
        <w:t>”) brands, each differentiated by size, power and capacity, consisting of seven different models, four of which come with a heated option. We primarily sell “Battle Born” branded batteries directly to consumers (“</w:t>
      </w:r>
      <w:r>
        <w:rPr>
          <w:rFonts w:ascii="Times New Roman;Times;Serif" w:hAnsi="Times New Roman;Times;Serif"/>
          <w:b/>
          <w:i w:val="false"/>
          <w:caps w:val="false"/>
          <w:smallCaps w:val="false"/>
          <w:sz w:val="20"/>
          <w:bdr w:val="single" w:sz="12" w:space="1" w:color="000000"/>
        </w:rPr>
        <w:t>DTC</w:t>
      </w:r>
      <w:r>
        <w:rPr>
          <w:rFonts w:ascii="Times New Roman;Times;Serif" w:hAnsi="Times New Roman;Times;Serif"/>
          <w:b w:val="false"/>
          <w:i w:val="false"/>
          <w:caps w:val="false"/>
          <w:smallCaps w:val="false"/>
          <w:sz w:val="20"/>
          <w:bdr w:val="single" w:sz="12" w:space="1" w:color="000000"/>
        </w:rPr>
        <w:t>”) and Dragonfly Energy branded batteries to original equipment manufacturers (“</w:t>
      </w:r>
      <w:r>
        <w:rPr>
          <w:rFonts w:ascii="Times New Roman;Times;Serif" w:hAnsi="Times New Roman;Times;Serif"/>
          <w:b/>
          <w:i w:val="false"/>
          <w:caps w:val="false"/>
          <w:smallCaps w:val="false"/>
          <w:sz w:val="20"/>
          <w:bdr w:val="single" w:sz="12" w:space="1" w:color="000000"/>
        </w:rPr>
        <w:t>OEMs</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currently source the lithium iron phosphate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To supplement our battery offerings, we also offer our line of proprietary Wakespeed Offshore brand (“</w:t>
      </w:r>
      <w:r>
        <w:rPr>
          <w:rFonts w:ascii="Times New Roman;Times;Serif" w:hAnsi="Times New Roman;Times;Serif"/>
          <w:b/>
          <w:i w:val="false"/>
          <w:caps w:val="false"/>
          <w:smallCaps w:val="false"/>
          <w:sz w:val="20"/>
          <w:bdr w:val="single" w:sz="12" w:space="1" w:color="000000"/>
        </w:rPr>
        <w:t>Wakespeed</w:t>
      </w:r>
      <w:r>
        <w:rPr>
          <w:rFonts w:ascii="Times New Roman;Times;Serif" w:hAnsi="Times New Roman;Times;Serif"/>
          <w:b w:val="false"/>
          <w:i w:val="false"/>
          <w:caps w:val="false"/>
          <w:smallCaps w:val="false"/>
          <w:sz w:val="20"/>
          <w:bdr w:val="single" w:sz="12" w:space="1" w:color="000000"/>
        </w:rPr>
        <w:t xml:space="preserve">”) alternator regulation products which are necessary to ensure that the alternator does not get unduly stressed during the current delivery to the batteries, and that the current delivery remains within the operating limits of the onboard battery bank. In addition to its own accessories, we are also a reseller of accessories for battery systems. These include chargers, inverters, monitors, controllers, solar panels and other system accessories from brands such as Victron Energy, Progressive Dynamics, REDARK, Rich Solar, and Sterling Power.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to our conventional lithium iron phosphate (“</w:t>
      </w:r>
      <w:r>
        <w:rPr>
          <w:rFonts w:ascii="Times New Roman;Times;Serif" w:hAnsi="Times New Roman;Times;Serif"/>
          <w:b/>
          <w:i w:val="false"/>
          <w:caps w:val="false"/>
          <w:smallCaps w:val="false"/>
          <w:sz w:val="20"/>
          <w:bdr w:val="single" w:sz="12" w:space="1" w:color="000000"/>
        </w:rPr>
        <w:t>LFP</w:t>
      </w:r>
      <w:r>
        <w:rPr>
          <w:rFonts w:ascii="Times New Roman;Times;Serif" w:hAnsi="Times New Roman;Times;Serif"/>
          <w:b w:val="false"/>
          <w:i w:val="false"/>
          <w:caps w:val="false"/>
          <w:smallCaps w:val="false"/>
          <w:sz w:val="20"/>
          <w:bdr w:val="single" w:sz="12" w:space="1" w:color="000000"/>
        </w:rPr>
        <w:t>”) batteries, we are currently developing the next generation of LFP solid-state cells. Since our founding, we have been developing proprietary battery cell manufacturing processes and solid-state battery cell technology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chemistry-agnostic cells. Additionally, our internal production of battery cells will streamline our supply chain, allowing us to vertically integrate our cells into our batteries, thereby lowering our production costs.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mailing address of our principal executive office is 1190 Trademark Dr. #108, Reno, Nevada 89521, and our telephone number is (775) 622-3448.</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more information about us, see the sections entitled “</w:t>
      </w:r>
      <w:r>
        <w:rPr>
          <w:rFonts w:ascii="Times New Roman;Times;Serif" w:hAnsi="Times New Roman;Times;Serif"/>
          <w:b w:val="false"/>
          <w:i/>
          <w:caps w:val="false"/>
          <w:smallCaps w:val="false"/>
          <w:sz w:val="20"/>
          <w:bdr w:val="single" w:sz="12" w:space="1" w:color="000000"/>
        </w:rPr>
        <w:t>Business</w:t>
      </w:r>
      <w:r>
        <w:rPr>
          <w:rFonts w:ascii="Times New Roman;Times;Serif" w:hAnsi="Times New Roman;Times;Serif"/>
          <w:b w:val="false"/>
          <w:i w:val="false"/>
          <w:caps w:val="false"/>
          <w:smallCaps w:val="false"/>
          <w:sz w:val="20"/>
          <w:bdr w:val="single" w:sz="12" w:space="1" w:color="000000"/>
        </w:rPr>
        <w:t>” and “</w:t>
      </w:r>
      <w:r>
        <w:rPr>
          <w:rFonts w:ascii="Times New Roman;Times;Serif" w:hAnsi="Times New Roman;Times;Serif"/>
          <w:b w:val="false"/>
          <w:i/>
          <w:caps w:val="false"/>
          <w:smallCaps w:val="false"/>
          <w:sz w:val="20"/>
          <w:bdr w:val="single" w:sz="12" w:space="1" w:color="000000"/>
        </w:rPr>
        <w:t>Management’s Discussion and Analysis of Financial Condition and Results of Operations.</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Emerging Growth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“emerging growth company,” as defined in Section 2(a) of the Securities Act, as modified by the Jumpstart Our Business Startups Act of 2012 (the “</w:t>
      </w:r>
      <w:r>
        <w:rPr>
          <w:rFonts w:ascii="Times New Roman;Times;Serif" w:hAnsi="Times New Roman;Times;Serif"/>
          <w:b/>
          <w:i w:val="false"/>
          <w:caps w:val="false"/>
          <w:smallCaps w:val="false"/>
          <w:sz w:val="20"/>
          <w:bdr w:val="single" w:sz="12" w:space="1" w:color="000000"/>
        </w:rPr>
        <w:t>JOBS Act</w:t>
      </w:r>
      <w:r>
        <w:rPr>
          <w:rFonts w:ascii="Times New Roman;Times;Serif" w:hAnsi="Times New Roman;Times;Serif"/>
          <w:b w:val="false"/>
          <w:i w:val="false"/>
          <w:caps w:val="false"/>
          <w:smallCaps w:val="false"/>
          <w:sz w:val="20"/>
          <w:bdr w:val="single" w:sz="12" w:space="1" w:color="000000"/>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Times;Serif" w:hAnsi="Times New Roman;Times;Serif"/>
          <w:b/>
          <w:i w:val="false"/>
          <w:caps w:val="false"/>
          <w:smallCaps w:val="false"/>
          <w:sz w:val="20"/>
          <w:bdr w:val="single" w:sz="12" w:space="1" w:color="000000"/>
        </w:rPr>
        <w:t>Sarbanes-Oxley Act</w:t>
      </w:r>
      <w:r>
        <w:rPr>
          <w:rFonts w:ascii="Times New Roman;Times;Serif" w:hAnsi="Times New Roman;Times;Serif"/>
          <w:b w:val="false"/>
          <w:i w:val="false"/>
          <w:caps w:val="false"/>
          <w:smallCaps w:val="false"/>
          <w:sz w:val="20"/>
          <w:bdr w:val="single" w:sz="12" w:space="1" w:color="000000"/>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Smaller Reporting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Risk Factors Summary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You should consider all the information contained in this prospectus before making a decision to invest in our common stock or warrants. In particular, you should consider the risk factors described under “</w:t>
      </w:r>
      <w:r>
        <w:rPr>
          <w:rFonts w:ascii="Times New Roman;Times;Serif" w:hAnsi="Times New Roman;Times;Serif"/>
          <w:b w:val="false"/>
          <w:i/>
          <w:caps w:val="false"/>
          <w:smallCaps w:val="false"/>
          <w:sz w:val="20"/>
          <w:bdr w:val="single" w:sz="12" w:space="1" w:color="000000"/>
        </w:rPr>
        <w:t>Risk Factors</w:t>
      </w:r>
      <w:r>
        <w:rPr>
          <w:rFonts w:ascii="Times New Roman;Times;Serif" w:hAnsi="Times New Roman;Times;Serif"/>
          <w:b w:val="false"/>
          <w:i w:val="false"/>
          <w:caps w:val="false"/>
          <w:smallCaps w:val="false"/>
          <w:sz w:val="20"/>
          <w:bdr w:val="single" w:sz="12" w:space="1" w:color="000000"/>
        </w:rPr>
        <w:t>” beginning on page 9. Such risks include, but are not limited to, the following risks: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this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possible to predict the actual number of shares of our common stock we will sell under the Purchase Agreement to CCM, or the actual gross proceeds resulting from those sales. Further, we may not have access to the full amount available under the ChEF Equity Facility.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and sale of shares of our common stock to CCM will cause dilution to other holders of shares of our common stock, and the sale of the shares of our common stock acquired by CCM, or the perception that such sales may occur, could cause the price of the shares of our common stock to fall.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buy common stock from CCM at different times will likely pay different prices.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Existing Lithium-Ion Battery Operations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future growth depends on the needs and success of our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competitive industry. We expect that the level of competition will increase and the nature of our competitors will change as we develop new LFP battery products for, and enter into, new markets, and as the competitive landscape evolves.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suppliers to provide our LFP cells and a single supplier for the manufacture of our battery management system. Any disruption in the operations of these key suppliers could adversely affect our business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and likely will continue to be, dependent on a single manufacturing facility. If our facility becomes inoperable for any reason, or our automation and expansion plans do not yield the desired effects, our ability to produce our products could be negatively impacted.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Solid-State Technology Development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engineering challenges in our attempts to develop and manufacture solid-state battery cells and these efforts may be delayed or fail which could negatively impact our business.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make significant investments in our continued research and development of solid-state battery technology development, and we may be unable to adequately control the costs associated with manufacturing our solid-state battery cells.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solid-state batteries fail to perform as expected, our ability to further develop, market and sell our solid-state batteries could be harmed.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Intellectual Property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upon our intellectual property portfolio. If we are unable to protect our intellectual property rights, our business and competitive position would be harmed.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defend ourselves against intellectual property infringement claims, which may be time-consuming and could cause us to incur substantial costs.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General Risk Factors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uncertainty in global economic conditions, including the Russia-Ukraine conflict, could reduce consumer spending and disrupt our supply chain which could negatively affect our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one or more members of our senior management team, other key personnel or our failure to attract additional qualified personnel may adversely affect our business and our ability to achieve our anticipated level of growth.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manage our growth effectively, we may be unable to execute our business plan, maintain high levels of customer service, or adequately address competitive challenges.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Financial Position and Capital Requirements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capital intensive, and we may not be able to raise additional capital on attractive terms, if at all. Any further indebtedness we incur may limit our operational flexibility in the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Ownership of Our Common Stock</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debt securities and equity securities may adversely affect us and may be dilutive to existing stockholders.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shares of our common stock or other equity securities without your approval, which would dilute your ownership interests and may depress the market price of your shares.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6" w:name="z_005"/>
      <w:bookmarkEnd w:id="6"/>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241"/>
        <w:gridCol w:w="8964"/>
      </w:tblGrid>
      <w:tr>
        <w:trPr/>
        <w:tc>
          <w:tcPr>
            <w:tcW w:w="1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8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tc>
      </w:tr>
      <w:tr>
        <w:trPr/>
        <w:tc>
          <w:tcPr>
            <w:tcW w:w="1241" w:type="dxa"/>
            <w:tcBorders/>
            <w:vAlign w:val="center"/>
          </w:tcPr>
          <w:p>
            <w:pPr>
              <w:pStyle w:val="TableContents"/>
              <w:bidi w:val="0"/>
              <w:spacing w:before="0" w:after="283"/>
              <w:jc w:val="left"/>
              <w:rPr>
                <w:caps w:val="false"/>
                <w:smallCaps w:val="false"/>
              </w:rPr>
            </w:pPr>
            <w:r>
              <w:rPr>
                <w:caps w:val="false"/>
                <w:smallCaps w:val="false"/>
              </w:rPr>
              <w:t> </w:t>
            </w:r>
          </w:p>
        </w:tc>
        <w:tc>
          <w:tcPr>
            <w:tcW w:w="89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offered by CCM as the selling stockholder</w:t>
            </w:r>
          </w:p>
        </w:tc>
        <w:tc>
          <w:tcPr>
            <w:tcW w:w="8964"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21,512,027 shares of common stock that we may sell to CCM, from time to time in accordance with the Purchase Agreement. All sales under the Purchase Agreement are at our sole discretion.</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our common stock issued and sold to CCM under the ChEF Equity Facility will vary depending on the then current market price of our common stock sold to CCM under the ChEF Equity Facility. As of September 18, 2023, 98,500 shares have been issued pursuant to the Purchase Agreement with CCM for aggregate net proceeds to us of $670,593.</w:t>
            </w:r>
          </w:p>
        </w:tc>
      </w:tr>
      <w:tr>
        <w:trPr/>
        <w:tc>
          <w:tcPr>
            <w:tcW w:w="1241" w:type="dxa"/>
            <w:tcBorders/>
            <w:vAlign w:val="center"/>
          </w:tcPr>
          <w:p>
            <w:pPr>
              <w:pStyle w:val="TableContents"/>
              <w:bidi w:val="0"/>
              <w:spacing w:before="0" w:after="283"/>
              <w:jc w:val="left"/>
              <w:rPr>
                <w:caps w:val="false"/>
                <w:smallCaps w:val="false"/>
              </w:rPr>
            </w:pPr>
            <w:r>
              <w:rPr>
                <w:caps w:val="false"/>
                <w:smallCaps w:val="false"/>
              </w:rPr>
              <w:t> </w:t>
            </w:r>
          </w:p>
        </w:tc>
        <w:tc>
          <w:tcPr>
            <w:tcW w:w="89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the Offering</w:t>
            </w:r>
          </w:p>
        </w:tc>
        <w:tc>
          <w:tcPr>
            <w:tcW w:w="8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will determine when and how it will dispose of any shares of common stock registered under this prospectus for resale.</w:t>
            </w:r>
          </w:p>
        </w:tc>
      </w:tr>
      <w:tr>
        <w:trPr/>
        <w:tc>
          <w:tcPr>
            <w:tcW w:w="1241" w:type="dxa"/>
            <w:tcBorders/>
            <w:vAlign w:val="center"/>
          </w:tcPr>
          <w:p>
            <w:pPr>
              <w:pStyle w:val="TableContents"/>
              <w:bidi w:val="0"/>
              <w:spacing w:before="0" w:after="283"/>
              <w:jc w:val="left"/>
              <w:rPr>
                <w:caps w:val="false"/>
                <w:smallCaps w:val="false"/>
              </w:rPr>
            </w:pPr>
            <w:r>
              <w:rPr>
                <w:caps w:val="false"/>
                <w:smallCaps w:val="false"/>
              </w:rPr>
              <w:t> </w:t>
            </w:r>
          </w:p>
        </w:tc>
        <w:tc>
          <w:tcPr>
            <w:tcW w:w="89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8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receive no proceeds from the sale of shares of common stock by CCM in this offering. We may receive up to $150 million in gross proceeds from the sale of shares to CCM pursuant to the Purchase Agreement from time to time. However, the actual proceeds we receive may be less than $150 million (before being reduced for the discount to CCM) depending on the number of shares of common stock sold and the price at which the shares of common stock are sold. Any proceeds we receive from CCM, we intend to use for the repayment of all or a portion of our outstanding debt and for working capital and general corporate purposes. Additionally, pending the uses described above, we plan to invest the net proceeds from the sale of shares of common stock to CCM, if any, in short- and intermediate-term, interest-bearing obligations, investment-grade instruments, certificates of deposit or direct or guaranteed obligations of the U.S. government.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for additional information.</w:t>
            </w:r>
          </w:p>
        </w:tc>
      </w:tr>
      <w:tr>
        <w:trPr/>
        <w:tc>
          <w:tcPr>
            <w:tcW w:w="1241" w:type="dxa"/>
            <w:tcBorders/>
            <w:vAlign w:val="center"/>
          </w:tcPr>
          <w:p>
            <w:pPr>
              <w:pStyle w:val="TableContents"/>
              <w:bidi w:val="0"/>
              <w:spacing w:before="0" w:after="283"/>
              <w:jc w:val="left"/>
              <w:rPr>
                <w:caps w:val="false"/>
                <w:smallCaps w:val="false"/>
              </w:rPr>
            </w:pPr>
            <w:r>
              <w:rPr>
                <w:caps w:val="false"/>
                <w:smallCaps w:val="false"/>
              </w:rPr>
              <w:t> </w:t>
            </w:r>
          </w:p>
        </w:tc>
        <w:tc>
          <w:tcPr>
            <w:tcW w:w="89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w:t>
            </w:r>
          </w:p>
        </w:tc>
        <w:tc>
          <w:tcPr>
            <w:tcW w:w="8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an affiliate of the Sponsor, is a member of the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and is expected to act as an executing broker for the resale of common stock in this offering. CCM’s receipt of all the proceeds from resales of common stock results in a “conflict of interest” under FINRA Rule 5121. Accordingly, resales by CCM will be conducted in compliance with FINRA Rule 5121. To the extent that the common stock does not have a “bona fide public market,” as defined in FINRA Rule 5121, a qualified independent underwriter will participate in the preparation of, and exercise the usual standards of “due diligence” with respect to, the registration statement. LifeSci Capital, LLC has agreed to act as qualified independent underwriter for this offering and will receive an upfront fee of $100,000 and, beginning one year after the date of the Purchase Agreement until its termination, a quarterly fee of $25,000 for doing so, or up to $300,000 in the aggregate. Pursuant to FINRA Rule 5121, CCM will not confirm resales of common stock to any account over which it exercises discretionary authority without the prior written approval of the customer. See “</w:t>
            </w:r>
            <w:r>
              <w:rPr>
                <w:rFonts w:ascii="Times New Roman;Times;Serif" w:hAnsi="Times New Roman;Times;Serif"/>
                <w:b w:val="false"/>
                <w:i/>
                <w:caps w:val="false"/>
                <w:smallCaps w:val="false"/>
                <w:sz w:val="20"/>
              </w:rPr>
              <w:t>Plan of Distribution (Conflicts of Interest) — Conflicts of Interest</w:t>
            </w:r>
            <w:r>
              <w:rPr>
                <w:rFonts w:ascii="Times New Roman;Times;Serif" w:hAnsi="Times New Roman;Times;Serif"/>
                <w:b w:val="false"/>
                <w:i w:val="false"/>
                <w:caps w:val="false"/>
                <w:smallCaps w:val="false"/>
                <w:sz w:val="20"/>
              </w:rPr>
              <w:t>.”</w:t>
            </w:r>
          </w:p>
        </w:tc>
      </w:tr>
      <w:tr>
        <w:trPr/>
        <w:tc>
          <w:tcPr>
            <w:tcW w:w="1241" w:type="dxa"/>
            <w:tcBorders/>
            <w:vAlign w:val="center"/>
          </w:tcPr>
          <w:p>
            <w:pPr>
              <w:pStyle w:val="TableContents"/>
              <w:bidi w:val="0"/>
              <w:spacing w:before="0" w:after="283"/>
              <w:jc w:val="left"/>
              <w:rPr>
                <w:caps w:val="false"/>
                <w:smallCaps w:val="false"/>
              </w:rPr>
            </w:pPr>
            <w:r>
              <w:rPr>
                <w:caps w:val="false"/>
                <w:smallCaps w:val="false"/>
              </w:rPr>
              <w:t> </w:t>
            </w:r>
          </w:p>
        </w:tc>
        <w:tc>
          <w:tcPr>
            <w:tcW w:w="89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ticker symbol</w:t>
            </w:r>
          </w:p>
        </w:tc>
        <w:tc>
          <w:tcPr>
            <w:tcW w:w="8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Nasdaq under the symbol “DFLI”.</w:t>
            </w:r>
          </w:p>
        </w:tc>
      </w:tr>
      <w:tr>
        <w:trPr/>
        <w:tc>
          <w:tcPr>
            <w:tcW w:w="1241" w:type="dxa"/>
            <w:tcBorders/>
            <w:vAlign w:val="center"/>
          </w:tcPr>
          <w:p>
            <w:pPr>
              <w:pStyle w:val="TableContents"/>
              <w:bidi w:val="0"/>
              <w:spacing w:before="0" w:after="283"/>
              <w:jc w:val="left"/>
              <w:rPr>
                <w:caps w:val="false"/>
                <w:smallCaps w:val="false"/>
              </w:rPr>
            </w:pPr>
            <w:r>
              <w:rPr>
                <w:caps w:val="false"/>
                <w:smallCaps w:val="false"/>
              </w:rPr>
              <w:t> </w:t>
            </w:r>
          </w:p>
        </w:tc>
        <w:tc>
          <w:tcPr>
            <w:tcW w:w="89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8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investment in the securities offered hereby is speculative and involves a high degree of risk. You should carefully consider the information set forth under “Risk Factors” and elsewhere in this prospectus.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Unless we specifically state otherwise or the context otherwise requires, the information above is as of September 18, 2023, does not give effect to issuances of our common stock, warrants or options to purchase shares of our common stock, or the exercise of warrants or options after such date, and excludes: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 Earnout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1,501,386 shares of common stock (the “</w:t>
            </w:r>
            <w:r>
              <w:rPr>
                <w:rFonts w:ascii="Times New Roman;Times;Serif" w:hAnsi="Times New Roman;Times;Serif"/>
                <w:b/>
                <w:i w:val="false"/>
                <w:caps w:val="false"/>
                <w:smallCaps w:val="false"/>
                <w:sz w:val="20"/>
              </w:rPr>
              <w:t>Private Warrant Shares</w:t>
            </w:r>
            <w:r>
              <w:rPr>
                <w:rFonts w:ascii="Times New Roman;Times;Serif" w:hAnsi="Times New Roman;Times;Serif"/>
                <w:b w:val="false"/>
                <w:i w:val="false"/>
                <w:caps w:val="false"/>
                <w:smallCaps w:val="false"/>
                <w:sz w:val="20"/>
              </w:rPr>
              <w:t>”) issuable upon exercise of the private placement warrants that were originally issued in a private placement at the time of the CNTQ IPO;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9,422,519 shares of common stock (the “</w:t>
            </w:r>
            <w:r>
              <w:rPr>
                <w:rFonts w:ascii="Times New Roman;Times;Serif" w:hAnsi="Times New Roman;Times;Serif"/>
                <w:b/>
                <w:i w:val="false"/>
                <w:caps w:val="false"/>
                <w:smallCaps w:val="false"/>
                <w:sz w:val="20"/>
              </w:rPr>
              <w:t>Public Warrant Shares</w:t>
            </w:r>
            <w:r>
              <w:rPr>
                <w:rFonts w:ascii="Times New Roman;Times;Serif" w:hAnsi="Times New Roman;Times;Serif"/>
                <w:b w:val="false"/>
                <w:i w:val="false"/>
                <w:caps w:val="false"/>
                <w:smallCaps w:val="false"/>
                <w:sz w:val="20"/>
              </w:rPr>
              <w:t>”) issuable upon exercise of the Public Warrants sold as part of the units in the CNTQ IPO;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593,056 shares of common stock (the “</w:t>
            </w:r>
            <w:r>
              <w:rPr>
                <w:rFonts w:ascii="Times New Roman;Times;Serif" w:hAnsi="Times New Roman;Times;Serif"/>
                <w:b/>
                <w:i w:val="false"/>
                <w:caps w:val="false"/>
                <w:smallCaps w:val="false"/>
                <w:sz w:val="20"/>
              </w:rPr>
              <w:t>Penny Warrant Shares</w:t>
            </w:r>
            <w:r>
              <w:rPr>
                <w:rFonts w:ascii="Times New Roman;Times;Serif" w:hAnsi="Times New Roman;Times;Serif"/>
                <w:b w:val="false"/>
                <w:i w:val="false"/>
                <w:caps w:val="false"/>
                <w:smallCaps w:val="false"/>
                <w:sz w:val="20"/>
              </w:rPr>
              <w:t>”) currently issuable upon exercise of the Penny Warrants issued as part of the Term Loan;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11,131,900 shares of common stock (the “</w:t>
            </w:r>
            <w:r>
              <w:rPr>
                <w:rFonts w:ascii="Times New Roman;Times;Serif" w:hAnsi="Times New Roman;Times;Serif"/>
                <w:b/>
                <w:i w:val="false"/>
                <w:caps w:val="false"/>
                <w:smallCaps w:val="false"/>
                <w:sz w:val="20"/>
              </w:rPr>
              <w:t>Investor Warrant Shares</w:t>
            </w:r>
            <w:r>
              <w:rPr>
                <w:rFonts w:ascii="Times New Roman;Times;Serif" w:hAnsi="Times New Roman;Times;Serif"/>
                <w:b w:val="false"/>
                <w:i w:val="false"/>
                <w:caps w:val="false"/>
                <w:smallCaps w:val="false"/>
                <w:sz w:val="20"/>
              </w:rPr>
              <w:t>”) currently issuable upon exercise of the Investor Warrants issued as part of the June 2023 S-1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570,250 shares of common stock (the “</w:t>
            </w:r>
            <w:r>
              <w:rPr>
                <w:rFonts w:ascii="Times New Roman;Times;Serif" w:hAnsi="Times New Roman;Times;Serif"/>
                <w:b/>
                <w:i w:val="false"/>
                <w:caps w:val="false"/>
                <w:smallCaps w:val="false"/>
                <w:sz w:val="20"/>
              </w:rPr>
              <w:t>Underwriters’ Warrant Shares</w:t>
            </w:r>
            <w:r>
              <w:rPr>
                <w:rFonts w:ascii="Times New Roman;Times;Serif" w:hAnsi="Times New Roman;Times;Serif"/>
                <w:b w:val="false"/>
                <w:i w:val="false"/>
                <w:caps w:val="false"/>
                <w:smallCaps w:val="false"/>
                <w:sz w:val="20"/>
              </w:rPr>
              <w:t>”) currently issuable upon the exercise of the Underwriters’ Warrants (defined below) issued as part of the June 2023 S-1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3,443,099 shares of common stock underlying outstanding options;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 shares of common stock underlying outstanding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z_006"/>
      <w:bookmarkEnd w:id="7"/>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Investment in our securities involves risk. You should carefully consider the following risk factors in addition to the other information included in this prospectus, including matters addressed in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Cautionary Note Regarding Forward-Looking Statement.” Please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 this prospectus.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ChEF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of our common stock, if any, we will sell under the Purchase Agreement to CCM, or the actual gross proceeds resulting from those sales. Further, we may not have access to the full amount available under the 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entered into in connection with the ChEF Equity Facility, we have the right from time to time at our option to direct CCM to purchase up to a specified maximum amount of shares of our common stock, up to a maximum aggregate purchase price of $150 million, over the term of the ChEF Equity Facility. See “</w:t>
      </w:r>
      <w:r>
        <w:rPr>
          <w:rFonts w:ascii="Times New Roman;Times;Serif" w:hAnsi="Times New Roman;Times;Serif"/>
          <w:b w:val="false"/>
          <w:i/>
          <w:caps w:val="false"/>
          <w:smallCaps w:val="false"/>
          <w:sz w:val="20"/>
        </w:rPr>
        <w:t>ChEF Equity Facility</w:t>
      </w:r>
      <w:r>
        <w:rPr>
          <w:rFonts w:ascii="Times New Roman;Times;Serif" w:hAnsi="Times New Roman;Times;Serif"/>
          <w:b w:val="false"/>
          <w:i w:val="false"/>
          <w:caps w:val="false"/>
          <w:smallCaps w:val="false"/>
          <w:sz w:val="20"/>
        </w:rPr>
        <w:t>” on page 104 for more information regarding the Purchase Agreement and the ChEF Equity Facility. We generally have the right to control the timing and amount of any common stock sales to CCM under the Purchase Agreement. The timing and amount of common stock sold by us to CCM under the Purchase Agreement will be determined by us from time to time in our sole discretion and will depend on a variety of factors, including market conditions and the terms, conditions and limitations set forth in the Purchase Agreement (including certain limitations on CCM’s obligation to purchase shares including, among other things, daily trading volumes and the Beneficial Ownership Limitation). We may ultimately decide to sell to CCM all, some or none of the common stock shares available for our sale to CCM pursuant to the ChEF Equity Facility. Depending on market liquidity at the time, resales of those shares by CCM may cause the public trading price of our common stock to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purchase price per share to be paid by CCM for shares of common stock that we may elect to sell to CCM under the ChEF Equity Facility, if any, will fluctuate based on the volume weighted average price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of our common stock during the applicable period for each purchase made pursuant to the Purchase Agreement, it is not possible for us to predict, prior to any such sales, the number of shares of common stock we will sell to CCM under the Purchase Agreement, the per share purchase price CCM will pay for such shares, or the aggregate gross proceeds that we will receive from those purchases by CCM under the Purchase Agreement,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fluctuation of the purchase price per share to be paid by CCM, we may need to issue and sell more than the number of shares that we initially expect to issue to CCM under the Purchase Agreement to receive aggregate gross proceeds equal to the maximum aggregate purchase price of $150 million under the Purchase Agreement, which could cause additional substantial dilution to holders of our common stock. The number of shares of common stock ultimately offered for sale by CCM is dependent upon the number of shares of common stock, if any, we ultimately sell to CCM under the 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we may not commence sales of our common stock to CCM until all the conditions to CCM’s obligations thereunder have been satisfied, including effectiveness of this registration statement of which this prospectus is a part and required FINRA clearance. CCM is not obligated to (but may, at its option, choose to) purchase an amount of shares of common stock to the extent such amount purchased exceeds the amount of shares of common stock equal to the least of: (a) a number of shares that would result in beneficial ownership (as calculated pursuant to Section 13(d) of the Exchange Act and Rule 13d-3 promulgated thereunder) by CCM, together with its affiliates, of more than 9.9% of the outstanding voting power or shares of common stock, (b) a number of shares that would cause the aggregate purchase price on the applicable Purchase Date (as defined in the Purchase Agreement) for such purchase to exceed $3 million or (c) a number of shares that would equal 20% of the total number of shares of common stock that would count towards VWAP on the applicable Purchase Date of such purchase. Our inability to access a portion or the full amount available under the ChEF Equity Facility, in the absence of any other financing sources,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is an affiliate of CNTQ’s Sponsor. See “</w:t>
      </w:r>
      <w:r>
        <w:rPr>
          <w:rFonts w:ascii="Times New Roman;Times;Serif" w:hAnsi="Times New Roman;Times;Serif"/>
          <w:b w:val="false"/>
          <w:i/>
          <w:caps w:val="false"/>
          <w:smallCaps w:val="false"/>
          <w:sz w:val="20"/>
        </w:rPr>
        <w:t>Selling Stockholder</w:t>
      </w:r>
      <w:r>
        <w:rPr>
          <w:rFonts w:ascii="Times New Roman;Times;Serif" w:hAnsi="Times New Roman;Times;Serif"/>
          <w:b w:val="false"/>
          <w:i w:val="false"/>
          <w:caps w:val="false"/>
          <w:smallCaps w:val="false"/>
          <w:sz w:val="20"/>
        </w:rPr>
        <w:t>” on page 100 for more information about CCM and its affiliates’ beneficial ownership of our shares of common stock. In light of the Beneficial Ownership Limitation set forth above, the Sponsor has agreed that the Private Warrants may not be exercised to the extent the Sponsor and its affiliates are deemed to beneficially own, or it would cause the Sponsor and such affiliates to be deemed to beneficially own, more than 7.5%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and sale of shares of our common stock to CCM will cause dilution to other holders of shares of our common stock, and the sale of the shares of our common stock acquired by CCM, or the perception that such sales may occur, could cause the price of the shares our common stock to fall.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shares that we may sell to CCM under the Purchase Agreement will fluctuate based on the price of our common stock. Depending on market liquidity at the time, sales of such shares may cause the trading price of shares of our common stock to fall.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we do sell shares to CCM, after CCM has acquired the shares, CCM may resell all, some, or none of those shares at any time or from time to time in its discretion, subject to the terms of the Purchase Agreement and compliance with securities laws. Therefore, the sales of our common stock to CCM could result in substantial dilution to the interests of other holders of their shares of our common stock. Additionally, the sale of a substantial number of shares of our common stock to CCM, or the anticipation of such sales, could make it more difficult for us to sell equity or equity-related securities in the future at a time and at a price that we might otherwise wish to effect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obligated to register for sale or resale certain shares of our common stock and/or warrants issued in conjunction with the Business Combination, and the perception that such sales may occur may cause the trading price for our common stock to fall.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registration pursuant to this prospectus of the common stock to be issued and sold to CCM under the ChEF Equity Facility, under various registration rights agreements, we are required to file and keep effective one or more separate registration statements registering the issuance to and resale by certain third parties of certain shares of common stock and/or warrants issued prior to, or in connection with, the Business Combination. These third parties include CNTQ’s Sponsor, members of our senior management, other large historic Legacy Dragonfly shareholders and our Term Loan Lenders (as defined herein). The shares being registered for resale into the public markets represent a substantial majority of our outstanding common stock as of September 18, 2023. Once such separate registration statements are effective, including this registration statement, the shareholders selling pursuant to such separate registration statements will determine the timing, pricing and rate at which they sell such shares into the public market and such sales could have a significant negative impact on the trading price of our common stock. Certain of the investors/lenders who have resale rights under such separate registration statements may have an incentive to sell because they purchased shares and/or warrants at prices below the CNTQ IPO offering price. As such, while sales by the shareholders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shareholders selling pursuant to such registration statements, the sale of shares by such shareholders, or the perception in the market that the shareholders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 Further, the 21,512,027 shares that may be resold and/or issued into the public markets pursuant to this prospectus represent approximately 37% of the shares of our common stock outstanding as of September 18, 2023. Any sales of such shares into the public market could have a significant negative impact on the trading price of our common stock. This impact may be heightened by the fact that sales to CCM will generally be at prices below the then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 Our management team may invest or spend the proceeds from sales of our common stock made pursuant to the Purchase Agreement in ways with which you may not agree or in ways which may not yield a significant return.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over the use of proceeds from the sale of shares to CCM pursuant to the Purchase Agreement, if any. We intend to use the net proceeds from the sale of shares to CCM pursuant to the Purchase Agreement, if any, for working capital and general corporate purposes. You will not have the opportunity, as part of your investment decision, to assess whether such proceeds are being used appropriately. The proceeds from the sale of shares to CCM pursuant to the Purchase Agreement, if any, may be used for corporate purposes that do not increase our operating results or enhance the value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common stock from CCM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timing, price and number of shares sold to CCM will vary depending on when we choose to sell shares, if any, to CCM. If and when we elect to sell common stock to CCM pursuant to the Purchase Agreement, after CCM has acquired such common stock, CCM may resell all, some or none of such shares at any time or from time to time in its sole discretion and at different prices. As a result, investors who purchase shares from CCM in this offering at different times will likely pay different prices for those shares. Investors may experience a decline in the value of the shares they purchase from CCM in this offering as a result of future sales made by us to CCM pursuant to the Purchase Agreement or for other reasons.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Existing Lithium-Ion Battery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future growth depends on the needs and success of our OEM’s and similar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including sales to OEM</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(as defined herein) with Keystone RV Company, the largest manufacturer of towable RVs in North America, Keystone has agreed to offer our storage solutions as an option to dealers and consumers on certain of its products. However, this arrangement may not deliver the anticipated benefits, as there are no firm purchase commitments, sales will continue to be made on a purchase order basis, and this arrangement may not be renewed. In addition, in July 2022, we agreed to a strategic investment by THOR Industries (“</w:t>
      </w:r>
      <w:r>
        <w:rPr>
          <w:rFonts w:ascii="Times New Roman;Times;Serif" w:hAnsi="Times New Roman;Times;Serif"/>
          <w:b/>
          <w:i w:val="false"/>
          <w:caps w:val="false"/>
          <w:smallCaps w:val="false"/>
          <w:sz w:val="20"/>
        </w:rPr>
        <w:t>THOR</w:t>
      </w:r>
      <w:r>
        <w:rPr>
          <w:rFonts w:ascii="Times New Roman;Times;Serif" w:hAnsi="Times New Roman;Times;Serif"/>
          <w:b w:val="false"/>
          <w:i w:val="false"/>
          <w:caps w:val="false"/>
          <w:smallCaps w:val="false"/>
          <w:sz w:val="20"/>
        </w:rPr>
        <w:t>”),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is not moving to a different solution or competitor, we do expect this change in strategy to have a material limiting effect on our revenue throughout the remainder of 2023. Increased overall RV OEM sales in the future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and renew our supply arrangements;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engage target customers successfully and convert these customers into meaningful orders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which we aim to convert into collaborations on custom designs and/or long-term contractual arrangements. However,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is not moving to a different solution or competitor, we do expect this change in strategy to have a material limiting effect on our revenue throughout the remainder of 2023. We may be unable to convert these relationships into meaningful orders or renew these arrangements going forward, which may require us to expend additional cost and management resources to engage other target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electric vehicle’s (“</w:t>
      </w:r>
      <w:r>
        <w:rPr>
          <w:rFonts w:ascii="Times New Roman;Times;Serif" w:hAnsi="Times New Roman;Times;Serif"/>
          <w:b/>
          <w:i w:val="false"/>
          <w:caps w:val="false"/>
          <w:smallCaps w:val="false"/>
          <w:sz w:val="20"/>
        </w:rPr>
        <w:t>EV</w:t>
      </w:r>
      <w:r>
        <w:rPr>
          <w:rFonts w:ascii="Times New Roman;Times;Serif" w:hAnsi="Times New Roman;Times;Serif"/>
          <w:b w:val="false"/>
          <w:i w:val="false"/>
          <w:caps w:val="false"/>
          <w:smallCaps w:val="false"/>
          <w:sz w:val="20"/>
        </w:rPr>
        <w:t>”) to our target markets.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in part, upon our ability to expand into additional end markets identified by us as opportunities for our LFP batteries. These markets include solar integration industrial,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two suppliers to provide our LFP cells and a single supplier for the manufacture of our battery management system. Any disruption in the operations of these key suppliers could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and we intend to continue to rely on these suppliers going forward.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our dependence on these third-party suppliers entails additional risks,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failure or unwillingness of third-party suppliers to comply with regulatory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 of supply agreements by the third-party suppliers;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misappropriation or disclosure of our proprietary information, including our trade secrets and know-how;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or nonrenewal of agreements by third-party suppliers at times that are costly or inconvenient for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accurately estimate future demand for our LFP batteries, and our failure to accurately predict our production requirements could result in additional costs or delays.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maintain an approximately nine-month supply of LFP cells and six-month supply of all other critical components by pre-ordering components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which would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and will likely continue to be, dependent on a single manufacturing facility. If our facility becomes inoperable for any reason, or our automation and expansion plans do not yield the desired effects, our ability to produce our products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99,000 square foot headquarters and manufacturing facility located in Reno, Nevada. We currently operate three LFP battery production lines, which has been sufficient to meet customer demand. If one or both production lines were to be inoperable for any period of time, we would face delays in meeting orders, which could prevent us from meeting demand or require us to incur unplanned costs, including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facility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Lithium-ion battery cells have been observed to catch fire or release smoke and flame, which may have a negative impact on our reputation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LFP batteries use LFP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product liability claims, which could harm our financial condition and liquidity if we are not able to successfully defend or insure against such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batteries include our proprietary battery management system, which relies on software and hardware manufactured by third parties that is complex and technical. In addition, Dragonfly IntelLigence, our battery communications system which we recently launched in the first quarter of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Solid-State Technology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engineering challenges in our attempts to develop and manufacture solid-state battery cells and these efforts may be delayed or fail which could reduce consumer spending which could negatively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purchase the battery cells incorporated into our LFP batteries and have no experience in manufacturing battery cells.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make significant investments in our continued research and development of solid-state battery technology development, and we may be unable to adequately control the costs associated with manufacturing our solid-state battery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solid-state batteries fail to perform as expected, our ability to further develop, market and sell our solid-state batteries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Supply Chain and Third-Party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associated with vendors from whom our products are sourced.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select these third-party vendors carefully, we do not control their actions or the manufacture of their products. Any problems caused by these third-parties,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change under the current U.S. administration, which could adversely affect our business, results of operations, effective income tax rate, liquidity, and net income.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imposition of tariffs by the U.S. has resulted in the adoption of tariffs by China on U.S. exports and could result in the adoption of tariffs by other countries as well. A resulting trade war could have a significant adverse effect on world trade and the global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disruption to the timely receipt of inventory could adversely impact sales or increase our transportation costs, which would decrease our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distribution and transportation network, including third-party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heavily upon our intellectual property portfolio. If we are unable to protect our intellectual property rights, our business and competitive position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defend ourselves against intellectual property infringement claims, which may be time-consuming and could cause us to incur substantial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Times;Serif" w:hAnsi="Times New Roman;Times;Serif"/>
          <w:b/>
          <w:i w:val="false"/>
          <w:caps w:val="false"/>
          <w:smallCaps w:val="false"/>
          <w:sz w:val="20"/>
        </w:rPr>
        <w:t>FTO</w:t>
      </w:r>
      <w:r>
        <w:rPr>
          <w:rFonts w:ascii="Times New Roman;Times;Serif" w:hAnsi="Times New Roman;Times;Serif"/>
          <w:b w:val="false"/>
          <w:i w:val="false"/>
          <w:caps w:val="false"/>
          <w:smallCaps w:val="false"/>
          <w:sz w:val="20"/>
        </w:rPr>
        <w:t>”)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using, making, having made, selling, having sold, developing, having developed or importing products that incorporate the infringed intellectual property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damages;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 license from the holder of the infringed intellectual property rights, which license may not be available on reasonable terms or at all;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 our processes or products, which may result in inferior products or processes.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uncertainty in global economic conditions, including the Russia-Ukraine conflict, could reduce consumer spending and disrupt our supply chain which could negatively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macroeconomic environment could be negatively affected by, among other things, the resurgence of COVID-19 or other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and other political tensions, and foreign governmental debt concerns. Such challenges have caused, and may continue to cause, uncertainty and instability in local economies and in global financial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recently, the closures of Silicon Valley Bank, or SVB, and Signature Bank and their placement into receivership with the Federal Deposit Insurance Corporation, or FDIC created bank-specific and broader financial institution liquidity risk and concerns. Although the Department of the Treasury, the Federal Reserve, and the FDIC jointly released a statement that depositors at SVB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loss of one or more members of our senior management team, other key personnel or our failure to attract additional qualified personnel may adversely affect our business and our ability to achieve our anticipated level of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the talent and services of Denis Phares, our Chief Executive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our growth effectively, we may be unable to execute our business plan, maintain high levels of customer service, or adequately address competitive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expand our business through acquisitions in the future, and any future acquisition may not be accretive and may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subject to a variety of environmental, health and safety rules that can bring scrutiny from regulatory agencies and increase our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From time to time, we may be involved in legal proceedings and commercial or contractual disputes, which could have an adverse impact on our profitability and consolidated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social and governance matters may cause us to incur additional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legislatures, government agencies and listing exchanges have mandated or proposed, and others may in the future further mandate, certain environmental, social and governance (“</w:t>
      </w:r>
      <w:r>
        <w:rPr>
          <w:rFonts w:ascii="Times New Roman;Times;Serif" w:hAnsi="Times New Roman;Times;Serif"/>
          <w:b/>
          <w:i w:val="false"/>
          <w:caps w:val="false"/>
          <w:smallCaps w:val="false"/>
          <w:sz w:val="20"/>
        </w:rPr>
        <w:t>ESG</w:t>
      </w:r>
      <w:r>
        <w:rPr>
          <w:rFonts w:ascii="Times New Roman;Times;Serif" w:hAnsi="Times New Roman;Times;Serif"/>
          <w:b w:val="false"/>
          <w:i w:val="false"/>
          <w:caps w:val="false"/>
          <w:smallCaps w:val="false"/>
          <w:sz w:val="20"/>
        </w:rPr>
        <w:t>”) disclosure or performance. For example, the Securities and Exchange Commission has proposed rules that would mandate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faced significant increased expenses and administrative burdens as a public company, which could have an adverse effect on our business,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faced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Public Company Accounting Oversight Board (United States) (“</w:t>
      </w:r>
      <w:r>
        <w:rPr>
          <w:rFonts w:ascii="Times New Roman;Times;Serif" w:hAnsi="Times New Roman;Times;Serif"/>
          <w:b/>
          <w:i w:val="false"/>
          <w:caps w:val="false"/>
          <w:smallCaps w:val="false"/>
          <w:sz w:val="20"/>
        </w:rPr>
        <w:t>PCAOB</w:t>
      </w:r>
      <w:r>
        <w:rPr>
          <w:rFonts w:ascii="Times New Roman;Times;Serif" w:hAnsi="Times New Roman;Times;Serif"/>
          <w:b w:val="false"/>
          <w:i w:val="false"/>
          <w:caps w:val="false"/>
          <w:smallCaps w:val="false"/>
          <w:sz w:val="20"/>
        </w:rPr>
        <w:t>”) and the securities exchanges and the listing standards of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have created new board committees, entered into new insurance policies and adopted new internal controls and disclosure controls and procedures. In addition, expenses associated with SEC reporting requirements continue to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Registration Statement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limited experience managing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members of our management team have limited to no experience managing a publicly traded company, interacting with public company investors and complying with the increasingly complex laws pertaining to public companies. Our management team has limited experience operating a public company. Our management team may not successfully or efficiently manage their new roles and responsibilities.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transition to a public company subjects us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former shell company, we face certain disadvantages relative to companies that pursued a traditional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CNTQ was a special purpose acquisition company (a “</w:t>
      </w:r>
      <w:r>
        <w:rPr>
          <w:rFonts w:ascii="Times New Roman;Times;Serif" w:hAnsi="Times New Roman;Times;Serif"/>
          <w:b/>
          <w:i w:val="false"/>
          <w:caps w:val="false"/>
          <w:smallCaps w:val="false"/>
          <w:sz w:val="20"/>
        </w:rPr>
        <w:t>SPAC</w:t>
      </w:r>
      <w:r>
        <w:rPr>
          <w:rFonts w:ascii="Times New Roman;Times;Serif" w:hAnsi="Times New Roman;Times;Serif"/>
          <w:b w:val="false"/>
          <w:i w:val="false"/>
          <w:caps w:val="false"/>
          <w:smallCaps w:val="false"/>
          <w:sz w:val="20"/>
        </w:rPr>
        <w:t>”), a form of shell company under the rules of the SEC. Shell companies are more highly regulated than non-shell operating companies and face significant additional restrictions on their activities under federal securities laws. As a result of the Business Combination, we ceased to be a shell company. However, companies that were formerly shell companies continue to face disadvantages under SEC rules, including (a) the inability to use Form S-3 until at least one year after the filing of information equivalent to that required by Form 10 after ceasing to be a shell company, (b) the inability to qualify as a “well-known seasoned issuer” and file automatically effective registration statements for three years after ceasing to be a shell company, (c) the inability to “incorporate by reference” information in certain registration statements filed under the Securities Act for a period of three years after ceasing to be a shell company, (d) the inability to use most free writing prospectuses until at least three years after a qualifying business combination, (e) the inability to use Form S-8 to register shares issuable in connection with certain compensatory plans and arrangements until 60 days after the filing of information equivalent to that required by Form 10, (f) the inability of stockholders to rely on Rule 144 for resales of securities until at least one year after the filing of information equivalent to that required by Form 10 and the provision of current public information, and (g) exclusion from certain safe harbors for offering-related communications under the Securities Act for three years after ceasing to be a shell company, including for research reports and certain communications in connection with business combinations. We expect that these disadvantages will make it more challenging and expensive, and create greater risks and delays, for both us and our stockholders to offer securities. These challenges may make our securities less attractive than those of companies that are not former shell companies and may raise our relative cost of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result of the Business Combination with a special purpose acquisition company, regulatory obligations may impact us differently than other publicly traded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became a publicly traded company by completing the Business Combination with CNTQ, a SPAC. As a result of the Business Combination, and the transactions contemplated thereby, our regulatory obligations have, and may continue, to impact us differently than other publicly traded companies. For instance, the SEC and other regulatory agencies may issue additional guidance or apply further regulatory scrutiny to companies like us that have completed a business combination with a SPAC. Managing this regulatory environment, which has and may continue to evolve, could divert management’s attention from the operation of our business, negatively impact our ability to raise additional capital when needed or have an adverse effect on the price of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Position and Capital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capital intensive, and we may not be able to raise additional capital on attractive terms, if at all. Any further indebtedness we incur may limit our operational flexibility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we had cash totaling $33.0 million. Our net loss for the quarters ended June 30, 2023 and 2022 was $11.7 million and $1.5 million, respectively, and our accumulated deficit as of June 30, 2023 was approximately $33.9 million.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(as defined herein) to provide additional capital to us. However, market conditions and certain restrictions contained in the agreements governing the ChEF Equity Facility and the Term Loan may limit our ability to access capital under such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incurrence of additional debt could adversely impact our business, including limiting our operational flexibility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making it difficult for us to pay other obligations;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increasing our cost of borrowing from other sources;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making it difficult to obtain favorable terms for any necessary future financing for working capital, capital expenditures, investments, acquisitions, debt service requirements, or other purposes;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restricting us from making acquisitions or causing us to make divestitures or similar transactions;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requiring us to dedicate a substantial portion of our cash flow from operations to service and repay our indebtedness, reducing the amount of cash flow available for other purposes;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placing us at a competitive disadvantage compared to our less leveraged competitors;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flexibility in planning for and reacting to changes in our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June 30, 2023, we had a net loss of $11.7 million and a negative cash flow from operations. As of June 30, 2023, we had approximately $33 million in cash and working capital of $30.6 million. Our ability to achieve profitability and positive cash flow depends on our ability to increase revenue, contain our expenses and maintain compliance with the financial covenants in our outstanding indebtedness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(as defined herein) and Term Loan Lenders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Absent additional financing, if we are unable to meet these covenants, we plan to work with the Term Loan Lenders to cure any future breaches. However, there can be no guarantee that we will be 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doubt about our ability to continue as a going concern may materially and adversely affect the price per share of our common stock and warrants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 If we are unable to continue as a going concern, we may be forced to liquidate our assets and the values we receive for our assets in liquidation or dissolution could be significantly lower than the values reflected in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governing our indebtedness restrict us from engaging in specified types of transactions. These restrictive covenants restrict our ability to, among other things:</w:t>
      </w:r>
    </w:p>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170"/>
        <w:gridCol w:w="93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incur additional indebtedness;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create or incur encumbrances or liens;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engage in consolidations, amalgamations, mergers, acquisitions, liquidations, dissolutions or dispositions;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 transfer or otherwise dispose of assets;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 dividends and distributions on, or purchase, redeem, defease, or otherwise acquire or retire for value, our stock.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Registration Statement, our management identified material weaknesses in our internal control over financial reporting relating to (i) an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a result of these material weaknesses, our management concluded that our internal control over financial reporting was not effective as of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process of developing a plan to remediate these material weaknesses. In 2021, we implemented an enterprise resource planning system and hired a new Chief Financial Officer. In 2022, we began to implement a comprehensive Sarbanes-Oxley Act compliance program, and we will continue to identify additional appropriate remediation measures. However, the material weaknesses will not be considered remediated until the remediation plan has been fully implemented, the applicable controls are fully operational for a sufficient period of time, and we have concluded, through testing, that the newly implemented and enhanced controls are operating effectively. At this time, we cannot predict the success of such efforts or the outcome of future assessments of the remediation efforts. Our efforts may not remediate these material weaknesses in internal controls over financial reporting,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and we are an 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we will be able to comply with the continued listing standards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currently listed on the Nasdaq Global Market and the Nasdaq Capital Market, respectively. There can be no assurance that we will be able to comply with the continued listing standards of Nasdaq. If Nasdaq delists our common stock from trading on its exchange for failure to meet the listing standards, our stockholders could face significant material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common stock is a “penny stock,” which would require brokers trading in such securities to adhere to more stringent rules, could adversely impact the value of our securities and/or possibly result in a reduced level of trading activity in the secondary trading market for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jc w:val="center"/>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sell all of the remaining unsold amount of shares of our common stock under the Purchase Agreement. In addition, if we issue substantially all of our available authorized shares of common stock pursuant to the Purchase Agreement, we will not be able to issue additional shares for future capital raising transactions or strategic transactions, for equity awards or pursuant to other transactions or agreements unless we obtain stockholder approval to amend our Articles of Incorporation to increase the number of authorized shares of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170,000,000 authorized shares of common stock under our Articles of Incorporation. As of September 18, 2023, we had: (i) 58,880,812 shares of common stock outstanding; (ii) 3,443,099 shares of common stock issuable upon the exercise of stock options outstanding;; (iii) 1,501,386 shares of common stock issuable upon the exercise of the Private Warrants; (iv) 9,422,519 shares of common stock issuable upon the exercise of the Public Warrants; (v) 593,056 shares of common stock issuable upon the exerciser of the Penny Warrants; (vi) 11,131,900 shares of common stock issuable upon the exercise of the Investor Warrants; (vii) 570,250 share of common stock issuable upon the exercise of the Underwriters’ Warrants; (viii) 40,000,000 shares of common stock reserved for future issuance as Earnout Shares; and (ix) 4,434,916 shares available for future issuance as awards under the 2022 Plan and ESPP, including 180,000 shares of common stock issuable upon the exercise of outstanding RSUs. As a result, as of September 18, 2023, we had approximately 40,022,062 authorized shares of common stock available and unreserved for future issuance.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limited number of authorized shares available for issuance, we may not be able to offer and sell all of the remaining unsold amount of shares of our common stock under the Purchase Agreement and this prospectus or in other future capital raising transactions or strategic transactions unless we obtain stockholder approval to amend our Articles of Incorporation to increase the number of shares we are authorized to issue. For example, if we were to issue the full $150,000,000 of shares being offered pursuant to this prospectus at a price per share of $1.77, the closing price of our common stock on September 18, 2023, we would need stockholder approval to increase the number of authorized shares of our common stock in order to issue the full amount of shares of our common stock that would be issuable at that price. If we determine that we need to seek stockholder approval to increase the number of authorized shares in the future, this may cause a delay in utilizing the ChEF Equity Facility and our future capital raising, collaboration, partnership or other strategic transactions, and/or we may be unable to obtain stockholder approval once sought, any of these events may have a material adverse effect on our business and financial condition. In addition, because our common stock is listed on The Nasdaq Global Market, we are subject to the Nasdaq Stock Market Rules, which may limit our ability to issue shares in certain instances without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resales of our outstanding securities may cause the market price of our securities to drop significantly, even if our business is doing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21,512,027 shares of common stock to be issued and sold to CCM in connection with the ChEF Equity Facility under this prospectus. The 21,512,027 shares that may be resold and/or issued into the public markets pursuant to the ChEF Equity Facility represent approximately 37% of the shares of our common stock outstanding as of September 18, 2023. Any sales of such shares into the public market could have a significant negative impact on the trading price of our common stock. This impact may be heightened by the fact that sales to CCM will generally be at prices below the then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filed registration statements registering the resale of up to 47,428,544 shares that may be sold and/or issued into the public markets by certain securityholders. The shares registered for resale into the public markets represent approximately 81% of 58,880,812 shares of our outstanding common stock as of September 18, 2023. The securityholders selling pursuant to the registration statements will determine the timing, pricing and rate at which they sell such shares into the public market and such sales could have a significant negative impact on the trading price of our common stock. Certain of the investors/lenders who have resale rights under such registration statements may have an incentive to sell because they purchased shares and/or warrants at prices below the CNTQ IPO offering price. As such, while sales by the securityholders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securityholders selling pursuant to such registration statements, the sale of shares by such securityholders, or the perception in the market that the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or publish negative reports,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meet the expectations of investors, stockholders or securities analysts, the market price of our securities may decline. In addition, fluctuations in the price of our securities could contribute to the loss of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our securities may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financial results or the quarterly financial results of companies perceived to be similar to ours;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market’s expectations about our operating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other public announcements and filings with the SEC;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speculation in the press or investment community;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developments in our business, competitors’ businesses or the competitive landscape generally;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innovations or new products developed by us or our competitors;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supply or distribution delays or shortages;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our relationship with any manufacturers, suppliers, licensors, future collaborators, or other strategic partners;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failing to meet the expectation of securities analysts or investors in a particular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and recommendations by securities analysts concerning us or the market in general;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and stock price performance of other companies that investors deem comparable to ours;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of, or involvement in, litigation involving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such as future issuances of securities or the incurrence of additional debt;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 of our common stock available for public sale;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 in our board of directors or management;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common stock by our directors, officers or significant stockholders or the perception that such sales could occur;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political conditions such as recessions, interest rates, “trade wars,” pandemics (such as COVID-19) and acts of war or terrorism (including the Russia-Ukraine conflict).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 Furthermore, our predecessor, CNTQ, was a SPAC. SPACs have been subject to increased regulatory oversight and scrutiny, including from the SEC. Any governmental or regulatory investigation or inquiry related to the Business Combination or otherwise could have a material adverse effect on our business and negatively affect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securities may not be available on a consistent basis to provide stockholders with adequate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exercise of outstanding warrants to acquire our common stock would increase the number of shares eligible for future resale in the public market and result in dilution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outstanding warrants to acquire our common stock will increase the number of shares eligible for future resale in the public market and result in dilution to our stockholders. As of September 18, 2023, there were (i) 9,422,519 shares of common stock issuable upon the exercise of outstanding Public Warrants at an exercise price of $11.50 per share; (ii) 1,501,386 shares of common stock issuable upon the exercise of outstanding Private Warrants at an exercise price of $11.50 per share; (iii) 593,056 shares of common stock issuable upon exercise of outstanding Penny Warrants at an exercise price of $0.01 per share; (iv) 11,131,900 shares of common stock issuable upon exercise of outstanding Investor Warrants at an exercise price of $2.00 per share; and (v) 570,250 shares of common stock issuable upon the exercise of the Underwriters’ Warrants at an exercise price of $2.50 per share. The $10 Warrants have been exercised in full and are no longer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Penny Warrants have price-based anti-dilution protection against subsequent equity sales or distributions at below $10.00 per share of common stock, subject to exclusions including for issuances upon conversion exercise or exchange of securities outstanding as of October 7, 2022, the closing date of the Business Combination,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 Under the terms of the Investor Warrants and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in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may fluctuate significantly, which makes our future operating results difficult to predict and could cause our operating results to fall below expectations or any guidance we may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convert these customers into meaningful orders in the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two suppliers for LFP cells and a single supplier for the manufacture of our battery management system;</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growth of the potential markets for our batteries and its ability to serve those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our attempts to develop and produce solid state battery cells;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demand for any products, which may vary significantly;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accounting pronouncements or changes in our accounting policies;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both nationally and locally;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change in the competitive landscape of our industry, including consolidation among our competitors or partners.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laws, regulations or rules, or a failure to comply with any laws, regulations or rules, may adversely affect our business, investments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Articles of Incorporation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designates specific courts as the exclusive forum for substantially all stockholder litigation matters, which could limit the ability of our stockholders to obtain a favorable forum for disputes with us or our directors, officers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NRS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Articles of Incorporation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could discourage another company from acquiring us and may prevent attempts by our stockholders to replace or remove our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divided into three classes, with each class serving staggered three-year terms, which may delay the ability of stockholders to change the membership of a majority of our board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may not act by written consent, which forces stockholder action to be taken at an annual or special meeting of stockholders;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meeting of stockholders may be called only by a majority of our board of directors, which may delay the ability of our stockholders to force consideration of a proposal or to take action, including the removal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prohibits cumulative voting in the election of directors, which limits the ability of minority stockholders to elect director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alter certain provisions of our Bylaws without obtaining stockholder approval;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holders of at least sixty-six and two-thirds percent (662∕3%) of our common shares entitled to vote at an election of our board of directors is required to adopt, amend, alter or repeal our Bylaws or amend, alter, change or repeal or adopt any provision of our Articles of Incorporation inconsistent with the provisions of our Articles of Incorporation regarding the election and removal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any decision to comply only with certain reduced reporting and disclosure requirements applicable to emerging growth companies could make our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have an independent registered public accounting firm audit our internal control over financial reporting under Section 404 of the Sarbanes-Oxley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regarding executive compensation in our periodic reports and annual report on Form 10-K;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of holding non-binding advisory votes on executive compensation and stockholder approval of any golden parachute payments not previously approved.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stockholders may not have access to certain information that they may deem important. Our status as an emerging growth company will end as soon as any of the following takes place:</w:t>
      </w:r>
    </w:p>
    <w:p>
      <w:pPr>
        <w:pStyle w:val="TextBody"/>
        <w:bidi w:val="0"/>
        <w:spacing w:before="0" w:after="0"/>
        <w:ind w:left="0" w:right="0" w:hanging="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75"/>
        <w:gridCol w:w="170"/>
        <w:gridCol w:w="97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in which we have at least $1.235 billion in annual revenue;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we qualify as a “large accelerated filer,” with at least $700.0 million of equity securities held by non-affiliates;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we have issued, in any three-year period, more than $1.0 billion in non-convertible debt securities;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ending after the fifth anniversary of our IPO.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comply with the requirements of the Sarbanes-Oxley Act, including, among other things, that we maintain effective disclosure controls and procedures and internal control over financial reporting. See “</w:t>
      </w:r>
      <w:r>
        <w:rPr>
          <w:rFonts w:ascii="Times New Roman;Times;Serif" w:hAnsi="Times New Roman;Times;Serif"/>
          <w:b w:val="false"/>
          <w:i/>
          <w:caps w:val="false"/>
          <w:smallCaps w:val="false"/>
          <w:sz w:val="20"/>
        </w:rPr>
        <w:t>We have identified material weaknesses in our internal control over financial reporting. These material weaknesses could continue to adversely affect our ability to report our results of operations and financial condition accurately and in a timely manner</w:t>
      </w:r>
      <w:r>
        <w:rPr>
          <w:rFonts w:ascii="Times New Roman;Times;Serif" w:hAnsi="Times New Roman;Times;Serif"/>
          <w:b w:val="false"/>
          <w:i w:val="false"/>
          <w:caps w:val="false"/>
          <w:smallCaps w:val="false"/>
          <w:sz w:val="20"/>
        </w:rPr>
        <w:t>.”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Unanticipated changes in effective tax rates or adverse outcomes resulting from examination of our income or other tax returns could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the valuation of our deferred tax assets and liabilities;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expected timing and amount of the release of any tax valuation allowances;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tax effects of stock-based compensation;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costs related to intercompany restructurings;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tax laws, regulations or interpretations thereof; or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lower than anticipated future earnings in jurisdictions where we have lower statutory tax rates and higher than anticipated future earnings in jurisdictions where we have higher statutory tax rates.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subject to audits of our income, sales and other transaction taxes by taxing authorities. Outcomes from these audits could have an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z_007"/>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common stock by CCM in this offering. We estimate that the gross proceeds to us from the sale of shares of our common stock to CCM pursuant to the Purchase Agreement will be up to $150 million over the term of the Purchase Agreement, assuming that we sell the full amount of shares of our common stock that we have the right, but not the obligation, to sell to CCM under the Purchase Agreement, and before other estimated fees and expenses. We may sell fewer than all of the shares of our common stock offered by this prospectus, in which case our net offering proceeds may be less. Because we are not obligated to sell any shares of our common stock under the Purchase Agreement, the actual total offering amount and proceeds to us, if any, are not determinable at this time. See “Plan of Distribution” elsewhere in this prospectus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CCM pursuant to the Purchase Agreement for the repayment of all or a portion of our outstanding debt and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timing of our actual expenditures will depend on numerous factors, including the factors described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and in any accompanying prospectus supplements,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the sale of shares of our common stock to CCM, if any, in short- and intermediate-term, interest-bearing obligations, investment-grade instruments, certificates of deposit or direct or guaranteed obligations of the U.S. government.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z_008"/>
      <w:bookmarkEnd w:id="9"/>
      <w:r>
        <w:rPr>
          <w:rFonts w:ascii="Times New Roman;Times;Serif" w:hAnsi="Times New Roman;Times;Serif"/>
          <w:b/>
          <w:i w:val="false"/>
          <w:caps w:val="false"/>
          <w:smallCaps w:val="false"/>
          <w:sz w:val="20"/>
        </w:rPr>
        <w:t>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our common stock to CCM pursuant to the Purchase Agreement will have a dilutive impact on our shareholders. In addition, the lower our stock price is at the time we exercise our right to sell shares to CCM, the more shares of common stock we will have to issue to CCM pursuant to the Purchase Agreement to receive up to $150 million of gross proceeds and our existing shareholders would experience greater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that CCM will pay for the shares to be resold pursuant to this prospectus will depend upon the timing of sales and will fluctuate based on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we had 58,504,541 outstanding shares of common stock. This total excludes:</w:t>
      </w:r>
    </w:p>
    <w:p>
      <w:pPr>
        <w:pStyle w:val="TextBody"/>
        <w:bidi w:val="0"/>
        <w:spacing w:before="0" w:after="0"/>
        <w:ind w:left="0" w:right="0" w:hanging="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170"/>
        <w:gridCol w:w="44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 Earnout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1,501,386 Private Warrants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9,422,529 Public Warrants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593,056 Penny Warrant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11,405,000 Investor Warrant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570,250 Underwriters’ Warrant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3,443,099 shares underlying outstanding options;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 shares underlying outstanding RSUs.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additional shares are issued pursuant to the foregoing, investors purchasing our shares in this offering will experience further dilution. In addition, the Penny Warrants contain price-based anti-dilution provisions. Depending on the nature and price of any equity issuances by us, the number of shares issuable upon the exercise of such warrants could be increased. In addition, we may offer other securities in other offerings due to market conditions or strategic considerations. To the extent we issue such securities, investors may experience further dilution.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z_009"/>
      <w:bookmarkEnd w:id="10"/>
      <w:r>
        <w:rPr>
          <w:rFonts w:ascii="Times New Roman;Times;Serif" w:hAnsi="Times New Roman;Times;Serif"/>
          <w:b/>
          <w:i w:val="false"/>
          <w:caps w:val="false"/>
          <w:smallCaps w:val="false"/>
          <w:sz w:val="20"/>
        </w:rPr>
        <w:t>MARKET PRICE AND DIVIDEND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Nasdaq under the symbol “DFLI” and our Public Warrants are currently listed on the Nasdaq Capital Market under the symbol “DFLIW.” As of September 18, 2023, the closing price of our common stock and Public Warrants was $1.77 and $0.15, respectively. As of September 18, 2023, there were 103 holders of record of our common stock and 35 holders of record of our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z_010"/>
      <w:bookmarkEnd w:id="11"/>
      <w:r>
        <w:rPr>
          <w:rFonts w:ascii="Times New Roman;Times;Serif" w:hAnsi="Times New Roman;Times;Serif"/>
          <w:b/>
          <w:i w:val="false"/>
          <w:caps w:val="false"/>
          <w:smallCaps w:val="false"/>
          <w:sz w:val="20"/>
        </w:rPr>
        <w:t>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Registration Statement to “Dragonfly,” the “Company,” “we,” “us,” or “our” mean Dragonfly Energy Holdings Corp. and its subsidiaries unless stated otherwise or the context otherwise indicates.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are designed to displace lead acid batteries in a number of different storage applications and end markets including RVs, marine vessel, solar and off-grid industries,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deep cycle LFP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glasses, which are chemically unstable and form hydrogen sulfide when exposed to air).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dual-brand strategy for battery products, Dragonfly Energy and Battle Born. Battle Born branded products are primarily sold direct to consumers, while the Dragonfly Energy brand is primarily sold to OEMs.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266,000 batteries. For the quarters ended June 30, 2023 and 2022, we sold 20,966 and 21,651 batteries, respectively, and had $19.3 million and $21.6 million in net sales, respectively. Over time, we have increased total sales through a combination of: increasing direct-to-consumer sales of batteries for RV applications; expanding into the marine vessels and off-grid storage markets with related DTC sales; selling batteries to RV OEMs; increasing sales to distributors; and reselling accessories for battery systems. Our RV OEM customers currently include Keystone, who offers our storage solutions as an option to dealers and consumers on certain of its products pursuant to a supply agreement (with potential annual renewals), THOR, who has made a strategic investment in our business and with whom we intend to enter into a future, mutually agreed exclusive North American distribution agreement with an initial term of two years (with potential annual renewals), Airstream, and REV, and we are in ongoing discussions with a number of additional RV OEMS to further increase adoption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offer a line of batteries across our “Battle Born” and “Dragonfly”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w:t>
      </w:r>
      <w:r>
        <w:rPr>
          <w:rFonts w:ascii="Times New Roman;Times;Serif" w:hAnsi="Times New Roman;Times;Serif"/>
          <w:b/>
          <w:i w:val="false"/>
          <w:caps w:val="false"/>
          <w:smallCaps w:val="false"/>
          <w:sz w:val="20"/>
        </w:rPr>
        <w:t>Thomason Jones</w:t>
      </w:r>
      <w:r>
        <w:rPr>
          <w:rFonts w:ascii="Times New Roman;Times;Serif" w:hAnsi="Times New Roman;Times;Serif"/>
          <w:b w:val="false"/>
          <w:i w:val="false"/>
          <w:caps w:val="false"/>
          <w:smallCaps w:val="false"/>
          <w:sz w:val="20"/>
        </w:rPr>
        <w:t>”) and the other parties thereto, we also acquired the assets, including Wakespeed of Thomason Jones, allowing us to include our own alternator regulator in systems that we sell.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battery packs are designed and assembled in-house in the United States. In April 2021, we opened our new 99,000 square foot facility in Reno, Nevada, allowing us to increase our production capacity and giving us the ability to increase sales to existing customers and penetrate new markets. Our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focus on three main consumer end markets: RVs, marine vessels and off-grid storage and, in the medium- to longer-term, we plan on expanding into several new markets. Within our current markets, our aim is to replace incumbent lead-acid batteries. Our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Our batteries are powertrain agnostic with the ability to operate on internal combustion engine vehicles or electric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proven sales and marketing strategy has allowed us to penetrate our current end markets efficiently. We use a variety of methods to educate consumers on the benefits of LFP batteries and why they are a better investment compared to the legacy lead-acid batteries currently found in our target end markets today. We also have an extensive social media program, where we partner with content creators in our target markets to share with consumers the benefits of our products. Lastly, we participate in a variety of industry productions, including features on RV podcasts and TV shows, and attend sponsored industry events such as the Bassmaster Classic, RV rallies and boat shows.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LFP batteries, our experienced research and development team, headed by our founder and Chief Executive Officer, is currently developing the next generation of LFP solid-state cells. Since our inception,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Many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 allowing us to vertically integrate our cells into our batteries, thereby lowering our production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businesses, organizations and individuals increasingly seek improved clean energy use and energy storage, we believe we are well-positioned to achieve our objectives of developing innovative technology to make clean energy accessible and affordable for everyone globally. We will continue to focus on our core competencies of providing innovative technology, expanding our brand portfolio and providing affordable, sustainable and accessible energy, all while being designed and manufactured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decades, lead-acid batteries have been the dominant player in power and energy markets worldwide. Since the introduction of the absorbed glass mat (“</w:t>
      </w:r>
      <w:r>
        <w:rPr>
          <w:rFonts w:ascii="Times New Roman;Times;Serif" w:hAnsi="Times New Roman;Times;Serif"/>
          <w:b/>
          <w:i w:val="false"/>
          <w:caps w:val="false"/>
          <w:smallCaps w:val="false"/>
          <w:sz w:val="20"/>
        </w:rPr>
        <w:t>AGM</w:t>
      </w:r>
      <w:r>
        <w:rPr>
          <w:rFonts w:ascii="Times New Roman;Times;Serif" w:hAnsi="Times New Roman;Times;Serif"/>
          <w:b w:val="false"/>
          <w:i w:val="false"/>
          <w:caps w:val="false"/>
          <w:smallCaps w:val="false"/>
          <w:sz w:val="20"/>
        </w:rPr>
        <w:t>”) lead-acid battery in the mid-1970s, the technological advancements in lead-acid battery technology have been limited. LFP batteries have numerous advantages over the incumbent lead-acid batteries used in today’s markets: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Environmentally Friendly, Socially Responsible and Safer.</w:t>
            </w:r>
            <w:r>
              <w:rPr>
                <w:rFonts w:ascii="Times New Roman;Times;Serif" w:hAnsi="Times New Roman;Times;Serif"/>
                <w:b w:val="false"/>
                <w:i w:val="false"/>
                <w:caps w:val="false"/>
                <w:smallCaps w:val="false"/>
                <w:sz w:val="20"/>
              </w:rPr>
              <w:t xml:space="preserve"> Lead-acid batteries that are not recycled or disposed of properly are extremely toxic 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Longer Lifespan. </w:t>
            </w:r>
            <w:r>
              <w:rPr>
                <w:rFonts w:ascii="Times New Roman;Times;Serif" w:hAnsi="Times New Roman;Times;Serif"/>
                <w:b w:val="false"/>
                <w:i w:val="false"/>
                <w:caps w:val="false"/>
                <w:smallCaps w:val="false"/>
                <w:sz w:val="20"/>
              </w:rPr>
              <w:t>Lithium-ion batteries have longer lifecycles compared to lead-acid batteries. LFP batteries are able to cycle (i.e., discharge and 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Power and Performance. </w:t>
            </w:r>
            <w:r>
              <w:rPr>
                <w:rFonts w:ascii="Times New Roman;Times;Serif" w:hAnsi="Times New Roman;Times;Serif"/>
                <w:b w:val="false"/>
                <w:i w:val="false"/>
                <w:caps w:val="false"/>
                <w:smallCaps w:val="false"/>
                <w:sz w:val="20"/>
              </w:rPr>
              <w:t>As new technologies evolve and people consume more electricity, the importance of battery power and performance 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Charging. </w:t>
            </w:r>
            <w:r>
              <w:rPr>
                <w:rFonts w:ascii="Times New Roman;Times;Serif" w:hAnsi="Times New Roman;Times;Serif"/>
                <w:b w:val="false"/>
                <w:i w:val="false"/>
                <w:caps w:val="false"/>
                <w:smallCaps w:val="false"/>
                <w:sz w:val="20"/>
              </w:rPr>
              <w:t>Lead-acid batteries were the first rechargeable batteries on the market. However, due to new advancements in energy density (i.e., the amount of energy stored by mass 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Maintenance-Free. </w:t>
            </w:r>
            <w:r>
              <w:rPr>
                <w:rFonts w:ascii="Times New Roman;Times;Serif" w:hAnsi="Times New Roman;Times;Serif"/>
                <w:b w:val="false"/>
                <w:i w:val="false"/>
                <w:caps w:val="false"/>
                <w:smallCaps w:val="false"/>
                <w:sz w:val="20"/>
              </w:rPr>
              <w:t>LFP batteries provide the benefit of being a maintenance-free option compared to lead-acid batteries. Unlike lead-acid 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 Frost and Sullivan report commissioned by us (“</w:t>
      </w:r>
      <w:r>
        <w:rPr>
          <w:rFonts w:ascii="Times New Roman;Times;Serif" w:hAnsi="Times New Roman;Times;Serif"/>
          <w:b/>
          <w:i w:val="false"/>
          <w:caps w:val="false"/>
          <w:smallCaps w:val="false"/>
          <w:sz w:val="20"/>
        </w:rPr>
        <w:t>Frost &amp; Sullivan</w:t>
      </w:r>
      <w:r>
        <w:rPr>
          <w:rFonts w:ascii="Times New Roman;Times;Serif" w:hAnsi="Times New Roman;Times;Serif"/>
          <w:b w:val="false"/>
          <w:i w:val="false"/>
          <w:caps w:val="false"/>
          <w:smallCaps w:val="false"/>
          <w:sz w:val="20"/>
        </w:rPr>
        <w:t>”), the total addressable market (“</w:t>
      </w:r>
      <w:r>
        <w:rPr>
          <w:rFonts w:ascii="Times New Roman;Times;Serif" w:hAnsi="Times New Roman;Times;Serif"/>
          <w:b/>
          <w:i w:val="false"/>
          <w:caps w:val="false"/>
          <w:smallCaps w:val="false"/>
          <w:sz w:val="20"/>
        </w:rPr>
        <w:t>TAM</w:t>
      </w:r>
      <w:r>
        <w:rPr>
          <w:rFonts w:ascii="Times New Roman;Times;Serif" w:hAnsi="Times New Roman;Times;Serif"/>
          <w:b w:val="false"/>
          <w:i w:val="false"/>
          <w:caps w:val="false"/>
          <w:smallCaps w:val="false"/>
          <w:sz w:val="20"/>
        </w:rPr>
        <w:t>”) of our three current end markets is estimated to be approximately $12 billion by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Recreational Vehicles. </w:t>
            </w:r>
            <w:r>
              <w:rPr>
                <w:rFonts w:ascii="Times New Roman;Times;Serif" w:hAnsi="Times New Roman;Times;Serif"/>
                <w:b w:val="false"/>
                <w:i w:val="false"/>
                <w:caps w:val="false"/>
                <w:smallCaps w:val="false"/>
                <w:sz w:val="20"/>
              </w:rPr>
              <w:t>The growth of the RV market is expected to continue to drive demand for LFP storage batteries. According to the 2022 RV Industry Association (“</w:t>
            </w:r>
            <w:r>
              <w:rPr>
                <w:rFonts w:ascii="Times New Roman;Times;Serif" w:hAnsi="Times New Roman;Times;Serif"/>
                <w:b/>
                <w:i w:val="false"/>
                <w:caps w:val="false"/>
                <w:smallCaps w:val="false"/>
                <w:sz w:val="20"/>
              </w:rPr>
              <w:t>RVIA</w:t>
            </w:r>
            <w:r>
              <w:rPr>
                <w:rFonts w:ascii="Times New Roman;Times;Serif" w:hAnsi="Times New Roman;Times;Serif"/>
                <w:b w:val="false"/>
                <w:i w:val="false"/>
                <w:caps w:val="false"/>
                <w:smallCaps w:val="false"/>
                <w:sz w:val="20"/>
              </w:rPr>
              <w:t>”) Annual Report, 22% of RV buyers are between the ages of 18 and 34. In addition, nearly a third of the respondents in the study (31%) are first-time owners, underscoring the growth of the industry in the past decade.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w:t>
            </w:r>
            <w:r>
              <w:rPr>
                <w:rFonts w:ascii="Times New Roman;Times;Serif" w:hAnsi="Times New Roman;Times;Serif"/>
                <w:b/>
                <w:i w:val="false"/>
                <w:caps w:val="false"/>
                <w:smallCaps w:val="false"/>
                <w:sz w:val="20"/>
              </w:rPr>
              <w:t>CAGR</w:t>
            </w:r>
            <w:r>
              <w:rPr>
                <w:rFonts w:ascii="Times New Roman;Times;Serif" w:hAnsi="Times New Roman;Times;Serif"/>
                <w:b w:val="false"/>
                <w:i w:val="false"/>
                <w:caps w:val="false"/>
                <w:smallCaps w:val="false"/>
                <w:sz w:val="20"/>
              </w:rPr>
              <w:t>”) of 5.6% from 2012 to 2022.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 LFP batteries. According to the RVIA’s 2021 RV Market Report, approximately 91% of wholesale RV units shipped in 2021 were towable units, representing a significant growth opportunity for LFP batteries.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Marine Vessels.</w:t>
            </w:r>
            <w:r>
              <w:rPr>
                <w:rFonts w:ascii="Times New Roman;Times;Serif" w:hAnsi="Times New Roman;Times;Serif"/>
                <w:b w:val="false"/>
                <w:i w:val="false"/>
                <w:caps w:val="false"/>
                <w:smallCaps w:val="false"/>
                <w:sz w:val="20"/>
              </w:rPr>
              <w:t xml:space="preserve"> As boating becomes more popular in North America, the need for a reliable, non-flammable energy storage system is becoming increasingly apparent. According 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Off-Grid Residences. </w:t>
            </w:r>
            <w:r>
              <w:rPr>
                <w:rFonts w:ascii="Times New Roman;Times;Serif" w:hAnsi="Times New Roman;Times;Serif"/>
                <w:b w:val="false"/>
                <w:i w:val="false"/>
                <w:caps w:val="false"/>
                <w:smallCaps w:val="false"/>
                <w:sz w:val="20"/>
              </w:rPr>
              <w:t>Many people are turning to off-grid housing and, as individuals and governments become more conscious of their carbon footprint, a shift towards 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w:t>
            </w:r>
            <w:r>
              <w:rPr>
                <w:rFonts w:ascii="Times New Roman;Times;Serif" w:hAnsi="Times New Roman;Times;Serif"/>
                <w:b/>
                <w:i w:val="false"/>
                <w:caps w:val="false"/>
                <w:smallCaps w:val="false"/>
                <w:sz w:val="20"/>
              </w:rPr>
              <w:t>SEIA</w:t>
            </w:r>
            <w:r>
              <w:rPr>
                <w:rFonts w:ascii="Times New Roman;Times;Serif" w:hAnsi="Times New Roman;Times;Serif"/>
                <w:b w:val="false"/>
                <w:i w:val="false"/>
                <w:caps w:val="false"/>
                <w:smallCaps w:val="false"/>
                <w:sz w:val="20"/>
              </w:rPr>
              <w:t>”),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Addressable Adjacent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Industrial / Material Handlings / Work Truck.</w:t>
            </w:r>
            <w:r>
              <w:rPr>
                <w:rFonts w:ascii="Times New Roman;Times;Serif" w:hAnsi="Times New Roman;Times;Serif"/>
                <w:b w:val="false"/>
                <w:i w:val="false"/>
                <w:caps w:val="false"/>
                <w:smallCaps w:val="false"/>
                <w:sz w:val="20"/>
              </w:rPr>
              <w:t xml:space="preserve"> The industrial vehicle market includes work trucks, material handling and warehousing equipment and compact construction equipment. As industrial vehicles increase in terms of automation and incorporate more onboard tools, the need for a long-lasting,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Specialty Vehicles. </w:t>
            </w:r>
            <w:r>
              <w:rPr>
                <w:rFonts w:ascii="Times New Roman;Times;Serif" w:hAnsi="Times New Roman;Times;Serif"/>
                <w:b w:val="false"/>
                <w:i w:val="false"/>
                <w:caps w:val="false"/>
                <w:smallCaps w:val="false"/>
                <w:sz w:val="20"/>
              </w:rPr>
              <w:t>According to Mordor Intelligence, as of 2019, approximately 40% of the specialty vehicle market in the United States consists 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Emergency and Standby Power.</w:t>
            </w:r>
            <w:r>
              <w:rPr>
                <w:rFonts w:ascii="Times New Roman;Times;Serif" w:hAnsi="Times New Roman;Times;Serif"/>
                <w:b w:val="false"/>
                <w:i w:val="false"/>
                <w:caps w:val="false"/>
                <w:smallCaps w:val="false"/>
                <w:sz w:val="20"/>
              </w:rPr>
              <w:t xml:space="preserve"> Demand for reliable emergency and standby power sources is expected to continue to drive demand for effective 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Telecom. </w:t>
            </w:r>
            <w:r>
              <w:rPr>
                <w:rFonts w:ascii="Times New Roman;Times;Serif" w:hAnsi="Times New Roman;Times;Serif"/>
                <w:b w:val="false"/>
                <w:i w:val="false"/>
                <w:caps w:val="false"/>
                <w:smallCaps w:val="false"/>
                <w:sz w:val="20"/>
              </w:rPr>
              <w:t>Demand for mobile data continues to increase and network providers are investing heavily in 5G networks, particularly in unserved and 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Rail. </w:t>
            </w:r>
            <w:r>
              <w:rPr>
                <w:rFonts w:ascii="Times New Roman;Times;Serif" w:hAnsi="Times New Roman;Times;Serif"/>
                <w:b w:val="false"/>
                <w:i w:val="false"/>
                <w:caps w:val="false"/>
                <w:smallCaps w:val="false"/>
                <w:sz w:val="20"/>
              </w:rPr>
              <w:t>Rail transportation is a large potential market, with an estimated U.S. market size of $110.1 billion in 2023, according to IBISWorld. Many 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Data Centers.</w:t>
            </w:r>
            <w:r>
              <w:rPr>
                <w:rFonts w:ascii="Times New Roman;Times;Serif" w:hAnsi="Times New Roman;Times;Serif"/>
                <w:b w:val="false"/>
                <w:i w:val="false"/>
                <w:caps w:val="false"/>
                <w:smallCaps w:val="false"/>
                <w:sz w:val="20"/>
              </w:rPr>
              <w:t xml:space="preserve"> Data centers have seen strong growth in recent years, with over 5,000 data centers in the United States as of September 2023 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On-grid Storage. </w:t>
            </w:r>
            <w:r>
              <w:rPr>
                <w:rFonts w:ascii="Times New Roman;Times;Serif" w:hAnsi="Times New Roman;Times;Serif"/>
                <w:b w:val="false"/>
                <w:i w:val="false"/>
                <w:caps w:val="false"/>
                <w:smallCaps w:val="false"/>
                <w:sz w:val="20"/>
              </w:rPr>
              <w:t>On-grid energy storage is used on a large-scale platform within an electrical power grid in conjunction with variable renewable 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450 MWh in 2020.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Premier Lithium-Ion Battery Technology.</w:t>
            </w:r>
            <w:r>
              <w:rPr>
                <w:rFonts w:ascii="Times New Roman;Times;Serif" w:hAnsi="Times New Roman;Times;Serif"/>
                <w:b w:val="false"/>
                <w:i w:val="false"/>
                <w:caps w:val="false"/>
                <w:smallCaps w:val="false"/>
                <w:sz w:val="20"/>
              </w:rPr>
              <w:t xml:space="preserve"> Each of our innovative batteries features custom designed components to enhance power and 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Extensive, Growing Patent Portfolio.</w:t>
            </w:r>
            <w:r>
              <w:rPr>
                <w:rFonts w:ascii="Times New Roman;Times;Serif" w:hAnsi="Times New Roman;Times;Serif"/>
                <w:b w:val="false"/>
                <w:i w:val="false"/>
                <w:caps w:val="false"/>
                <w:smallCaps w:val="false"/>
                <w:sz w:val="20"/>
              </w:rPr>
              <w:t xml:space="preserve"> We have developed and filed patent applications on commercially relevant aspects of our business including chemical compositions systems and production processes. To date, we have owned 28 issued patents, with an additional 46 patent applications pending, in the United States, China, Europe, Australia, Canada and other countries and regions.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Proven Go-To-Market Strategy.</w:t>
            </w:r>
            <w:r>
              <w:rPr>
                <w:rFonts w:ascii="Times New Roman;Times;Serif" w:hAnsi="Times New Roman;Times;Serif"/>
                <w:b w:val="false"/>
                <w:i w:val="false"/>
                <w:caps w:val="false"/>
                <w:smallCaps w:val="false"/>
                <w:sz w:val="20"/>
              </w:rPr>
              <w:t xml:space="preserve"> We have successfully established a direct-to-consumer platform and have developed strong working relationships with major RV OEMs, custom designing products for new and existing applications. We see opportunities to continue to leverage our success in the aftermarket to expand our relationships to other leading OEMs and distributors while further enhancing our direct-to-consumer offerings. Extensive informational videos and exceptional customer service provide sales, technical and hands-on service support to facilitate consumer transition from traditional lead-acid or incumbent lithium-ion batteries to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Established Customer Base with Brand Recognition.</w:t>
            </w:r>
            <w:r>
              <w:rPr>
                <w:rFonts w:ascii="Times New Roman;Times;Serif" w:hAnsi="Times New Roman;Times;Serif"/>
                <w:b w:val="false"/>
                <w:i w:val="false"/>
                <w:caps w:val="false"/>
                <w:smallCaps w:val="false"/>
                <w:sz w:val="20"/>
              </w:rPr>
              <w:t xml:space="preserve"> We have a growing customer base of more than 15,000 customers featuring OEMs, 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RV OEMs (with a CAGR of over 135% since 2020) with visibility for future growth through further expansion of our existing relationships.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High Quality Manufacturing Process.</w:t>
            </w:r>
            <w:r>
              <w:rPr>
                <w:rFonts w:ascii="Times New Roman;Times;Serif" w:hAnsi="Times New Roman;Times;Serif"/>
                <w:b w:val="false"/>
                <w:i w:val="false"/>
                <w:caps w:val="false"/>
                <w:smallCaps w:val="false"/>
                <w:sz w:val="20"/>
              </w:rPr>
              <w:t xml:space="preserve"> Unlike competitors that outsource their manufacturing processes, our batteries are designed, assembled and tested in the United States, ensuring that our manufacturing process is thoroughly tested and our batteries are of the highest quality as a result of governmental regulations for performance and safety.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Drop-in Replacement. </w:t>
            </w:r>
            <w:r>
              <w:rPr>
                <w:rFonts w:ascii="Times New Roman;Times;Serif" w:hAnsi="Times New Roman;Times;Serif"/>
                <w:b w:val="false"/>
                <w:i w:val="false"/>
                <w:caps w:val="false"/>
                <w:smallCaps w:val="false"/>
                <w:sz w:val="20"/>
              </w:rPr>
              <w:t>Our battery modules are largely designed to be “drop-in replacements” for traditional lead-acid batteries, which means that 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leverage our competitive strengths, technology leadership and market share position to pursue our growth strategy through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Expand Product Offerings. </w:t>
            </w:r>
            <w:r>
              <w:rPr>
                <w:rFonts w:ascii="Times New Roman;Times;Serif" w:hAnsi="Times New Roman;Times;Serif"/>
                <w:b w:val="false"/>
                <w:i w:val="false"/>
                <w:caps w:val="false"/>
                <w:smallCaps w:val="false"/>
                <w:sz w:val="20"/>
              </w:rPr>
              <w:t>In the short-term, our aim is to further diversify our product offerings to give consumers, as well as OEMs and distributors, more options for additional applications. We intend to launch and scale production of additional 12 voltage and 24 voltage batteries and we have recently introduced 48 voltage battery systems, which we believe will extend our market reach in each of our targeted end markets. Moreover, in the first quarter of 2023, we launched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Expand End Markets. </w:t>
            </w:r>
            <w:r>
              <w:rPr>
                <w:rFonts w:ascii="Times New Roman;Times;Serif" w:hAnsi="Times New Roman;Times;Serif"/>
                <w:b w:val="false"/>
                <w:i w:val="false"/>
                <w:caps w:val="false"/>
                <w:smallCaps w:val="false"/>
                <w:sz w:val="20"/>
              </w:rPr>
              <w:t>We have identified additional end markets that we believe in the medium- to longer-term will increasingly look to alternative energy solutions, such as LFP batteries. Markets, such as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Commercialize Solid-State Technology.</w:t>
            </w:r>
            <w:r>
              <w:rPr>
                <w:rFonts w:ascii="Times New Roman;Times;Serif" w:hAnsi="Times New Roman;Times;Serif"/>
                <w:b w:val="false"/>
                <w:i w:val="false"/>
                <w:caps w:val="false"/>
                <w:smallCaps w:val="false"/>
                <w:sz w:val="20"/>
              </w:rPr>
              <w:t xml:space="preserve"> We believe solid-state technology presents a significant advantage to all products currently on the market, 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 and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Chemistry Comparison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dominant battery chemistries in the lithium-ion market that can be used for different purposes. Two widely adopted chemistries found in the market today are nickel manganese cobalt (“</w:t>
      </w:r>
      <w:r>
        <w:rPr>
          <w:rFonts w:ascii="Times New Roman;Times;Serif" w:hAnsi="Times New Roman;Times;Serif"/>
          <w:b/>
          <w:i w:val="false"/>
          <w:caps w:val="false"/>
          <w:smallCaps w:val="false"/>
          <w:sz w:val="20"/>
        </w:rPr>
        <w:t>NMC</w:t>
      </w:r>
      <w:r>
        <w:rPr>
          <w:rFonts w:ascii="Times New Roman;Times;Serif" w:hAnsi="Times New Roman;Times;Serif"/>
          <w:b w:val="false"/>
          <w:i w:val="false"/>
          <w:caps w:val="false"/>
          <w:smallCaps w:val="false"/>
          <w:sz w:val="20"/>
        </w:rPr>
        <w:t>”), and nickel cobalt aluminum (“</w:t>
      </w:r>
      <w:r>
        <w:rPr>
          <w:rFonts w:ascii="Times New Roman;Times;Serif" w:hAnsi="Times New Roman;Times;Serif"/>
          <w:b/>
          <w:i w:val="false"/>
          <w:caps w:val="false"/>
          <w:smallCaps w:val="false"/>
          <w:sz w:val="20"/>
        </w:rPr>
        <w:t>NCA</w:t>
      </w:r>
      <w:r>
        <w:rPr>
          <w:rFonts w:ascii="Times New Roman;Times;Serif" w:hAnsi="Times New Roman;Times;Serif"/>
          <w:b w:val="false"/>
          <w:i w:val="false"/>
          <w:caps w:val="false"/>
          <w:smallCaps w:val="false"/>
          <w:sz w:val="20"/>
        </w:rPr>
        <w:t>”). The higher energy density and shorter cycle life found in NMC and NCA batteries are suitable for markets where fast charging and high energy density are required, such as EV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0" cy="1438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86400" cy="14382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NMC batteries are highly dependent on two metals that present significant constraints — nickel, which is facing an industry-wide shortage, and cobalt, a large percentage of which comes from conflict-ridden countries. According to an article by McKinsey &amp; Company titled “</w:t>
      </w:r>
      <w:r>
        <w:rPr>
          <w:rFonts w:ascii="Times New Roman;Times;Serif" w:hAnsi="Times New Roman;Times;Serif"/>
          <w:b w:val="false"/>
          <w:i/>
          <w:caps w:val="false"/>
          <w:smallCaps w:val="false"/>
          <w:sz w:val="20"/>
        </w:rPr>
        <w:t>Lithium and Cobalt: A tale of two commodities</w:t>
      </w:r>
      <w:r>
        <w:rPr>
          <w:rFonts w:ascii="Times New Roman;Times;Serif" w:hAnsi="Times New Roman;Times;Serif"/>
          <w:b w:val="false"/>
          <w:i w:val="false"/>
          <w:caps w:val="false"/>
          <w:smallCaps w:val="false"/>
          <w:sz w:val="20"/>
        </w:rPr>
        <w:t>”, global forecasts for cobalt show supply shortages arising as early as 2022, slowing down NMC battery growth.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higher for LFP batteries, compared to NMC and NCA batteries, making LFP batteries less flammable and safer.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Solid-State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LFP batteries are not without their disadvantages. While less flammable than other chemistries, the existence of a flammable liquid electrolyte still poses safety risks. Like all liquid-based lithium-ion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offer non-toxic deep cycle LFP batteries for use in the RV, marine vessel and off-grid storage markets. We believe that the innovative design of our LFP batteries is ideally suited for the demands of modern customers who rely on consumer electronics, connected devices and smart appliances that require continuous, reliable electricity. We also offer chargers and other accessories either individually or as part of bundled packages.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core products are LFP battery modules with a built-in battery management system offered under two brand names: Dragonfly Energy, which sells primarily to OEMs, and Battle Born Batteries, which sells primarily direct to consumers and increasingly to OEMs. We currently offer seven LFP battery models across our two brands, each differentiated by size, power and capacity, consisting of seven different models, four of which come with a heated option. The following chart highlights the key features of each of our models: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381750" cy="2952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381750" cy="29527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battery model is capable of being discharged to a 100% depth of discharge and takes approximately five hours to charge to full capacity, which is five times faster than a traditional lead-acid battery. Each module is designed to last between 3,000 and 5,000 cycles, at which point the battery still holds 75% to 80% of its energy capacity. This equates to approximately 10 to 15 years of use (under typical conditions), which is why each battery comes with an industry-leading 10-year full replacement manufacturers’ defect warranty. Our battery modules are largely designed to be “drop-in replacements” for traditional lead-acid batteries, which means that they are designed to fit standard RV or marine vessel configurations without any adjustments. Our LFP batteries are versatile and designed to be compatible not just with standard chargers, but also with wind and solar power systems, and to be modular, and can be combined in series or in parallel depending on customer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certain of our battery models as an internally heated battery, which utilizes our proprietary technology to maintain optimal internal settings in cold weather conditions, allowing customers to charge the battery even in low temperatures. The unique heating technology does not require an external energy source and the self-regulating internal heater is only activated when needed, minimizing energy drain and extending the useful life of the battery. Unlike traditional batteries, our batteries are maintenance free and do not require cleaning, adding of water or venting for “off gassing”.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of 2022, we acquired the assets and intellectual property portfolio of Thomason Jones Company, LLC, including Wakespeed, in a move that provides our OEM arm and consumer brand, Battle Born Batteries, the ability to offer complete alternator-connected systems for marine and RV consumers and manufacturers. Wakespeed offers a unique alternator regulator and several other devices focused on energy systems that are charged by a vehicle alternator. Wakespeed’s product line continues to be offered to specialty OEM manufacturers and customers but is now additionally offered alongside the innovative product lines of Dragonfly Energy and Battle Born Batteries.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core battery products, we offer customers a number of adjacent products and accessories manufactured by third parties. We offer a range of charging components that are designed for every application: inverter chargers (which allow users to recharge a DC battery bank with AC power and also turn DC battery power into AC power), converter chargers (which allow users to charge from an AC power source) and solar charge controllers (which manage power transfer from solar arrays to battery banks).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customers a full suite of accessories and components to facilitate the installation of our products. These include plugs, fuses, cables, adapters, sensors and interfaces pictured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0" cy="2343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86400" cy="23431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specially designed bundled packages of battery modules and accessories tailored to specific applications for both RVs, marine vessels and off-grid residences, ranging in price from $675 to over $19,000, as shown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0" cy="2124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86400" cy="21240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our batteries being designed and assembled exclusively in-house, we are able to guarantee that we deliver high-quality batteries to customers. We test our products to ensure they meet federal and local governmental regulations for both performance and safety. Our testing and compliance with required standards and measurements are validated by a third-party lab, which includes UL Standard 2054, IEC 62133 and the UN 38.3 shipping 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Battery Management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enables batteries to draw power under 135 degrees Fahrenheit, and is designed to cut off charging at 24 degrees Fahrenheit to protect cells;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actively monitors the rate of change of currents to detect and prevent short circuiting, and also protects against potential ground faults;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allows for up to an average of 300 amps continuously, 500 amp surges for 30 seconds, and momentary, half second maximum capacity surges;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170"/>
        <w:gridCol w:w="82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enables batteries to recharge even if completely drained;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2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utilizes larger resistors to ensure balanced loads to improve performance and extend useful life;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2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facilitates scalability by enabling batteries to be combined in parallel and in series.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Battery Communication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the Dragonfly IntelLigence product line to customers as an adjacent component and in our product bundles during the fourth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Alternator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allows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our current battery modules, we have several LFP products in development that will enable us to access additional end markets.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New Products.</w:t>
            </w:r>
            <w:r>
              <w:rPr>
                <w:rFonts w:ascii="Times New Roman;Times;Serif" w:hAnsi="Times New Roman;Times;Serif"/>
                <w:b w:val="false"/>
                <w:i w:val="false"/>
                <w:caps w:val="false"/>
                <w:smallCaps w:val="false"/>
                <w:sz w:val="20"/>
              </w:rPr>
              <w:t xml:space="preserve"> Our current offerings feature battery products that serve the RV, marine vessel and off-grid markets. Although manufacturing operations were previously capacity constrained the expansion into our manufacturing facility will allow us to add production capacity and increase product offerings and scale based on demand.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current batteries are 12 voltage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offer 48 voltage batteries at 100 amp hours that utilize the Dragonfly IntelLigence system to maintain balance and full visibility into the status of all cells.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System Integrator. </w:t>
            </w:r>
            <w:r>
              <w:rPr>
                <w:rFonts w:ascii="Times New Roman;Times;Serif" w:hAnsi="Times New Roman;Times;Serif"/>
                <w:b w:val="false"/>
                <w:i w:val="false"/>
                <w:caps w:val="false"/>
                <w:smallCaps w:val="false"/>
                <w:sz w:val="20"/>
              </w:rPr>
              <w:t>A natural evolution of our business is to offer customers a system integration solution providing more efficient power solutions at a cost-effective price point. 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We believe that solid-state batteries present a significant advantage to all products currently on the market, with the potential to be lighter, smaller, safer and cheaper. Since our founding, our research team, led by our founder and CEO, has been developing solid-state cell manufacturing technology and we aim to be a fully vertically integrated solid-state battery manufacturer. We have successfully tested and are currently in the process of optimizing the composite materials that comprise the cathode, anode and electrolyte of the all-solid-state battery. In addition, we are one of the only companies to focus on a true solid-state chemistry that conducts lithium with sufficiently high conductivity and cycles lithium phosphate against graphite with positive results, and are in the process of testing more complicated layered electrolyte compositions to maximize our cycling and power results. Our aim is to begin producing solid-state pouch cells from a pilot production line by early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to current lithium-ion technology, where lithium-ions cross a liquid electrolyte barrier between a battery’s anode (negative electrode) and cathode (positive electrode), solid-state batteries aim to use a solid electrolyte to regulate the lithium-ions. Our solid-state batteries are designed to be multilayered pouch cells comprised of highly integrated layers of catholyte, electrolyte and anolyte contained within industry standard aluminum foil at the cathode and industry standard copper or nickel foil at the anode, which are then combined into larger battery packs. An illustrative solid-state cell is shown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238500" cy="2190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238500" cy="2190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proprietary processes, systems and materials that are protected by issued patents and pending patent applications that we believe place us at the forefront of solid-state storage-focused battery technology. Our cells utilize a layered electrolyte design, which increases stability by forming a stable solid electrolyte interface at both electrodes. Rather than requiring a solid-state separator, we have designed a patent-pending spray drying process that encapsulates each grain of cathode (LFP) or anode (graphite) with a solid electrolyte, which completely integrates the solid-state component, creating higher interface density and, therefore, more effective connectivity. In addition, our cathodes and anodes do not require any liquid component, making this truly solid-state. In lieu of lithium metal, our cathode component incorporates an intercalation material, such as graphite or silicon. This mitigates the risk of forming lithium dendrites, which degrades cell performance and could potentially cause an internal short circuit.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524250" cy="2533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524250" cy="2533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utilization of our innovative, completely dry powder deposition technology in our manufacturing process is expected to result in faster manufacturing times with lower upfront capital costs due to the elimination of expensive dryers and vacuum ovens. We believe this will allow our production process to shift from batch production and convert to continuous production faster than our competitors. Our spray powder coating application is highly automated, allowing us to utilize less space and fix overhead costs while increasing the precision of our products and manufacturing capacity of the facility. Our manufacturing process is modular, allowing us to scale up depending upon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integrate our initial solid-state cells into Dragonfly Energy and Battle Born batteries and eventually scale to mass production of solid-state cells. We aim to be a vertically integrated LFP solid-state cell manufacturer with our technology incorporated into our own-branded products for sale to our own customers (including our OEM customers) but also other battery manufacturers.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Headquarters, Manufacturing and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is located in our 99,000 square foot manufacturing facility in Reno, Nevada. The lease for this building was entered into on March 1, 2021 and expires on April 30, 2026. We do not own any real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facility provides a streamlined, partially autonomous production process for our current batteries, which comprises module assembly and battery assembly. We currently have two production lines,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 is set out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5486400" cy="1038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486400" cy="10382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 is divided into two aspects: (i) module assembly and (ii)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discharged to empty, recharged to full charge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2022, we entered into a 124-month lease for an additional 390,240 square foot warehouse, which, once built, we intend to utilize for the manufacture of our solid-state batteries.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look toward the production of our solid-state cells, we have signed a non-binding Memorandum of Understanding with a lithium mining company and a lithium recycling company, both located in Nevada for the supply of lithium.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 RV OEM Strategic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serve more than 15,000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2022 and 2021, OEM sales represented 39.2% and 10.5% of our total revenues,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deep, long-standing relationships with many of our customers. We also have a diverse customer base, with our top 10 customers accounting for 36.3% of our revenue for the year ended December 31, 2022. Our customers primarily utilize our products for RVs, marine vessels and off-grid residences. We work directly with OEMs to ensure compatibility with existing designs and also collaborate on custom designs for new applications.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w:t>
      </w:r>
      <w:r>
        <w:rPr>
          <w:rFonts w:ascii="Times New Roman;Times;Serif" w:hAnsi="Times New Roman;Times;Serif"/>
          <w:b/>
          <w:i w:val="false"/>
          <w:caps w:val="false"/>
          <w:smallCaps w:val="false"/>
          <w:sz w:val="20"/>
        </w:rPr>
        <w:t>Supply Agreement</w:t>
      </w:r>
      <w:r>
        <w:rPr>
          <w:rFonts w:ascii="Times New Roman;Times;Serif" w:hAnsi="Times New Roman;Times;Serif"/>
          <w:b w:val="false"/>
          <w:i w:val="false"/>
          <w:caps w:val="false"/>
          <w:smallCaps w:val="false"/>
          <w:sz w:val="20"/>
        </w:rPr>
        <w:t>”). Under the Supply Agreement, we are a supplier to Keystone for certain of its future LFP battery requirements, solidifying our long-standing relationship with Keystone. In July of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is not moving to a different solution or competitor, we do expect this change in strategy to have a material limiting effect on our revenue throughout the remainder of 2023. DTC revenue was $20.0 million for the six months ended June 30, 2023, compared to $29.5 million for the six months ended June 30, 2022, a decrease of $9.5 million as a result of decreased customer demand for our products due to rising interest rates and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we strengthened our ties with the THOR group of RV OEMs when (i) THOR Industries made a $15,000,000 strategic investment in us and (ii) we agreed to enter into a future, mutually agreed distribution arrangement and joint IP development arrangement. This arrangement and the Keystone arrangement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seek to grow our customer base within our existing segments; however, we also believe that our products are well suited to address the needs in additional segments, including residential, commercial and/or industrial standby power,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proven sales and marketing strategy has allowed us to penetrate our current end markets efficiently. We use a variety of methods to educate consumers on the benefits of LFP batteries and why they are a better investment compared to the legacy lead-acid batteries found in our target end markets today. Through informational videos found on our website and social media platforms that educate consumers on the benefits of LFP batteries and various “DIY” videos, we assist consumers on what they need for their battery system and how to install and use batteries and accessories.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a multi-pronged sales and marketing strategy to ensure that the Dragonfly Energy, Battle Born and Wakespeed brands are at the forefront of their respective end markets. We have established strong relationships, particularly in the RV industry, through participation in trade shows and other sponsored industry events, which have allowed us to reach both OEMs and retail customers and ensure we are aware of evolving customer preferences. We are then able to leverage this customer feedback to collaborate with major OEMs to custom design products for new and existing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traditional print and media advertising, we have leveraged the growing influence of social media (such as YouTube, Instagram and Facebook) and professional influencers to increase market awareness of our brands. We work closely with these influencers to create a lasting relationship that showcases the performance of our products, rather than one-off promotions. Our products have also been featured in television shows and on podcasts that cater specifically to RV enthusiasts.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value our direct relationships with retail customers. Our website and our customer service are key elements to our sales strategy. Our website enables customers to purchase Wakespeed and Battle Born products directly and provides access to a range of videos covering product information, technological benefits and installation guides. We have a team of experts dedicated to supporting our customers’ sales, technical and service needs.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we owned 26 issued patents and 22 pending patent applications. The patents and patent applications cover the United States, China, Europe (with individual patents in Germany, France and the United Kingdom), Australia, Canada and other regions.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2023 and 2043, absent any patent term adjustments or extensions.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2022, we own four trademark registrations to cover our house marks in the United States and we have seven pending trademark applications relating to our design logos and slogans in the United States.</w:t>
      </w:r>
    </w:p>
    <w:p>
      <w:pPr>
        <w:pStyle w:val="TextBody"/>
        <w:bidi w:val="0"/>
        <w:ind w:left="0" w:right="0" w:firstLine="14"/>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 and Compliance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operate from a dedicated leased manufacturing facility, a leased warehouse and a podcast studio, each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we had 166 employees; 159 full-time, 3 part-time and 4 seasonal.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Safety</w:t>
            </w:r>
            <w:r>
              <w:rPr>
                <w:rFonts w:ascii="Times New Roman;Times;Serif" w:hAnsi="Times New Roman;Times;Serif"/>
                <w:b w:val="false"/>
                <w:i w:val="false"/>
                <w:caps w:val="false"/>
                <w:smallCaps w:val="false"/>
                <w:sz w:val="20"/>
              </w:rPr>
              <w:t> — Employees are regularly educated in safety around their workspaces, and employees participate in volunteer roles on a safety committee, and in emergency readiness roles. We have a dedicated safety coordinator who tracks and measures our performance, and helps us benchmark our safety programs against our peers.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Diversity, Equity &amp; Inclusion</w:t>
            </w:r>
            <w:r>
              <w:rPr>
                <w:rFonts w:ascii="Times New Roman;Times;Serif" w:hAnsi="Times New Roman;Times;Serif"/>
                <w:b w:val="false"/>
                <w:i w:val="false"/>
                <w:caps w:val="false"/>
                <w:smallCaps w:val="false"/>
                <w:sz w:val="20"/>
              </w:rPr>
              <w:t> — Our culture has benefitted from the diversity of our workforce from the very beginning. Inclusion and equity are “baked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Collaboration</w:t>
            </w:r>
            <w:r>
              <w:rPr>
                <w:rFonts w:ascii="Times New Roman;Times;Serif" w:hAnsi="Times New Roman;Times;Serif"/>
                <w:b w:val="false"/>
                <w:i w:val="false"/>
                <w:caps w:val="false"/>
                <w:smallCaps w:val="false"/>
                <w:sz w:val="20"/>
              </w:rPr>
              <w:t> — As we grow, opportunities for cross-functional collaboration are not as organic as they used to be. We have responded to that change by staying mindful and acting intentionally to gather cross-functional input on new initiatives and continuous improvement efforts.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Continuous Improvement</w:t>
            </w:r>
            <w:r>
              <w:rPr>
                <w:rFonts w:ascii="Times New Roman;Times;Serif" w:hAnsi="Times New Roman;Times;Serif"/>
                <w:b w:val="false"/>
                <w:i w:val="false"/>
                <w:caps w:val="false"/>
                <w:smallCaps w:val="false"/>
                <w:sz w:val="20"/>
              </w:rPr>
              <w:t> — We apply continuous improvement measures to processes as well as people. We encourage professional development of our employees, through ongoing learning, credentialing, and collaboration with their industry peers.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CNTQ and Legacy Dragonfly consummated the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pursuant to the Agreement and Plan of Merger, dated as of May 15, 2022 (as amended,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by and among CNTQ, Bronco Merger Sub, Inc., a Delaware corporation and wholly-owned subsidiary of CNTQ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Legacy Dragonfly. Pursuant to the Business Combination Agreement, Merger Sub merged with and into Legacy Dragonfly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and, together with the other transactions contemplated by the Business Combination Agreement,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with Legacy Dragonfly continuing as the surviving corporation in the Merger and as our wholly owned subsidiary. In connection with the Business Combination, CNTQ changed its name to Dragonfly Energy Holdings Corp.</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the Business Combination, CNTQ was a shell company. CNTQ was incorporated in the state of Delaware on June 23, 2020. CNTQ consummated its initial public offering at a price of $10 per unit on August 13, 2021 (the “</w:t>
      </w:r>
      <w:r>
        <w:rPr>
          <w:rFonts w:ascii="Times New Roman;Times;Serif" w:hAnsi="Times New Roman;Times;Serif"/>
          <w:b/>
          <w:i w:val="false"/>
          <w:caps w:val="false"/>
          <w:smallCaps w:val="false"/>
          <w:sz w:val="20"/>
        </w:rPr>
        <w:t>CNTQ IPO</w:t>
      </w:r>
      <w:r>
        <w:rPr>
          <w:rFonts w:ascii="Times New Roman;Times;Serif" w:hAnsi="Times New Roman;Times;Serif"/>
          <w:b w:val="false"/>
          <w:i w:val="false"/>
          <w:caps w:val="false"/>
          <w:smallCaps w:val="false"/>
          <w:sz w:val="20"/>
        </w:rPr>
        <w:t>”). Legacy Dragonfly was incorporated as a limited liability company in the State of Nevada on October 15, 2012 and reorganized as a corporation under the laws of the State of Nevada on April 11, 2016. Following the Business Combination, our business is the business of Legacy Dragonfly.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Consideration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by virtue of the Merger and without any action on the part of CNTQ, Merger Sub, Legacy Dragonfly or the holders of any of the following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outstanding share of Legacy Dragonfly’s common stock, par value $0.001 per share (“</w:t>
      </w:r>
      <w:r>
        <w:rPr>
          <w:rFonts w:ascii="Times New Roman;Times;Serif" w:hAnsi="Times New Roman;Times;Serif"/>
          <w:b/>
          <w:i w:val="false"/>
          <w:caps w:val="false"/>
          <w:smallCaps w:val="false"/>
          <w:sz w:val="20"/>
        </w:rPr>
        <w:t>Legacy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Dragonfly Common Stock</w:t>
      </w:r>
      <w:r>
        <w:rPr>
          <w:rFonts w:ascii="Times New Roman;Times;Serif" w:hAnsi="Times New Roman;Times;Serif"/>
          <w:b w:val="false"/>
          <w:i w:val="false"/>
          <w:caps w:val="false"/>
          <w:smallCaps w:val="false"/>
          <w:sz w:val="20"/>
        </w:rPr>
        <w:t>”), converted into (i) a certain number of shares of our common stock, totaling 41,500,000 shares (including the conversion and assumption of the options to purchase shares of Legacy Dragonfly Common Stock described below), which is equal to (x) $415,000,000 divided by (y) $10.00 (the “</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and (ii) the contingent right to receive Earnout Shares (as defined below) (which may be zero) following the Closing.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option to purchase shares of Legacy Dragonfly Common Stock, was assumed and converted into options to acquire shares of our common stock. The portion of the Merger Consideration reflecting the conversion of the Legacy Dragonfly options was calculated assuming that all of our options are net-settled. With respect to Company options received in respect of Legacy Dragonfly options that are outstanding immediately prior to the Closing and cash exercised after the Closing, up to 627,498 additional shares of our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Merger Consideration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Merger Consideration set forth above, additional contingent shares (“</w:t>
      </w:r>
      <w:r>
        <w:rPr>
          <w:rFonts w:ascii="Times New Roman;Times;Serif" w:hAnsi="Times New Roman;Times;Serif"/>
          <w:b/>
          <w:i w:val="false"/>
          <w:caps w:val="false"/>
          <w:smallCaps w:val="false"/>
          <w:sz w:val="20"/>
        </w:rPr>
        <w:t>Earnout Shares</w:t>
      </w:r>
      <w:r>
        <w:rPr>
          <w:rFonts w:ascii="Times New Roman;Times;Serif" w:hAnsi="Times New Roman;Times;Serif"/>
          <w:b w:val="false"/>
          <w:i w:val="false"/>
          <w:caps w:val="false"/>
          <w:smallCaps w:val="false"/>
          <w:sz w:val="20"/>
        </w:rPr>
        <w:t>”) may be payable to each holder of shares of Legacy Dragonfly Common Stock in the Merger, subject to achieving specified milestones, up to an aggregate of 40,000,000 additional shares of our common stock in three tranches.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tranche of 15,000,000 shares is issuable if our 2023 total audited revenue is equal to or greater than $250 million and our 2023 audited operating income is equal to or greater than $35 million. The second tranche of 12,500,000 shares is issuable upon achieving a volume-weighted average trading price threshold of our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subscription agreement, dated as of May 15, 2022 (the “</w:t>
      </w:r>
      <w:r>
        <w:rPr>
          <w:rFonts w:ascii="Times New Roman;Times;Serif" w:hAnsi="Times New Roman;Times;Serif"/>
          <w:b/>
          <w:i w:val="false"/>
          <w:caps w:val="false"/>
          <w:smallCaps w:val="false"/>
          <w:sz w:val="20"/>
        </w:rPr>
        <w:t>Subscription Agreement</w:t>
      </w:r>
      <w:r>
        <w:rPr>
          <w:rFonts w:ascii="Times New Roman;Times;Serif" w:hAnsi="Times New Roman;Times;Serif"/>
          <w:b w:val="false"/>
          <w:i w:val="false"/>
          <w:caps w:val="false"/>
          <w:smallCaps w:val="false"/>
          <w:sz w:val="20"/>
        </w:rPr>
        <w:t>”), by and between CNTQ and Chardan NexTech Investments 2 LLC (or an affiliate thereof if assigned pursuant to the Subscription Agreement, the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the Sponsor agreed to purchase, and CNTQ agreed to sell to the Sponsor, an aggregate of 500,000 shares of CNTQ Common Stock for gross proceeds to CNTQ of $5 million in a private placement (the “</w:t>
      </w:r>
      <w:r>
        <w:rPr>
          <w:rFonts w:ascii="Times New Roman;Times;Serif" w:hAnsi="Times New Roman;Times;Serif"/>
          <w:b/>
          <w:i w:val="false"/>
          <w:caps w:val="false"/>
          <w:smallCaps w:val="false"/>
          <w:sz w:val="20"/>
        </w:rPr>
        <w:t>PIPE Investment</w:t>
      </w:r>
      <w:r>
        <w:rPr>
          <w:rFonts w:ascii="Times New Roman;Times;Serif" w:hAnsi="Times New Roman;Times;Serif"/>
          <w:b w:val="false"/>
          <w:i w:val="false"/>
          <w:caps w:val="false"/>
          <w:smallCaps w:val="false"/>
          <w:sz w:val="20"/>
        </w:rPr>
        <w:t>”). On September 28, 2022, the Sponsor and CCM entered into an assignment, assumption and joinder agreement, pursuant to which the Sponsor assigned all of the Sponsor’s rights, benefits and obligations under the Subscription Agreement to CCM.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(the “</w:t>
      </w:r>
      <w:r>
        <w:rPr>
          <w:rFonts w:ascii="Times New Roman;Times;Serif" w:hAnsi="Times New Roman;Times;Serif"/>
          <w:b/>
          <w:i w:val="false"/>
          <w:caps w:val="false"/>
          <w:smallCaps w:val="false"/>
          <w:sz w:val="20"/>
        </w:rPr>
        <w:t>Offset</w:t>
      </w:r>
      <w:r>
        <w:rPr>
          <w:rFonts w:ascii="Times New Roman;Times;Serif" w:hAnsi="Times New Roman;Times;Serif"/>
          <w:b w:val="false"/>
          <w:i w:val="false"/>
          <w:caps w:val="false"/>
          <w:smallCaps w:val="false"/>
          <w:sz w:val="20"/>
        </w:rPr>
        <w:t>”). During the week of September 26, 2022, CCM acquired in the open market in total 485,000 shares of our common stock at purchase prices per share ranging from $10.33 to $10.38 (such shares, the “</w:t>
      </w:r>
      <w:r>
        <w:rPr>
          <w:rFonts w:ascii="Times New Roman;Times;Serif" w:hAnsi="Times New Roman;Times;Serif"/>
          <w:b/>
          <w:i w:val="false"/>
          <w:caps w:val="false"/>
          <w:smallCaps w:val="false"/>
          <w:sz w:val="20"/>
        </w:rPr>
        <w:t>Purchased Shares</w:t>
      </w:r>
      <w:r>
        <w:rPr>
          <w:rFonts w:ascii="Times New Roman;Times;Serif" w:hAnsi="Times New Roman;Times;Serif"/>
          <w:b w:val="false"/>
          <w:i w:val="false"/>
          <w:caps w:val="false"/>
          <w:smallCaps w:val="false"/>
          <w:sz w:val="20"/>
        </w:rPr>
        <w:t>”). The Purchased Shares were not redeemed, resulting in (i) our receipt of $5,016,547 from the trust account that held the proceeds from the CNTQ IPO (based on a per share redemption price of $10.34) and (ii) a reduction in CCM’s purchase commitment under the Subscription Agreement to zero in accordance with the Offset.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Financing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commitment letter (the “</w:t>
      </w:r>
      <w:r>
        <w:rPr>
          <w:rFonts w:ascii="Times New Roman;Times;Serif" w:hAnsi="Times New Roman;Times;Serif"/>
          <w:b/>
          <w:i w:val="false"/>
          <w:caps w:val="false"/>
          <w:smallCaps w:val="false"/>
          <w:sz w:val="20"/>
        </w:rPr>
        <w:t>Debt Commitment Letter</w:t>
      </w:r>
      <w:r>
        <w:rPr>
          <w:rFonts w:ascii="Times New Roman;Times;Serif" w:hAnsi="Times New Roman;Times;Serif"/>
          <w:b w:val="false"/>
          <w:i w:val="false"/>
          <w:caps w:val="false"/>
          <w:smallCaps w:val="false"/>
          <w:sz w:val="20"/>
        </w:rPr>
        <w:t>”) dated May 15, 2022 by and between CNTQ and Legacy Dragonfly, CCM Investments 5 LLC, an affiliate of CCM (“</w:t>
      </w:r>
      <w:r>
        <w:rPr>
          <w:rFonts w:ascii="Times New Roman;Times;Serif" w:hAnsi="Times New Roman;Times;Serif"/>
          <w:b/>
          <w:i w:val="false"/>
          <w:caps w:val="false"/>
          <w:smallCaps w:val="false"/>
          <w:sz w:val="20"/>
        </w:rPr>
        <w:t>CCM 5</w:t>
      </w:r>
      <w:r>
        <w:rPr>
          <w:rFonts w:ascii="Times New Roman;Times;Serif" w:hAnsi="Times New Roman;Times;Serif"/>
          <w:b w:val="false"/>
          <w:i w:val="false"/>
          <w:caps w:val="false"/>
          <w:smallCaps w:val="false"/>
          <w:sz w:val="20"/>
        </w:rPr>
        <w:t>”, and in connection with the Term Loan, the “</w:t>
      </w:r>
      <w:r>
        <w:rPr>
          <w:rFonts w:ascii="Times New Roman;Times;Serif" w:hAnsi="Times New Roman;Times;Serif"/>
          <w:b/>
          <w:i w:val="false"/>
          <w:caps w:val="false"/>
          <w:smallCaps w:val="false"/>
          <w:sz w:val="20"/>
        </w:rPr>
        <w:t>CNTQ Lender</w:t>
      </w:r>
      <w:r>
        <w:rPr>
          <w:rFonts w:ascii="Times New Roman;Times;Serif" w:hAnsi="Times New Roman;Times;Serif"/>
          <w:b w:val="false"/>
          <w:i w:val="false"/>
          <w:caps w:val="false"/>
          <w:smallCaps w:val="false"/>
          <w:sz w:val="20"/>
        </w:rPr>
        <w:t>”), and EICF Agent LLC (“</w:t>
      </w:r>
      <w:r>
        <w:rPr>
          <w:rFonts w:ascii="Times New Roman;Times;Serif" w:hAnsi="Times New Roman;Times;Serif"/>
          <w:b/>
          <w:i w:val="false"/>
          <w:caps w:val="false"/>
          <w:smallCaps w:val="false"/>
          <w:sz w:val="20"/>
        </w:rPr>
        <w:t>EIP</w:t>
      </w:r>
      <w:r>
        <w:rPr>
          <w:rFonts w:ascii="Times New Roman;Times;Serif" w:hAnsi="Times New Roman;Times;Serif"/>
          <w:b w:val="false"/>
          <w:i w:val="false"/>
          <w:caps w:val="false"/>
          <w:smallCaps w:val="false"/>
          <w:sz w:val="20"/>
        </w:rPr>
        <w:t>” and, collectively with the CNTQ Lender, the “</w:t>
      </w:r>
      <w:r>
        <w:rPr>
          <w:rFonts w:ascii="Times New Roman;Times;Serif" w:hAnsi="Times New Roman;Times;Serif"/>
          <w:b/>
          <w:i w:val="false"/>
          <w:caps w:val="false"/>
          <w:smallCaps w:val="false"/>
          <w:sz w:val="20"/>
        </w:rPr>
        <w:t>Initial Term Loan Lenders</w:t>
      </w:r>
      <w:r>
        <w:rPr>
          <w:rFonts w:ascii="Times New Roman;Times;Serif" w:hAnsi="Times New Roman;Times;Serif"/>
          <w:b w:val="false"/>
          <w:i w:val="false"/>
          <w:caps w:val="false"/>
          <w:smallCaps w:val="false"/>
          <w:sz w:val="20"/>
        </w:rPr>
        <w:t>”), in connection with the Closing, CNTQ, Legacy Dragonfly and the Initial Term Loan Lenders entered into the Term Loan, Guarantee and Security Agreement (the “</w:t>
      </w:r>
      <w:r>
        <w:rPr>
          <w:rFonts w:ascii="Times New Roman;Times;Serif" w:hAnsi="Times New Roman;Times;Serif"/>
          <w:b/>
          <w:i w:val="false"/>
          <w:caps w:val="false"/>
          <w:smallCaps w:val="false"/>
          <w:sz w:val="20"/>
        </w:rPr>
        <w:t>Term Loan Agreement</w:t>
      </w:r>
      <w:r>
        <w:rPr>
          <w:rFonts w:ascii="Times New Roman;Times;Serif" w:hAnsi="Times New Roman;Times;Serif"/>
          <w:b w:val="false"/>
          <w:i w:val="false"/>
          <w:caps w:val="false"/>
          <w:smallCaps w:val="false"/>
          <w:sz w:val="20"/>
        </w:rPr>
        <w:t>”) setting forth the terms of a senior secured term loan facility in an aggregate principal amount of $75 million (the “</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The CNTQ Lender backstopped its commitment under the Debt Commitment Letter by entering into a backstop commitment letter, dated as of May 20, 2022 (the “</w:t>
      </w:r>
      <w:r>
        <w:rPr>
          <w:rFonts w:ascii="Times New Roman;Times;Serif" w:hAnsi="Times New Roman;Times;Serif"/>
          <w:b/>
          <w:i w:val="false"/>
          <w:caps w:val="false"/>
          <w:smallCaps w:val="false"/>
          <w:sz w:val="20"/>
        </w:rPr>
        <w:t>Backstop Commitment Letter</w:t>
      </w:r>
      <w:r>
        <w:rPr>
          <w:rFonts w:ascii="Times New Roman;Times;Serif" w:hAnsi="Times New Roman;Times;Serif"/>
          <w:b w:val="false"/>
          <w:i w:val="false"/>
          <w:caps w:val="false"/>
          <w:smallCaps w:val="false"/>
          <w:sz w:val="20"/>
        </w:rPr>
        <w:t>”), with a certain third-party financing source (the “</w:t>
      </w:r>
      <w:r>
        <w:rPr>
          <w:rFonts w:ascii="Times New Roman;Times;Serif" w:hAnsi="Times New Roman;Times;Serif"/>
          <w:b/>
          <w:i w:val="false"/>
          <w:caps w:val="false"/>
          <w:smallCaps w:val="false"/>
          <w:sz w:val="20"/>
        </w:rPr>
        <w:t>Backstop Lender</w:t>
      </w:r>
      <w:r>
        <w:rPr>
          <w:rFonts w:ascii="Times New Roman;Times;Serif" w:hAnsi="Times New Roman;Times;Serif"/>
          <w:b w:val="false"/>
          <w:i w:val="false"/>
          <w:caps w:val="false"/>
          <w:smallCaps w:val="false"/>
          <w:sz w:val="20"/>
        </w:rPr>
        <w:t>” and collectively with EIP, the “</w:t>
      </w:r>
      <w:r>
        <w:rPr>
          <w:rFonts w:ascii="Times New Roman;Times;Serif" w:hAnsi="Times New Roman;Times;Serif"/>
          <w:b/>
          <w:i w:val="false"/>
          <w:caps w:val="false"/>
          <w:smallCaps w:val="false"/>
          <w:sz w:val="20"/>
        </w:rPr>
        <w:t>Term Loan Lenders</w:t>
      </w:r>
      <w:r>
        <w:rPr>
          <w:rFonts w:ascii="Times New Roman;Times;Serif" w:hAnsi="Times New Roman;Times;Serif"/>
          <w:b w:val="false"/>
          <w:i w:val="false"/>
          <w:caps w:val="false"/>
          <w:smallCaps w:val="false"/>
          <w:sz w:val="20"/>
        </w:rPr>
        <w:t>”), pursuant to which the Backstop Lender committed to purchase from the CNTQ Lender the aggregate amount of the Term Loan held by the CNTQ Lender (the “</w:t>
      </w:r>
      <w:r>
        <w:rPr>
          <w:rFonts w:ascii="Times New Roman;Times;Serif" w:hAnsi="Times New Roman;Times;Serif"/>
          <w:b/>
          <w:i w:val="false"/>
          <w:caps w:val="false"/>
          <w:smallCaps w:val="false"/>
          <w:sz w:val="20"/>
        </w:rPr>
        <w:t>Backstopped Loans</w:t>
      </w:r>
      <w:r>
        <w:rPr>
          <w:rFonts w:ascii="Times New Roman;Times;Serif" w:hAnsi="Times New Roman;Times;Serif"/>
          <w:b w:val="false"/>
          <w:i w:val="false"/>
          <w:caps w:val="false"/>
          <w:smallCaps w:val="false"/>
          <w:sz w:val="20"/>
        </w:rPr>
        <w:t>”) immediately following the issuance of the Term Loan on the Closing Date. Pursuant to an assignment agreement, the Backstopped Loans were assigned by CCM 5 to the Backstop Lender on the Closing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Term Loan Agreement, the Term Loan was advanced in one tranche on the Closing Date. 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The Term Loan accrues interest (i) until April 1, 2023, at a per annum rate equal to the adjusted Secured Overnight Financing Rate (“</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prepay all or any portion of the amounts owed prior to the Maturity Date; provided that we provide notice to Alter Domus (US) LLC, as administrative agent for the lenders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 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Legacy Dragonfly is required to prepay the Term Loan with the net cash proceeds of certain asset sales and casualty events (subject to certain customary exceptions), with the net cash proceeds of the issuance of indebtedness that is not otherwise permitted to be incurred under the Term Loan Agreement, upon the receipt of net cash proceeds from an equity issuance in an amount equal to 25% of such net cash proceeds, and commencing with the fiscal year ending December 31, 2023, with the excess cash flow for each such fiscal year in an amount equal to either 25% or 50% of such excess cash flow depending on the senior leverage ratio of the consolidated company less the amount of any voluntary prepayments made during such fiscal year.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the obligations of Legacy Dragonfly are guaranteed by us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w:t>
      </w:r>
      <w:r>
        <w:rPr>
          <w:rFonts w:ascii="Times New Roman;Times;Serif" w:hAnsi="Times New Roman;Times;Serif"/>
          <w:b/>
          <w:i w:val="false"/>
          <w:caps w:val="false"/>
          <w:smallCaps w:val="false"/>
          <w:sz w:val="20"/>
        </w:rPr>
        <w:t>Pledge Agreement</w:t>
      </w:r>
      <w:r>
        <w:rPr>
          <w:rFonts w:ascii="Times New Roman;Times;Serif" w:hAnsi="Times New Roman;Times;Serif"/>
          <w:b w:val="false"/>
          <w:i w:val="false"/>
          <w:caps w:val="false"/>
          <w:smallCaps w:val="false"/>
          <w:sz w:val="20"/>
        </w:rPr>
        <w:t>”) pursuant to which we pledged to the Administrative Agent our equity interests in Legacy Dragonfly as further collateral security for the obligations under the Term Loan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Chardan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w:t>
      </w:r>
      <w:r>
        <w:rPr>
          <w:rFonts w:ascii="Times New Roman;Times;Serif" w:hAnsi="Times New Roman;Times;Serif"/>
          <w:b/>
          <w:i w:val="false"/>
          <w:caps w:val="false"/>
          <w:smallCaps w:val="false"/>
          <w:sz w:val="20"/>
        </w:rPr>
        <w:t>Penny Warrants</w:t>
      </w:r>
      <w:r>
        <w:rPr>
          <w:rFonts w:ascii="Times New Roman;Times;Serif" w:hAnsi="Times New Roman;Times;Serif"/>
          <w:b w:val="false"/>
          <w:i w:val="false"/>
          <w:caps w:val="false"/>
          <w:smallCaps w:val="false"/>
          <w:sz w:val="20"/>
        </w:rPr>
        <w:t>”), and (ii) warrants to the Term Loan Lenders under the Term Loan exercisable to purchase 1,600,000 shares of our common stock at an exercise price of $10.00 per share (the “</w:t>
      </w:r>
      <w:r>
        <w:rPr>
          <w:rFonts w:ascii="Times New Roman;Times;Serif" w:hAnsi="Times New Roman;Times;Serif"/>
          <w:b/>
          <w:i w:val="false"/>
          <w:caps w:val="false"/>
          <w:smallCaps w:val="false"/>
          <w:sz w:val="20"/>
        </w:rPr>
        <w:t>$10 Warrants</w:t>
      </w:r>
      <w:r>
        <w:rPr>
          <w:rFonts w:ascii="Times New Roman;Times;Serif" w:hAnsi="Times New Roman;Times;Serif"/>
          <w:b w:val="false"/>
          <w:i w:val="false"/>
          <w:caps w:val="false"/>
          <w:smallCaps w:val="false"/>
          <w:sz w:val="20"/>
        </w:rPr>
        <w:t>” and, together with the Penny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have an exercise period of 10 years from the date of issuance. As of September 18, 2023, 1,996,323 shares of common stock have been issued upon the exercise of Penny Warrants and 593,056 shares of common stock are currently issuable upon the exercise of outstanding Penny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Warrants had an exercise period of five years from the date of issuance and had customary cashless exercise provisions. As of December 31, 2022, the $10 Warrants have been exercised in full and are no longer outstanding.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have, and the $10 Warrants had, specified anti-dilution protection against subsequent equity sales or distributions,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(as defined below) (or replacement thereof) sold at a per share price above $5.00.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equity facility letter agreement between Legacy Dragonfly and CCM 5, we entered into the Purchase Agreement and the Registration Rights Agreement (the “</w:t>
      </w:r>
      <w:r>
        <w:rPr>
          <w:rFonts w:ascii="Times New Roman;Times;Serif" w:hAnsi="Times New Roman;Times;Serif"/>
          <w:b/>
          <w:i w:val="false"/>
          <w:caps w:val="false"/>
          <w:smallCaps w:val="false"/>
          <w:sz w:val="20"/>
        </w:rPr>
        <w:t>ChEF RRA</w:t>
      </w:r>
      <w:r>
        <w:rPr>
          <w:rFonts w:ascii="Times New Roman;Times;Serif" w:hAnsi="Times New Roman;Times;Serif"/>
          <w:b w:val="false"/>
          <w:i w:val="false"/>
          <w:caps w:val="false"/>
          <w:smallCaps w:val="false"/>
          <w:sz w:val="20"/>
        </w:rPr>
        <w:t>”) with CCM in connection with the Closing. Pursuant to and on the terms of the Purchase Agreement, we have the right to sell and direct CCM to purchase an amount of shares of our common stock over the term of the ChEF Equity Facility. In addition, we appointed LifeSci Capital, LLC as a “qualified independent underwriter” with respect to the transactions contemplated by the Purchase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CCM is not be obligated to (but may, at its option, choose to) purchase shares of common stock to the extent such amount purchased exceeds the amount of shares of common stock equal to the least of: (i) a number of shares that would result in beneficial ownership (as calculated pursuant to Section 13(d) of the Exchange Act and Rule 13d-3 promulgated thereunder) by CCM, together with its affiliates, of more than 9.9%, (ii) a number of shares that would cause the aggregate purchase price on the applicable VWAP Purchase Date (as defined in the Purchase Agreement) for such purchases to exceed $3 million and (iii) a number of shares that would equal 20% of the total number of shares of common stock that would count towards VWAP on the applicable Purchase Date of such purchase. As of September 18, 2023, 98,500 shares have been issued pursuant to the Purchase Agreement with CCM for aggregate net proceeds to us of $670,593.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any sales under the Purchase Agreement will depend on the frequency with, and prices at, which shares of common stock are sold to CCM. To the extent we sell shares of our common stock under the Purchase Agreement, we currently plan to use any proceeds therefrom for working capital and other general corporate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is an affiliate of the Sponsor. In light of the beneficial ownership limitation set forth above, the Sponsor has agreed that the private placement warrants held by Chardan NexTech 2 Warrant Holdings, also an affiliate of the Sponsor, may not be exercised to the extent an affiliate of the Sponsor (including CCM) is deemed to beneficially own, or it would cause such affiliate to be deemed to beneficially own, more than 7.5% of our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ChEF RRA, we have agreed to provide CCM with certain registration rights with respect to the shares of common stock issued subject to the Purchase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the Purchase Agreement will remain in effect until the earliest to occur of (i) the 36-month anniversary of the later of the effective date of the Initial Registration Statement (as defined in the Purchase Agreement), (ii) the date on which CCM shall have purchased the total commitment pursuant to the Purchase Agreement, (iii) the date on which our common stock fails to be listed or quoted on Nasdaq or any successor market and (iv) the date on which, pursuant to or within the meaning of any bankruptcy law, we commence a voluntary case or any Person commences a proceeding against us, a custodian is appointed for us or for all or substantially all of our property, or we make a general assignment for the benefit of our creditors.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Business Combination Agreement, CNTQ, Legacy Dragonfly and the Sponsor entered into a sponsor support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Directors and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in connection with the consummation of the Business Combination, we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in connection with the consummation of the Business Combination Agreement, we entered into the Amended and Restated Registration Rights Agreement (the “</w:t>
      </w:r>
      <w:r>
        <w:rPr>
          <w:rFonts w:ascii="Times New Roman;Times;Serif" w:hAnsi="Times New Roman;Times;Serif"/>
          <w:b/>
          <w:i w:val="false"/>
          <w:caps w:val="false"/>
          <w:smallCaps w:val="false"/>
          <w:sz w:val="20"/>
        </w:rPr>
        <w:t>Insider Registration Rights Agreement</w:t>
      </w:r>
      <w:r>
        <w:rPr>
          <w:rFonts w:ascii="Times New Roman;Times;Serif" w:hAnsi="Times New Roman;Times;Serif"/>
          <w:b w:val="false"/>
          <w:i w:val="false"/>
          <w:caps w:val="false"/>
          <w:smallCaps w:val="false"/>
          <w:sz w:val="20"/>
        </w:rPr>
        <w:t>”) with the Sponsor, CNTQ’s officers, directors, initial stockholders, CCM and Warrant Holdings, an affiliate of the Sponsor (collectively, the “</w:t>
      </w:r>
      <w:r>
        <w:rPr>
          <w:rFonts w:ascii="Times New Roman;Times;Serif" w:hAnsi="Times New Roman;Times;Serif"/>
          <w:b/>
          <w:i w:val="false"/>
          <w:caps w:val="false"/>
          <w:smallCaps w:val="false"/>
          <w:sz w:val="20"/>
        </w:rPr>
        <w:t>Insiders</w:t>
      </w:r>
      <w:r>
        <w:rPr>
          <w:rFonts w:ascii="Times New Roman;Times;Serif" w:hAnsi="Times New Roman;Times;Serif"/>
          <w:b w:val="false"/>
          <w:i w:val="false"/>
          <w:caps w:val="false"/>
          <w:smallCaps w:val="false"/>
          <w:sz w:val="20"/>
        </w:rPr>
        <w:t>”) and certain Legacy Dragonfly stockholders for the registration of certain securities held by the Insiders.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2022, we entered into an asset purchase agreement (the “</w:t>
      </w:r>
      <w:r>
        <w:rPr>
          <w:rFonts w:ascii="Times New Roman;Times;Serif" w:hAnsi="Times New Roman;Times;Serif"/>
          <w:b/>
          <w:i w:val="false"/>
          <w:caps w:val="false"/>
          <w:smallCaps w:val="false"/>
          <w:sz w:val="20"/>
        </w:rPr>
        <w:t>Bourns APA</w:t>
      </w:r>
      <w:r>
        <w:rPr>
          <w:rFonts w:ascii="Times New Roman;Times;Serif" w:hAnsi="Times New Roman;Times;Serif"/>
          <w:b w:val="false"/>
          <w:i w:val="false"/>
          <w:caps w:val="false"/>
          <w:smallCaps w:val="false"/>
          <w:sz w:val="20"/>
        </w:rPr>
        <w:t>”) with Bourns Productions, Inc., a Nevada corporation (“</w:t>
      </w:r>
      <w:r>
        <w:rPr>
          <w:rFonts w:ascii="Times New Roman;Times;Serif" w:hAnsi="Times New Roman;Times;Serif"/>
          <w:b/>
          <w:i w:val="false"/>
          <w:caps w:val="false"/>
          <w:smallCaps w:val="false"/>
          <w:sz w:val="20"/>
        </w:rPr>
        <w:t>Bourns Production</w:t>
      </w:r>
      <w:r>
        <w:rPr>
          <w:rFonts w:ascii="Times New Roman;Times;Serif" w:hAnsi="Times New Roman;Times;Serif"/>
          <w:b w:val="false"/>
          <w:i w:val="false"/>
          <w:caps w:val="false"/>
          <w:smallCaps w:val="false"/>
          <w:sz w:val="20"/>
        </w:rPr>
        <w:t>”), pursuant to which we acquired machinery, equipment and a lease for a podcast studio from Bourns Production as set forth in the Bourns APA for a purchase price of approximately $197,000, which was the approximated fair market value. Tyler Bourns, who has served as our Chief Marketing Officer since November 2022, is the owner and president of Bourns Productions.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2022, we entered into an asset purchase agreement (“</w:t>
      </w:r>
      <w:r>
        <w:rPr>
          <w:rFonts w:ascii="Times New Roman;Times;Serif" w:hAnsi="Times New Roman;Times;Serif"/>
          <w:b/>
          <w:i w:val="false"/>
          <w:caps w:val="false"/>
          <w:smallCaps w:val="false"/>
          <w:sz w:val="20"/>
        </w:rPr>
        <w:t>TJC APA</w:t>
      </w:r>
      <w:r>
        <w:rPr>
          <w:rFonts w:ascii="Times New Roman;Times;Serif" w:hAnsi="Times New Roman;Times;Serif"/>
          <w:b w:val="false"/>
          <w:i w:val="false"/>
          <w:caps w:val="false"/>
          <w:smallCaps w:val="false"/>
          <w:sz w:val="20"/>
        </w:rPr>
        <w:t>”) with Thomason Jones Company, LLC, a Washington limited liability company (“</w:t>
      </w:r>
      <w:r>
        <w:rPr>
          <w:rFonts w:ascii="Times New Roman;Times;Serif" w:hAnsi="Times New Roman;Times;Serif"/>
          <w:b/>
          <w:i w:val="false"/>
          <w:caps w:val="false"/>
          <w:smallCaps w:val="false"/>
          <w:sz w:val="20"/>
        </w:rPr>
        <w:t>TJC</w:t>
      </w:r>
      <w:r>
        <w:rPr>
          <w:rFonts w:ascii="Times New Roman;Times;Serif" w:hAnsi="Times New Roman;Times;Serif"/>
          <w:b w:val="false"/>
          <w:i w:val="false"/>
          <w:caps w:val="false"/>
          <w:smallCaps w:val="false"/>
          <w:sz w:val="20"/>
        </w:rPr>
        <w:t>”), pursuant to which we acquired intellectual property rights and inventory for a purchase price of approximately $444,000 which was the approximated fair market value. William Thomason and Richard Jones, our engineer and sales representatives, each of whom he hired in connection with the entry into the TJC APA, are the managing members of TJC.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Sean Nichols, our former Chief Operating Officer, would be leaving the Company to pursue other interests. His last day of employment was November 7, 2022 (the “</w:t>
      </w:r>
      <w:r>
        <w:rPr>
          <w:rFonts w:ascii="Times New Roman;Times;Serif" w:hAnsi="Times New Roman;Times;Serif"/>
          <w:b/>
          <w:i w:val="false"/>
          <w:caps w:val="false"/>
          <w:smallCaps w:val="false"/>
          <w:sz w:val="20"/>
        </w:rPr>
        <w:t>Separation Date</w:t>
      </w:r>
      <w:r>
        <w:rPr>
          <w:rFonts w:ascii="Times New Roman;Times;Serif" w:hAnsi="Times New Roman;Times;Serif"/>
          <w:b w:val="false"/>
          <w:i w:val="false"/>
          <w:caps w:val="false"/>
          <w:smallCaps w:val="false"/>
          <w:sz w:val="20"/>
        </w:rPr>
        <w:t>”). On October 25, 2022, we entered into a separation and release agreement with Mr. Nichols that became effective and fully irrevocable on November 2, 2022, which was subsequently amended on November 14, 2022 (as amended, the “</w:t>
      </w:r>
      <w:r>
        <w:rPr>
          <w:rFonts w:ascii="Times New Roman;Times;Serif" w:hAnsi="Times New Roman;Times;Serif"/>
          <w:b/>
          <w:i w:val="false"/>
          <w:caps w:val="false"/>
          <w:smallCaps w:val="false"/>
          <w:sz w:val="20"/>
        </w:rPr>
        <w:t>Separation Agreement</w:t>
      </w:r>
      <w:r>
        <w:rPr>
          <w:rFonts w:ascii="Times New Roman;Times;Serif" w:hAnsi="Times New Roman;Times;Serif"/>
          <w:b w:val="false"/>
          <w:i w:val="false"/>
          <w:caps w:val="false"/>
          <w:smallCaps w:val="false"/>
          <w:sz w:val="20"/>
        </w:rPr>
        <w:t>”).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we entered into the First Amended and Restated Employment Agreement (the “</w:t>
      </w:r>
      <w:r>
        <w:rPr>
          <w:rFonts w:ascii="Times New Roman;Times;Serif" w:hAnsi="Times New Roman;Times;Serif"/>
          <w:b/>
          <w:i w:val="false"/>
          <w:caps w:val="false"/>
          <w:smallCaps w:val="false"/>
          <w:sz w:val="20"/>
        </w:rPr>
        <w:t>Restated Agreement</w:t>
      </w:r>
      <w:r>
        <w:rPr>
          <w:rFonts w:ascii="Times New Roman;Times;Serif" w:hAnsi="Times New Roman;Times;Serif"/>
          <w:b w:val="false"/>
          <w:i w:val="false"/>
          <w:caps w:val="false"/>
          <w:smallCaps w:val="false"/>
          <w:sz w:val="20"/>
        </w:rPr>
        <w:t>”) with John Marchetti, our Chief Financial Officer. The Restated Agreement amended and restated the employment agreement, dated October 11, 2022, by and between us and Mr. Marchetti (the “</w:t>
      </w:r>
      <w:r>
        <w:rPr>
          <w:rFonts w:ascii="Times New Roman;Times;Serif" w:hAnsi="Times New Roman;Times;Serif"/>
          <w:b/>
          <w:i w:val="false"/>
          <w:caps w:val="false"/>
          <w:smallCaps w:val="false"/>
          <w:sz w:val="20"/>
        </w:rPr>
        <w:t>Original Agreement</w:t>
      </w:r>
      <w:r>
        <w:rPr>
          <w:rFonts w:ascii="Times New Roman;Times;Serif" w:hAnsi="Times New Roman;Times;Serif"/>
          <w:b w:val="false"/>
          <w:i w:val="false"/>
          <w:caps w:val="false"/>
          <w:smallCaps w:val="false"/>
          <w:sz w:val="20"/>
        </w:rPr>
        <w:t>”). The Restated Agreement provides that Mr. Marchetti will receive a minimum annual bonus of $175,000 for the fiscal year ending December 31, 2023. All other terms of the Restated Agreement remain the same as the Original Agreement.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an unsecured convertible promissory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in the principal amount of $1.0 million (the “</w:t>
      </w:r>
      <w:r>
        <w:rPr>
          <w:rFonts w:ascii="Times New Roman;Times;Serif" w:hAnsi="Times New Roman;Times;Serif"/>
          <w:b/>
          <w:i w:val="false"/>
          <w:caps w:val="false"/>
          <w:smallCaps w:val="false"/>
          <w:sz w:val="20"/>
        </w:rPr>
        <w:t>Principal Amount</w:t>
      </w:r>
      <w:r>
        <w:rPr>
          <w:rFonts w:ascii="Times New Roman;Times;Serif" w:hAnsi="Times New Roman;Times;Serif"/>
          <w:b w:val="false"/>
          <w:i w:val="false"/>
          <w:caps w:val="false"/>
          <w:smallCaps w:val="false"/>
          <w:sz w:val="20"/>
        </w:rPr>
        <w:t>”) to Brian Nelson, one of our directors, in a private placement in exchange for cash in an equal amount. The Note became due and payable in full on April 1, 2023. We were also obligated to pay $100,000 (the “</w:t>
      </w:r>
      <w:r>
        <w:rPr>
          <w:rFonts w:ascii="Times New Roman;Times;Serif" w:hAnsi="Times New Roman;Times;Serif"/>
          <w:b/>
          <w:i w:val="false"/>
          <w:caps w:val="false"/>
          <w:smallCaps w:val="false"/>
          <w:sz w:val="20"/>
        </w:rPr>
        <w:t>Loan Fee</w:t>
      </w:r>
      <w:r>
        <w:rPr>
          <w:rFonts w:ascii="Times New Roman;Times;Serif" w:hAnsi="Times New Roman;Times;Serif"/>
          <w:b w:val="false"/>
          <w:i w:val="false"/>
          <w:caps w:val="false"/>
          <w:smallCaps w:val="false"/>
          <w:sz w:val="20"/>
        </w:rPr>
        <w:t>”) to Mr. Nelson on April 4, 2023. We paid the Principal Amount and the Loan Fee in full on April 1, 2023 and April 4, 2023,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June 2023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20, 2023, we entered into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with Roth Capital Partners, LLC, as representative of the several underwriters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pursuant to which we sold to the Underwriters, in a firm commitment underwritten public offering (the “</w:t>
      </w:r>
      <w:r>
        <w:rPr>
          <w:rFonts w:ascii="Times New Roman;Times;Serif" w:hAnsi="Times New Roman;Times;Serif"/>
          <w:b/>
          <w:i w:val="false"/>
          <w:caps w:val="false"/>
          <w:smallCaps w:val="false"/>
          <w:sz w:val="20"/>
        </w:rPr>
        <w:t>June 2023 Public Offering</w:t>
      </w:r>
      <w:r>
        <w:rPr>
          <w:rFonts w:ascii="Times New Roman;Times;Serif" w:hAnsi="Times New Roman;Times;Serif"/>
          <w:b w:val="false"/>
          <w:i w:val="false"/>
          <w:caps w:val="false"/>
          <w:smallCaps w:val="false"/>
          <w:sz w:val="20"/>
        </w:rPr>
        <w:t>”), an aggregate of (i) 10,000,000 shares of our common stock, par value $0.0001, and (ii) accompanying warrants to purchase up to 10,000,000 shares of common stock (the “</w:t>
      </w:r>
      <w:r>
        <w:rPr>
          <w:rFonts w:ascii="Times New Roman;Times;Serif" w:hAnsi="Times New Roman;Times;Serif"/>
          <w:b/>
          <w:i w:val="false"/>
          <w:caps w:val="false"/>
          <w:smallCaps w:val="false"/>
          <w:sz w:val="20"/>
        </w:rPr>
        <w:t>Investor Warrants</w:t>
      </w:r>
      <w:r>
        <w:rPr>
          <w:rFonts w:ascii="Times New Roman;Times;Serif" w:hAnsi="Times New Roman;Times;Serif"/>
          <w:b w:val="false"/>
          <w:i w:val="false"/>
          <w:caps w:val="false"/>
          <w:smallCaps w:val="false"/>
          <w:sz w:val="20"/>
        </w:rPr>
        <w:t>”), at the combined public offering price of $2.00 per share and accompanying Investor Warrant, less underwriting discounts and commissions, and (iii) warrants to purchase up to an aggregate of 570,250 shares of common stock (the “</w:t>
      </w:r>
      <w:r>
        <w:rPr>
          <w:rFonts w:ascii="Times New Roman;Times;Serif" w:hAnsi="Times New Roman;Times;Serif"/>
          <w:b/>
          <w:i w:val="false"/>
          <w:caps w:val="false"/>
          <w:smallCaps w:val="false"/>
          <w:sz w:val="20"/>
        </w:rPr>
        <w:t>Underwriters’ Warrants</w:t>
      </w:r>
      <w:r>
        <w:rPr>
          <w:rFonts w:ascii="Times New Roman;Times;Serif" w:hAnsi="Times New Roman;Times;Serif"/>
          <w:b w:val="false"/>
          <w:i w:val="false"/>
          <w:caps w:val="false"/>
          <w:smallCaps w:val="false"/>
          <w:sz w:val="20"/>
        </w:rPr>
        <w:t>”).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June 2023 Offering. 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this offering, including the partial overallotment option, was approximately $21.1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 Reincorporation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we changed our state of incorporation from the State of Delaware to the State of Nevada (the “</w:t>
      </w:r>
      <w:r>
        <w:rPr>
          <w:rFonts w:ascii="Times New Roman;Times;Serif" w:hAnsi="Times New Roman;Times;Serif"/>
          <w:b/>
          <w:i w:val="false"/>
          <w:caps w:val="false"/>
          <w:smallCaps w:val="false"/>
          <w:sz w:val="20"/>
        </w:rPr>
        <w:t>Reincorporation</w:t>
      </w:r>
      <w:r>
        <w:rPr>
          <w:rFonts w:ascii="Times New Roman;Times;Serif" w:hAnsi="Times New Roman;Times;Serif"/>
          <w:b w:val="false"/>
          <w:i w:val="false"/>
          <w:caps w:val="false"/>
          <w:smallCaps w:val="false"/>
          <w:sz w:val="20"/>
        </w:rPr>
        <w:t>”) pursuant to a plan of conversion dated March 30, 2023 (the “</w:t>
      </w:r>
      <w:r>
        <w:rPr>
          <w:rFonts w:ascii="Times New Roman;Times;Serif" w:hAnsi="Times New Roman;Times;Serif"/>
          <w:b/>
          <w:i w:val="false"/>
          <w:caps w:val="false"/>
          <w:smallCaps w:val="false"/>
          <w:sz w:val="20"/>
        </w:rPr>
        <w:t>Plan of Conversion</w:t>
      </w:r>
      <w:r>
        <w:rPr>
          <w:rFonts w:ascii="Times New Roman;Times;Serif" w:hAnsi="Times New Roman;Times;Serif"/>
          <w:b w:val="false"/>
          <w:i w:val="false"/>
          <w:caps w:val="false"/>
          <w:smallCaps w:val="false"/>
          <w:sz w:val="20"/>
        </w:rPr>
        <w:t>”). The Reincorporation was accomplished by filing: (i) a certificate of conversion with the Secretary of State of the State of Delaware; (ii) articles of conversion with the Secretary of State of the State of Nevada; and (iii) articles of incorporation (the “</w:t>
      </w:r>
      <w:r>
        <w:rPr>
          <w:rFonts w:ascii="Times New Roman;Times;Serif" w:hAnsi="Times New Roman;Times;Serif"/>
          <w:b/>
          <w:i w:val="false"/>
          <w:caps w:val="false"/>
          <w:smallCaps w:val="false"/>
          <w:sz w:val="20"/>
        </w:rPr>
        <w:t>Articles of Incorporation</w:t>
      </w:r>
      <w:r>
        <w:rPr>
          <w:rFonts w:ascii="Times New Roman;Times;Serif" w:hAnsi="Times New Roman;Times;Serif"/>
          <w:b w:val="false"/>
          <w:i w:val="false"/>
          <w:caps w:val="false"/>
          <w:smallCaps w:val="false"/>
          <w:sz w:val="20"/>
        </w:rPr>
        <w:t>”) with the Secretary of State of the State of Nevada. In connection with the Reincorporation, our board of directors adopted new bylaws in the form attached to the Plan of Conversion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Reincorporation was previously submitted to a vote of, and approved by, the Company’s stockholders at a special meeting of stockholders held on February 28, 2023 (the “</w:t>
      </w:r>
      <w:r>
        <w:rPr>
          <w:rFonts w:ascii="Times New Roman;Times;Serif" w:hAnsi="Times New Roman;Times;Serif"/>
          <w:b/>
          <w:i w:val="false"/>
          <w:caps w:val="false"/>
          <w:smallCaps w:val="false"/>
          <w:sz w:val="20"/>
        </w:rPr>
        <w:t>Special Meeting</w:t>
      </w:r>
      <w:r>
        <w:rPr>
          <w:rFonts w:ascii="Times New Roman;Times;Serif" w:hAnsi="Times New Roman;Times;Serif"/>
          <w:b w:val="false"/>
          <w:i w:val="false"/>
          <w:caps w:val="false"/>
          <w:smallCaps w:val="false"/>
          <w:sz w:val="20"/>
        </w:rPr>
        <w:t>”). The Reincorporation did not affect any of our material contracts with any third parties, and our rights and obligations under those material contractual arrangements continue to be rights and obligations of us after the Reincorporation. The Reincorporation did not result in any change in our business, jobs, management, number of employees, assets, liabilities or net worth (other than as a result of the costs incident to the Reincorporation). Pursuant to the Plan of Conversion, our issued and outstanding shares of common stock were automatically converted and certificates representing shares of common stock automatically represented shares of common stock of the reincorporated company as of the Effective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we entered into a separation and release of claims agreement with our Chief Legal Officer (“</w:t>
      </w:r>
      <w:r>
        <w:rPr>
          <w:rFonts w:ascii="Times New Roman;Times;Serif" w:hAnsi="Times New Roman;Times;Serif"/>
          <w:b/>
          <w:i w:val="false"/>
          <w:caps w:val="false"/>
          <w:smallCaps w:val="false"/>
          <w:sz w:val="20"/>
        </w:rPr>
        <w:t>CLO</w:t>
      </w:r>
      <w:r>
        <w:rPr>
          <w:rFonts w:ascii="Times New Roman;Times;Serif" w:hAnsi="Times New Roman;Times;Serif"/>
          <w:b w:val="false"/>
          <w:i w:val="false"/>
          <w:caps w:val="false"/>
          <w:smallCaps w:val="false"/>
          <w:sz w:val="20"/>
        </w:rPr>
        <w:t>”). As consideration for the CLO’s execution of the agreement, we agreed to pay the employee wages and benefits divided into 24 monthly payments commencing on June 1, 2023, and all outstanding equity-based compensation awards to become fully vested and exercisable. The CLO had three months from the termination date to exercise her outstanding options. The three-month period ended on July 26, 2023 in which the options were not exercised and the options were forfeited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2023, upon mutual agreement between the Company and Mr. Marchetti, Mr. Marchetti resigned from his position as the Company’s Chief Financial Officer. Mr. Marchetti will continue in the role of Senior Vice President, Operations. In connection with Mr. Marchetti’s resignation, on August 20, 2023, our board of directors appointed Denis Phares, the Company’s President, Chief Executive Officer, and Chairman of our board of directors, to succeed Mr. Marchetti as the Company’s interim Chief Financial Officer. Dr. Phares will continue his duties as President, Chief Executive Officer, and Chairman of our board of directors. The Company intends to commence a search for a full time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18, 2023, 98,500 shares have been issued under the ChEF Equity Facility for aggregate net proceeds to us of $670,593.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mailing address of our principal executive office is 1190 Trademark Dr. #108, Reno, Nevada 89521, and our telephone number is (775) 622-3448. On March 31, 2023, we effected the Reincorporation from the State of Delaware into the State of Nevada.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12" w:name="Na_001"/>
      <w:bookmarkEnd w:id="12"/>
      <w:r>
        <w:rPr>
          <w:rFonts w:ascii="Times New Roman;Times;Serif" w:hAnsi="Times New Roman;Times;Serif"/>
          <w:b/>
          <w:i w:val="false"/>
          <w:caps w:val="false"/>
          <w:smallCaps w:val="false"/>
          <w:sz w:val="20"/>
        </w:rPr>
        <w:t>MANAGEMENT’S DISCUSSION AND ANALYSIS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OF</w:t>
        <w:br/>
        <w:t>FINANCIAL CONDITION AND RESULTS OF OPERATIONS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 a result of the completion 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Business Combination,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are designed to displace lead acid batteries in a number of different storage applications and end markets including RV, marine vessel, and solar and off-grid industries, with disruptive solid-state cell technology currently under development.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266,000 batteries. For the quarters ended June 30, 2023 and 2022, we sold 20,966 and 21,651 batteries, respectively, and had $19.3 million and $21.6 million in net sales, respectively. We currently offer a line of batteries across our “Battle Born” and “Dragonfly Energy” brands, each differentiated by size, power and capacity, consisting of seven different models, four of which come with a heated option. We primarily sell “Battle Born” branded batteries DTC and “Dragonfly Energy” branded batteries to OEMs.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increased total sales are a reflection of strong growth in OEM sales and Wakespeed products, partially offset by a decline in DTC sales.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source the lithium iron phosphate cells incorporated into our batteries from a limited number of carefully selected suppliers that can meet our demanding quality standards and with whom we have developed long-term relationships.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our line of proprietary Wakespeed alternator regulation products which are necessary to ensure that the alternator does not get unduly stressed during the current delivery to the batteries and that the current delivery remains within the operating limits of the onboard battery bank. In addition to its own accessors, we are also a reseller of accessories for battery systems. These include chargers, inverters, monitors, controllers, solar panels and other system accessories from brands such as Victron Energy, Progressive Dynamics, Magnum Energy and Sterling Power.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LFP batteries, we are currently developing the next generation of LFP solid-state cells. Since our founding, we have been developing proprietary battery cell manufacturing processes and solid-state battery cell technology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cell manufacturing process is highlighted by our dry deposition technology, which completely displaces the need for toxic solvents in the manufacturing process and allows for the rapid and scalable production of chemistry-agnostic cells. Additionally, our internal production of battery cells will streamline our supply chain, allowing us to vertically integrate our cells into our batteries, thereby lowering our production costs.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or the Closing Date, we consummated the Business Combination. Pursuant to the Business Combination Agreement, Merger Sub merged with and into Legacy Dragonfly, with Legacy Dragonfly surviving the merger and becoming a wholly-owned direct subsidiary of CNTQ. Thereafter, Merger Sub ceased to exist and CNTQ was renamed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reverse recapitalization. Under this method of accounting, CNTQ was treated as the acquired company for financial statement reporting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ChEF Equity Facility. We have chosen to be conservative because of the performance of our common stock in February and March 2023. Much of this was due to the low public float, low institutional interest (since we are pre-lockup expiration), and low visibility of the Company in general. Moving forward, after the lockup expiration, we intend to market more heavily to institutions and expect the trading volume to increase and the stock price to stabilize. Under these conditions,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as the lock-up on shares expires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20, 2023, we entered into the Underwriting Agreement with the Underwriters, pursuant to which we sold to the Underwriters, in a firm commitment underwritten public offering, or the June 2023 Offering, an aggregate of (i) 10,000,000 shares of common stock, par value $0.0001 and (ii) Investor Warrants to purchase up to 10,000,000 shares of common Stock, at the combined public offering price of $2.00 per share and accompanying Investor Warrant, less underwriting discounts and commissions, and (iii) Underwriters’ Warrants to purchase up to an aggregate of 570,250 shares of common stock.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Warrants are exercisable for five years from the closing date of the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Offering. 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the June 2023 Offering, including the partial overallotment option, was approximately $21.1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we had cash totaling $33.0 million. Our net loss for the quarter ended June 30, 2023 and 2022 was $11.7 million and $1.5 million, respectively. As a result of being a publicly traded company, we continue to need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Times New Roman;Times;Serif" w:hAnsi="Times New Roman;Times;Serif"/>
          <w:b w:val="false"/>
          <w:i/>
          <w:caps w:val="false"/>
          <w:smallCaps w:val="false"/>
          <w:sz w:val="20"/>
        </w:rPr>
        <w:t>Liquidity and Capital Resources</w:t>
      </w:r>
      <w:r>
        <w:rPr>
          <w:rFonts w:ascii="Times New Roman;Times;Serif" w:hAnsi="Times New Roman;Times;Serif"/>
          <w:b w:val="false"/>
          <w:i w:val="false"/>
          <w:caps w:val="false"/>
          <w:smallCaps w:val="false"/>
          <w:sz w:val="20"/>
        </w:rPr>
        <w:t>” below 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Operating Results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position and results of operations depend to a significant extent on the following factors: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 Consumers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ultimately depends on demand from consumers in our current end markets. We generate sales through (1) DTC and (2) through OEMs, particularly in the RV market.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from end market consumers is impacted by a number of factors, including travel restrictions, fuel costs and energy demands (including an increasing trend towards the use of green energy), as well as overall macro-economic conditions. Sales of our batteries have benefited from the increased adoption of the RV lifestyle, the demand for and inclusion of additional appliances and electronics in RVs, and the accelerating trend of solar power adoption among RV customers. However, in recent months rising fuel costs and other macro-economic conditions, such as inflation and rising interest rates, have caused a downward shift in decisions taken by end market consumers around spending in the RV market and in July of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 competitor, we do expect this change in strategy to have a material limiting effect on our revenue throughout the remainder of 2023.</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the Company is now actively working down its inventory to more appropriate safety stock levels.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and Customer Mix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Production Capacity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a lease for an additional 390,240 square foot warehouse in Reno, Nevada, which is expected to be completed in early 2024. This facility, combined with our existing facility, will allow further scaling of our increasingly automated battery pack assembly capabilities, expand our warehousing space, and allow for deployment of our solid-state cell manufacturing.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is primarily generated from the sale of our LFP batteries to OEMs and consumers, as well as chargers and other accessories, either individually or bundled.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includes the cost of cells and other components of our LFP batteries, labor and overhead, logistics and freight costs, and depreciation of manufacturing equipment.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calculated as net sales less cost of goods sold, may vary between periods and is primarily affected by various factors including average selling prices, product costs, product mix and customer mix.</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personnel-related expenses attributable to our executive, finance, human resources, and information technology organizations, certain facility costs, and fees for professional services.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(Expense)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consists primarily of interest expense, the change in fair value of the warrant liability and amortization of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Three months ended June 30, 2023 and June 30, 2022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three months ended June 30, 2023, and June 30, 2022. This data should be read together with our financial statements and related notes included elsewhere in this Quarterly Report, and is qualified in its entirety by reference to such financial statements and related notes.</w:t>
      </w:r>
    </w:p>
    <w:p>
      <w:pPr>
        <w:pStyle w:val="TextBody"/>
        <w:bidi w:val="0"/>
        <w:jc w:val="both"/>
        <w:rPr>
          <w:caps w:val="false"/>
          <w:smallCaps w:val="false"/>
        </w:rPr>
      </w:pPr>
      <w:r>
        <w:rPr>
          <w:caps w:val="false"/>
          <w:smallCaps w:val="false"/>
        </w:rPr>
        <w:t> </w:t>
      </w:r>
    </w:p>
    <w:tbl>
      <w:tblPr>
        <w:tblW w:w="9308" w:type="dxa"/>
        <w:jc w:val="left"/>
        <w:tblInd w:w="0" w:type="dxa"/>
        <w:tblLayout w:type="fixed"/>
        <w:tblCellMar>
          <w:top w:w="0" w:type="dxa"/>
          <w:left w:w="0" w:type="dxa"/>
          <w:bottom w:w="0" w:type="dxa"/>
          <w:right w:w="0" w:type="dxa"/>
        </w:tblCellMar>
      </w:tblPr>
      <w:tblGrid>
        <w:gridCol w:w="4460"/>
        <w:gridCol w:w="60"/>
        <w:gridCol w:w="140"/>
        <w:gridCol w:w="755"/>
        <w:gridCol w:w="95"/>
        <w:gridCol w:w="60"/>
        <w:gridCol w:w="119"/>
        <w:gridCol w:w="1130"/>
        <w:gridCol w:w="95"/>
        <w:gridCol w:w="60"/>
        <w:gridCol w:w="140"/>
        <w:gridCol w:w="680"/>
        <w:gridCol w:w="95"/>
        <w:gridCol w:w="60"/>
        <w:gridCol w:w="119"/>
        <w:gridCol w:w="1130"/>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8"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19,274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21,622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15,176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67.5</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32.5</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3,816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17.6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13.3</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12,489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7,556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34.9</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(8,391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(5.7</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Total 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(3,309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(1,228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(5.7</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(1,756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(8.1</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(60.7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(1,469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(6.8</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4357" w:type="dxa"/>
        <w:jc w:val="left"/>
        <w:tblInd w:w="0" w:type="dxa"/>
        <w:tblLayout w:type="fixed"/>
        <w:tblCellMar>
          <w:top w:w="0" w:type="dxa"/>
          <w:left w:w="0" w:type="dxa"/>
          <w:bottom w:w="0" w:type="dxa"/>
          <w:right w:w="0" w:type="dxa"/>
        </w:tblCellMar>
      </w:tblPr>
      <w:tblGrid>
        <w:gridCol w:w="1190"/>
        <w:gridCol w:w="60"/>
        <w:gridCol w:w="252"/>
        <w:gridCol w:w="1228"/>
        <w:gridCol w:w="108"/>
        <w:gridCol w:w="108"/>
        <w:gridCol w:w="108"/>
        <w:gridCol w:w="1228"/>
        <w:gridCol w:w="75"/>
      </w:tblGrid>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3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32"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Retailer</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5,829</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11,850</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Distributor</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4,143</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2,534</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DTC</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9,972</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14,384</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51.7</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66.5</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OEM</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9,302</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7,238</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48.3</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33.5</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single" w:sz="12" w:space="0" w:color="000000"/>
            </w:tcBorders>
            <w:shd w:fill="CCEEFF" w:val="clear"/>
            <w:tcMar>
              <w:bottom w:w="28" w:type="dxa"/>
            </w:tcMar>
            <w:vAlign w:val="center"/>
          </w:tcPr>
          <w:p>
            <w:pPr>
              <w:pStyle w:val="TableContents"/>
              <w:bidi w:val="0"/>
              <w:spacing w:before="0" w:after="283"/>
              <w:jc w:val="right"/>
              <w:rPr/>
            </w:pPr>
            <w:r>
              <w:rPr/>
              <w:t>19,274</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CCEEFF" w:val="clear"/>
            <w:tcMar>
              <w:bottom w:w="28" w:type="dxa"/>
            </w:tcMar>
            <w:vAlign w:val="center"/>
          </w:tcPr>
          <w:p>
            <w:pPr>
              <w:pStyle w:val="TableContents"/>
              <w:bidi w:val="0"/>
              <w:spacing w:before="0" w:after="283"/>
              <w:jc w:val="right"/>
              <w:rPr/>
            </w:pPr>
            <w:r>
              <w:rPr/>
              <w:t>21,622</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decreased by $2.3 million, or 10.9%, to $19.3 million for the three months ended June 30, 2023, as compared to $21.6 million for the quarter ended June 30, 2022. This decrease was primarily due to lower DTC battery and accessory sales partially offset by higher OEM sales. For the quarter ended June 30, 2023, OEM revenue increased by $2.1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In July of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 competitor, we do expect this change in strategy to have a material limiting effect on our revenue throughout the remainder of 2023. DTC revenue decreased by $4.4 million as a result of decreased customer demand for our products due to rising interest rates and inflation.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by $0.6 million, or 4.0%, to $15.2 million for the three months ended June 30, 2023, as compared to $14.6 million for the quarter ended June 30, 2022. This increase was primarily due to higher material costs associated with consuming higher priced inventory.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$2.9 million, or 41.7%, to $4.1 million for the three months ended June 30, 2023, as compared to $7.0 million for the quarter ended June 30, 2022. The decrease in gross profit was primarily due to a change in revenue mix that included a larger percentage of lower margin OEM sales and a lower percentage of higher margin DTC sales, combined with the aforementioned increase in material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$0.2 million or 24.2%, to $1.1 million for the three months ended June 30, 2023, as compared to $0.9 million for the quarter ended June 30, 2022. The increase was primarily due to higher patent expenses, increase wages associated with increased headcount, and higher materials and supply costs associated with development work.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$3.8 million, or 99.5%, to $7.6 million for the three months ended June 30, 2023, as compared to $3.8 million for the quarter ended June 30, 2022. This increase was primarily due a $2.0 million increase in professional services, compliance, and insurance costs, a $0.7 million severance expense, and a $0.7 million increase in stock-based compensation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$0.9 million, or 32.2%, to $3.8 million for the three months ended June 30, 2023, as compared to $2.9 million for the quarter ended June 30, 2022. This increase was primarily due to a $1.1 million increase in wage-related expenses primarily due to the addition of sales and marketing personnel to support growth in our existing end markets, as well as to drive growth in the new, adjacent end markets we are targeting. This increase was partially offset by lower shipping costs, due to the decline in DTC sales and change in revenue mix.</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Expense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totaled $3.3 million for the quarter ended June 30, 2023 as compared to total other expense of $1.2 million for the quarter ended June 30, 2022. Other income in the quarter ended June 30, 2023 is comprised of $4.1 million in interest expense related to our debt securities, partially offset by a change in fair market value of our warrants in the amount of $0.8. The $1.2 million expense in the quarter ended June 30, 2022 was comprised of interest expense related to the senior secured notes of $45 million which were retired as a result of the Business Combination.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tax expense recorded for the quarter ended June 30, 2023, as compared to $0.3 million benefit for the quarter ended June 30, 2022. The income tax benefit of $0.3 million for the quarter ended June 30, 2022 was expected to be used against future tax obligations. Based on available evidence as of June 30, 2023, management believes it is more likely than not that some or all the deferred tax assets will not be realized. Accordingly, the Company established a 100% valuation allowance. As a result of the full valuation allowance, the Company did not record a tax benefit during the quarter ended June 30, 2023.</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a net loss of $11.7 million for the quarter ended June 30, 2023, as compared to a net loss of $1.5 million for the quarter ended June 30, 2022. As described above, this result was driven lower sales, increased cost of goods sold, higher operating expenses, and increased other expense.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Six months ended June 30, 2023 and June 30, 2022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six months ended June 30, 2023, and June 30, 2022. This data should be read together with our financial statements and related notes included elsewhere in this Quarterly Report, and is qualified in its entirety by reference to such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9308" w:type="dxa"/>
        <w:jc w:val="left"/>
        <w:tblInd w:w="0" w:type="dxa"/>
        <w:tblLayout w:type="fixed"/>
        <w:tblCellMar>
          <w:top w:w="0" w:type="dxa"/>
          <w:left w:w="0" w:type="dxa"/>
          <w:bottom w:w="0" w:type="dxa"/>
          <w:right w:w="0" w:type="dxa"/>
        </w:tblCellMar>
      </w:tblPr>
      <w:tblGrid>
        <w:gridCol w:w="4460"/>
        <w:gridCol w:w="60"/>
        <w:gridCol w:w="140"/>
        <w:gridCol w:w="755"/>
        <w:gridCol w:w="95"/>
        <w:gridCol w:w="60"/>
        <w:gridCol w:w="119"/>
        <w:gridCol w:w="1130"/>
        <w:gridCol w:w="95"/>
        <w:gridCol w:w="60"/>
        <w:gridCol w:w="140"/>
        <w:gridCol w:w="680"/>
        <w:gridCol w:w="95"/>
        <w:gridCol w:w="60"/>
        <w:gridCol w:w="119"/>
        <w:gridCol w:w="1130"/>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8"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38,065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39,925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29,224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27,402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68.6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31.4</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18.6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5,973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27,048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14,613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36.6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(18,207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(5.2</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(6.2</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19,327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50.8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11,399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(2,491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(6.2</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(6,808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(4,581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(11.5</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(814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(6,808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(17.9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(3,767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(9.4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057" w:type="dxa"/>
        <w:jc w:val="left"/>
        <w:tblInd w:w="0" w:type="dxa"/>
        <w:tblLayout w:type="fixed"/>
        <w:tblCellMar>
          <w:top w:w="0" w:type="dxa"/>
          <w:left w:w="0" w:type="dxa"/>
          <w:bottom w:w="0" w:type="dxa"/>
          <w:right w:w="0" w:type="dxa"/>
        </w:tblCellMar>
      </w:tblPr>
      <w:tblGrid>
        <w:gridCol w:w="1190"/>
        <w:gridCol w:w="60"/>
        <w:gridCol w:w="227"/>
        <w:gridCol w:w="1107"/>
        <w:gridCol w:w="97"/>
        <w:gridCol w:w="97"/>
        <w:gridCol w:w="97"/>
        <w:gridCol w:w="1107"/>
        <w:gridCol w:w="75"/>
      </w:tblGrid>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Retailer</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12,898</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24,885</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Distributor</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FFFFFF" w:val="clear"/>
            <w:tcMar>
              <w:bottom w:w="28" w:type="dxa"/>
            </w:tcMar>
            <w:vAlign w:val="center"/>
          </w:tcPr>
          <w:p>
            <w:pPr>
              <w:pStyle w:val="TableContents"/>
              <w:bidi w:val="0"/>
              <w:spacing w:before="0" w:after="283"/>
              <w:jc w:val="right"/>
              <w:rPr/>
            </w:pPr>
            <w:r>
              <w:rPr/>
              <w:t>7,111</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FFFFFF" w:val="clear"/>
            <w:tcMar>
              <w:bottom w:w="28" w:type="dxa"/>
            </w:tcMar>
            <w:vAlign w:val="center"/>
          </w:tcPr>
          <w:p>
            <w:pPr>
              <w:pStyle w:val="TableContents"/>
              <w:bidi w:val="0"/>
              <w:spacing w:before="0" w:after="283"/>
              <w:jc w:val="right"/>
              <w:rPr/>
            </w:pPr>
            <w:r>
              <w:rPr/>
              <w:t>4,621</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DTC</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20,009</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29,506</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52.6</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73.9</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OEM</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18,056</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10,419</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47.4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26.1</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7" w:type="dxa"/>
            <w:tcBorders>
              <w:bottom w:val="single" w:sz="12" w:space="0" w:color="000000"/>
            </w:tcBorders>
            <w:shd w:fill="CCEEFF" w:val="clear"/>
            <w:tcMar>
              <w:bottom w:w="28" w:type="dxa"/>
            </w:tcMar>
            <w:vAlign w:val="center"/>
          </w:tcPr>
          <w:p>
            <w:pPr>
              <w:pStyle w:val="TableContents"/>
              <w:bidi w:val="0"/>
              <w:spacing w:before="0" w:after="283"/>
              <w:jc w:val="right"/>
              <w:rPr/>
            </w:pPr>
            <w:r>
              <w:rPr/>
              <w:t>38,065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center"/>
          </w:tcPr>
          <w:p>
            <w:pPr>
              <w:pStyle w:val="TableContents"/>
              <w:bidi w:val="0"/>
              <w:spacing w:before="0" w:after="283"/>
              <w:jc w:val="right"/>
              <w:rPr/>
            </w:pPr>
            <w:r>
              <w:rPr/>
              <w:t>39,925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decreased by $1.9 million, or 4.7%, to $38.1 million for the six months ended June 30, 2023, as compared to $39.9 million for the six months ended June 30, 2022. This decrease was primarily due to lower DTC battery and accessory sales partially offset by higher OEM sales. For the six months ended June 30, 2023, OEM revenue increased by $7.6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In July of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 competitor, we do expect this change in strategy to have a material limiting effect on our revenue throughout the remainder of 2023. DTC revenue decreased by $9.5 million as a result of decreased customer demand for our products due to rising interest rates and inflation.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by $1.8 million, or 6.6%, to $29.2 million for the six months ended June 30, 2023, as compared to $27.4 million for the six months ended June 30, 2022. This increase was primarily due to higher material costs associated with consuming higher priced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$3.7 million, or 29.4%, to $8.8 million for the six months ended June 30, 2023, as compared to $12.5 million for the six months ended June 30, 2022. The decrease in gross profit was primarily due to a change in revenue mix that included a larger percentage of lower margin OEM sales and a lower percentage of higher margin DTC sales, combined with the aforementioned higher material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$0.7 million or 62.5%, to $1.9 million for the six months ended June 30, 2023, as compared to $1.2 million for the six months ended June 30, 2022. The increase was primarily due increased wages in the amount of $0.4 million associated with higher headcount, higher patent expenses, and higher materials and supply costs associated with development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$9.7 million, or 129.9%, to $17.1 million for the six months ended June 30, 2023, as compared to $7.4 million for the six months ended June 30, 2022. This increase was primarily due a $4.1 million increase in stock-based compensation costs, a $3.9 million increase in professional services, compliance, and insurance costs, a $0.7 million severance expense, and increased wages associated with higher headcount in the amount of $0.5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$2.0 million, or 33.8%, to $8.0 million for the six months ended June 30, 2023, as compared to $6.0 million for the six months ended June 30, 2022. This increase was primarily due to a $2.7 million increase in wage-related expenses. This increase was partially offset by lower shipping costs, due to the decline in DTC sales and change in revenue mix.</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totaled $11.4 million for the six months ended June 30, 2023 as compared to total other expense of $2.5 million for the six months ended June 30, 2022. Other income for the six months ended June 30, 2023 is comprised of a change in fair market value of our warrants in the amount of $19.3 million offset by $7.9 million in interest expense related to our debt securities. The $2.5 million expense in for the six months ended June 30, 2022 was comprised of interest expense related to the senior secured notes of $45 million which were retired as a result of the Business Combination.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tax expense recorded for the six months ended June 30, 2023, as compared to a $0.8 million benefit for the six months ended June 30, 2022. The income tax benefit of $0.8 million for the six months ended June 30, 2022 was expected to be used against future tax obligations. Based on available evidence as of June 30, 2023, management believes it is more likely than not that some or all the deferred tax assets will not be realized. Accordingly, the Company established a 100% valuation allowance. As a result of the full valuation allowance, the Company did not record a tax benefit during the six months ended June 30,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a net loss of $6.8 million for the six months ended June 30, 2023, as compared to net loss of $3.8 million for the six months ended June 30, 2022. As described above, this result was driven primarily by lower sales, increased cost of goods sold, higher operating expenses, partially offset by increased other income (primarily as a result of a change in fair market value of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Years Ended December 31, 2022 and 2021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years ended December 31, 2022 and 2021. This data should be read together with our financial statements and related notes included elsewhere in this Registration Statement, and is qualified in its entirety by reference to such financial statements and related notes.</w:t>
      </w:r>
    </w:p>
    <w:p>
      <w:pPr>
        <w:pStyle w:val="TextBody"/>
        <w:bidi w:val="0"/>
        <w:jc w:val="both"/>
        <w:rPr>
          <w:caps w:val="false"/>
          <w:smallCaps w:val="false"/>
        </w:rPr>
      </w:pPr>
      <w:r>
        <w:rPr>
          <w:caps w:val="false"/>
          <w:smallCaps w:val="false"/>
        </w:rPr>
        <w:t> </w:t>
      </w:r>
    </w:p>
    <w:tbl>
      <w:tblPr>
        <w:tblW w:w="9308" w:type="dxa"/>
        <w:jc w:val="left"/>
        <w:tblInd w:w="0" w:type="dxa"/>
        <w:tblLayout w:type="fixed"/>
        <w:tblCellMar>
          <w:top w:w="0" w:type="dxa"/>
          <w:left w:w="0" w:type="dxa"/>
          <w:bottom w:w="0" w:type="dxa"/>
          <w:right w:w="0" w:type="dxa"/>
        </w:tblCellMar>
      </w:tblPr>
      <w:tblGrid>
        <w:gridCol w:w="4460"/>
        <w:gridCol w:w="60"/>
        <w:gridCol w:w="140"/>
        <w:gridCol w:w="755"/>
        <w:gridCol w:w="95"/>
        <w:gridCol w:w="60"/>
        <w:gridCol w:w="119"/>
        <w:gridCol w:w="1130"/>
        <w:gridCol w:w="95"/>
        <w:gridCol w:w="60"/>
        <w:gridCol w:w="140"/>
        <w:gridCol w:w="680"/>
        <w:gridCol w:w="95"/>
        <w:gridCol w:w="60"/>
        <w:gridCol w:w="119"/>
        <w:gridCol w:w="1130"/>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8"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86,251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62,247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48,375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62.0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38.0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41,566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13.6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12.6</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58,001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23,158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29.7</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(Loss) Income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8.3</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(6,945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(0.7</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Debt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(4,824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Total 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(6,283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(0.7</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b/>
              </w:rPr>
            </w:pPr>
            <w:r>
              <w:rPr>
                <w:b/>
              </w:rPr>
              <w:t>(Loss) Income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(40,280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Income Tax (Benefit)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Net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(39,571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(45.9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4,338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5.6</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4071" w:type="dxa"/>
        <w:jc w:val="left"/>
        <w:tblInd w:w="0" w:type="dxa"/>
        <w:tblLayout w:type="fixed"/>
        <w:tblCellMar>
          <w:top w:w="0" w:type="dxa"/>
          <w:left w:w="0" w:type="dxa"/>
          <w:bottom w:w="0" w:type="dxa"/>
          <w:right w:w="0" w:type="dxa"/>
        </w:tblCellMar>
      </w:tblPr>
      <w:tblGrid>
        <w:gridCol w:w="1190"/>
        <w:gridCol w:w="60"/>
        <w:gridCol w:w="218"/>
        <w:gridCol w:w="1062"/>
        <w:gridCol w:w="93"/>
        <w:gridCol w:w="93"/>
        <w:gridCol w:w="218"/>
        <w:gridCol w:w="1062"/>
        <w:gridCol w:w="75"/>
      </w:tblGrid>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46"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Retailer</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43,344</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59,042</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Distributor</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9,102</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10,733</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DTC</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52,446</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69,775</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60.8</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89.5</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OEM</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33,805</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8,225</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39.2</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10.5</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86,251</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78,000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by $8.3 million, or 10.6%, to $86.3 million for the year ended December 31, 2022, as compared to $78.0 million for the year ended December 31, 2021. This increase was primarily due to higher OEM battery and accessory sales partially offset by lower DTC sales. For the year ended December 31, 2022, OEM revenue increased by $25.6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DTC revenue decreased by $17.3 million as a result of decreased customer demand for our products due to rising interest rates and inflation.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by $13.9 million, or 28.7%, to $62.2 million for the year ended December 31, 2022, as compared to $48.4 million for the year ended December 31, 2021. This increase was primarily due to growth in the number of units sold resulting in an $11.6 million increase of product cost, a $2.2 million increase in overhead expense associated with the new manufacturing facility, and higher labor costs due to growth in our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$5.6 million, or 19.0%, to $24.0 million for the year ended December 31, 2022, as compared to $29.6 million for the year ended December 31, 2021. The decrease in gross profit was primarily due to a change in revenue mix that included a larger percentage of lower margin OEM sales and a lower percentage of higher margin DTC sales, together with an increase in cost of goods sold as noted above.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$0.1 million, or 2.8%, to $2.8 million for the year ended December 31, 2022, as compared to $2.7 million for the year ended December 31, 2021. The increase was primarily due to higher wage expense partially offset by lower product certification, patent expense and costs for materials used in research and development.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$30.9 million, or 291.4%, to $41.6 million for the year ended December 31, 2022, as compared to $10.6 million for the year ended December 31, 2021. This increase was primarily due to expenses associated with the aforementioned Business Combination and professional fees in the amount of $23.4 million and a $6.3 million increase in costs associated with personnel needed for public company readiness. Other increases relate to compliance, insurance and system costs related to being a public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$3.8 million, or 38.8%, to $13.7 million for the year ended December 31, 2022, as compared to $9.8 million for the year ended December 31, 2021. This increase was primarily due to the addition of sales and marketing personnel to support growth in our existing end markets, as well as to drive growth in the new, adjacent end markets we are targeting, overhead costs associated with our larger manufacturing facility, increased shipping expenses due to higher volumes and price increases, and advertising and sponsorship growth.</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(Expense)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totaled $6.3 million for the year ended December 31, 2022 as compared to total other expense of $0.5 million for the year ended December 31, 2021. Other expense in 2022 is comprised primarily of interest expense of $3.7 million related to senior secured notes of $45 million and $3.2 million related to debt securities of $75 million. Debt extinguishment expense of $4.8 million due to the retirement of the $45 million in senior secured notes as a result of the Business Combination, partially offset by $5.4 million in the change of the fair market value of our warrants. Interest expense will increase significantly as a result of approximately $75.0 million in post-closing indebtedness following completion of the Business Combination.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was $0.7 million for the year ended December 31, 2022, as compared to $1.6 million expense for the year ended December 31, 2021.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$7.3 million was recorded as of December 31, 2022.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a net loss of $39.6 million for the year ended December 31, 2022, as compared to net income of $4.3 million for the year ended December 31, 2021. As described above, this result was driven primarily by higher sales offset by increased cost of goods sold, higher operating expenses (primarily as a result of the Business Combination) and increased other expense.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those most critical to the judgments and estimates used in the preparation of our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 Valuation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reviews physical inventory for excess, obsolete, and potentially impaired items and reserves. Any such inventory is written down to net realizable value. The reserve estimate for excess and obsolete inventory is dependent on expected future use and requires management judgement.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w:t>
      </w:r>
      <w:r>
        <w:rPr>
          <w:rFonts w:ascii="Times New Roman;Times;Serif" w:hAnsi="Times New Roman;Times;Serif"/>
          <w:b/>
          <w:i w:val="false"/>
          <w:caps w:val="false"/>
          <w:smallCaps w:val="false"/>
          <w:sz w:val="20"/>
        </w:rPr>
        <w:t>ASC 480</w:t>
      </w:r>
      <w:r>
        <w:rPr>
          <w:rFonts w:ascii="Times New Roman;Times;Serif" w:hAnsi="Times New Roman;Times;Serif"/>
          <w:b w:val="false"/>
          <w:i w:val="false"/>
          <w:caps w:val="false"/>
          <w:smallCaps w:val="false"/>
          <w:sz w:val="20"/>
        </w:rPr>
        <w:t>”), and ASC 815, Derivatives and Hedging (“</w:t>
      </w:r>
      <w:r>
        <w:rPr>
          <w:rFonts w:ascii="Times New Roman;Times;Serif" w:hAnsi="Times New Roman;Times;Serif"/>
          <w:b/>
          <w:i w:val="false"/>
          <w:caps w:val="false"/>
          <w:smallCaps w:val="false"/>
          <w:sz w:val="20"/>
        </w:rPr>
        <w:t>ASC 815</w:t>
      </w:r>
      <w:r>
        <w:rPr>
          <w:rFonts w:ascii="Times New Roman;Times;Serif" w:hAnsi="Times New Roman;Times;Serif"/>
          <w:b w:val="false"/>
          <w:i w:val="false"/>
          <w:caps w:val="false"/>
          <w:smallCaps w:val="false"/>
          <w:sz w:val="20"/>
        </w:rPr>
        <w:t>”),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“Note 12—Warrants” in our accompanying consolidated financial statements for information on the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Black-Scholes option-pricing model to determine the fair value of option grants. In estimating fair value, management is required to make certain assumptions and estimates such as the expected life of units, volatility of our future share price, risk-free rates, future dividend yields and estimated forfeitures at the initial grant date. Restricted stock unit awards are valued based on the closing trading price of the Company’s common stock on the date of grant. Changes in assumptions used to estimate fair value could result in materially different results.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ERP implementation, promissory note forgiveness, and change in the fair market value of warrant liabilities. Adjusted EBITDA is a performance measure that we believe is useful to investors and analysts because it illustrates the underlying financial and business trends relating to our core, recurring results of operations and enhances comparability between periods.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adjusted EBITDA, reconciled to net income (loss) for the three and six months ended June 30, 2023, and June 30, 2022.</w:t>
      </w:r>
    </w:p>
    <w:p>
      <w:pPr>
        <w:pStyle w:val="TextBody"/>
        <w:shd w:fill="FFFFFF" w:val="clear"/>
        <w:bidi w:val="0"/>
        <w:spacing w:before="0" w:after="0"/>
        <w:jc w:val="center"/>
        <w:rPr>
          <w:caps w:val="false"/>
          <w:smallCaps w:val="false"/>
        </w:rPr>
      </w:pPr>
      <w:r>
        <w:rPr>
          <w:caps w:val="false"/>
          <w:smallCaps w:val="false"/>
        </w:rPr>
        <w:t> </w:t>
      </w:r>
    </w:p>
    <w:tbl>
      <w:tblPr>
        <w:tblW w:w="10187" w:type="dxa"/>
        <w:jc w:val="left"/>
        <w:tblInd w:w="0" w:type="dxa"/>
        <w:tblLayout w:type="fixed"/>
        <w:tblCellMar>
          <w:top w:w="0" w:type="dxa"/>
          <w:left w:w="0" w:type="dxa"/>
          <w:bottom w:w="0" w:type="dxa"/>
          <w:right w:w="0" w:type="dxa"/>
        </w:tblCellMar>
      </w:tblPr>
      <w:tblGrid>
        <w:gridCol w:w="4100"/>
        <w:gridCol w:w="60"/>
        <w:gridCol w:w="232"/>
        <w:gridCol w:w="1255"/>
        <w:gridCol w:w="157"/>
        <w:gridCol w:w="99"/>
        <w:gridCol w:w="232"/>
        <w:gridCol w:w="1056"/>
        <w:gridCol w:w="95"/>
        <w:gridCol w:w="60"/>
        <w:gridCol w:w="209"/>
        <w:gridCol w:w="1131"/>
        <w:gridCol w:w="142"/>
        <w:gridCol w:w="89"/>
        <w:gridCol w:w="209"/>
        <w:gridCol w:w="951"/>
        <w:gridCol w:w="110"/>
      </w:tblGrid>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4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31"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1"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(11,700</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(6,808</w:t>
            </w:r>
          </w:p>
        </w:tc>
        <w:tc>
          <w:tcPr>
            <w:tcW w:w="142"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(3,767</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4,113</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1,228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7,928</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2,491</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Taxes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(287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(814</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12" w:space="0" w:color="000000"/>
            </w:tcBorders>
            <w:shd w:fill="FFFFFF" w:val="clear"/>
            <w:tcMar>
              <w:bottom w:w="28" w:type="dxa"/>
            </w:tcMar>
            <w:vAlign w:val="center"/>
          </w:tcPr>
          <w:p>
            <w:pPr>
              <w:pStyle w:val="TableContents"/>
              <w:bidi w:val="0"/>
              <w:spacing w:before="0" w:after="283"/>
              <w:jc w:val="right"/>
              <w:rPr/>
            </w:pPr>
            <w:r>
              <w:rPr/>
              <w:t>296</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FFFFFF" w:val="clear"/>
            <w:tcMar>
              <w:bottom w:w="28" w:type="dxa"/>
            </w:tcMar>
            <w:vAlign w:val="center"/>
          </w:tcPr>
          <w:p>
            <w:pPr>
              <w:pStyle w:val="TableContents"/>
              <w:bidi w:val="0"/>
              <w:spacing w:before="0" w:after="283"/>
              <w:jc w:val="right"/>
              <w:rPr/>
            </w:pPr>
            <w:r>
              <w:rPr/>
              <w:t>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FFFFFF" w:val="clear"/>
            <w:tcMar>
              <w:bottom w:w="28" w:type="dxa"/>
            </w:tcMar>
            <w:vAlign w:val="center"/>
          </w:tcPr>
          <w:p>
            <w:pPr>
              <w:pStyle w:val="TableContents"/>
              <w:bidi w:val="0"/>
              <w:spacing w:before="0" w:after="283"/>
              <w:jc w:val="right"/>
              <w:rPr/>
            </w:pPr>
            <w:r>
              <w:rPr/>
              <w:t>593</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389</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(7,291</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(256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1,713</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(1,701</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i/>
              </w:rPr>
            </w:pPr>
            <w:r>
              <w:rPr>
                <w:i/>
              </w:rPr>
              <w:t>Adjusted for:</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954</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431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5,441</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719</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Separation Agreement</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720</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720</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June Offering Costs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904</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904</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Promissory Note Forgiveness</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469</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market value of warrant liability </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12" w:space="0" w:color="000000"/>
            </w:tcBorders>
            <w:shd w:fill="CCEEFF" w:val="clear"/>
            <w:tcMar>
              <w:bottom w:w="28" w:type="dxa"/>
            </w:tcMar>
            <w:vAlign w:val="center"/>
          </w:tcPr>
          <w:p>
            <w:pPr>
              <w:pStyle w:val="TableContents"/>
              <w:bidi w:val="0"/>
              <w:spacing w:before="0" w:after="283"/>
              <w:jc w:val="right"/>
              <w:rPr/>
            </w:pPr>
            <w:r>
              <w:rPr/>
              <w:t>(804</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(19,327</w:t>
            </w:r>
          </w:p>
        </w:tc>
        <w:tc>
          <w:tcPr>
            <w:tcW w:w="142"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pPr>
            <w:r>
              <w:rPr/>
              <w:t>(5,517</w:t>
            </w:r>
          </w:p>
        </w:tc>
        <w:tc>
          <w:tcPr>
            <w:tcW w:w="157"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pPr>
            <w:r>
              <w:rPr/>
              <w:t>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bottom w:w="28" w:type="dxa"/>
            </w:tcMar>
            <w:vAlign w:val="center"/>
          </w:tcPr>
          <w:p>
            <w:pPr>
              <w:pStyle w:val="TableContents"/>
              <w:bidi w:val="0"/>
              <w:spacing w:before="0" w:after="283"/>
              <w:jc w:val="right"/>
              <w:rPr/>
            </w:pPr>
            <w:r>
              <w:rPr/>
              <w:t>(10,549</w:t>
            </w:r>
          </w:p>
        </w:tc>
        <w:tc>
          <w:tcPr>
            <w:tcW w:w="142"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double" w:sz="6" w:space="0" w:color="000000"/>
            </w:tcBorders>
            <w:shd w:fill="FFFFFF" w:val="clear"/>
            <w:tcMar>
              <w:bottom w:w="28" w:type="dxa"/>
            </w:tcMar>
            <w:vAlign w:val="center"/>
          </w:tcPr>
          <w:p>
            <w:pPr>
              <w:pStyle w:val="TableContents"/>
              <w:bidi w:val="0"/>
              <w:spacing w:before="0" w:after="283"/>
              <w:jc w:val="right"/>
              <w:rPr/>
            </w:pPr>
            <w:r>
              <w:rPr/>
              <w:t>(513</w:t>
            </w:r>
          </w:p>
        </w:tc>
        <w:tc>
          <w:tcPr>
            <w:tcW w:w="110" w:type="dxa"/>
            <w:tcBorders/>
            <w:shd w:fill="FFFFFF" w:val="clear"/>
            <w:vAlign w:val="center"/>
          </w:tcPr>
          <w:p>
            <w:pPr>
              <w:pStyle w:val="TableContents"/>
              <w:bidi w:val="0"/>
              <w:spacing w:before="0" w:after="283"/>
              <w:jc w:val="left"/>
              <w:rPr/>
            </w:pPr>
            <w:r>
              <w:rPr/>
              <w:t>)</w:t>
            </w:r>
          </w:p>
        </w:tc>
      </w:tr>
    </w:tbl>
    <w:p>
      <w:pPr>
        <w:pStyle w:val="TextBody"/>
        <w:shd w:fill="FFFFFF" w:val="clear"/>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comprised of costs associated with option and RSU grants made to our employees, consultants and board members.</w:t>
            </w:r>
          </w:p>
        </w:tc>
      </w:tr>
      <w:tr>
        <w:trPr/>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Separation Agreement is comprised of $720 in cash severance associated with separation agreement dated April 26, 2023 between us and our former Chief Legal Officer.</w:t>
            </w:r>
          </w:p>
        </w:tc>
      </w:tr>
      <w:tr>
        <w:trPr/>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Offering Costs is comprised of fees and expenses, including legal, accounting, and other expenses associated with our secondary offering. </w:t>
            </w:r>
          </w:p>
        </w:tc>
      </w:tr>
      <w:tr>
        <w:trPr/>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 Forgiveness is comprised of the loan that was forgiven, prior to the Business Combination, in connection with the promissory note, with a maturity date of March 1, 2026, between us and John Marchetti, our former Chief Financial Officer.</w:t>
            </w:r>
          </w:p>
        </w:tc>
      </w:tr>
      <w:tr>
        <w:trPr/>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liabilities represents the change in fair value from January 1, 2023 through June 30,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adjusted EBITDA, reconciled to net (loss) income for the years ended December 31, 2022 and 2021.</w:t>
      </w:r>
    </w:p>
    <w:p>
      <w:pPr>
        <w:pStyle w:val="TextBody"/>
        <w:bidi w:val="0"/>
        <w:jc w:val="both"/>
        <w:rPr>
          <w:caps w:val="false"/>
          <w:smallCaps w:val="false"/>
        </w:rPr>
      </w:pPr>
      <w:r>
        <w:rPr>
          <w:caps w:val="false"/>
          <w:smallCaps w:val="false"/>
        </w:rPr>
        <w:t> </w:t>
      </w:r>
    </w:p>
    <w:tbl>
      <w:tblPr>
        <w:tblW w:w="6984" w:type="dxa"/>
        <w:jc w:val="left"/>
        <w:tblInd w:w="0" w:type="dxa"/>
        <w:tblLayout w:type="fixed"/>
        <w:tblCellMar>
          <w:top w:w="0" w:type="dxa"/>
          <w:left w:w="0" w:type="dxa"/>
          <w:bottom w:w="0" w:type="dxa"/>
          <w:right w:w="0" w:type="dxa"/>
        </w:tblCellMar>
      </w:tblPr>
      <w:tblGrid>
        <w:gridCol w:w="4100"/>
        <w:gridCol w:w="60"/>
        <w:gridCol w:w="220"/>
        <w:gridCol w:w="1186"/>
        <w:gridCol w:w="149"/>
        <w:gridCol w:w="94"/>
        <w:gridCol w:w="220"/>
        <w:gridCol w:w="880"/>
        <w:gridCol w:w="75"/>
      </w:tblGrid>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4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7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4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49"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Net (loss) income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(39,571</w:t>
            </w:r>
          </w:p>
        </w:tc>
        <w:tc>
          <w:tcPr>
            <w:tcW w:w="14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4,338</w:t>
            </w:r>
          </w:p>
        </w:tc>
        <w:tc>
          <w:tcPr>
            <w:tcW w:w="7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6,945</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519</w:t>
            </w:r>
          </w:p>
        </w:tc>
        <w:tc>
          <w:tcPr>
            <w:tcW w:w="7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Taxes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(709</w:t>
            </w:r>
          </w:p>
        </w:tc>
        <w:tc>
          <w:tcPr>
            <w:tcW w:w="14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1,611</w:t>
            </w:r>
          </w:p>
        </w:tc>
        <w:tc>
          <w:tcPr>
            <w:tcW w:w="7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FFFFFF" w:val="clear"/>
            <w:tcMar>
              <w:bottom w:w="28" w:type="dxa"/>
            </w:tcMar>
            <w:vAlign w:val="center"/>
          </w:tcPr>
          <w:p>
            <w:pPr>
              <w:pStyle w:val="TableContents"/>
              <w:bidi w:val="0"/>
              <w:spacing w:before="0" w:after="283"/>
              <w:jc w:val="right"/>
              <w:rPr/>
            </w:pPr>
            <w:r>
              <w:rPr/>
              <w:t>891</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617</w:t>
            </w:r>
          </w:p>
        </w:tc>
        <w:tc>
          <w:tcPr>
            <w:tcW w:w="7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(32,444</w:t>
            </w:r>
          </w:p>
        </w:tc>
        <w:tc>
          <w:tcPr>
            <w:tcW w:w="14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7,085</w:t>
            </w:r>
          </w:p>
        </w:tc>
        <w:tc>
          <w:tcPr>
            <w:tcW w:w="7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i/>
              </w:rPr>
            </w:pPr>
            <w:r>
              <w:rPr>
                <w:i/>
              </w:rPr>
              <w:t>Adjusted for:</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2,467</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734</w:t>
            </w:r>
          </w:p>
        </w:tc>
        <w:tc>
          <w:tcPr>
            <w:tcW w:w="7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ERP Implementation</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233</w:t>
            </w:r>
          </w:p>
        </w:tc>
        <w:tc>
          <w:tcPr>
            <w:tcW w:w="7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Promissory Note Forgiveness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469</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Loss on Disposal of Assets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56</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124</w:t>
            </w:r>
          </w:p>
        </w:tc>
        <w:tc>
          <w:tcPr>
            <w:tcW w:w="7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Separation Agreement</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1,197</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Combination Expenses</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21,337</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294</w:t>
            </w:r>
          </w:p>
        </w:tc>
        <w:tc>
          <w:tcPr>
            <w:tcW w:w="7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Debt extinguishment </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4,824</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market value of warrant liability </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FFFFFF" w:val="clear"/>
            <w:tcMar>
              <w:bottom w:w="28" w:type="dxa"/>
            </w:tcMar>
            <w:vAlign w:val="center"/>
          </w:tcPr>
          <w:p>
            <w:pPr>
              <w:pStyle w:val="TableContents"/>
              <w:bidi w:val="0"/>
              <w:spacing w:before="0" w:after="283"/>
              <w:jc w:val="right"/>
              <w:rPr/>
            </w:pPr>
            <w:r>
              <w:rPr/>
              <w:t>(5,446</w:t>
            </w:r>
          </w:p>
        </w:tc>
        <w:tc>
          <w:tcPr>
            <w:tcW w:w="149"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283"/>
              <w:jc w:val="right"/>
              <w:rPr/>
            </w:pPr>
            <w:r>
              <w:rPr/>
              <w:t>(7,540</w:t>
            </w:r>
          </w:p>
        </w:tc>
        <w:tc>
          <w:tcPr>
            <w:tcW w:w="14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0" w:type="dxa"/>
            <w:tcBorders>
              <w:bottom w:val="double" w:sz="6" w:space="0" w:color="000000"/>
            </w:tcBorders>
            <w:shd w:fill="CCEEFF" w:val="clear"/>
            <w:tcMar>
              <w:bottom w:w="28" w:type="dxa"/>
            </w:tcMar>
            <w:vAlign w:val="center"/>
          </w:tcPr>
          <w:p>
            <w:pPr>
              <w:pStyle w:val="TableContents"/>
              <w:bidi w:val="0"/>
              <w:spacing w:before="0" w:after="283"/>
              <w:jc w:val="right"/>
              <w:rPr/>
            </w:pPr>
            <w:r>
              <w:rPr/>
              <w:t>8,470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comprised of costs associated with option and RSU grants made to our employees, consultants and board members.</w:t>
            </w:r>
          </w:p>
        </w:tc>
      </w:tr>
      <w:tr>
        <w:trPr/>
        <w:tc>
          <w:tcPr>
            <w:tcW w:w="227" w:type="dxa"/>
            <w:tcBorders/>
            <w:vAlign w:val="center"/>
          </w:tcPr>
          <w:p>
            <w:pPr>
              <w:pStyle w:val="TableContents"/>
              <w:bidi w:val="0"/>
              <w:spacing w:before="0" w:after="283"/>
              <w:jc w:val="both"/>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ERP Implementation is comprised of costs and expenses associated with our implementation of an Enterprise Resource Planning (ERP) system in anticipation of the Business Combination and becoming a public company.</w:t>
            </w:r>
          </w:p>
        </w:tc>
      </w:tr>
      <w:tr>
        <w:trPr/>
        <w:tc>
          <w:tcPr>
            <w:tcW w:w="227" w:type="dxa"/>
            <w:tcBorders/>
            <w:vAlign w:val="center"/>
          </w:tcPr>
          <w:p>
            <w:pPr>
              <w:pStyle w:val="TableContents"/>
              <w:bidi w:val="0"/>
              <w:spacing w:before="0" w:after="283"/>
              <w:jc w:val="both"/>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Promissory Note Forgiveness is comprised of the loan that was forgiven, prior to the Business Combination, in connection with the promissory note, with a maturity date of March 1, 2026, between us and John Marchetti, our Chief Financial Officer. </w:t>
            </w:r>
          </w:p>
        </w:tc>
      </w:tr>
      <w:tr>
        <w:trPr/>
        <w:tc>
          <w:tcPr>
            <w:tcW w:w="227" w:type="dxa"/>
            <w:tcBorders/>
            <w:vAlign w:val="center"/>
          </w:tcPr>
          <w:p>
            <w:pPr>
              <w:pStyle w:val="TableContents"/>
              <w:bidi w:val="0"/>
              <w:spacing w:before="0" w:after="283"/>
              <w:jc w:val="both"/>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Separation Agreement is comprised of $1.2 million in cash severance associated with the Separation Agreement, dated October 25, 2022, as amended on November 14, 2022, between us and Sean Nichols, our former Chief Operating Officer.</w:t>
            </w:r>
          </w:p>
        </w:tc>
      </w:tr>
      <w:tr>
        <w:trPr/>
        <w:tc>
          <w:tcPr>
            <w:tcW w:w="227" w:type="dxa"/>
            <w:tcBorders/>
            <w:vAlign w:val="center"/>
          </w:tcPr>
          <w:p>
            <w:pPr>
              <w:pStyle w:val="TableContents"/>
              <w:bidi w:val="0"/>
              <w:spacing w:before="0" w:after="283"/>
              <w:jc w:val="both"/>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 Expenses is comprised of fees and expenses, including legal, accounting, and others associated with the Business Combination.</w:t>
            </w:r>
          </w:p>
        </w:tc>
      </w:tr>
      <w:tr>
        <w:trPr/>
        <w:tc>
          <w:tcPr>
            <w:tcW w:w="227" w:type="dxa"/>
            <w:tcBorders/>
            <w:vAlign w:val="center"/>
          </w:tcPr>
          <w:p>
            <w:pPr>
              <w:pStyle w:val="TableContents"/>
              <w:bidi w:val="0"/>
              <w:spacing w:before="0" w:after="283"/>
              <w:jc w:val="both"/>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extinguishment expenses are comprised of expenses incurred in connection with the early debt repayment of the Series 2021-6 Notes that occurred in conjunction with the Business Combination.</w:t>
            </w:r>
          </w:p>
        </w:tc>
      </w:tr>
      <w:tr>
        <w:trPr/>
        <w:tc>
          <w:tcPr>
            <w:tcW w:w="227" w:type="dxa"/>
            <w:tcBorders/>
            <w:vAlign w:val="center"/>
          </w:tcPr>
          <w:p>
            <w:pPr>
              <w:pStyle w:val="TableContents"/>
              <w:bidi w:val="0"/>
              <w:spacing w:before="0" w:after="283"/>
              <w:jc w:val="both"/>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liabilities represents the change in fair value from the date the warrants were issued through December 31, 2022.</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June 30, 2023, we had cash totaling $33 million.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Our inventory balance at June 30, 2023 was $44.2 million, a decrease of $5.6 million, compared to $49.8 million at December 31, 2022.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Obligations and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we issued $45 million of fixed rate senior notes, secured by among other things, a security interest in our intellectual property. As part of the Business Combination, we entered into the Term Loan, the proceeds of which were used to repay the $45 million fixed rate senior notes, and ChEF Equity Facility.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we obtained a waiver from our Administrative Agent and Term Loan Lenders of our failure to satisfy the fixed charge coverage ratio and maximum senior leverage ratio with respect to the minimum cash requirements under the Term Loan during the quarter ended March 31, 2023. We were in compliance with the covenants as of June 30, 2023. However,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SOFR is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on the terms of and subject to the satisfaction of the conditions in the Purchase Agreement, including the filing and effectiveness of a registration statement registering the resale by CCM of the shares of common stock issued to it under the Purchase Agreement, we will have the right from time to time at our option to direct CCM to purchase up to a specified maximum amount of shares of common stock, up to a maximum aggregate purchase price of $150 million over the term of the ChEF Equity Facility. In connection with the ChEF Equity Facility, we are filing this registration statement registering the resale of up to 21,512,027 shares that may be resold into the public markets by CCM, which represents approximately 37% of the shares of our common stock outstanding as of September 18, 2023. During the year ended December 31, 2022, we did not sell any shares of our common stock under the ChEF Equity Facility. From January 1, 2023 to September 18, 2023, we issued and sold 98,500 shares of our common stock under this facility, resulting in net cash proceeds of $670,593. Any sales of such shares into the public market could have a significant negative impact on the trading price of our common stock. This impact may be heightened by the fact that sales to CCM will generally be at prices below the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the Note in the Principal Amount of $1.0 million to Brian Nelson, one of our directors, in a private placement in exchange for cash in an equal amount. The Note became due and payable in full on April 1, 2023. We were also obligated to pay the Loan Fee in the amount of $100,000 to Mr. Nelson on April 4, 2023. The Principal Amount of the Note was paid in full on April 1, 2023 and the Loan Fee was paid in full on April 4,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filed a registration statement registering the resale of up to 47,428,544 shares that may be resold and/or issued into the public markets, which represents approximately 81% of the 58,880,812 shares of our common stock outstanding as of September 18, 2023. The selling securityholders will determine the timing, pricing and rate at which they sell such shares into the public market. Although the current trading price of our common stock is below $10.00 per share, which was the sales price for units in the CNTQ IPO, certain of the selling security holders have an incentive to sell because they purchased shares and/or warrants at prices below the initial public offering price and/or below the recent trading prices of our securities. Additionally, while sales by such investors may experience a positive rate of return based on the trading price at the time they sell their shares, the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such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we completed the June 2023 Offering, which provided net proceeds to us, including the partial over-allotment option exercise, of approximately $21.1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we incurred losses and had a negative cash flow from operations. As of December 31, 2022, we had approximately $17.8 million in cash and cash equivalents and working capital of $32.9 million. For the quarter ended June 30, 2023, we generated a net loss of $11.7 million and had a negative cash flow from operations. As of June 30, 2023, we had approximately $33.0 million in cash and cash equivalents and working capital of $30.6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While the Company was in compliance with its covenants for the quarter ended June 30, 2023, it is probable that we will fail to meet these covenants within the next twelve months.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Six months ended June 30, 2023, and June 30, 2022</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966" w:type="dxa"/>
        <w:jc w:val="left"/>
        <w:tblInd w:w="0" w:type="dxa"/>
        <w:tblLayout w:type="fixed"/>
        <w:tblCellMar>
          <w:top w:w="0" w:type="dxa"/>
          <w:left w:w="0" w:type="dxa"/>
          <w:bottom w:w="0" w:type="dxa"/>
          <w:right w:w="0" w:type="dxa"/>
        </w:tblCellMar>
      </w:tblPr>
      <w:tblGrid>
        <w:gridCol w:w="3065"/>
        <w:gridCol w:w="60"/>
        <w:gridCol w:w="204"/>
        <w:gridCol w:w="994"/>
        <w:gridCol w:w="138"/>
        <w:gridCol w:w="87"/>
        <w:gridCol w:w="204"/>
        <w:gridCol w:w="1104"/>
        <w:gridCol w:w="110"/>
      </w:tblGrid>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Net Cash (used in)/provided by:</w:t>
            </w:r>
          </w:p>
        </w:tc>
        <w:tc>
          <w:tcPr>
            <w:tcW w:w="60" w:type="dxa"/>
            <w:tcBorders/>
            <w:vAlign w:val="center"/>
          </w:tcPr>
          <w:p>
            <w:pPr>
              <w:pStyle w:val="TableContents"/>
              <w:bidi w:val="0"/>
              <w:spacing w:before="0" w:after="283"/>
              <w:jc w:val="left"/>
              <w:rPr/>
            </w:pPr>
            <w:r>
              <w:rPr/>
              <w:t> </w:t>
            </w:r>
          </w:p>
        </w:tc>
        <w:tc>
          <w:tcPr>
            <w:tcW w:w="2731"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(5,639</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(19,912</w:t>
            </w:r>
          </w:p>
        </w:tc>
        <w:tc>
          <w:tcPr>
            <w:tcW w:w="11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994" w:type="dxa"/>
            <w:tcBorders/>
            <w:shd w:fill="FFFFFF" w:val="clear"/>
            <w:vAlign w:val="center"/>
          </w:tcPr>
          <w:p>
            <w:pPr>
              <w:pStyle w:val="TableContents"/>
              <w:bidi w:val="0"/>
              <w:spacing w:before="0" w:after="283"/>
              <w:jc w:val="right"/>
              <w:rPr/>
            </w:pPr>
            <w:r>
              <w:rPr/>
              <w:t>(2,571</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1104" w:type="dxa"/>
            <w:tcBorders/>
            <w:shd w:fill="FFFFFF" w:val="clear"/>
            <w:vAlign w:val="center"/>
          </w:tcPr>
          <w:p>
            <w:pPr>
              <w:pStyle w:val="TableContents"/>
              <w:bidi w:val="0"/>
              <w:spacing w:before="0" w:after="283"/>
              <w:jc w:val="right"/>
              <w:rPr/>
            </w:pPr>
            <w:r>
              <w:rPr/>
              <w:t>(4,819</w:t>
            </w:r>
          </w:p>
        </w:tc>
        <w:tc>
          <w:tcPr>
            <w:tcW w:w="110" w:type="dxa"/>
            <w:tcBorders/>
            <w:shd w:fill="FFFFFF" w:val="clear"/>
            <w:vAlign w:val="center"/>
          </w:tcPr>
          <w:p>
            <w:pPr>
              <w:pStyle w:val="TableContents"/>
              <w:bidi w:val="0"/>
              <w:spacing w:before="0" w:after="283"/>
              <w:jc w:val="left"/>
              <w:rPr/>
            </w:pPr>
            <w:r>
              <w:rPr/>
              <w:t>)</w:t>
            </w:r>
          </w:p>
        </w:tc>
      </w:tr>
      <w:tr>
        <w:trPr/>
        <w:tc>
          <w:tcPr>
            <w:tcW w:w="306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23,381</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200</w:t>
            </w:r>
          </w:p>
        </w:tc>
        <w:tc>
          <w:tcPr>
            <w:tcW w:w="11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$5.6 million for six months ended June 30, 2023, primarily due to a net loss of $6.8 million and negative change of $19.3 million in the fair market value of our warrant liability during the period offset by lower inventory levels an increase in accounts payable and accrued expenses as a result of extended payments for the large influx of cells received late in 2022 and early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$19.9 million for the six months ended June 30, 2022, primarily due to a net loss during the period in addition to an increase in inventory.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$2.6 million for the six months ended June 30, 2023, as compared to net cash used in investing activities of $4.8 million for the three months ended June 30, 2022. The decrease in cash used in investing activities was primarily due to a decrease in capital equipment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$23.4 million for the six months ended June 30, 2023, as compared to net cash provided by financing activities of $0.2 million for the six months ended June 30, 2022, and was primarily due to net proceeds of $21.1 million from our June equity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Years ended December 31, 2022 and 2021</w:t>
      </w:r>
    </w:p>
    <w:p>
      <w:pPr>
        <w:pStyle w:val="TextBody"/>
        <w:bidi w:val="0"/>
        <w:jc w:val="both"/>
        <w:rPr>
          <w:caps w:val="false"/>
          <w:smallCaps w:val="false"/>
        </w:rPr>
      </w:pPr>
      <w:r>
        <w:rPr>
          <w:caps w:val="false"/>
          <w:smallCaps w:val="false"/>
        </w:rPr>
        <w:t> </w:t>
      </w:r>
    </w:p>
    <w:tbl>
      <w:tblPr>
        <w:tblW w:w="6191" w:type="dxa"/>
        <w:jc w:val="left"/>
        <w:tblInd w:w="0" w:type="dxa"/>
        <w:tblLayout w:type="fixed"/>
        <w:tblCellMar>
          <w:top w:w="0" w:type="dxa"/>
          <w:left w:w="0" w:type="dxa"/>
          <w:bottom w:w="0" w:type="dxa"/>
          <w:right w:w="0" w:type="dxa"/>
        </w:tblCellMar>
      </w:tblPr>
      <w:tblGrid>
        <w:gridCol w:w="3275"/>
        <w:gridCol w:w="60"/>
        <w:gridCol w:w="197"/>
        <w:gridCol w:w="1067"/>
        <w:gridCol w:w="134"/>
        <w:gridCol w:w="84"/>
        <w:gridCol w:w="197"/>
        <w:gridCol w:w="1067"/>
        <w:gridCol w:w="110"/>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b/>
              </w:rPr>
            </w:pPr>
            <w:r>
              <w:rPr>
                <w:b/>
              </w:rPr>
              <w:t>Net Cash provided by/(used in):</w:t>
            </w:r>
          </w:p>
        </w:tc>
        <w:tc>
          <w:tcPr>
            <w:tcW w:w="60" w:type="dxa"/>
            <w:tcBorders/>
            <w:vAlign w:val="center"/>
          </w:tcPr>
          <w:p>
            <w:pPr>
              <w:pStyle w:val="TableContents"/>
              <w:bidi w:val="0"/>
              <w:spacing w:before="0" w:after="283"/>
              <w:jc w:val="left"/>
              <w:rPr/>
            </w:pPr>
            <w:r>
              <w:rPr/>
              <w:t> </w:t>
            </w:r>
          </w:p>
        </w:tc>
        <w:tc>
          <w:tcPr>
            <w:tcW w:w="2746"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(45,696</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(13,573</w:t>
            </w:r>
          </w:p>
        </w:tc>
        <w:tc>
          <w:tcPr>
            <w:tcW w:w="110" w:type="dxa"/>
            <w:tcBorders/>
            <w:shd w:fill="CCEEFF" w:val="clear"/>
            <w:vAlign w:val="center"/>
          </w:tcPr>
          <w:p>
            <w:pPr>
              <w:pStyle w:val="TableContents"/>
              <w:bidi w:val="0"/>
              <w:spacing w:before="0" w:after="283"/>
              <w:jc w:val="left"/>
              <w:rPr/>
            </w:pPr>
            <w:r>
              <w:rPr/>
              <w:t>)</w:t>
            </w:r>
          </w:p>
        </w:tc>
      </w:tr>
      <w:tr>
        <w:trPr/>
        <w:tc>
          <w:tcPr>
            <w:tcW w:w="327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p>
        </w:tc>
        <w:tc>
          <w:tcPr>
            <w:tcW w:w="1067" w:type="dxa"/>
            <w:tcBorders/>
            <w:shd w:fill="FFFFFF" w:val="clear"/>
            <w:vAlign w:val="center"/>
          </w:tcPr>
          <w:p>
            <w:pPr>
              <w:pStyle w:val="TableContents"/>
              <w:bidi w:val="0"/>
              <w:spacing w:before="0" w:after="283"/>
              <w:jc w:val="right"/>
              <w:rPr/>
            </w:pPr>
            <w:r>
              <w:rPr/>
              <w:t>(6,827</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p>
        </w:tc>
        <w:tc>
          <w:tcPr>
            <w:tcW w:w="1067" w:type="dxa"/>
            <w:tcBorders/>
            <w:shd w:fill="FFFFFF" w:val="clear"/>
            <w:vAlign w:val="center"/>
          </w:tcPr>
          <w:p>
            <w:pPr>
              <w:pStyle w:val="TableContents"/>
              <w:bidi w:val="0"/>
              <w:spacing w:before="0" w:after="283"/>
              <w:jc w:val="right"/>
              <w:rPr/>
            </w:pPr>
            <w:r>
              <w:rPr/>
              <w:t>(2,909</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41,674</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38,906</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$45.7 million for the year ended December 31, 2022, primarily due to a net loss during the period largely driven by Business Combination expenses and an increase in purchased inventory to support future growth and to protect against potential supply disruptions.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$13.6 million for the year ended December 31, 2021 primarily due to net income during the period which was more than offset by an increase in working capital (particularly inventory as the Company made the operational decision to build a larger buffer inventory to protect against potential shortages as we were targeting larger OEM customers) as a result of growth in our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$6.8 million for the year ended December 31, 2022, as compared to $2.9 million for the year ended December 31, 2021. The increase in net cash used in investing activities was primarily due to an increase in capital expenditures to support the expansion of our core battery business and our ongoing efforts to develop solid-state battery technology and manufacturing processes.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$41.7 million for the year ended December 31, 2022, primarily as a result of proceeds from the $75.0 million term loan as part of the Business Combination, and $15.0 million from the strategic investment made by Thor Industries, partially offset by a $45.0 million expense for the repayment of the senior secured notes.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$38.9 million for the year ended December 31, 2021, primarily as a result of $45.0 million in proceeds from the senior secured notes, partially offset by associated issuance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future obligations consist of short-term and long-term operating lease liabilities. As of June 30, 2023, we had $1.2 million in short-term operating lease liabilities and $2.9 million in long-term operating lease liabilities.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above, we have a Term Loan and as of June 30, 2023, the principal amount outstanding under the Term Loan was $78.7 million.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above, consistent with the Debt Commitment Letter dated May 15, 2022 by and between CCM 5, and EICF EIP, in connection with the Closing, CNTQ, Legacy Dragonfly and the Initial Term Loan Lenders entered into the Term Loan Agreement setting forth the terms of a senior secured term loan facility in an aggregate principal amount of $75 million. The CNTQ Lender backstopped its commitment under the Debt Commitment Letter by entering into a Backstop Commitment Letter, with the Backstop Lender, pursuant to which the Backstop Lender committed to purchase from the CNTQ Lender the Backstopped Loans immediately following the issuance of the Term Loan on the Closing Date. Pursuant to an assignment agreement, the Backstopped Loans were assigned by CCM 5 to the Backstop Lender on the Closing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Term Loan Agreement, the Term Loan was advanced in one tranche on the Closing Date. The proceeds of the Term Loan were used (i) to refinance on the Closing Date prior indebtedness, (ii) to support thine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 Accounting Election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Na_002"/>
      <w:bookmarkEnd w:id="13"/>
      <w:r>
        <w:rPr>
          <w:rFonts w:ascii="Times New Roman;Times;Serif" w:hAnsi="Times New Roman;Times;Serif"/>
          <w:b/>
          <w:i w:val="false"/>
          <w:caps w:val="false"/>
          <w:smallCaps w:val="false"/>
          <w:sz w:val="20"/>
        </w:rPr>
        <w:t>MANAGEMENT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our executive officers and directors as of the date of this prospectus.</w:t>
      </w:r>
    </w:p>
    <w:p>
      <w:pPr>
        <w:pStyle w:val="TextBody"/>
        <w:bidi w:val="0"/>
        <w:jc w:val="left"/>
        <w:rPr>
          <w:caps w:val="false"/>
          <w:smallCaps w:val="false"/>
        </w:rPr>
      </w:pPr>
      <w:r>
        <w:rPr>
          <w:caps w:val="false"/>
          <w:smallCaps w:val="false"/>
        </w:rPr>
        <w:t> </w:t>
      </w:r>
    </w:p>
    <w:tbl>
      <w:tblPr>
        <w:tblW w:w="10155" w:type="dxa"/>
        <w:jc w:val="left"/>
        <w:tblInd w:w="0" w:type="dxa"/>
        <w:tblLayout w:type="fixed"/>
        <w:tblCellMar>
          <w:top w:w="0" w:type="dxa"/>
          <w:left w:w="0" w:type="dxa"/>
          <w:bottom w:w="28" w:type="dxa"/>
          <w:right w:w="0" w:type="dxa"/>
        </w:tblCellMar>
      </w:tblPr>
      <w:tblGrid>
        <w:gridCol w:w="2150"/>
        <w:gridCol w:w="60"/>
        <w:gridCol w:w="350"/>
        <w:gridCol w:w="60"/>
        <w:gridCol w:w="7535"/>
      </w:tblGrid>
      <w:tr>
        <w:trPr/>
        <w:tc>
          <w:tcPr>
            <w:tcW w:w="215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 Held</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Denis Phares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Chief Executive Officer, Interim Chief Financial Officer and Chairman of the Board</w:t>
            </w:r>
          </w:p>
        </w:tc>
      </w:tr>
      <w:tr>
        <w:trPr/>
        <w:tc>
          <w:tcPr>
            <w:tcW w:w="2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Tyler Bourns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Marketing Officer</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Independent Director</w:t>
            </w:r>
          </w:p>
        </w:tc>
      </w:tr>
      <w:tr>
        <w:trPr/>
        <w:tc>
          <w:tcPr>
            <w:tcW w:w="2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Montilla Edmonds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Denis Phares</w:t>
      </w:r>
      <w:r>
        <w:rPr>
          <w:rFonts w:ascii="Times New Roman;Times;Serif" w:hAnsi="Times New Roman;Times;Serif"/>
          <w:b w:val="false"/>
          <w:i w:val="false"/>
          <w:caps w:val="false"/>
          <w:smallCaps w:val="false"/>
          <w:sz w:val="20"/>
        </w:rPr>
        <w:t xml:space="preserve"> has served as our Chief Executive Officer and Chairman of our board of directors since October 2022 and as Interim Chief Financial Officer. Dr. Phares is the co-founder of Legacy Dragonfly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 Ph.D. in Engineering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Tyler Bourns </w:t>
      </w:r>
      <w:r>
        <w:rPr>
          <w:rFonts w:ascii="Times New Roman;Times;Serif" w:hAnsi="Times New Roman;Times;Serif"/>
          <w:b w:val="false"/>
          <w:i w:val="false"/>
          <w:caps w:val="false"/>
          <w:smallCaps w:val="false"/>
          <w:sz w:val="20"/>
        </w:rPr>
        <w:t>has served as our Chief Marketing Officer since November 2022. Prior to the Business Combination, Mr. Bourns served as the Senior Vice President of Marketing of Legacy Dragonfly from December 2021 through October 2022. Previously, Mr. Bourns was the owner and served as the President of Bourns Productions Inc., a video production and marketing company focused on content creation, messaging and strategy for various brands across multiple industries, for twelve years. During his time at Bourns Productions Inc., he oversaw the day-to-day business of the company, worked closely with clients and provided hands 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Luisa Ingargiola</w:t>
      </w:r>
      <w:r>
        <w:rPr>
          <w:rFonts w:ascii="Times New Roman;Times;Serif" w:hAnsi="Times New Roman;Times;Serif"/>
          <w:b w:val="false"/>
          <w:i w:val="false"/>
          <w:caps w:val="false"/>
          <w:smallCaps w:val="false"/>
          <w:sz w:val="20"/>
        </w:rPr>
        <w:t xml:space="preserve"> has served as a member of our board since October 2022. Prior to the Business Combination, Ms. Ingargiola served on the board of directors of Legacy Dragonfly from August 2021 to October 2022. Since February 2017, Ms. Ingargiola has served as Chief Financial Officer of Avalon GloboCare Corp., a publicly listed bio-tech health care company. Prior to joining Avalon GloboCare Corp., Ms. Ingargiola served as the Chief Financial Officer and Co-Founder of MagneGas Corporation from 2007 to 2016. Ms. Ingargiola has also served as a board director and audit committee chair for various over-the-counter and Nasdaq companies. Ms. Ingargiola has served as a member of the board of directors and as Audit Committee Chair for Progress Acquisition Corporation since November 2020, as a member of the board of directors and as Audit Committee Chair for AgEagle Aerial Systems since March 2019, and as a member of the board of directors and as Audit Committee Chair for Electra Meccanica since March 2018. Ms. Ingargiola holds a M.B.A. in Health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Brian Nelson</w:t>
      </w:r>
      <w:r>
        <w:rPr>
          <w:rFonts w:ascii="Times New Roman;Times;Serif" w:hAnsi="Times New Roman;Times;Serif"/>
          <w:b w:val="false"/>
          <w:i w:val="false"/>
          <w:caps w:val="false"/>
          <w:smallCaps w:val="false"/>
          <w:sz w:val="20"/>
        </w:rPr>
        <w:t xml:space="preserve"> has served as a member of our board since October 2022. Prior to the Business Combination, Mr. Nelson served on the board of directors of Legacy Dragonfly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Perry Boyle </w:t>
      </w:r>
      <w:r>
        <w:rPr>
          <w:rFonts w:ascii="Times New Roman;Times;Serif" w:hAnsi="Times New Roman;Times;Serif"/>
          <w:b w:val="false"/>
          <w:i w:val="false"/>
          <w:caps w:val="false"/>
          <w:smallCaps w:val="false"/>
          <w:sz w:val="20"/>
        </w:rPr>
        <w:t>has served as a member of our board since October 2022. Prior to the Business Combination, he served on the board of directors of CNTQ 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(CNAS), and a director of The US Friends of the International Institute for Strategic Studies (IISS).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Jonathan Bellows</w:t>
      </w:r>
      <w:r>
        <w:rPr>
          <w:rFonts w:ascii="Times New Roman;Times;Serif" w:hAnsi="Times New Roman;Times;Serif"/>
          <w:b w:val="false"/>
          <w:i w:val="false"/>
          <w:caps w:val="false"/>
          <w:smallCaps w:val="false"/>
          <w:sz w:val="20"/>
        </w:rPr>
        <w:t xml:space="preserve"> has served as a member of our board since October 2022. Mr. Bellows currently serves as President of KORE Power, which acquired 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University-Johnson in 1998, where he earned his B.A. in History. Mr. Bellows is qualified to serve on our board based on his energy storage industry expertise and operating and leadership experience.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Rick Parod</w:t>
      </w:r>
      <w:r>
        <w:rPr>
          <w:rFonts w:ascii="Times New Roman;Times;Serif" w:hAnsi="Times New Roman;Times;Serif"/>
          <w:b w:val="false"/>
          <w:i w:val="false"/>
          <w:caps w:val="false"/>
          <w:smallCaps w:val="false"/>
          <w:sz w:val="20"/>
        </w:rPr>
        <w:t xml:space="preserve"> has served as a member of our board since October 2022. Mr. Parod currently serves as the CEO of AdeptAg, a company that serves 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is qualified to serve on our board based on his experience in manufacturing operations, product development and sales and marketing.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Karina Montilla Edmonds, Ph.D</w:t>
      </w:r>
      <w:r>
        <w:rPr>
          <w:rFonts w:ascii="Times New Roman;Times;Serif" w:hAnsi="Times New Roman;Times;Serif"/>
          <w:b w:val="false"/>
          <w:i w:val="false"/>
          <w:caps w:val="false"/>
          <w:smallCaps w:val="false"/>
          <w:sz w:val="20"/>
        </w:rPr>
        <w:t>. has served as a member of our board since October 2022. Dr. Edmonds currently serves as the Senior Vice 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managed by or under the direction of our board. Our Charter provides for a staggered, or classified, board of directors consisting of three classes of directors, each serving a staggered three-year term and with one class being elected at each year’s annual meeting of stockholders,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which consists of Rick Parod and Karina Montilla Edmonds, whose terms will expire at the 2023 annual meeting of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which consists of Brian Nelson and Jonathan Bellows, whose terms will expire at the 2024 annual meeting of stockholders; and</w:t>
            </w:r>
          </w:p>
        </w:tc>
      </w:tr>
    </w:tbl>
    <w:p>
      <w:pPr>
        <w:pStyle w:val="TextBody"/>
        <w:bidi w:val="0"/>
        <w:ind w:left="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C, which consists of Denis Phares, Luisa Ingargiola and Perry Boyle, whose terms will expire at the 2025 annual meeting of stockholders.</w:t>
            </w:r>
          </w:p>
        </w:tc>
      </w:tr>
    </w:tbl>
    <w:p>
      <w:pPr>
        <w:pStyle w:val="TextBody"/>
        <w:bidi w:val="0"/>
        <w:ind w:left="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directors for that class will be elected for a three-year term at the annual meeting of stockholders in the year in which the term expires. Each director’s term is subject to the election and qualification of his or her successor, or his or her earlier death, disqualification, resignation or removal. Subject to any rights applicable to any then outstanding preferred stock, any vacancies on our board may be filled only by the affirmative vote of a majority of the directors then in office. Any increase or decrease in the number of directors will be distributed among the three classes so that, as nearly as possible, each class will consist of one-third of the directors. This classification of our board may have the effect of delaying or preventing changes in our control or management. Our directors may be removed for cause by the affirmative vote of the holders of at least two-thirds of our voting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 Leadership Structure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Denis Phares serves as the Chairman of our board of directors and presides over regularly scheduled meetings, serves as liaison between the non-independent members of the board of directors and the independent directors, approves meeting agendas and schedules for the board of directors and performs such additional duties as the board of directors may determine and delegate. Luisa Ingargiola also serves as our independent Lead Director. We believe that this structure provides an environment in which the independent directors are fully informed, have significant input into the content of board meetings, and are able to provide objective and thoughtful oversight of management.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Rick Parod, Perry Boyle, Jonathan Bellows, Karina Montilla Edmonds, Brian Nelson and Luisa Ingargiola qualify as independent directors, as defined under the rules of the Nasdaq, and our board consists of a majority of “independent directors,” as defined under the rules of the SEC and the Nasdaq relating to director independence requirements. In addition, we are subject to the rules of the SEC and the Nasdaq relating to the membership, qualifications, and operations of the audit committee, as discussed below. Luisa Ingargiola is our lead independent director under the Nasdaq rules.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of Directors in Risk Oversight/Risk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our board is informed oversight of our risk management process. Our board does not anticipate having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also monitors compliance with legal and regulatory requirements. Our compensation committee also assess and monitors whether our compensation plans, policies and programs comply with applicable legal and regulatory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Committees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three standing committees — an audit committee, a compensation committee, and a nominating and corporate governance committee. Copies of the charters for each committee are available on our website.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Luisa Ingargiola, Rick Parod and Perry Boyle. Our board has determined that each of the members of the audit committee satisfy the independence requirements of Nasdaq and Rule 10A-3 under the Exchange Act and are able to read and understand fundamental financial statements in accordance with Nasdaq’s audit committee requirements. In arriving at this determination, our board examined each audit committee member’s scope of experience and the nature of their prior and/or current employment.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 serves as the chair of the audit committee. Our board has determined that Luisa Ingargiola qualifies as an audit committee financial expert within the meaning of SEC regulations and meets the financial sophistication requirements of the Nasdaq rules. In making this determination, our board considered Luisa Ingargiola’s formal education and previous experience in financial roles. Both our independent registered public accounting firm and management periodically meet privately with our audit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the audit committee complies with all applicable requirements of the Sarbanes-Oxley Act and all applicable SEC rules and regulations.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Luisa Ingargiola, Brian Nelson and Rick Parod. Brian Nelson serves as the chair of the compensation committee. Our board determined that each of the members of the compensation committee are a non-employee director, as defined in Rule 16b-3 promulgated under the Exchange Act and satisfies the independence requirements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our compensation committee complies with all applicable requirements of the Sarbanes-Oxley Act and all applicable SEC and the Nasdaq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consists of Brian Nelson, Jonathan Bellows and Karina Montilla Edmonds. Ms. Edmonds serves as the chair of the nominating and corporate governance committee. Our board determined that each of the members of the nominating and corporate governance committee satisfies the independence requirements of Nasdaq.</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the nominating and corporate governance committee comply with all applicable requirements of the Sarbanes-Oxley Act and all applicable SEC and Nasdaq’s rules and regulations.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compensation committee has ever been our executive officer or our employee. None of our executive officers currently serves, or has served during the last completed fiscal year, on the compensation committee or board of directors of any other entity that has one or more executive officers that serve as a member of our board or compensation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Conduct and Code of Ethics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 code of conduct (“</w:t>
      </w:r>
      <w:r>
        <w:rPr>
          <w:rFonts w:ascii="Times New Roman;Times;Serif" w:hAnsi="Times New Roman;Times;Serif"/>
          <w:b/>
          <w:i w:val="false"/>
          <w:caps w:val="false"/>
          <w:smallCaps w:val="false"/>
          <w:sz w:val="20"/>
        </w:rPr>
        <w:t>Code of Conduct</w:t>
      </w:r>
      <w:r>
        <w:rPr>
          <w:rFonts w:ascii="Times New Roman;Times;Serif" w:hAnsi="Times New Roman;Times;Serif"/>
          <w:b w:val="false"/>
          <w:i w:val="false"/>
          <w:caps w:val="false"/>
          <w:smallCaps w:val="false"/>
          <w:sz w:val="20"/>
        </w:rPr>
        <w:t>”) and a code of ethics (“</w:t>
      </w:r>
      <w:r>
        <w:rPr>
          <w:rFonts w:ascii="Times New Roman;Times;Serif" w:hAnsi="Times New Roman;Times;Serif"/>
          <w:b/>
          <w:i w:val="false"/>
          <w:caps w:val="false"/>
          <w:smallCaps w:val="false"/>
          <w:sz w:val="20"/>
        </w:rPr>
        <w:t>Code of Ethics</w:t>
      </w:r>
      <w:r>
        <w:rPr>
          <w:rFonts w:ascii="Times New Roman;Times;Serif" w:hAnsi="Times New Roman;Times;Serif"/>
          <w:b w:val="false"/>
          <w:i w:val="false"/>
          <w:caps w:val="false"/>
          <w:smallCaps w:val="false"/>
          <w:sz w:val="20"/>
        </w:rPr>
        <w:t xml:space="preserve">”) that applies to all of our directors, officers and employees. The full text of the Code of Conduct and Code of Ethics is posted on the investor relations page on our website at </w:t>
      </w:r>
      <w:r>
        <w:rPr>
          <w:rFonts w:ascii="Times New Roman;Times;Serif" w:hAnsi="Times New Roman;Times;Serif"/>
          <w:b w:val="false"/>
          <w:i/>
          <w:caps w:val="false"/>
          <w:smallCaps w:val="false"/>
          <w:sz w:val="20"/>
        </w:rPr>
        <w:t>https://dragonflyenergy.com/investors/</w:t>
      </w:r>
      <w:r>
        <w:rPr>
          <w:rFonts w:ascii="Times New Roman;Times;Serif" w:hAnsi="Times New Roman;Times;Serif"/>
          <w:b w:val="false"/>
          <w:i w:val="false"/>
          <w:caps w:val="false"/>
          <w:smallCaps w:val="false"/>
          <w:sz w:val="20"/>
        </w:rPr>
        <w:t>. We will disclose any amendments to our Code of Conduct and Code of Ethics, or waivers of its requirements on our website identified above, or in filings under the Exchange Act.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78.138 of the NRS provides that, unless the corporation’s articles of incorporation provide otherwise, a director or officer will not be individually liable unless the presumption that it is acting in good faith and on an informed basis with a view to the interests of the corporation has been rebutted, and it is proven that (i) the director’s or officer’s acts or omissions constituted a breach of his or her fiduciary duties, and (ii) such breach involved intentional misconduct, fraud, or a knowing violation of the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he:(a) is not liable pursuant to NRS 78.138; or (b) acted in good faith and in a manner which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reasonably believed to be in or not opposed to the best interests of the corporation, or that, with respect to any criminal action or proceeding, he had reasonable cause to believe that his conduct was unlawful.</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as not liable pursuant to NRS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78.751 of the NRS provides that to the extent that a director, officer, employee or agent of a corporation has been successful on the merits or otherwise in defense of any action, suit or proceeding referred to above, or in defense of any claim, issue or matter therein, the corporation shall indemnify him against expenses, including attorneys’ fees, actually and reasonably incurred by him in connection with the defense.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articles of incorporation, bylaws, or other agreement, Section 78.751 of the NRS permits a Nevada company to indemnify its officers and directors against expenses incurred by them in defending a civil or criminal action, suit, or proceeding as they are incurred and in advance of final disposition thereof upon receipt of an undertaking by or on behalf of the director or officer to repay the amount if it is ultimately determined by a court of competent jurisdiction that the director or officer is not entitled to be indemnified by the corporation. The articles of incorporation, bylaws, or other agreement may require a corporation to advance such expenses upon receipt of such an undertaking. Section 78.751 of the NRS further permits a Nevada company to grant its directors and officers additional rights of indemnification under its articles of incorporation, bylaws, or other agreement; provided, however, that unless advanced or otherwise ordered by a court, indemnification may not be made to or on behalf of any director or officer finally adjudged by a court, after exhaustion of appeals, to be liable for intentional misconduct, fraud, or a knowing violation of law that was material to the cause of 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the Company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4" w:name="Na_003"/>
      <w:bookmarkEnd w:id="14"/>
      <w:r>
        <w:rPr>
          <w:rFonts w:ascii="Times New Roman;Times;Serif" w:hAnsi="Times New Roman;Times;Serif"/>
          <w:b/>
          <w:i w:val="false"/>
          <w:caps w:val="false"/>
          <w:smallCaps w:val="false"/>
          <w:sz w:val="20"/>
        </w:rPr>
        <w:t>EXECUTIVE AND DIRECTOR COMPENSATION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material components of the executive compensation program for certain of our executive officers listed in the Summary Compensation Table below (the “</w:t>
      </w:r>
      <w:r>
        <w:rPr>
          <w:rFonts w:ascii="Times New Roman;Times;Serif" w:hAnsi="Times New Roman;Times;Serif"/>
          <w:b/>
          <w:i w:val="false"/>
          <w:caps w:val="false"/>
          <w:smallCaps w:val="false"/>
          <w:sz w:val="20"/>
        </w:rPr>
        <w:t>NEOs</w:t>
      </w:r>
      <w:r>
        <w:rPr>
          <w:rFonts w:ascii="Times New Roman;Times;Serif" w:hAnsi="Times New Roman;Times;Serif"/>
          <w:b w:val="false"/>
          <w:i w:val="false"/>
          <w:caps w:val="false"/>
          <w:smallCaps w:val="false"/>
          <w:sz w:val="20"/>
        </w:rPr>
        <w:t>”) and directors. This discussion may contain forward-looking statements that are based on our current plans, considerations, expectations and determinations regarding future compensation programs.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program is designed to align executives’ compensation with our business objectives and the creation of stockholder value, while helping us to continue to attract, motivate and retain individuals who contribute to our long-term success. Compensation for our executive officers has three primary components: base salary, an annual cash incentive bonus opportunity, and long-term equity-based incentive compensation. We have retained Compensia, Inc., an independent compensation consultant, to assist us in evaluating the compensation programs for the executive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compensation earned by, or awarded to, our NEOs for 2022.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 — Fiscal 2022</w:t>
      </w:r>
    </w:p>
    <w:p>
      <w:pPr>
        <w:pStyle w:val="TextBody"/>
        <w:bidi w:val="0"/>
        <w:jc w:val="both"/>
        <w:rPr>
          <w:caps w:val="false"/>
          <w:smallCaps w:val="false"/>
        </w:rPr>
      </w:pPr>
      <w:r>
        <w:rPr>
          <w:caps w:val="false"/>
          <w:smallCaps w:val="false"/>
        </w:rPr>
        <w:t> </w:t>
      </w:r>
    </w:p>
    <w:tbl>
      <w:tblPr>
        <w:tblW w:w="11795" w:type="dxa"/>
        <w:jc w:val="left"/>
        <w:tblInd w:w="0" w:type="dxa"/>
        <w:tblLayout w:type="fixed"/>
        <w:tblCellMar>
          <w:top w:w="0" w:type="dxa"/>
          <w:left w:w="0" w:type="dxa"/>
          <w:bottom w:w="0" w:type="dxa"/>
          <w:right w:w="0" w:type="dxa"/>
        </w:tblCellMar>
      </w:tblPr>
      <w:tblGrid>
        <w:gridCol w:w="1010"/>
        <w:gridCol w:w="60"/>
        <w:gridCol w:w="60"/>
        <w:gridCol w:w="500"/>
        <w:gridCol w:w="60"/>
        <w:gridCol w:w="60"/>
        <w:gridCol w:w="60"/>
        <w:gridCol w:w="800"/>
        <w:gridCol w:w="60"/>
        <w:gridCol w:w="60"/>
        <w:gridCol w:w="60"/>
        <w:gridCol w:w="800"/>
        <w:gridCol w:w="60"/>
        <w:gridCol w:w="60"/>
        <w:gridCol w:w="60"/>
        <w:gridCol w:w="980"/>
        <w:gridCol w:w="60"/>
        <w:gridCol w:w="60"/>
        <w:gridCol w:w="60"/>
        <w:gridCol w:w="800"/>
        <w:gridCol w:w="60"/>
        <w:gridCol w:w="60"/>
        <w:gridCol w:w="103"/>
        <w:gridCol w:w="1387"/>
        <w:gridCol w:w="60"/>
        <w:gridCol w:w="60"/>
        <w:gridCol w:w="278"/>
        <w:gridCol w:w="1212"/>
        <w:gridCol w:w="60"/>
        <w:gridCol w:w="60"/>
        <w:gridCol w:w="103"/>
        <w:gridCol w:w="1387"/>
        <w:gridCol w:w="60"/>
        <w:gridCol w:w="60"/>
        <w:gridCol w:w="60"/>
        <w:gridCol w:w="980"/>
        <w:gridCol w:w="75"/>
      </w:tblGrid>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Non-Qualified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Non-Equity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Deferred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All 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Salary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Bonus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010" w:type="dxa"/>
            <w:tcBorders>
              <w:bottom w:val="single" w:sz="12" w:space="0" w:color="000000"/>
            </w:tcBorders>
            <w:tcMar>
              <w:bottom w:w="28" w:type="dxa"/>
            </w:tcMar>
            <w:vAlign w:val="center"/>
          </w:tcPr>
          <w:p>
            <w:pPr>
              <w:pStyle w:val="TableContents"/>
              <w:bidi w:val="0"/>
              <w:spacing w:before="0" w:after="283"/>
              <w:jc w:val="left"/>
              <w:rPr>
                <w:b/>
              </w:rPr>
            </w:pPr>
            <w:r>
              <w:rPr>
                <w:b/>
              </w:rPr>
              <w:t>Name and 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left"/>
              <w:rPr/>
            </w:pPr>
            <w:r>
              <w:rPr/>
              <w:t>Dr. Denis Phares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00" w:type="dxa"/>
            <w:tcBorders/>
            <w:shd w:fill="CCEEFF" w:val="clear"/>
            <w:vAlign w:val="center"/>
          </w:tcPr>
          <w:p>
            <w:pPr>
              <w:pStyle w:val="TableContents"/>
              <w:bidi w:val="0"/>
              <w:spacing w:before="0" w:after="283"/>
              <w:jc w:val="center"/>
              <w:rPr/>
            </w:pPr>
            <w:r>
              <w:rPr/>
              <w:t>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806,207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1,531,545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3,019,752</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left"/>
              <w:rPr>
                <w:i/>
              </w:rPr>
            </w:pPr>
            <w:r>
              <w:rPr>
                <w:i/>
              </w:rPr>
              <w:t>Chief 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00" w:type="dxa"/>
            <w:tcBorders/>
            <w:shd w:fill="CCEEFF" w:val="clear"/>
            <w:vAlign w:val="center"/>
          </w:tcPr>
          <w:p>
            <w:pPr>
              <w:pStyle w:val="TableContents"/>
              <w:bidi w:val="0"/>
              <w:spacing w:before="0" w:after="283"/>
              <w:jc w:val="center"/>
              <w:rPr/>
            </w:pPr>
            <w:r>
              <w:rPr/>
              <w:t>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579,593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362,137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22,234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963,964</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Sean Nichols(5)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00" w:type="dxa"/>
            <w:tcBorders/>
            <w:shd w:fill="FFFFFF" w:val="clear"/>
            <w:vAlign w:val="center"/>
          </w:tcPr>
          <w:p>
            <w:pPr>
              <w:pStyle w:val="TableContents"/>
              <w:bidi w:val="0"/>
              <w:spacing w:before="0" w:after="283"/>
              <w:jc w:val="center"/>
              <w:rPr/>
            </w:pPr>
            <w:r>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598,462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655,587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157,693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1,411,742</w:t>
            </w:r>
          </w:p>
        </w:tc>
        <w:tc>
          <w:tcPr>
            <w:tcW w:w="75" w:type="dxa"/>
            <w:tcBorders/>
            <w:shd w:fill="FFFF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i/>
              </w:rPr>
            </w:pPr>
            <w:r>
              <w:rPr>
                <w:i/>
              </w:rPr>
              <w:t>Former Chief Operating Officer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00" w:type="dxa"/>
            <w:tcBorders/>
            <w:shd w:fill="FFFFFF" w:val="clear"/>
            <w:vAlign w:val="center"/>
          </w:tcPr>
          <w:p>
            <w:pPr>
              <w:pStyle w:val="TableContents"/>
              <w:bidi w:val="0"/>
              <w:spacing w:before="0" w:after="283"/>
              <w:jc w:val="center"/>
              <w:rPr/>
            </w:pPr>
            <w:r>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579,593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362,137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20,244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961,974</w:t>
            </w:r>
          </w:p>
        </w:tc>
        <w:tc>
          <w:tcPr>
            <w:tcW w:w="75"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left"/>
              <w:rPr/>
            </w:pPr>
            <w:r>
              <w:rPr/>
              <w:t>John Marchetti(6)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00" w:type="dxa"/>
            <w:tcBorders/>
            <w:shd w:fill="CCEEFF" w:val="clear"/>
            <w:vAlign w:val="center"/>
          </w:tcPr>
          <w:p>
            <w:pPr>
              <w:pStyle w:val="TableContents"/>
              <w:bidi w:val="0"/>
              <w:spacing w:before="0" w:after="283"/>
              <w:jc w:val="center"/>
              <w:rPr/>
            </w:pPr>
            <w:r>
              <w:rPr/>
              <w:t>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316,153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769,366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645,998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11,057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1,742,574</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left"/>
              <w:rPr>
                <w:i/>
              </w:rPr>
            </w:pPr>
            <w:r>
              <w:rPr>
                <w:i/>
              </w:rPr>
              <w:t>Former Chief Financial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00" w:type="dxa"/>
            <w:tcBorders/>
            <w:shd w:fill="CCEEFF" w:val="clear"/>
            <w:vAlign w:val="center"/>
          </w:tcPr>
          <w:p>
            <w:pPr>
              <w:pStyle w:val="TableContents"/>
              <w:bidi w:val="0"/>
              <w:spacing w:before="0" w:after="283"/>
              <w:jc w:val="center"/>
              <w:rPr/>
            </w:pPr>
            <w:r>
              <w:rPr/>
              <w:t>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399,999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283,249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856,402</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Nicole Harvey(7)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00" w:type="dxa"/>
            <w:tcBorders/>
            <w:shd w:fill="FFFFFF" w:val="clear"/>
            <w:vAlign w:val="center"/>
          </w:tcPr>
          <w:p>
            <w:pPr>
              <w:pStyle w:val="TableContents"/>
              <w:bidi w:val="0"/>
              <w:spacing w:before="0" w:after="283"/>
              <w:jc w:val="center"/>
              <w:rPr/>
            </w:pPr>
            <w:r>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242,461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561,000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883,461</w:t>
            </w:r>
          </w:p>
        </w:tc>
        <w:tc>
          <w:tcPr>
            <w:tcW w:w="75" w:type="dxa"/>
            <w:tcBorders/>
            <w:shd w:fill="FFFF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i/>
              </w:rPr>
            </w:pPr>
            <w:r>
              <w:rPr>
                <w:i/>
              </w:rPr>
              <w:t>Former Chief Legal Officer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00" w:type="dxa"/>
            <w:tcBorders/>
            <w:shd w:fill="FFFFFF" w:val="clear"/>
            <w:vAlign w:val="center"/>
          </w:tcPr>
          <w:p>
            <w:pPr>
              <w:pStyle w:val="TableContents"/>
              <w:bidi w:val="0"/>
              <w:spacing w:before="0" w:after="283"/>
              <w:jc w:val="center"/>
              <w:rPr/>
            </w:pPr>
            <w:r>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66,346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341,621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432,967</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represent discretionary bonuses awarded to each executive for performance during the fiscal years ended December 31, 2022 and December 31, 2021.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reflect the grant date fair value of restricted stock awards granted to the NEOs for their performance during the fiscal year ended December 31, 2022 under the 2022 Plan and are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elsewhere in this prospectus for a discussion of the relevant assumptions used in calculating these amounts.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reflect the grant date fair value of the stock option awards granted to the NEOs during 2021 under our stock incentive plans and are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elsewhere in this prospectus for a discussion of the relevant assumptions used in calculating these amounts.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amount reflects our matching contribution to the executive’s account under our 401(k)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Mr. Nichols would be stepping down as our Chief Operating Officer on November 7, 2022.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Marchetti commenced employment as Legacy Dragonfly’s Chief Financial Officer on September 6, 2021. On August 20, 2023 Mr. Marchetti resigned from his position as our Chief Financial Officer and will continue with us as our Senior Vice President,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Harvey’s employment with us ended on April 26, 2023.</w:t>
            </w:r>
          </w:p>
        </w:tc>
      </w:tr>
    </w:tbl>
    <w:p>
      <w:pPr>
        <w:pStyle w:val="TextBody"/>
        <w:bidi w:val="0"/>
        <w:ind w:left="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as of December 31, 2022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outstanding options to acquire our common stock held by each of the NEOs as of December 31, 2022, including the vesting dates for the portions of these awards that had not vested as of that date. The NEOs did not hold any other outstanding equity awards as of that date.</w:t>
      </w:r>
    </w:p>
    <w:p>
      <w:pPr>
        <w:pStyle w:val="TextBody"/>
        <w:bidi w:val="0"/>
        <w:jc w:val="both"/>
        <w:rPr>
          <w:caps w:val="false"/>
          <w:smallCaps w:val="false"/>
        </w:rPr>
      </w:pPr>
      <w:r>
        <w:rPr>
          <w:caps w:val="false"/>
          <w:smallCaps w:val="false"/>
        </w:rPr>
        <w:t> </w:t>
      </w:r>
    </w:p>
    <w:tbl>
      <w:tblPr>
        <w:tblW w:w="8724" w:type="dxa"/>
        <w:jc w:val="left"/>
        <w:tblInd w:w="0" w:type="dxa"/>
        <w:tblLayout w:type="fixed"/>
        <w:tblCellMar>
          <w:top w:w="0" w:type="dxa"/>
          <w:left w:w="0" w:type="dxa"/>
          <w:bottom w:w="0" w:type="dxa"/>
          <w:right w:w="0" w:type="dxa"/>
        </w:tblCellMar>
      </w:tblPr>
      <w:tblGrid>
        <w:gridCol w:w="1655"/>
        <w:gridCol w:w="60"/>
        <w:gridCol w:w="99"/>
        <w:gridCol w:w="1166"/>
        <w:gridCol w:w="290"/>
        <w:gridCol w:w="60"/>
        <w:gridCol w:w="113"/>
        <w:gridCol w:w="1332"/>
        <w:gridCol w:w="290"/>
        <w:gridCol w:w="60"/>
        <w:gridCol w:w="252"/>
        <w:gridCol w:w="1102"/>
        <w:gridCol w:w="60"/>
        <w:gridCol w:w="60"/>
        <w:gridCol w:w="105"/>
        <w:gridCol w:w="770"/>
        <w:gridCol w:w="60"/>
        <w:gridCol w:w="60"/>
        <w:gridCol w:w="1130"/>
      </w:tblGrid>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9" w:type="dxa"/>
            <w:gridSpan w:val="17"/>
            <w:tcBorders>
              <w:bottom w:val="single" w:sz="12" w:space="0" w:color="000000"/>
            </w:tcBorders>
            <w:tcMar>
              <w:bottom w:w="28" w:type="dxa"/>
            </w:tcMar>
            <w:vAlign w:val="center"/>
          </w:tcPr>
          <w:p>
            <w:pPr>
              <w:pStyle w:val="TableContents"/>
              <w:bidi w:val="0"/>
              <w:spacing w:before="0" w:after="283"/>
              <w:jc w:val="center"/>
              <w:rPr>
                <w:b/>
              </w:rPr>
            </w:pPr>
            <w:r>
              <w:rPr>
                <w:b/>
              </w:rPr>
              <w:t>Option Awards</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b/>
              </w:rPr>
            </w:pPr>
            <w:r>
              <w:rPr>
                <w:b/>
              </w:rPr>
              <w:t>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b/>
              </w:rPr>
            </w:pPr>
            <w:r>
              <w:rPr>
                <w:b/>
              </w:rPr>
              <w:t>Incentive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b/>
              </w:rPr>
            </w:pPr>
            <w:r>
              <w:rPr>
                <w:b/>
              </w:rPr>
              <w:t>Plan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Number of</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Number of</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Securities</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Securities</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b/>
              </w:rPr>
            </w:pPr>
            <w:r>
              <w:rPr>
                <w:b/>
              </w:rPr>
              <w:t>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Underlying</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Underlying</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b/>
              </w:rPr>
            </w:pPr>
            <w:r>
              <w:rPr>
                <w:b/>
              </w:rPr>
              <w:t>Underlying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Unexercised</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Unexercised</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b/>
              </w:rPr>
            </w:pPr>
            <w:r>
              <w:rPr>
                <w:b/>
              </w:rPr>
              <w:t>Unexercised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Option</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Options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Options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b/>
              </w:rPr>
            </w:pPr>
            <w:r>
              <w:rPr>
                <w:b/>
              </w:rPr>
              <w:t>Unearned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Expiration</w:t>
            </w:r>
          </w:p>
        </w:tc>
      </w:tr>
      <w:tr>
        <w:trPr/>
        <w:tc>
          <w:tcPr>
            <w:tcW w:w="1655" w:type="dxa"/>
            <w:tcBorders>
              <w:bottom w:val="single" w:sz="12" w:space="0" w:color="000000"/>
            </w:tcBorders>
            <w:tcMar>
              <w:bottom w:w="28" w:type="dxa"/>
            </w:tcMar>
            <w:vAlign w:val="center"/>
          </w:tcPr>
          <w:p>
            <w:pPr>
              <w:pStyle w:val="TableContents"/>
              <w:bidi w:val="0"/>
              <w:spacing w:before="0" w:after="283"/>
              <w:jc w:val="both"/>
              <w:rPr>
                <w:b/>
              </w:rPr>
            </w:pPr>
            <w:r>
              <w:rPr>
                <w:b/>
              </w:rPr>
              <w:t>Name</w:t>
            </w:r>
          </w:p>
        </w:tc>
        <w:tc>
          <w:tcPr>
            <w:tcW w:w="6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Exercisable</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Unexercisable</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b/>
              </w:rPr>
            </w:pPr>
            <w:r>
              <w:rPr>
                <w:b/>
              </w:rPr>
              <w:t>Date</w:t>
            </w:r>
          </w:p>
        </w:tc>
      </w:tr>
      <w:tr>
        <w:trPr/>
        <w:tc>
          <w:tcPr>
            <w:tcW w:w="1655" w:type="dxa"/>
            <w:tcBorders/>
            <w:shd w:fill="CCEEFF" w:val="clear"/>
            <w:vAlign w:val="center"/>
          </w:tcPr>
          <w:p>
            <w:pPr>
              <w:pStyle w:val="TableContents"/>
              <w:bidi w:val="0"/>
              <w:spacing w:before="0" w:after="283"/>
              <w:jc w:val="both"/>
              <w:rPr/>
            </w:pPr>
            <w:r>
              <w:rPr/>
              <w:t>Dr. Denis Phares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118,208</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59,108</w:t>
            </w:r>
          </w:p>
        </w:tc>
        <w:tc>
          <w:tcPr>
            <w:tcW w:w="290" w:type="dxa"/>
            <w:tcBorders/>
            <w:shd w:fill="CCEEFF" w:val="clear"/>
            <w:vAlign w:val="center"/>
          </w:tcPr>
          <w:p>
            <w:pPr>
              <w:pStyle w:val="TableContents"/>
              <w:bidi w:val="0"/>
              <w:spacing w:before="0" w:after="283"/>
              <w:jc w:val="left"/>
              <w:rPr/>
            </w:pPr>
            <w:r>
              <w:rPr/>
              <w:t>(1)</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12/5/2029</w:t>
            </w:r>
          </w:p>
        </w:tc>
      </w:tr>
      <w:tr>
        <w:trPr/>
        <w:tc>
          <w:tcPr>
            <w:tcW w:w="1655" w:type="dxa"/>
            <w:tcBorders/>
            <w:shd w:fill="FFFFFF" w:val="clear"/>
            <w:vAlign w:val="center"/>
          </w:tcPr>
          <w:p>
            <w:pPr>
              <w:pStyle w:val="TableContents"/>
              <w:bidi w:val="0"/>
              <w:spacing w:before="0" w:after="283"/>
              <w:jc w:val="both"/>
              <w:rPr/>
            </w:pPr>
            <w:r>
              <w:rPr/>
              <w:t>Sean Nichols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177,316</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(1)</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11/7/2023</w:t>
            </w:r>
          </w:p>
        </w:tc>
      </w:tr>
      <w:tr>
        <w:trPr/>
        <w:tc>
          <w:tcPr>
            <w:tcW w:w="1655" w:type="dxa"/>
            <w:tcBorders/>
            <w:shd w:fill="CCEEFF" w:val="clear"/>
            <w:vAlign w:val="center"/>
          </w:tcPr>
          <w:p>
            <w:pPr>
              <w:pStyle w:val="TableContents"/>
              <w:bidi w:val="0"/>
              <w:spacing w:before="0" w:after="283"/>
              <w:jc w:val="both"/>
              <w:rPr/>
            </w:pPr>
            <w:r>
              <w:rPr/>
              <w:t>John Marchetti</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93,587</w:t>
            </w:r>
          </w:p>
        </w:tc>
        <w:tc>
          <w:tcPr>
            <w:tcW w:w="290" w:type="dxa"/>
            <w:tcBorders/>
            <w:shd w:fill="CCEEFF" w:val="clear"/>
            <w:vAlign w:val="center"/>
          </w:tcPr>
          <w:p>
            <w:pPr>
              <w:pStyle w:val="TableContents"/>
              <w:bidi w:val="0"/>
              <w:spacing w:before="0" w:after="283"/>
              <w:jc w:val="left"/>
              <w:rPr/>
            </w:pPr>
            <w:r>
              <w:rPr/>
              <w:t>(2)</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142,831</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9/13/31</w:t>
            </w:r>
          </w:p>
        </w:tc>
      </w:tr>
      <w:tr>
        <w:trPr/>
        <w:tc>
          <w:tcPr>
            <w:tcW w:w="1655" w:type="dxa"/>
            <w:tcBorders/>
            <w:shd w:fill="FFFFFF" w:val="clear"/>
            <w:vAlign w:val="center"/>
          </w:tcPr>
          <w:p>
            <w:pPr>
              <w:pStyle w:val="TableContents"/>
              <w:bidi w:val="0"/>
              <w:spacing w:before="0" w:after="283"/>
              <w:jc w:val="both"/>
              <w:rPr/>
            </w:pPr>
            <w:r>
              <w:rPr/>
              <w:t>Nicole Harvey</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51,497</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57,257</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10/22/2031</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unvested portion of this option vests in 20 monthly installments from January 12, 2022 and August 12,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unvested portion of this option vests as to 25% of the option on September 10, 2022 and as to 75% of the option in 36 monthly installments from October 10, 2022 through September 10, 2025.</w:t>
            </w:r>
          </w:p>
        </w:tc>
      </w:tr>
    </w:tbl>
    <w:p>
      <w:pPr>
        <w:pStyle w:val="TextBody"/>
        <w:bidi w:val="0"/>
        <w:ind w:left="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Grants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Mr. Marchetti received an option to purchase 200,000 shares of our common stock at a price of $3.41 per share. This option was granted under the Legacy Dragonfly 2021 Stock Incentive Plan and vests as to 25% of the option on the first anniversary of the vesting start date established by our board of directors for the option and as to the remaining 75% of the option in monthly installments over the three-year period thereafter, subject to Mr. Marchetti’s continued service with us through the applicable vesting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services performed during the year ended December 31, 2022, on February 10, 2023, Dr. Phares was granted 204,266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Mr. Marchetti was granted 86,133 RSUs, and Ms. Harvey was granted 74,800 RSUs. Each grant vested in full on the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our employees, consultants and directors held outstanding stock options for the purchase of up to 3,100,524 shares of our common stock. Those options were granted under the Dragonfly Energy Corp. 2019 Stock Incentive Plan (the “</w:t>
      </w:r>
      <w:r>
        <w:rPr>
          <w:rFonts w:ascii="Times New Roman;Times;Serif" w:hAnsi="Times New Roman;Times;Serif"/>
          <w:b/>
          <w:i w:val="false"/>
          <w:caps w:val="false"/>
          <w:smallCaps w:val="false"/>
          <w:sz w:val="20"/>
        </w:rPr>
        <w:t>2019 Plan</w:t>
      </w:r>
      <w:r>
        <w:rPr>
          <w:rFonts w:ascii="Times New Roman;Times;Serif" w:hAnsi="Times New Roman;Times;Serif"/>
          <w:b w:val="false"/>
          <w:i w:val="false"/>
          <w:caps w:val="false"/>
          <w:smallCaps w:val="false"/>
          <w:sz w:val="20"/>
        </w:rPr>
        <w:t>”) and the Dragonfly Energy Corp. 2021 Stock Incentive Plan (the “</w:t>
      </w:r>
      <w:r>
        <w:rPr>
          <w:rFonts w:ascii="Times New Roman;Times;Serif" w:hAnsi="Times New Roman;Times;Serif"/>
          <w:b/>
          <w:i w:val="false"/>
          <w:caps w:val="false"/>
          <w:smallCaps w:val="false"/>
          <w:sz w:val="20"/>
        </w:rPr>
        <w:t>2021 Plan</w:t>
      </w:r>
      <w:r>
        <w:rPr>
          <w:rFonts w:ascii="Times New Roman;Times;Serif" w:hAnsi="Times New Roman;Times;Serif"/>
          <w:b w:val="false"/>
          <w:i w:val="false"/>
          <w:caps w:val="false"/>
          <w:smallCaps w:val="false"/>
          <w:sz w:val="20"/>
        </w:rPr>
        <w:t>”). As of the Closing, these options were vested with respect to 2,262,091 shares and were unvested with respect to 838,433 shares. The exercise prices of these options ranged from $0.37 per share to $4.08 per share and each of those options had a maximum term of 10 years from the applicable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w:t>
      </w:r>
      <w:r>
        <w:rPr>
          <w:rFonts w:ascii="Times New Roman;Times;Serif" w:hAnsi="Times New Roman;Times;Serif"/>
          <w:b w:val="false"/>
          <w:i w:val="false"/>
          <w:caps w:val="false"/>
          <w:smallCaps w:val="false"/>
          <w:sz w:val="20"/>
          <w:u w:val="single"/>
        </w:rPr>
        <w:t xml:space="preserve">site at </w:t>
      </w:r>
      <w:r>
        <w:rPr>
          <w:rFonts w:ascii="Times New Roman;Times;Serif" w:hAnsi="Times New Roman;Times;Serif"/>
          <w:b w:val="false"/>
          <w:i/>
          <w:caps w:val="false"/>
          <w:smallCaps w:val="false"/>
          <w:sz w:val="20"/>
          <w:u w:val="single"/>
        </w:rPr>
        <w:t>http://www.sec.gov</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2019 Plan and 2021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we maintained the 2019 Plan and the 2021 Plan. Under the 2019 Plan and 2021 Plan,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 options granted under the plans expire no later than ten years from their date of grant. No new awards may be granted under the 2019 Plan or the 2021 Plan following the Business Combination.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plan administrator may provide for outstanding options to either be assumed by the acquirer or successor entity or, if not assumed, to be cancelled upon the transaction. Such adjustments were made to each of the then-outstanding options under the 2019 Plan and the 2021 Plan upon the Closing.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amend or terminate the 2019 Plan and the 2021 Plan at any time. The plans require that certain amendments specified in the plan be submitted to stockholders for their approval.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 Equity Incentive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the 2022 Equity Incentive Plan (the “</w:t>
      </w:r>
      <w:r>
        <w:rPr>
          <w:rFonts w:ascii="Times New Roman;Times;Serif" w:hAnsi="Times New Roman;Times;Serif"/>
          <w:b/>
          <w:i w:val="false"/>
          <w:caps w:val="false"/>
          <w:smallCaps w:val="false"/>
          <w:sz w:val="20"/>
        </w:rPr>
        <w:t>2022 Plan</w:t>
      </w:r>
      <w:r>
        <w:rPr>
          <w:rFonts w:ascii="Times New Roman;Times;Serif" w:hAnsi="Times New Roman;Times;Serif"/>
          <w:b w:val="false"/>
          <w:i w:val="false"/>
          <w:caps w:val="false"/>
          <w:smallCaps w:val="false"/>
          <w:sz w:val="20"/>
        </w:rPr>
        <w:t>”) for purposes of granting equity-based awards to attract, motivate, retain and reward selected employees and other eligible persons. Our board of directors administers the 2022 Plan. The plan administrator has broad authority to (without limitation):</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participants and determine the types of awards that they are to receive;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number of shares that are to be subject to awards and the terms and conditions of awards, including the price (if any) to be paid for the shares or the award and establish the vesting conditions (if applicable) of such shares or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modify or waive our rights with respect to, or modify, discontinue, suspend or terminate any or all outstanding awards, subject to any required consents;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construe and interpret the terms of the 2022 Plan and any agreements relating to the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or extend the vesting or exercisability or extend the term of any or all outstanding awards subject to any required consent;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other provisions of the 2022 Plan, make certain adjustments to an outstanding award and authorize the termination, conversion, substitution or succession of an award;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tc>
      </w:tr>
    </w:tbl>
    <w:p>
      <w:pPr>
        <w:pStyle w:val="TextBody"/>
        <w:bidi w:val="0"/>
        <w:ind w:left="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2,785,950 shares of our common stock have been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 (1) 4% of the total number of outstanding shares of our common stock on December 31 in the prior year, or (2) such number as determined by our board of directors. The total number of shares that may be issued pursuant to incentive stock options granted under the 2022 Plan is 6,571,800 shares. Any shares subject to awards that are not paid, delivered or exercised before they expire or are canceled or terminated, or otherwise fail to vest, will become available for other award grants under the 2022 Plan. As of September 18, 2023, 787,434 awards have been granted under the 2022 Plan, and 4,179,110 shares authorized under the 2022 Plan are available for award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under the 2022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plan is 10 years. These and other awards may also be issued solely or in part for services. Awards are generally paid in cash or shares of our common stock. The plan administrator may provide for the deferred payment of awards and may determine the terms applicable to deferrals.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of directors and compensation committee may grant stock and performance incentives or other compensation, in stock or cash, under other plans or authority.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Plan will terminate on May 13, 2032. However, the plan administrator will retain its authority until all outstanding awards are exercised or terminated.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Stock Purchase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the Employee Stock Purchase Plan (the “</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 Reserve</w:t>
      </w:r>
      <w:r>
        <w:rPr>
          <w:rFonts w:ascii="Times New Roman;Times;Serif" w:hAnsi="Times New Roman;Times;Serif"/>
          <w:b w:val="false"/>
          <w:i w:val="false"/>
          <w:caps w:val="false"/>
          <w:smallCaps w:val="false"/>
          <w:sz w:val="20"/>
        </w:rPr>
        <w:t>. A total of 2,464,400 shares of our common stock have been initially authorized for issuance under the ESPP. The share limit will automatically increase on the first trading day in January of each year by an amount equal to lesser of (1) 1% of the total number of outstanding shares of our common stock on December 31 in the prior year, (2) 1,500,000 shares, and (3) such number as determined by our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Offering Periods</w:t>
      </w:r>
      <w:r>
        <w:rPr>
          <w:rFonts w:ascii="Times New Roman;Times;Serif" w:hAnsi="Times New Roman;Times;Serif"/>
          <w:b w:val="false"/>
          <w:i w:val="false"/>
          <w:caps w:val="false"/>
          <w:smallCaps w:val="false"/>
          <w:sz w:val="20"/>
        </w:rPr>
        <w:t>. We currently expect the ESPP will have a series of successive six-month offering periods. However, the ESPP provides flexibility for the plan administrator to establish, in advance of a particular offering period, a different duration for that offering period (not less than three months nor greater than 27 months) or for that offering period to consist of one or more purchase periods.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Eligible Employees</w:t>
      </w:r>
      <w:r>
        <w:rPr>
          <w:rFonts w:ascii="Times New Roman;Times;Serif" w:hAnsi="Times New Roman;Times;Serif"/>
          <w:b w:val="false"/>
          <w:i w:val="false"/>
          <w:caps w:val="false"/>
          <w:smallCaps w:val="false"/>
          <w:sz w:val="20"/>
        </w:rPr>
        <w:t>. Individuals scheduled to work more than 20 hours per week for more than five calendar months per year may join an offering period on the start date of that period. Employees may participate in only one offering period at a time.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Payroll deductions</w:t>
      </w:r>
      <w:r>
        <w:rPr>
          <w:rFonts w:ascii="Times New Roman;Times;Serif" w:hAnsi="Times New Roman;Times;Serif"/>
          <w:b w:val="false"/>
          <w:i w:val="false"/>
          <w:caps w:val="false"/>
          <w:smallCaps w:val="false"/>
          <w:sz w:val="20"/>
        </w:rPr>
        <w:t>. A participant may contribute up to 15% of his or her cash earnings through payroll deductions, and the accumulated deductions will be 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5,000 shares on any purchase date. Change in Control. If we are acquired by merger or sale of all or substantially all of our assets or more than 50% of our voting 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 start date of the offering period in which the acquisition occurs or, if lower, 85% of the fair market value per share on the purchase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plan provisions</w:t>
      </w:r>
      <w:r>
        <w:rPr>
          <w:rFonts w:ascii="Times New Roman;Times;Serif" w:hAnsi="Times New Roman;Times;Serif"/>
          <w:b w:val="false"/>
          <w:i w:val="false"/>
          <w:caps w:val="false"/>
          <w:smallCaps w:val="false"/>
          <w:sz w:val="20"/>
        </w:rPr>
        <w:t>. No new offering periods will commence on or after May 13, 2032. The board of directors may at any time amend, suspend or discontinue the ESPP. However, certain amendments may require stockholder approval.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dated as of October 11, 2022 with each of Dr. Phares and Mr. Marchetti. 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and to be eligible for an annual bonus of up to a specified percentage of the executive’s base salary (Dr. Phares — 100%; Mr. Marchetti — 63%). The executive is generally eligible for an annual bonus only if he remains employed with us through the date the bonus is paid (or if the executive’s employment terminates due to his or disability during the year). The executive is also eligible to receive a long-term incentive award each fiscal year with a grant-date value not less than a dollar amount specified in the agreement (Dr. Phares — $1,532,000; Mr. Marchetti —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payable in installments over two years following the termination date, (ii) reimbursement of monthly COBRA premiums for the executive and his dependents for up to 18 months (in the case of Dr. Phares) or 12 months (in the case of Mr. Marchetti),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during the period commencing three months before a change in control of the Company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executive’s right to receive the severance benefits described above is subject to his providing a release of claims to us and his continued compliance with the restrictive covenants in favor of us in the agreement.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Sean Nichols, our Chief Operating Officer, would be stepping down to pursue other interests. His last day of employment was November 7, 2022. We have entered into a separation and release agreement (the “</w:t>
      </w:r>
      <w:r>
        <w:rPr>
          <w:rFonts w:ascii="Times New Roman;Times;Serif" w:hAnsi="Times New Roman;Times;Serif"/>
          <w:b/>
          <w:i w:val="false"/>
          <w:caps w:val="false"/>
          <w:smallCaps w:val="false"/>
          <w:sz w:val="20"/>
        </w:rPr>
        <w:t>Separation Agreement</w:t>
      </w:r>
      <w:r>
        <w:rPr>
          <w:rFonts w:ascii="Times New Roman;Times;Serif" w:hAnsi="Times New Roman;Times;Serif"/>
          <w:b w:val="false"/>
          <w:i w:val="false"/>
          <w:caps w:val="false"/>
          <w:smallCaps w:val="false"/>
          <w:sz w:val="20"/>
        </w:rPr>
        <w:t>”) with Mr. Nichols that became effective and fully irrevocable on November 2, 2022. Pursuant to the Separation Agreement, Mr. Nichols received a cash payment of $100,000 in one installment in December 2022 and will receive a cash payment of $1,000,000 in 24 monthly installments commencing in December 2022. Mr. Nichols’ outstanding equity awards granted by us will fully vest and, in the case of options, will be exercisable for 12 months following his termination date. The Separation Agreement also provides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we entered into an amended and restated employment agreement with Mr. Marchetti to provide that Mr. Marchetti will receive a minimum annual bonus of $175,000 for the fiscal year ending December 31, 2023. All other terms of the amended and restated Agreement remain the same as the original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entered into an employment agreement, dated as of October 11, 2022 with Ms. Harvey. The agreement provided for a three-year initial employment term, with automatic three-year renewal terms thereafter, subject to 90 days’ notice of non-renewal by either party. The agreement also provided for Ms. Harvey to receive an annual base salary of $334,000. The agreement also included non-competition and non-solicitation covenants that apply for 12 months following Ms. Harvey’s termination of employment, and certain confidentiality and other covenants.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Ms. Harvey’s employment with us ended and her employment agreement was deemed terminated as of that date by us without cause for purposes of determining severance thereunder. As a result, Ms. Harvey is entitled to receive (i) cash severance equal to 2 times her annual base salary, payable in installments over two years following the termination date, (ii) reimbursement of monthly COBRA premiums for the executive and her dependents for up to 12 months, and (iii) vesting in full of any time-based equity awards granted by us to Ms. Harvey. If, during the period commencing three months before a change in control of the Company and ending 12 months after a change in control, the executive’s employment is terminated by us without cause (or as a result of us not renewing the term of the agreement), Ms. Harvey would be entitled to receive the severance benefits described in the preceding sentence. In addition, Ms. Harvey’s outstanding stock options granted by us would fully vest and be exercisable for the remainder of the term of the option. In the event any of Ms. Harvey’s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 Ms. Harvey’s right to receive the severance benefits described above was subject to her providing a release of claims to us and remains subject to her continued compliance with the restrictive covenants in favor of us in the agreement.</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Contribution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overall compensation program, we provide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Our current practice is to match 100% of an employee’s contributions to the plan up to 4% of the employee’s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we adopted a policy that provides for cash and equity compensation for members of our board of directors who are not employed by us or any of our subsidiaries (our “</w:t>
      </w:r>
      <w:r>
        <w:rPr>
          <w:rFonts w:ascii="Times New Roman;Times;Serif" w:hAnsi="Times New Roman;Times;Serif"/>
          <w:b/>
          <w:i w:val="false"/>
          <w:caps w:val="false"/>
          <w:smallCaps w:val="false"/>
          <w:sz w:val="20"/>
        </w:rPr>
        <w:t>Non-Employee Directors</w:t>
      </w:r>
      <w:r>
        <w:rPr>
          <w:rFonts w:ascii="Times New Roman;Times;Serif" w:hAnsi="Times New Roman;Times;Serif"/>
          <w:b w:val="false"/>
          <w:i w:val="false"/>
          <w:caps w:val="false"/>
          <w:smallCaps w:val="false"/>
          <w:sz w:val="20"/>
        </w:rPr>
        <w:t>”). The policy provides that each Non-Employee Director is entitled to receive the following cash compensation for board service, as applicable:</w:t>
      </w:r>
    </w:p>
    <w:p>
      <w:pPr>
        <w:pStyle w:val="TextBody"/>
        <w:bidi w:val="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$58,800 annual retainer for service as a board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Lead Independent Director;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or RSUs with a value of $300,000 upon their initial appointment to the board and an award of options or RSUs with a value of $100,000 on an annual basis thereafter. For each award, the board will determine at the time of grant the methodology for converting the foregoing dollar amounts to shares and the vesting schedule. The board may approve other grants of equity-based awards to Non-Employee Directors from time to time, on such terms as the board may determine and subject to the applicable provisions of our equity compensation plan then in effect.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change the terms of our director compensation policy from time to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the Closing Date, we granted each of our Non-Employee Directors then serving of the board (i.e. Jonathan Bellows, Perry Boyle, Karina Edmonds, Luisa Ingargiola, Brian Nelson, and Rick Parod) an award of 30,000 restricted stock units under the 2022 Plan that are eligible to vest on the first anniversary of the grant date, subject to the director’s continued service on the board through the vesting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Table — Fiscal 2022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concerning compensation paid to our Non-Employee Directors for services on our board during the year ended December 31, 2022. Messrs. Phares and Nichols did not receive any additional compensation for their service on our board during the year ended December 31, 2022.</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02"/>
        <w:gridCol w:w="60"/>
        <w:gridCol w:w="96"/>
        <w:gridCol w:w="1111"/>
        <w:gridCol w:w="60"/>
        <w:gridCol w:w="60"/>
        <w:gridCol w:w="95"/>
        <w:gridCol w:w="1286"/>
        <w:gridCol w:w="60"/>
        <w:gridCol w:w="60"/>
        <w:gridCol w:w="92"/>
        <w:gridCol w:w="1240"/>
        <w:gridCol w:w="277"/>
        <w:gridCol w:w="60"/>
        <w:gridCol w:w="329"/>
        <w:gridCol w:w="1433"/>
        <w:gridCol w:w="60"/>
        <w:gridCol w:w="60"/>
        <w:gridCol w:w="61"/>
        <w:gridCol w:w="822"/>
        <w:gridCol w:w="81"/>
      </w:tblGrid>
      <w:tr>
        <w:trPr/>
        <w:tc>
          <w:tcPr>
            <w:tcW w:w="2802"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center"/>
              <w:rPr/>
            </w:pPr>
            <w:r>
              <w:rPr/>
              <w:t> </w:t>
            </w:r>
          </w:p>
        </w:tc>
        <w:tc>
          <w:tcPr>
            <w:tcW w:w="1207" w:type="dxa"/>
            <w:gridSpan w:val="2"/>
            <w:tcBorders>
              <w:bottom w:val="single" w:sz="12" w:space="0" w:color="000000"/>
            </w:tcBorders>
            <w:vAlign w:val="center"/>
          </w:tcPr>
          <w:p>
            <w:pPr>
              <w:pStyle w:val="TableContents"/>
              <w:bidi w:val="0"/>
              <w:spacing w:before="0" w:after="283"/>
              <w:jc w:val="center"/>
              <w:rPr>
                <w:b/>
              </w:rPr>
            </w:pPr>
            <w:r>
              <w:rPr>
                <w:b/>
              </w:rPr>
              <w:t>Fees Earned</w:t>
              <w:br/>
              <w:t>or Paid in</w:t>
              <w:br/>
              <w:t>Cash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1" w:type="dxa"/>
            <w:gridSpan w:val="2"/>
            <w:tcBorders>
              <w:bottom w:val="single" w:sz="12" w:space="0" w:color="000000"/>
            </w:tcBorders>
            <w:vAlign w:val="center"/>
          </w:tcPr>
          <w:p>
            <w:pPr>
              <w:pStyle w:val="TableContents"/>
              <w:bidi w:val="0"/>
              <w:spacing w:before="0" w:after="283"/>
              <w:jc w:val="center"/>
              <w:rPr>
                <w:b/>
              </w:rPr>
            </w:pPr>
            <w:r>
              <w:rPr>
                <w:b/>
              </w:rPr>
              <w:t>Stock</w:t>
              <w:br/>
              <w:t>Awards ($) (1)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32" w:type="dxa"/>
            <w:gridSpan w:val="2"/>
            <w:tcBorders>
              <w:bottom w:val="single" w:sz="12" w:space="0" w:color="000000"/>
            </w:tcBorders>
            <w:vAlign w:val="center"/>
          </w:tcPr>
          <w:p>
            <w:pPr>
              <w:pStyle w:val="TableContents"/>
              <w:bidi w:val="0"/>
              <w:spacing w:before="0" w:after="283"/>
              <w:jc w:val="center"/>
              <w:rPr>
                <w:b/>
              </w:rPr>
            </w:pPr>
            <w:r>
              <w:rPr>
                <w:b/>
              </w:rPr>
              <w:t>Option</w:t>
              <w:br/>
              <w:t>Awards ($)(1)</w:t>
            </w:r>
          </w:p>
        </w:tc>
        <w:tc>
          <w:tcPr>
            <w:tcW w:w="27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62" w:type="dxa"/>
            <w:gridSpan w:val="2"/>
            <w:tcBorders>
              <w:bottom w:val="single" w:sz="12" w:space="0" w:color="000000"/>
            </w:tcBorders>
            <w:vAlign w:val="center"/>
          </w:tcPr>
          <w:p>
            <w:pPr>
              <w:pStyle w:val="TableContents"/>
              <w:bidi w:val="0"/>
              <w:spacing w:before="0" w:after="283"/>
              <w:jc w:val="center"/>
              <w:rPr>
                <w:b/>
              </w:rPr>
            </w:pPr>
            <w:r>
              <w:rPr>
                <w:b/>
              </w:rPr>
              <w:t>All Other</w:t>
              <w:br/>
              <w:t>Compensation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83" w:type="dxa"/>
            <w:gridSpan w:val="2"/>
            <w:tcBorders>
              <w:bottom w:val="single" w:sz="12" w:space="0" w:color="000000"/>
            </w:tcBorders>
            <w:vAlign w:val="center"/>
          </w:tcPr>
          <w:p>
            <w:pPr>
              <w:pStyle w:val="TableContents"/>
              <w:bidi w:val="0"/>
              <w:spacing w:before="0" w:after="283"/>
              <w:jc w:val="center"/>
              <w:rPr>
                <w:b/>
              </w:rPr>
            </w:pPr>
            <w:r>
              <w:rPr>
                <w:b/>
              </w:rPr>
              <w:t>Total ($)</w:t>
            </w:r>
          </w:p>
        </w:tc>
        <w:tc>
          <w:tcPr>
            <w:tcW w:w="81" w:type="dxa"/>
            <w:tcBorders/>
            <w:tcMar>
              <w:bottom w:w="0" w:type="dxa"/>
            </w:tcMar>
            <w:vAlign w:val="center"/>
          </w:tcPr>
          <w:p>
            <w:pPr>
              <w:pStyle w:val="TableContents"/>
              <w:bidi w:val="0"/>
              <w:spacing w:before="0" w:after="283"/>
              <w:jc w:val="center"/>
              <w:rPr/>
            </w:pPr>
            <w:r>
              <w:rPr/>
              <w:t> </w:t>
            </w:r>
          </w:p>
        </w:tc>
      </w:tr>
      <w:tr>
        <w:trPr/>
        <w:tc>
          <w:tcPr>
            <w:tcW w:w="2802" w:type="dxa"/>
            <w:tcBorders/>
            <w:shd w:fill="CCEEFF" w:val="clear"/>
            <w:tcMar>
              <w:bottom w:w="0" w:type="dxa"/>
            </w:tcMar>
            <w:vAlign w:val="center"/>
          </w:tcPr>
          <w:p>
            <w:pPr>
              <w:pStyle w:val="TableContents"/>
              <w:bidi w:val="0"/>
              <w:spacing w:before="0" w:after="283"/>
              <w:jc w:val="left"/>
              <w:rPr/>
            </w:pPr>
            <w:r>
              <w:rPr/>
              <w:t>Jonathan Bellows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283"/>
              <w:jc w:val="right"/>
              <w:rPr/>
            </w:pPr>
            <w:r>
              <w:rPr/>
              <w:t>13,741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pPr>
            <w:r>
              <w:rPr/>
              <w:t>420,000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w:t>
            </w:r>
          </w:p>
        </w:tc>
        <w:tc>
          <w:tcPr>
            <w:tcW w:w="2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 w:type="dxa"/>
            <w:tcBorders/>
            <w:shd w:fill="CCEEFF" w:val="clear"/>
            <w:tcMar>
              <w:bottom w:w="0" w:type="dxa"/>
            </w:tcMar>
            <w:vAlign w:val="center"/>
          </w:tcPr>
          <w:p>
            <w:pPr>
              <w:pStyle w:val="TableContents"/>
              <w:bidi w:val="0"/>
              <w:spacing w:before="0" w:after="283"/>
              <w:jc w:val="left"/>
              <w:rPr/>
            </w:pPr>
            <w:r>
              <w:rPr/>
              <w:t> </w:t>
            </w:r>
          </w:p>
        </w:tc>
        <w:tc>
          <w:tcPr>
            <w:tcW w:w="143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433,741</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2802" w:type="dxa"/>
            <w:tcBorders/>
            <w:shd w:fill="FFFFFF" w:val="clear"/>
            <w:tcMar>
              <w:bottom w:w="0" w:type="dxa"/>
            </w:tcMar>
            <w:vAlign w:val="center"/>
          </w:tcPr>
          <w:p>
            <w:pPr>
              <w:pStyle w:val="TableContents"/>
              <w:bidi w:val="0"/>
              <w:spacing w:before="0" w:after="283"/>
              <w:jc w:val="left"/>
              <w:rPr/>
            </w:pPr>
            <w:r>
              <w:rPr/>
              <w:t>Perry Boyle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283"/>
              <w:jc w:val="right"/>
              <w:rPr/>
            </w:pPr>
            <w:r>
              <w:rPr/>
              <w:t>13,741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pPr>
            <w:r>
              <w:rPr/>
              <w:t>420,000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 w:type="dxa"/>
            <w:tcBorders/>
            <w:shd w:fill="FFFFFF" w:val="clear"/>
            <w:tcMar>
              <w:bottom w:w="0" w:type="dxa"/>
            </w:tcMar>
            <w:vAlign w:val="center"/>
          </w:tcPr>
          <w:p>
            <w:pPr>
              <w:pStyle w:val="TableContents"/>
              <w:bidi w:val="0"/>
              <w:spacing w:before="0" w:after="283"/>
              <w:jc w:val="left"/>
              <w:rPr/>
            </w:pPr>
            <w:r>
              <w:rPr/>
              <w:t> </w:t>
            </w:r>
          </w:p>
        </w:tc>
        <w:tc>
          <w:tcPr>
            <w:tcW w:w="143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433,741</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2802" w:type="dxa"/>
            <w:tcBorders/>
            <w:shd w:fill="CCEEFF" w:val="clear"/>
            <w:tcMar>
              <w:bottom w:w="0" w:type="dxa"/>
            </w:tcMar>
            <w:vAlign w:val="center"/>
          </w:tcPr>
          <w:p>
            <w:pPr>
              <w:pStyle w:val="TableContents"/>
              <w:bidi w:val="0"/>
              <w:spacing w:before="0" w:after="283"/>
              <w:jc w:val="left"/>
              <w:rPr/>
            </w:pPr>
            <w:r>
              <w:rPr/>
              <w:t>Karina Montilla Edmonds,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283"/>
              <w:jc w:val="right"/>
              <w:rPr/>
            </w:pPr>
            <w:r>
              <w:rPr/>
              <w:t>16,078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pPr>
            <w:r>
              <w:rPr/>
              <w:t>420,000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w:t>
            </w:r>
          </w:p>
        </w:tc>
        <w:tc>
          <w:tcPr>
            <w:tcW w:w="2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 w:type="dxa"/>
            <w:tcBorders/>
            <w:shd w:fill="CCEEFF" w:val="clear"/>
            <w:tcMar>
              <w:bottom w:w="0" w:type="dxa"/>
            </w:tcMar>
            <w:vAlign w:val="center"/>
          </w:tcPr>
          <w:p>
            <w:pPr>
              <w:pStyle w:val="TableContents"/>
              <w:bidi w:val="0"/>
              <w:spacing w:before="0" w:after="283"/>
              <w:jc w:val="left"/>
              <w:rPr/>
            </w:pPr>
            <w:r>
              <w:rPr/>
              <w:t> </w:t>
            </w:r>
          </w:p>
        </w:tc>
        <w:tc>
          <w:tcPr>
            <w:tcW w:w="143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436,078</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2802" w:type="dxa"/>
            <w:tcBorders/>
            <w:shd w:fill="FFFFFF" w:val="clear"/>
            <w:tcMar>
              <w:bottom w:w="0" w:type="dxa"/>
            </w:tcMar>
            <w:vAlign w:val="center"/>
          </w:tcPr>
          <w:p>
            <w:pPr>
              <w:pStyle w:val="TableContents"/>
              <w:bidi w:val="0"/>
              <w:spacing w:before="0" w:after="283"/>
              <w:jc w:val="left"/>
              <w:rPr/>
            </w:pPr>
            <w:r>
              <w:rPr/>
              <w:t>Luisa Ingargiola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283"/>
              <w:jc w:val="right"/>
              <w:rPr/>
            </w:pPr>
            <w:r>
              <w:rPr/>
              <w:t>23,089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pPr>
            <w:r>
              <w:rPr/>
              <w:t>420,000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 w:type="dxa"/>
            <w:tcBorders/>
            <w:shd w:fill="FFFFFF" w:val="clear"/>
            <w:tcMar>
              <w:bottom w:w="0" w:type="dxa"/>
            </w:tcMar>
            <w:vAlign w:val="center"/>
          </w:tcPr>
          <w:p>
            <w:pPr>
              <w:pStyle w:val="TableContents"/>
              <w:bidi w:val="0"/>
              <w:spacing w:before="0" w:after="283"/>
              <w:jc w:val="left"/>
              <w:rPr/>
            </w:pPr>
            <w:r>
              <w:rPr/>
              <w:t> </w:t>
            </w:r>
          </w:p>
        </w:tc>
        <w:tc>
          <w:tcPr>
            <w:tcW w:w="143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443,089</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2802" w:type="dxa"/>
            <w:tcBorders/>
            <w:shd w:fill="CCEEFF" w:val="clear"/>
            <w:tcMar>
              <w:bottom w:w="0" w:type="dxa"/>
            </w:tcMar>
            <w:vAlign w:val="center"/>
          </w:tcPr>
          <w:p>
            <w:pPr>
              <w:pStyle w:val="TableContents"/>
              <w:bidi w:val="0"/>
              <w:spacing w:before="0" w:after="283"/>
              <w:jc w:val="left"/>
              <w:rPr/>
            </w:pPr>
            <w:r>
              <w:rPr/>
              <w:t>Brian Nelson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283"/>
              <w:jc w:val="right"/>
              <w:rPr/>
            </w:pPr>
            <w:r>
              <w:rPr/>
              <w:t>17,247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pPr>
            <w:r>
              <w:rPr/>
              <w:t>420,000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245,401</w:t>
            </w:r>
          </w:p>
        </w:tc>
        <w:tc>
          <w:tcPr>
            <w:tcW w:w="277"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 w:type="dxa"/>
            <w:tcBorders/>
            <w:shd w:fill="CCEEFF" w:val="clear"/>
            <w:tcMar>
              <w:bottom w:w="0" w:type="dxa"/>
            </w:tcMar>
            <w:vAlign w:val="center"/>
          </w:tcPr>
          <w:p>
            <w:pPr>
              <w:pStyle w:val="TableContents"/>
              <w:bidi w:val="0"/>
              <w:spacing w:before="0" w:after="283"/>
              <w:jc w:val="left"/>
              <w:rPr/>
            </w:pPr>
            <w:r>
              <w:rPr/>
              <w:t> </w:t>
            </w:r>
          </w:p>
        </w:tc>
        <w:tc>
          <w:tcPr>
            <w:tcW w:w="143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682,648</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2802" w:type="dxa"/>
            <w:tcBorders/>
            <w:shd w:fill="FFFFFF" w:val="clear"/>
            <w:tcMar>
              <w:bottom w:w="0" w:type="dxa"/>
            </w:tcMar>
            <w:vAlign w:val="center"/>
          </w:tcPr>
          <w:p>
            <w:pPr>
              <w:pStyle w:val="TableContents"/>
              <w:bidi w:val="0"/>
              <w:spacing w:before="0" w:after="283"/>
              <w:jc w:val="left"/>
              <w:rPr/>
            </w:pPr>
            <w:r>
              <w:rPr/>
              <w:t>Rick Parod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283"/>
              <w:jc w:val="right"/>
              <w:rPr/>
            </w:pPr>
            <w:r>
              <w:rPr/>
              <w:t>13,741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pPr>
            <w:r>
              <w:rPr/>
              <w:t>420,000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w:t>
            </w:r>
          </w:p>
        </w:tc>
        <w:tc>
          <w:tcPr>
            <w:tcW w:w="2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 w:type="dxa"/>
            <w:tcBorders/>
            <w:shd w:fill="FFFFFF" w:val="clear"/>
            <w:tcMar>
              <w:bottom w:w="0" w:type="dxa"/>
            </w:tcMar>
            <w:vAlign w:val="center"/>
          </w:tcPr>
          <w:p>
            <w:pPr>
              <w:pStyle w:val="TableContents"/>
              <w:bidi w:val="0"/>
              <w:spacing w:before="0" w:after="283"/>
              <w:jc w:val="left"/>
              <w:rPr/>
            </w:pPr>
            <w:r>
              <w:rPr/>
              <w:t> </w:t>
            </w:r>
          </w:p>
        </w:tc>
        <w:tc>
          <w:tcPr>
            <w:tcW w:w="143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433,741</w:t>
            </w:r>
          </w:p>
        </w:tc>
        <w:tc>
          <w:tcPr>
            <w:tcW w:w="8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reflects the grant date fair value of the stock option and/or RSUs granted to the Non-Employee Directors during the year ended December 31, 2022 under the 2022 Plan as described above and is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elsewhere in this prospectus for a discussion of the relevant assumptions used in calculating this amount. As of December 31, 2022, each Non-Employee Director held 30,000 unvested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of common stock underlying stock options and unvested RSUs outstanding as of December 31, 2022 held by Ms. Ingargiola was 127,521.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 awards to purchase 70,925 shares of our common stock were granted to Mr. Nelson on May 9, 2022 and vest in 36 equal monthly installments beginning on May 15, 2022.</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 w:name="Na_004"/>
      <w:bookmarkEnd w:id="15"/>
      <w:r>
        <w:rPr>
          <w:rFonts w:ascii="Times New Roman;Times;Serif" w:hAnsi="Times New Roman;Times;Serif"/>
          <w:b/>
          <w:i w:val="false"/>
          <w:caps w:val="false"/>
          <w:smallCaps w:val="false"/>
          <w:sz w:val="20"/>
        </w:rPr>
        <w:t>CERTAIN RELATIONSHIPS AND RELATED PERSON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compensation arrangements for our named executive officers and directors, we describe below each transaction or series of similar transactions, since January 1, 2021, to which we were a party or will be a party, in which:</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involved exceeded or will exceed $120,000;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directors, executive officers or holders of more than 5% of our capital stock, or any member of the immediate family of the foregoing persons, had or will have a direct or indirect material interest.</w:t>
            </w:r>
          </w:p>
        </w:tc>
      </w:tr>
    </w:tbl>
    <w:p>
      <w:pPr>
        <w:pStyle w:val="TextBody"/>
        <w:bidi w:val="0"/>
        <w:ind w:left="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arrangements for our named executive officers and directors are described in the section entitled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 with Directors and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Arrangement with John Marchetti</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inducement to hire Mr. John Marchetti as our Chief Financial Officer in September 2021, we loaned Mr. Marchetti $350,000 to repay amounts owed by him to his former employer and entered into a related promissory note with a maturity of March 1, 2026. In consideration of the Business Combination and our obligations as a publicly traded company, Dragonfly forgave all amounts owed under the Promissory Note effective March 2022.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Separation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entered into the Separation Agreement with Mr. Nichols that became effective and fully irrevocable on November 2, 2022. Pursuant to the Separation Agreement, Mr. Nichols received a cash payment of $100,000 in one installment in December 2022 and is entitled to receive a cash payment of $1.0 million in 24 monthly installments commencing in December 2022. Mr. Nichols’ outstanding equity awards granted by us will fully vest and, in the case of options, will be exercisable for 12 months following his termination date. The Separation Agreement also provides that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we entered into a separation and release of claims agreement with our Chief Legal Officer (“</w:t>
      </w:r>
      <w:r>
        <w:rPr>
          <w:rFonts w:ascii="Times New Roman;Times;Serif" w:hAnsi="Times New Roman;Times;Serif"/>
          <w:b/>
          <w:i w:val="false"/>
          <w:caps w:val="false"/>
          <w:smallCaps w:val="false"/>
          <w:sz w:val="20"/>
        </w:rPr>
        <w:t>CLO</w:t>
      </w:r>
      <w:r>
        <w:rPr>
          <w:rFonts w:ascii="Times New Roman;Times;Serif" w:hAnsi="Times New Roman;Times;Serif"/>
          <w:b w:val="false"/>
          <w:i w:val="false"/>
          <w:caps w:val="false"/>
          <w:smallCaps w:val="false"/>
          <w:sz w:val="20"/>
        </w:rPr>
        <w:t>”). As consideration for the CLO’s execution of the agreement, we agreed to pay the CLO wages and benefits across 24 monthly payments commencing on June 1, 2023, and all outstanding equity-based compensation awards to become fully vested and exercisable. The CLO had three months from her termination date to exercise outstanding options. The three-month period ended on July 26, 2023 in which the options were not exercised and the options were forfeited as a result.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 with Brian Nelson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the Note in the Principal amount of $1.0 million to Brian Nelson, one of our directors, in a private placement in exchange for cash in an equal amount. The Note became due and payable in full on April 1, 2023. We were also obligated to pay a Loan Fee of $100,000 to Mr. Nelson on April 4, 2023. We paid the Principal Amount and the Loan Fee in full on April 1, 2023 and April 4, 2023,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separate indemnification agreements with our directors and executive officers, in addition to the indemnification provided for in our Charter and our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our Charter and our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material provisions of certain additional agreements entered into pursuant to the Business Combination Agreement but does not purport to describe all of the terms thereof.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Registration Rights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Business Combination, CNTQ, the Sponsor and certain other CNTQ shareholders parties thereto (collectively, the “</w:t>
      </w:r>
      <w:r>
        <w:rPr>
          <w:rFonts w:ascii="Times New Roman;Times;Serif" w:hAnsi="Times New Roman;Times;Serif"/>
          <w:b/>
          <w:i w:val="false"/>
          <w:caps w:val="false"/>
          <w:smallCaps w:val="false"/>
          <w:sz w:val="20"/>
        </w:rPr>
        <w:t>Insiders</w:t>
      </w:r>
      <w:r>
        <w:rPr>
          <w:rFonts w:ascii="Times New Roman;Times;Serif" w:hAnsi="Times New Roman;Times;Serif"/>
          <w:b w:val="false"/>
          <w:i w:val="false"/>
          <w:caps w:val="false"/>
          <w:smallCaps w:val="false"/>
          <w:sz w:val="20"/>
        </w:rPr>
        <w:t>”), Legacy Dragonfly, and certain Legacy Dragonfly stockholders entered into an Amended and Restated Registration Rights Agreement (the “</w:t>
      </w:r>
      <w:r>
        <w:rPr>
          <w:rFonts w:ascii="Times New Roman;Times;Serif" w:hAnsi="Times New Roman;Times;Serif"/>
          <w:b/>
          <w:i w:val="false"/>
          <w:caps w:val="false"/>
          <w:smallCaps w:val="false"/>
          <w:sz w:val="20"/>
        </w:rPr>
        <w:t>Amended Registration Rights Agreement</w:t>
      </w:r>
      <w:r>
        <w:rPr>
          <w:rFonts w:ascii="Times New Roman;Times;Serif" w:hAnsi="Times New Roman;Times;Serif"/>
          <w:b w:val="false"/>
          <w:i w:val="false"/>
          <w:caps w:val="false"/>
          <w:smallCaps w:val="false"/>
          <w:sz w:val="20"/>
        </w:rPr>
        <w:t>”). Pursuant to the Amended Registration Rights Agreement, the Insiders and the undersigned parties listed thereto will be provided the right to demand registrations, piggy-back registrations and shelf registrations with respect to Registrable Securities (as defined in the Amended Registration Rights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Subscription Agreement, the Sponsor agreed to purchase, and CNTQ agreed to sell to the Sponsor, an aggregate of 500,000 shares of CNTQ Common Stock for gross proceeds to CNTQ of $5 million in a private placement. On September 28, 2022, the Sponsor and CCM, entered into an assignment, assumption and joinder agreement, pursuant to which the Sponsor assigned all of the Sponsor’s rights, benefits and obligations under the Subscription Agreement to CCM.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During the week of September 26, 2022, CCM acquired in the open market 485,000 shares of common stock, at purchase prices per share ranging from $10.33 to $10.38 (such shares, the “</w:t>
      </w:r>
      <w:r>
        <w:rPr>
          <w:rFonts w:ascii="Times New Roman;Times;Serif" w:hAnsi="Times New Roman;Times;Serif"/>
          <w:b/>
          <w:i w:val="false"/>
          <w:caps w:val="false"/>
          <w:smallCaps w:val="false"/>
          <w:sz w:val="20"/>
        </w:rPr>
        <w:t>Purchased Shares</w:t>
      </w:r>
      <w:r>
        <w:rPr>
          <w:rFonts w:ascii="Times New Roman;Times;Serif" w:hAnsi="Times New Roman;Times;Serif"/>
          <w:b w:val="false"/>
          <w:i w:val="false"/>
          <w:caps w:val="false"/>
          <w:smallCaps w:val="false"/>
          <w:sz w:val="20"/>
        </w:rPr>
        <w:t>”). In accordance with the aforementioned offset provision provided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our receipt of $5,016,547 from the Trust Account (based on a per share redemption price of $10.34) and (ii) a reduction in CCM’s purchase commitment under the Subscription Agreement to zero in accordance with the Offset. At the Closing, we issued an additional 15,000 shares to CCM pursuant to the terms of the Subscription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Financing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Loan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Debt Commitment Letter, in connection with the Closing, CNTQ, Legacy Dragonfly and the Initial Term Loan Lenders entered into the Term Loan Agreement setting forth the terms of the Term Loan in an aggregate principal amount of $75 million. The CNTQ Lender backstopped its commitment under the Debt Commitment Letter by entering into the Backstop Commitment Letter with the Backstop Lender, pursuant to which the Backstop Lender committed to purchase from the CNTQ Lender the Backstopped Loans immediately following the issuance of the Term Loan on the Closing Date. Pursuant to an assignment agreement, the Backstopped Loans were assigned by CCM 5 to the Backstop Lender on the Closing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Term Loan Agreement, the Term Loan was advanced in one tranche on the Closing Date. The Term Loan amortizes in the amount of 5% per annum beginning 24 months after the Closing Date and matures on the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the obligations of Legacy Dragonfly are guaranteed by us and will be guaranteed by any of Legacy Dragonfly’s subsidiaries that are party thereto from time to time as guarantors. In addition, we entered into the Pledge Agreement pursuant to which we pledged to the Administrative Agent our equity interests in Legacy Dragonfly as further collateral security for the obligations under the Term Loan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Agreement also contains affirmative and restrictive covenants and representations and warranties.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the credit parties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June 2023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we entered into the June 2023 Public Offering, an aggregate of (i) 10,000,000 shares of our common stock, par value $0.0001, and (ii) the Investor Warrants, at the combined public offering price of $2.00 per share and accompanying Investor Warrant, less underwriting discounts and commissions, and (iii) the Underwriters’ Warrants.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 In addition to the Underwriter, CCM also participated in the offering as an additional bookrunner.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June 2023 Offering. As part of the June 2023 Offering, the Underwriters partially exercised their over-allotment option in the amount of 1,405,000 shares of common stock and Investor Warrants to purchase 1,405,000 shares of common stock. The June 2023 Offering closed on June 22,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Term Loan Agreement, and as a required term and condition thereof, we issued (i) the Penny Warrants and (ii) the $10 Warrants. The $10 Warrants were exercised on a cashless basis on October 10, 2022, in which we agreed to issue 457,142 shares of common stock in connection with such exercise. The Penny Warrants have an exercise period of 10 years from the date of issuance. The $10 Warrants have been exercised in full and are no longer outstanding.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have specified anti-dilution protection against subsequent equity sales or distributions at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our $150 million ChEF Equity Facility (or replacement thereof) sold at a per share price above $5.00.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issuable upon exercise of the Penny Warrants, and the shares issued upon exercise of the $10 Warrants have customary registration rights, which are contained in the respective forms of the Penny Warrants and the $10 Warrants, requiring us to file and keep effective a resale registration statement registering the resale of the shares of common stock underlying the Penny Warrants and the $10 Warrants.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ChEF Equity Facility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equity facility letter agreement between Legacy Dragonfly and CCM 5, we and CCM entered into the Purchase Agreement and the ChEF RRA in connection with the Closing. In addition, we appointed LifeSci Capital, LLC as “qualified independent underwriter” with respect to the transactions contemplated by the Purchase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 the term of the equity facility. As of September 18, 2023, we have sold 98,500 shares under the ChEF Equity Facility for aggregate net proceeds to us of $670,593.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 written Related Person Transactions Policy on October 7, 2022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related person’s interest in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a director’s independence in the event the related person is a director, immediate family member of a director or an entity with which a director is affiliated;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other sources for comparable services or products;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available to or from, as the case may be, unrelated third parties.</w:t>
            </w:r>
          </w:p>
        </w:tc>
      </w:tr>
    </w:tbl>
    <w:p>
      <w:pPr>
        <w:pStyle w:val="TextBody"/>
        <w:bidi w:val="0"/>
        <w:ind w:left="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transactions entered into since the adoption of the Policy have been approved by our audit committee.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6" w:name="Na_005"/>
      <w:bookmarkEnd w:id="16"/>
      <w:r>
        <w:rPr>
          <w:rFonts w:ascii="Times New Roman;Times;Serif" w:hAnsi="Times New Roman;Times;Serif"/>
          <w:b/>
          <w:i w:val="false"/>
          <w:caps w:val="false"/>
          <w:smallCaps w:val="false"/>
          <w:sz w:val="20"/>
        </w:rPr>
        <w:t>DESCRIPTION OF SECURITIES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terms of our securities is not intended to be a complete summary of the rights and preferences of such securities. You are encouraged to read the applicable provisions of the NRS, the Charter and Bylaws in their entirety for a complete description of the rights and preferences of our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Capitalization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175,000,000 shares of capital stock authorized under our Charter, which consists of 170,000,000 shares of common stock with a par value of $0.0001 per share and 5,000,000 shares of preferred stock with par value $0.0001 per share.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18, 2023 there were 58,880,812 shares of common stock outstanding and no shares of preferred stock outstanding.</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Warrants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price for the Public Warrants is subject to adjustment for stock splits or combinations, stock dividends and distributions, reclassifications, subdivisions, and other similar transactions. Pursuant to the Warrant Agreement,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pStyle w:val="TextBody"/>
        <w:shd w:fill="FFFFFF" w:val="clear"/>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call the Public Warrants for redemption in accordance with the terms summarized below:</w:t>
      </w:r>
    </w:p>
    <w:p>
      <w:pPr>
        <w:pStyle w:val="TextBody"/>
        <w:shd w:fill="FFFFFF" w:val="clear"/>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Public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w:t>
            </w:r>
            <w:r>
              <w:rPr>
                <w:rFonts w:ascii="Times New Roman;Times;Serif" w:hAnsi="Times New Roman;Times;Serif"/>
                <w:b/>
                <w:i w:val="false"/>
                <w:caps w:val="false"/>
                <w:smallCaps w:val="false"/>
                <w:sz w:val="20"/>
              </w:rPr>
              <w:t>30-day redemption period</w:t>
            </w:r>
            <w:r>
              <w:rPr>
                <w:rFonts w:ascii="Times New Roman;Times;Serif" w:hAnsi="Times New Roman;Times;Serif"/>
                <w:b w:val="false"/>
                <w:i w:val="false"/>
                <w:caps w:val="false"/>
                <w:smallCaps w:val="false"/>
                <w:sz w:val="20"/>
              </w:rPr>
              <w:t>”) to each warrant 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sales price of our common stock equals or exceeds $16.00 per share for any ten (10) trading days within a 30-trading day period ending three business days before we send the notice of redemption;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contain certain anti-dilution and adjustment rights upon certain events.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issued in registered form under the warrant agreement between American Stock Transfer &amp; Trust Company, LLC, as warrant agent, and us. The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Warrants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w:t>
      </w:r>
    </w:p>
    <w:p>
      <w:pPr>
        <w:pStyle w:val="TextBody"/>
        <w:shd w:fill="FFFFFF" w:val="clear"/>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shall mean the volume weighted average last reported sale price of the common stock for the 10 trading days ending on the third trading day prior to the date on which the notice of warrant exercise is sent to the warrant agent.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Private Warrants are entitled to certain registration rights. The Private Warrants purchased by Sponsor will not be exercisable on or after August 10, 2026, in accordance with FINRA Rule 5110(g), as long as Sponsor or any of its related persons beneficially own the Private Warrants.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Penny Warrants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were issued on the Closing Date and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ChEF Facility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Warrants that were issued in the June 2023 Offering, expire five years from the date of the closing,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 of which the Underwriters exercised for 1,405,000 shares of common stock and Investor Warrants to purchase up to 1,405,000 shares of common stock and the remaining was not exercised within the 45-day window.</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Underwriters’ Warrants</w:t>
      </w:r>
    </w:p>
    <w:p>
      <w:pPr>
        <w:pStyle w:val="TextBody"/>
        <w:bidi w:val="0"/>
        <w:jc w:val="both"/>
        <w:rPr>
          <w:caps w:val="false"/>
          <w:smallCaps w:val="false"/>
        </w:rPr>
      </w:pPr>
      <w:r>
        <w:rPr>
          <w:caps w:val="false"/>
          <w:smallCaps w:val="false"/>
        </w:rPr>
        <w:t> </w:t>
      </w:r>
    </w:p>
    <w:p>
      <w:pPr>
        <w:pStyle w:val="TextBody"/>
        <w:bidi w:val="0"/>
        <w:jc w:val="both"/>
        <w:rPr/>
      </w:pPr>
      <w:r>
        <w:rPr/>
        <w:t>The Underwriters’ Warrants that were issued in the June 2023 Offering expire on June 20, 2028, have an exercise price of $2.50 per share, are immediately exercisable and contain a cashless exercise provision. The cashless exercise of the warrants is calculated pursuant to the formula set forth in the Underwriters’ Warrants. In addition, the Underwriters’ Warrants contain additional registration rights in the event of an ineffective registration statement prior to their full exercise.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Transfer Agent and Warrant Agent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shares of common stock and warrant agent for our Warrants is Equiniti Trust Company,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authorizes a total of 5,000,000 shares of preferred stock, par value $0.0001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our Charter,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Choice of Forum Provisions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in Article XI, includes a mandatory forum provision that, to the fullest extent permitted by law, and unless we consent in writing, the Second Judicial District Court, in and for the State of Nevada, located in Washoe County, shall be the sole and exclusive forum for (a) 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Charter or Bylaws, (d) any action to interpret, apply, enforce or determine the validity of the Charter or Bylaws or (e) any action asserting a claim governed by the internal affairs doctrine.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the Charter, the Bylaws and Nevada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are generally governed by the NRS. The following is a brief description of the provisions in our Charter, Bylaws and the NRS that could have an effect of delaying, deferring, or preventing a change in control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NRS, our Charter,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Combinations with Interested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are entitled to opt out of the business combination provisions of the NRS. In our Charter, we have not opted out of the business combination provisions of NRS 78.411 to 78.444, inclusive.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Controlling Interests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law also protects the corporation and its stockholders from persons acquiring a “controlling interest” in a corporation. The provisions can be found in NRS 78.378 to 78.3793, inclusive.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Action by Written Consent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The Charter precludes stockholder action by written consent.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Number of Directors; Vacancies; Removal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any director or directors of the corporation, except those elected by the holders of any series or class of preferred stock provided for or fixed pursuant to the provisions of Article V of the Charter,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Requirements for Stockholder Proposals and Director Nominations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Approval for Amendment of Certificate of Incorporation and Bylaws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further provides that the affirmative vote of holders of at least 66 2∕3% of the voting power of all of the then outstanding shares of stock entitled to vote in the election of directors, voting as a single class, is required to amend or repeal certain provisions of our Charter,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Global Market under the symbol “DFLI” and our Public Warrants are currently listed on the Nasdaq Capital Market under the symbol “DFLIW”.</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7" w:name="Na_006"/>
      <w:bookmarkEnd w:id="17"/>
      <w:r>
        <w:rPr>
          <w:rFonts w:ascii="Times New Roman;Times;Serif" w:hAnsi="Times New Roman;Times;Serif"/>
          <w:b/>
          <w:i w:val="false"/>
          <w:caps w:val="false"/>
          <w:smallCaps w:val="false"/>
          <w:sz w:val="20"/>
        </w:rPr>
        <w:t>SECURITY OWNERSHIP OF CERTAIN BENEFICIAL OWNERS AND MANAGEMENT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September 18, 2023, with respect to the beneficial ownership of common stock by the following: (i) each of our current directors; (ii) each of our named executive officers; (iii) all of our current executive officers and directors as a group; and (iv) each other person known by us to own beneficially more than five percent (5%) of the outstanding shares of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September 18, 2023 (“</w:t>
      </w:r>
      <w:r>
        <w:rPr>
          <w:rFonts w:ascii="Times New Roman;Times;Serif" w:hAnsi="Times New Roman;Times;Serif"/>
          <w:b/>
          <w:i w:val="false"/>
          <w:caps w:val="false"/>
          <w:smallCaps w:val="false"/>
          <w:sz w:val="20"/>
        </w:rPr>
        <w:t>Presently Exercisable Securities</w:t>
      </w:r>
      <w:r>
        <w:rPr>
          <w:rFonts w:ascii="Times New Roman;Times;Serif" w:hAnsi="Times New Roman;Times;Serif"/>
          <w:b w:val="false"/>
          <w:i w:val="false"/>
          <w:caps w:val="false"/>
          <w:smallCaps w:val="false"/>
          <w:sz w:val="20"/>
        </w:rPr>
        <w:t>”), if any, are deemed outstanding, but are not deemed outstanding for computing the percentage ownership of any other person. Except as indicated by footnote, the persons named in the table below have sole voting and investment power with respect to all shares of common stock shown as beneficially owned by them, subject to community property laws where applicable.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deemed any of the shares of common stock issuable pursuant to the ChEF Equity Facility to be outstanding because the issuance of such shares is solely at our discretion and is subject to certain conditions, the satisfaction of all of which are outside of CCM’s control.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reflects 58,880,812 shares common stock outstanding as of September 18, 2023 plus any shares issuable upon exercise of Presently Exercisable Securities held by such person or entity.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noted below, the address for persons listed in the table is c/o Dragonfly Energy Holdings Corp., 1190 Trademark Drive #108, Reno, Nevada 89521.</w:t>
      </w:r>
    </w:p>
    <w:p>
      <w:pPr>
        <w:pStyle w:val="TextBody"/>
        <w:bidi w:val="0"/>
        <w:jc w:val="both"/>
        <w:rPr>
          <w:caps w:val="false"/>
          <w:smallCaps w:val="false"/>
        </w:rPr>
      </w:pPr>
      <w:r>
        <w:rPr>
          <w:caps w:val="false"/>
          <w:smallCaps w:val="false"/>
        </w:rPr>
        <w:t> </w:t>
      </w:r>
    </w:p>
    <w:tbl>
      <w:tblPr>
        <w:tblW w:w="8418" w:type="dxa"/>
        <w:jc w:val="left"/>
        <w:tblInd w:w="0" w:type="dxa"/>
        <w:tblLayout w:type="fixed"/>
        <w:tblCellMar>
          <w:top w:w="0" w:type="dxa"/>
          <w:left w:w="0" w:type="dxa"/>
          <w:bottom w:w="28" w:type="dxa"/>
          <w:right w:w="0" w:type="dxa"/>
        </w:tblCellMar>
      </w:tblPr>
      <w:tblGrid>
        <w:gridCol w:w="5885"/>
        <w:gridCol w:w="60"/>
        <w:gridCol w:w="67"/>
        <w:gridCol w:w="1242"/>
        <w:gridCol w:w="60"/>
        <w:gridCol w:w="60"/>
        <w:gridCol w:w="78"/>
        <w:gridCol w:w="736"/>
        <w:gridCol w:w="230"/>
      </w:tblGrid>
      <w:tr>
        <w:trPr/>
        <w:tc>
          <w:tcPr>
            <w:tcW w:w="5885" w:type="dxa"/>
            <w:tcBorders>
              <w:bottom w:val="single" w:sz="12" w:space="0" w:color="000000"/>
            </w:tcBorders>
            <w:vAlign w:val="center"/>
          </w:tcPr>
          <w:p>
            <w:pPr>
              <w:pStyle w:val="TableContents"/>
              <w:bidi w:val="0"/>
              <w:spacing w:before="0" w:after="283"/>
              <w:jc w:val="both"/>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12" w:space="0" w:color="000000"/>
            </w:tcBorders>
            <w:vAlign w:val="center"/>
          </w:tcPr>
          <w:p>
            <w:pPr>
              <w:pStyle w:val="TableContents"/>
              <w:bidi w:val="0"/>
              <w:spacing w:before="0" w:after="283"/>
              <w:jc w:val="center"/>
              <w:rPr>
                <w:b/>
              </w:rPr>
            </w:pPr>
            <w:r>
              <w:rPr>
                <w:b/>
              </w:rPr>
              <w:t>Amount and</w:t>
              <w:br/>
              <w:t>Nature of</w:t>
              <w:br/>
              <w:t>Beneficial</w:t>
              <w:br/>
              <w:t>Ownership</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4" w:type="dxa"/>
            <w:gridSpan w:val="2"/>
            <w:tcBorders>
              <w:bottom w:val="single" w:sz="12" w:space="0" w:color="000000"/>
            </w:tcBorders>
            <w:vAlign w:val="center"/>
          </w:tcPr>
          <w:p>
            <w:pPr>
              <w:pStyle w:val="TableContents"/>
              <w:bidi w:val="0"/>
              <w:spacing w:before="0" w:after="283"/>
              <w:jc w:val="center"/>
              <w:rPr>
                <w:b/>
              </w:rPr>
            </w:pPr>
            <w:r>
              <w:rPr>
                <w:b/>
              </w:rPr>
              <w:t>Percent</w:t>
              <w:br/>
              <w:t>of Class</w:t>
            </w:r>
          </w:p>
        </w:tc>
        <w:tc>
          <w:tcPr>
            <w:tcW w:w="230" w:type="dxa"/>
            <w:tcBorders/>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b/>
                <w:i/>
              </w:rPr>
            </w:pPr>
            <w:r>
              <w:rPr>
                <w:b/>
                <w:i/>
              </w:rPr>
              <w:t>5%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Dynavolt Technology (HK)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11,820,900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20.08</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8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 Gong</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3,073,434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5.22</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8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b/>
                <w:i/>
              </w:rPr>
            </w:pPr>
            <w:r>
              <w:rPr>
                <w:b/>
                <w:i/>
              </w:rPr>
              <w:t>Named Executive Officers and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Denis Phares</w:t>
            </w:r>
            <w:r>
              <w:rPr>
                <w:rFonts w:ascii="Times New Roman;Times;Serif" w:hAnsi="Times New Roman;Times;Serif"/>
                <w:position w:val="7"/>
                <w:sz w:val="16"/>
                <w:sz w:val="20"/>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16,280,692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27.65</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8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Sean Nichols</w:t>
            </w:r>
            <w:r>
              <w:rPr>
                <w:rFonts w:ascii="Times New Roman;Times;Serif" w:hAnsi="Times New Roman;Times;Serif"/>
                <w:position w:val="7"/>
                <w:sz w:val="16"/>
                <w:sz w:val="20"/>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3,735,999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6.35</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8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Nicole Harvey</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193,008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John Marchetti</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214,201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Tyler Bourns </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65,410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Luisa Ingargiola</w:t>
            </w:r>
            <w:r>
              <w:rPr>
                <w:rFonts w:ascii="Times New Roman;Times;Serif" w:hAnsi="Times New Roman;Times;Serif"/>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101,788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Brian Nelson</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66,462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pPr>
            <w:r>
              <w:rPr/>
              <w:t>Perry Boyle</w:t>
            </w:r>
            <w:r>
              <w:rPr>
                <w:position w:val="8"/>
                <w:sz w:val="19"/>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52,000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shd w:fill="FFFFFF" w:val="clear"/>
            <w:tcMar>
              <w:bottom w:w="0" w:type="dxa"/>
            </w:tcMar>
            <w:vAlign w:val="center"/>
          </w:tcPr>
          <w:p>
            <w:pPr>
              <w:pStyle w:val="TableContents"/>
              <w:bidi w:val="0"/>
              <w:spacing w:before="0" w:after="283"/>
              <w:jc w:val="both"/>
              <w:rPr/>
            </w:pPr>
            <w:r>
              <w:rPr/>
              <w:t>Jonathan Bellows</w:t>
            </w:r>
            <w:r>
              <w:rPr>
                <w:position w:val="8"/>
                <w:sz w:val="19"/>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pPr>
            <w:r>
              <w:rPr/>
              <w:t>Rick Parod</w:t>
            </w:r>
            <w:r>
              <w:rPr>
                <w:position w:val="8"/>
                <w:sz w:val="19"/>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shd w:fill="FFFFFF" w:val="clear"/>
            <w:tcMar>
              <w:bottom w:w="0" w:type="dxa"/>
            </w:tcMar>
            <w:vAlign w:val="center"/>
          </w:tcPr>
          <w:p>
            <w:pPr>
              <w:pStyle w:val="TableContents"/>
              <w:bidi w:val="0"/>
              <w:spacing w:before="0" w:after="283"/>
              <w:jc w:val="both"/>
              <w:rPr/>
            </w:pPr>
            <w:r>
              <w:rPr/>
              <w:t>Karina Montilla Edmonds</w:t>
            </w:r>
            <w:r>
              <w:rPr>
                <w:position w:val="8"/>
                <w:sz w:val="19"/>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30,300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85" w:type="dxa"/>
            <w:tcBorders/>
            <w:shd w:fill="CCEEFF" w:val="clear"/>
            <w:tcMar>
              <w:bottom w:w="0" w:type="dxa"/>
            </w:tcMar>
            <w:vAlign w:val="center"/>
          </w:tcPr>
          <w:p>
            <w:pPr>
              <w:pStyle w:val="TableContents"/>
              <w:bidi w:val="0"/>
              <w:spacing w:before="0" w:after="283"/>
              <w:jc w:val="both"/>
              <w:rPr>
                <w:b/>
                <w:i/>
              </w:rPr>
            </w:pPr>
            <w:r>
              <w:rPr>
                <w:b/>
                <w:i/>
              </w:rPr>
              <w:t>All Executive Officers and Directors as a group (8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16,656,652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28.47</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one percent.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Dynavolt Technology (HK) Ltd. (“</w:t>
            </w:r>
            <w:r>
              <w:rPr>
                <w:rFonts w:ascii="Times New Roman;Times;Serif" w:hAnsi="Times New Roman;Times;Serif"/>
                <w:b/>
                <w:i w:val="false"/>
                <w:caps w:val="false"/>
                <w:smallCaps w:val="false"/>
                <w:sz w:val="20"/>
              </w:rPr>
              <w:t>Dynavolt</w:t>
            </w:r>
            <w:r>
              <w:rPr>
                <w:rFonts w:ascii="Times New Roman;Times;Serif" w:hAnsi="Times New Roman;Times;Serif"/>
                <w:b w:val="false"/>
                <w:i w:val="false"/>
                <w:caps w:val="false"/>
                <w:smallCaps w:val="false"/>
                <w:sz w:val="20"/>
              </w:rPr>
              <w:t>”) on October 12, 2022. The business address of Dynavolt is Flat/Room 02-03 26/F, Bea Tower Millennium City 5, 418 Kwun Tong Road, Kwun Tong, Hong Kong.</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Li Gong on October 12, 2022. Includes (i) 147,138 shares of common stock held on behalf of the SAKURA GRAT, dated February 11, 2021, of which Mr. Gong is a trustee, (ii) 2,217,042 shares of common stock on behalf of the LML Family Trust, dated January 14, 2019, of which Mr. Gong is a trustee and (iii) 709,254 shares of common stock issuable upon the exercise of outstanding stock options exercisable within 60 days of September 18, 2023. The business address of Mr. Gong is 930 Tahoe Blvd. Suite 802, PMB 860, Incline Village, Nevada 89451.</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40,000,000 shares of common stock not yet payable as the earnout contingencies have not yet been met and will not be met within 60 days of September 18,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1,217,906 shares held on behalf of the Phares 2021 GRAT dated July 9, 2021, of which Dr. Phares is the trustee, and (ii) 177,316 shares of common stock issuable upon the exercise of outstanding stock options exercisable within 60 days of September 18,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Sean Nichols, our former Chief Operating Officer, on October 12, 2022 and information available to us. Includes 54,393 shares of common stock held on behalf of the Nichols GRAT I dated June 14, 2021, and 3,383,142 shares of common stock held on behalf of the Nichols Living Trust 2015, each of which Mr. Nichols is the trustee. On November 7, 2022, Mr. Nichols resigned from his position as our Chief Operating Officer. Also includes 177,316 shares of common stock issuable upon the exercise of outstanding stock options exercisable within 60 days of September 18,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Ms. Harvey’s employment with us ended. Pursuant to her employment agreement with us, she had until July 26, 2023 to exercise all her options. Her outstanding options were not exercised and as a result were forfeited.</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128,068 shares of common stock issuable upon the exercise of outstanding stock options exercisable within 60 days of September 18, 2023. On August 20, 2023, Mr. Marchetti resigned as Chief Financial Officer and is continuing with us as Senior Vice President, Operations.</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26,851 shares of common stock issuable upon the exercise of outstanding stock options exercisable within 60 days of September 18,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101,788 shares of common stock issuable upon the exercise of outstanding stock options exercisable within 60 days of September 18, 2023 and 30,000 RSUs that vest within 60 days of September 18,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66,462 shares of common stock issuable upon the exercise of outstanding stock options exercisable within 60 days of September 18, 2023 and 30,000 RSUs that vest within 60 days of September 18, 2023.</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30,000 shares of common stock issuable pursuant to RSUs that vest within 60 days of September 18, 2023.</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8" w:name="Na_007"/>
      <w:bookmarkEnd w:id="18"/>
      <w:r>
        <w:rPr>
          <w:rFonts w:ascii="Times New Roman;Times;Serif" w:hAnsi="Times New Roman;Times;Serif"/>
          <w:b/>
          <w:i w:val="false"/>
          <w:caps w:val="false"/>
          <w:smallCaps w:val="false"/>
          <w:sz w:val="20"/>
        </w:rPr>
        <w:t>SELLING STOCKHOLDER</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possible resale by the selling stockholder, CCM, of shares of common stock that may be issued to CCM pursuant to the Purchase Agreement. We are filing the registration statement of which this prospectus forms a part pursuant to the provisions of the ChEF RRA, which we entered into with CCM on October 7, 2022, concurrently with our execution of the Purchase Agreement, in which we agreed to provide certain registration rights with respect to sales by CCM of the shares that may be issued to CCM under the Purchase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as the selling stockholder, may from time to time offer and sell pursuant to this prospectus any or all of the shares that we may sell to CCM under the Purchase Agreement. The selling stockholder may sell some, all, or none of its shares. We do not know how long the selling stockholder will hold the shares before selling them, and we currently have no agreements, arrangements, or understandings with the selling stockholder regarding the sale of any of the shares by CCM.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as of the date of this prospectus, information regarding the selling stockholder and the shares that it may offer and sell from time to time under this prospectus. The percentage of ownership in the table below is based on 58,880,812 shares of common stock outstanding as of September 18, 2023. The table is prepared based on information supplied to us by the selling stockholder, and reflects its holdings as of September 18, 2023. Beneficial ownership is determined in accordance with Section 13(d) of the Exchange Act and Rule 13d-3 thereunder.</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70"/>
        <w:gridCol w:w="60"/>
        <w:gridCol w:w="110"/>
        <w:gridCol w:w="1265"/>
        <w:gridCol w:w="261"/>
        <w:gridCol w:w="60"/>
        <w:gridCol w:w="566"/>
        <w:gridCol w:w="1180"/>
        <w:gridCol w:w="60"/>
        <w:gridCol w:w="60"/>
        <w:gridCol w:w="116"/>
        <w:gridCol w:w="1850"/>
        <w:gridCol w:w="261"/>
        <w:gridCol w:w="60"/>
        <w:gridCol w:w="566"/>
        <w:gridCol w:w="1180"/>
        <w:gridCol w:w="80"/>
      </w:tblGrid>
      <w:tr>
        <w:trPr/>
        <w:tc>
          <w:tcPr>
            <w:tcW w:w="2470" w:type="dxa"/>
            <w:tcBorders>
              <w:bottom w:val="single" w:sz="12" w:space="0" w:color="000000"/>
            </w:tcBorders>
            <w:vAlign w:val="center"/>
          </w:tcPr>
          <w:p>
            <w:pPr>
              <w:pStyle w:val="TableContents"/>
              <w:bidi w:val="0"/>
              <w:spacing w:before="0" w:after="283"/>
              <w:jc w:val="left"/>
              <w:rPr>
                <w:b/>
              </w:rPr>
            </w:pPr>
            <w:r>
              <w:rPr>
                <w:b/>
              </w:rPr>
              <w:t>Selling Stockholder</w:t>
            </w:r>
          </w:p>
        </w:tc>
        <w:tc>
          <w:tcPr>
            <w:tcW w:w="60" w:type="dxa"/>
            <w:tcBorders/>
            <w:tcMar>
              <w:bottom w:w="0" w:type="dxa"/>
            </w:tcMar>
            <w:vAlign w:val="center"/>
          </w:tcPr>
          <w:p>
            <w:pPr>
              <w:pStyle w:val="TableContents"/>
              <w:bidi w:val="0"/>
              <w:spacing w:before="0" w:after="283"/>
              <w:jc w:val="left"/>
              <w:rPr/>
            </w:pPr>
            <w:r>
              <w:rPr/>
              <w:t> </w:t>
            </w:r>
          </w:p>
        </w:tc>
        <w:tc>
          <w:tcPr>
            <w:tcW w:w="1375" w:type="dxa"/>
            <w:gridSpan w:val="2"/>
            <w:tcBorders>
              <w:bottom w:val="single" w:sz="12" w:space="0" w:color="000000"/>
            </w:tcBorders>
            <w:vAlign w:val="center"/>
          </w:tcPr>
          <w:p>
            <w:pPr>
              <w:pStyle w:val="TableContents"/>
              <w:bidi w:val="0"/>
              <w:spacing w:before="0" w:after="283"/>
              <w:jc w:val="center"/>
              <w:rPr>
                <w:b/>
              </w:rPr>
            </w:pPr>
            <w:r>
              <w:rPr>
                <w:b/>
              </w:rPr>
              <w:t>Shares</w:t>
              <w:br/>
              <w:t>Beneficially</w:t>
              <w:br/>
              <w:t>Owned Before</w:t>
              <w:br/>
              <w:t>this Offering</w:t>
            </w:r>
          </w:p>
        </w:tc>
        <w:tc>
          <w:tcPr>
            <w:tcW w:w="2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6" w:type="dxa"/>
            <w:gridSpan w:val="2"/>
            <w:tcBorders>
              <w:bottom w:val="single" w:sz="12" w:space="0" w:color="000000"/>
            </w:tcBorders>
            <w:vAlign w:val="center"/>
          </w:tcPr>
          <w:p>
            <w:pPr>
              <w:pStyle w:val="TableContents"/>
              <w:bidi w:val="0"/>
              <w:spacing w:before="0" w:after="283"/>
              <w:jc w:val="center"/>
              <w:rPr>
                <w:b/>
              </w:rPr>
            </w:pPr>
            <w:r>
              <w:rPr>
                <w:b/>
              </w:rPr>
              <w:t>Percentage of</w:t>
              <w:br/>
              <w:t>Outstanding Shares</w:t>
              <w:br/>
              <w:t>Beneficially Owned</w:t>
              <w:br/>
              <w:t>Before this 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66" w:type="dxa"/>
            <w:gridSpan w:val="2"/>
            <w:tcBorders>
              <w:bottom w:val="single" w:sz="12" w:space="0" w:color="000000"/>
            </w:tcBorders>
            <w:vAlign w:val="center"/>
          </w:tcPr>
          <w:p>
            <w:pPr>
              <w:pStyle w:val="TableContents"/>
              <w:bidi w:val="0"/>
              <w:spacing w:before="0" w:after="283"/>
              <w:jc w:val="center"/>
              <w:rPr>
                <w:b/>
              </w:rPr>
            </w:pPr>
            <w:r>
              <w:rPr>
                <w:b/>
              </w:rPr>
              <w:t>Shares to be</w:t>
              <w:br/>
              <w:t>Sold in this Offering</w:t>
              <w:br/>
              <w:t>Assuming the Company</w:t>
              <w:br/>
              <w:t>issues the Maximum</w:t>
              <w:br/>
              <w:t>Number of Shares</w:t>
              <w:br/>
              <w:t>Under the Purchase</w:t>
              <w:br/>
              <w:t>Agreement</w:t>
            </w:r>
          </w:p>
        </w:tc>
        <w:tc>
          <w:tcPr>
            <w:tcW w:w="2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6" w:type="dxa"/>
            <w:gridSpan w:val="2"/>
            <w:tcBorders>
              <w:bottom w:val="single" w:sz="12" w:space="0" w:color="000000"/>
            </w:tcBorders>
            <w:vAlign w:val="center"/>
          </w:tcPr>
          <w:p>
            <w:pPr>
              <w:pStyle w:val="TableContents"/>
              <w:bidi w:val="0"/>
              <w:spacing w:before="0" w:after="283"/>
              <w:jc w:val="center"/>
              <w:rPr>
                <w:b/>
              </w:rPr>
            </w:pPr>
            <w:r>
              <w:rPr>
                <w:b/>
              </w:rPr>
              <w:t>Percentage of</w:t>
              <w:br/>
              <w:t>Outstanding Shares</w:t>
              <w:br/>
              <w:t>Beneficially Owned</w:t>
              <w:br/>
              <w:t>After this Offering</w:t>
            </w:r>
          </w:p>
        </w:tc>
        <w:tc>
          <w:tcPr>
            <w:tcW w:w="80" w:type="dxa"/>
            <w:tcBorders/>
            <w:tcMar>
              <w:bottom w:w="0" w:type="dxa"/>
            </w:tcMar>
            <w:vAlign w:val="center"/>
          </w:tcPr>
          <w:p>
            <w:pPr>
              <w:pStyle w:val="TableContents"/>
              <w:bidi w:val="0"/>
              <w:spacing w:before="0" w:after="283"/>
              <w:jc w:val="left"/>
              <w:rPr/>
            </w:pPr>
            <w:r>
              <w:rPr/>
              <w:t> </w:t>
            </w:r>
          </w:p>
        </w:tc>
      </w:tr>
      <w:tr>
        <w:trPr/>
        <w:tc>
          <w:tcPr>
            <w:tcW w:w="2470" w:type="dxa"/>
            <w:tcBorders/>
            <w:shd w:fill="CCEEFF" w:val="clear"/>
            <w:tcMar>
              <w:bottom w:w="0" w:type="dxa"/>
            </w:tcMar>
            <w:vAlign w:val="center"/>
          </w:tcPr>
          <w:p>
            <w:pPr>
              <w:pStyle w:val="TableContents"/>
              <w:bidi w:val="0"/>
              <w:spacing w:before="0" w:after="283"/>
              <w:jc w:val="left"/>
              <w:rPr/>
            </w:pPr>
            <w:r>
              <w:rPr/>
              <w:t>Chardan Capital Markets LLC(1)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15,000</w:t>
            </w:r>
          </w:p>
        </w:tc>
        <w:tc>
          <w:tcPr>
            <w:tcW w:w="261"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6"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21,512,027</w:t>
            </w:r>
          </w:p>
        </w:tc>
        <w:tc>
          <w:tcPr>
            <w:tcW w:w="261"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6"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less than 1% of the outstanding shares and/or assumes all shares registered hereunder have been resold by CCM.</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of CCM is 17 State Street, Suite 2130, New York, NY 10004. 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15,000 shares issued pursuant to the Subscription Agreement, for which shares Mr. Urbach has all investment and voting power. In accordance with Rule 13d-3(d) under the Exchange Act, we have excluded from the number of shares beneficially owned prior to the offering all of the shares that CCM may be required to purchase upon the terms and subject to the conditions and limitations of the Purchase Agreement, because the issuance of such shares of common stock is solely at our discretion and is subject to conditions and limitations contained in the Purchase Agreement, the satisfaction of which are entirely outside of CCM’s control, including the registration statement that includes this prospectus becoming and remaining effective. Furthermore, the Purchase Agreement prohibits us from issuing and selling any shares of common stock to CCM to the extent such shares of common stock, when aggregated with all other common stock then beneficially owned by CCM and its affiliates, would cause CCM and its affiliates’ beneficial ownership of our common stock to exceed 9.9% of the outstanding voting power or shares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the sale of all shares being offered pursuant to this prospectus. The actual number of shares of common stock issuable will vary depending on the then current market price of shares of common stock sold to CCM under the ChEF Equity Facility.</w:t>
            </w:r>
          </w:p>
        </w:tc>
      </w:tr>
    </w:tbl>
    <w:p>
      <w:pPr>
        <w:pStyle w:val="TextBody"/>
        <w:bidi w:val="0"/>
        <w:ind w:left="0" w:right="0" w:hanging="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9" w:name="Na_008"/>
      <w:bookmarkEnd w:id="19"/>
      <w:r>
        <w:rPr>
          <w:rFonts w:ascii="Times New Roman;Times;Serif" w:hAnsi="Times New Roman;Times;Serif"/>
          <w:b/>
          <w:i w:val="false"/>
          <w:caps w:val="false"/>
          <w:smallCaps w:val="false"/>
          <w:sz w:val="20"/>
        </w:rPr>
        <w:t>U.S. FEDERAL INCOME TAX CONSIDERATIONS FOR NON-U.S. HOLDERS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consequences to Non-U.S. Holders (as defined below) of the acquisition, ownership and disposition of shares of common stock. This discussion is limited to certain U.S. federal income tax considerations to beneficial owners of the common stock who purchase common stock from the selling securityholders pursuant to this offering and hold the common stock as a capital asset within the meaning of Section 1221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upon U.S. federal income tax laws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institutions or financial services entities;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agencies or instrumentalities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expatriates or former long-term residents of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five percent or more (by vote or value) of our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subject to the “applicable financial statement” accounting rules under Section 451(b) of the Code;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acquired our common stock pursuant to an exercise of employee share options, in connection with employee share incentive plans or otherwise as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or traders subject to a mark-to-market method of accounting with respect to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our common stock as part of a “straddle,” constructive sale, hedge, conversion or other integrated or similar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entities or arrangements classified as partnerships or other pass-through entities for U.S. federal income tax purposes) and any beneficial owners of such partnerships;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foreign investment companies.</w:t>
            </w:r>
          </w:p>
        </w:tc>
      </w:tr>
    </w:tbl>
    <w:p>
      <w:pPr>
        <w:pStyle w:val="TextBody"/>
        <w:bidi w:val="0"/>
        <w:ind w:left="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do not expect to seek, a ruling from the U.S. Internal Revenue Service (the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ONLY A SUMMARY OF CERTAIN U.S. FEDERAL INCOME TAX CONSIDERATIONS FOR NON-U.S. HOLDERS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term “Non-U.S. Holder” means a beneficial owner of our common stock who or that is for U.S. federal income tax purposes: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non-resident alien individual (other than certain former citizens and residents of the United States subject to U.S. tax as expatriates);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foreign corporation;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or trust that is not a U.S. Holder;</w:t>
            </w:r>
          </w:p>
        </w:tc>
      </w:tr>
    </w:tbl>
    <w:p>
      <w:pPr>
        <w:pStyle w:val="TextBody"/>
        <w:bidi w:val="0"/>
        <w:ind w:left="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generally does not include an individual who is present in the United States for 183 days or more in the taxable year of the disposition of our common stock. If you are such an individual, you should consult your tax advisor regarding the U.S. federal income tax consequences of the acquisition, ownership or sale or other disposition of our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Distributions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Our Common Stock” below. In addition, if we determine that we are likely to be classified as a “United States real property holding corporation” (see “</w:t>
      </w:r>
      <w:r>
        <w:rPr>
          <w:rFonts w:ascii="Times New Roman;Times;Serif" w:hAnsi="Times New Roman;Times;Serif"/>
          <w:b w:val="false"/>
          <w:i/>
          <w:caps w:val="false"/>
          <w:smallCaps w:val="false"/>
          <w:sz w:val="20"/>
        </w:rPr>
        <w:t>Non-U.S. Holders — Gain on Sale, Taxable Exchange or Other Taxable Disposition of Our Common Stock</w:t>
      </w:r>
      <w:r>
        <w:rPr>
          <w:rFonts w:ascii="Times New Roman;Times;Serif" w:hAnsi="Times New Roman;Times;Serif"/>
          <w:b w:val="false"/>
          <w:i w:val="false"/>
          <w:caps w:val="false"/>
          <w:smallCaps w:val="false"/>
          <w:sz w:val="20"/>
        </w:rPr>
        <w:t>” below), we generally will withhold 15% of any distribution that exceeds our current and accumulated earnings and profits.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Sale, Taxable Exchange or Other Taxable Disposition of Our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generally will not be subject to U.S. federal income or withholding tax in respect of gain recognized on a sale, taxable exchange or other taxable disposition of our common stock unless: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tc>
      </w:tr>
    </w:tbl>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tc>
      </w:tr>
    </w:tbl>
    <w:p>
      <w:pPr>
        <w:pStyle w:val="TextBody"/>
        <w:bidi w:val="0"/>
        <w:ind w:left="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second bullet point above applies to a Non-U.S. Holder, gain recognized by such holder on the sale, exchange or other disposition of our common stock will be subject to tax at generally applicable U.S. federal income tax rates. In addition, a buyer of our common stock from such holder may be required to withhold U.S. federal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expect to be a United States real property holding corporation immediately after the Business Combination is completed.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Foreign Account Tax Compliance Act (FATCA)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Withholding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commonly referred to as “FATCA” impose withholding of 30% on payments of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common stock.</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0" w:name="Na_009"/>
      <w:bookmarkEnd w:id="20"/>
      <w:r>
        <w:rPr>
          <w:rFonts w:ascii="Times New Roman;Times;Serif" w:hAnsi="Times New Roman;Times;Serif"/>
          <w:b/>
          <w:i w:val="false"/>
          <w:caps w:val="false"/>
          <w:smallCaps w:val="false"/>
          <w:sz w:val="20"/>
        </w:rPr>
        <w:t>CHEF EQUITY FACILITY</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we entered into the Purchase Agreement with CCM, pursuant to which CCM has agreed to purchase from us up to an aggregate of $150 million of our common stock (subject to certain limitations) from time to time over the term of the Purchase Agreement. We also entered into the ChEF RRA, dated as of October 7, 2022, pursuant to which we have filed with the SEC the registration statement that includes this prospectus to register for resale under the Securities Act the shares of common stock that may be issued and sold to CCM under the Purchase Agreement. As of September 18, 2023, we have sold 98,500 shares under the ChEF Equity Facility for aggregate net proceeds to us of $670,593.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conditions set forth in the Purchase Agreement, we have the right, but not the obligation, from time to time at our sole discretion, during the term of the Purchase Agreement, to direct CCM to purchase up to a specified maximum amount of shares of common stock as set forth in the Purchase Agreement by delivering written notice to CCM on any trading day, so long as all shares of common stock subject to all prior purchases by CCM under the Purchase Agreement have theretofore been received by CCM electronically as set forth in the Purchase Agreement. The purchase price of the shares of common stock that we elect to sell to CCM pursuant to the Purchase Agreement will be determined by reference to the VWAP of the common stock during the applicable purchase date on which we have timely delivered written notice to CCM directing it to purchase shares of common stock under the Purchase Agreement, less a fixed 3.5% discount to such VWAP. As consideration for its commitment to purchase shares of our common stock under the Purchase Agreement, we have agreed to pay a commitment fee of $1 million to CCM (the “</w:t>
      </w:r>
      <w:r>
        <w:rPr>
          <w:rFonts w:ascii="Times New Roman;Times;Serif" w:hAnsi="Times New Roman;Times;Serif"/>
          <w:b/>
          <w:i w:val="false"/>
          <w:caps w:val="false"/>
          <w:smallCaps w:val="false"/>
          <w:sz w:val="20"/>
        </w:rPr>
        <w:t>Commitment Fee</w:t>
      </w:r>
      <w:r>
        <w:rPr>
          <w:rFonts w:ascii="Times New Roman;Times;Serif" w:hAnsi="Times New Roman;Times;Serif"/>
          <w:b w:val="false"/>
          <w:i w:val="false"/>
          <w:caps w:val="false"/>
          <w:smallCaps w:val="false"/>
          <w:sz w:val="20"/>
        </w:rPr>
        <w:t>”), payable by way of an additional 3.0% discount to such VWAP until the Commitment Fee has been paid in full.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may be terminated by us at any time at our sole discretion, without any cost or penalty, but subject to the full payment of the Commitment Fee, payable by us to CCM pursuant to the conditions set forth in the Purchase Agreement, by giving five trading days written notice to CCM to terminate the Purchase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sales of shares of common stock to CCM under the Purchase Agreement will depend on a variety of factors to be determined by us from time to time, including (among others) market conditions, the trading price of our common stock and determinations by us as to available and appropriate sources of funding for our operations. Under the Purchase Agreement, CCM is not obligated to (but may, at its option, choose to) purchase an amount of shares of common stock to the extent such amount purchased exceeds the amount of shares of common stock equal to the least of: (a) a number of shares that would result in beneficial ownership (as calculated pursuant to Section 13(d) of the Exchange Act and Rule 13d-3 promulgated thereunder) by CCM, together with its affiliates, of more than 9.9% of the outstanding voting power or shares of common stock, (b) a number of shares that would cause the aggregate purchase price on the applicable Purchase Date (as defined in the Purchase Agreement) for such purchase to exceed $3 million or (c) a number of shares that would equal 20% of the total number of shares of common stock that would count towards the VWAP on the applicable Purchase Date of such purchase.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closing of the Business Combination on October 7, 2022, there were 44,848,686 shares of our common stock outstanding. Although the Purchase Agreement provides that we may sell up to an aggregate of $150 million of our common stock to CCM, only 21,512,027 shares of our common stock are being offered under this prospectus to CCM. Depending on the market prices of our common stock at the time we elect to issue and sell shares to CCM under the Purchase Agreement, we may need to file with the SEC one or more additional registration statements to register the resale under the Securities Act by CCM of additional shares of common stock we wish to sell from time to time under the Purchase Agreement, which the SEC must declare effective. If all of the 21,512,027 shares offered by CCM under this prospectus were issued and outstanding as of the date hereof, such shares would represent approximately 81% of the total number of shares of our common stock outstanding as of September 18, 2023. If we elect to issue and sell more than the 21,512,027 shares offered under this prospectus to CCM, which we may have the right, but not the obligation, to do, we must first register for resale under the Securities Act any such additional shares, which could cause additional substantial dilution to our stockholders. The number of shares ultimately offered for resale by CCM is dependent upon the number of shares we sell to CCM under the Purchase Agreement.</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our common stock in this offering will not affect the rights or privileges of our existing stockholders, except that the economic and voting interests of each of our existing stockholders will be diluted as a result of any such issuance. Although the number of shares of common stock that our existing stockholders own will not decrease, the shares owned by our existing stockholders will represent a smaller percentage of our total outstanding shares after any such issuance to CCM.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for a period of thirty months from the closing date of the Business Combination, that CCM shall have a right of first refusal to act as a book-running manager or placement manager for public and private offerings and as an exclusive sales agent in any “at-the-market-offering” as defined in Rule 415(a)(4) under the Securities Act. If CCM provides any such additional services, we will enter into separate agreements with CCM in connection with such additional services, containing customary terms and conditions based on the prevailing market for similar services for global, full-service investment banks. We may terminate CCM’s engagement under the Purchase Agreement for cause in the event CCM materially fails to provide the services contemplated hereunder, in which case, our obligations with respect to this right of first refusal will be eliminated.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limitations described above, and subject to the conditions precedent in the Purchase Agreement, we will control the timing and amount of any sales of our common stock to CCM.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covenants, closing conditions and indemnification provisions by, among and for the benefit of the parties. There are no limitations on the use of proceeds, financial covenants, participation rights, penalties or liquidated damages in the Purchase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sole discretion to terminate the Purchase Agreement, CCM may terminate effective upon ten (10) Trading Days’ prior written notice to us, upon the occurrence of certain events, including: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condition, occurrence, state of facts or event constituting a Material Adverse Effect (as defined in the Purchase Agreement) has occurred and is continuing;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fundamental transactions shall have occurred;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breach or default in any material respect of any of its covenants and agreements in the ChEF RRA, and, if such breach or default is capable of being cured, such breach or default is not cured within fifteen (15) Trading Days after notice of such breach or default is delivered to us.</w:t>
            </w:r>
          </w:p>
        </w:tc>
      </w:tr>
    </w:tbl>
    <w:p>
      <w:pPr>
        <w:pStyle w:val="TextBody"/>
        <w:bidi w:val="0"/>
        <w:ind w:left="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the Purchase Agreement will remain in effect until the earliest to occur of (i) the 36-month anniversary of the effective date of this Registration Statement, (ii) the date on which CCM has purchased the total commitment pursuant to the Purchase Agreement, (iii) the date on which our common stock fails to be listed or quoted on Nasdaq or any successor market, and (iv) the date on which, pursuant to or within the meaning of any bankruptcy law, we commence a voluntary case or any Person commences a proceeding against us, a custodian is appointed for us or for all or substantially all of our property, or we make a general assignment for the benefit of our creditors.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Short Selling or Hedging by CCM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has agreed that neither it nor any entity managed or controlled by CCM (the “</w:t>
      </w:r>
      <w:r>
        <w:rPr>
          <w:rFonts w:ascii="Times New Roman;Times;Serif" w:hAnsi="Times New Roman;Times;Serif"/>
          <w:b/>
          <w:i w:val="false"/>
          <w:caps w:val="false"/>
          <w:smallCaps w:val="false"/>
          <w:sz w:val="20"/>
        </w:rPr>
        <w:t>Restricted Persons</w:t>
      </w:r>
      <w:r>
        <w:rPr>
          <w:rFonts w:ascii="Times New Roman;Times;Serif" w:hAnsi="Times New Roman;Times;Serif"/>
          <w:b w:val="false"/>
          <w:i w:val="false"/>
          <w:caps w:val="false"/>
          <w:smallCaps w:val="false"/>
          <w:sz w:val="20"/>
        </w:rPr>
        <w:t>”) shall directly or indirectly, engage in any short sales or hedging of our common stock during any time prior to the termination of the Purchase Agreement, which establishes a new short position with respect to our common stock, taking into account the holdings of all Restricted Persons.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Prohibitions on Certain Specified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our right to terminate as described above and for such time the Purchase Agreement is in effect, we shall not effect or enter into an agreement to effect any issuance by us or any of our subsidiaries of common stock or common stock equivalents (or a combination of units thereof) involving certain specified transactions. Such restrictions do not include follow-on offerings or follow-on public offerings, in each case where we issue or sell any securities with a fixed price. Furthermore, we may enter into certain exempt issuances under the Purchase Agreement.</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Performance of the Purchase Agreement on Our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21,512,027 shares registered in this offering which have been or may be issued or sold by us to CCM under the Purchase Agreement are expected to be freely tradable. It is anticipated that shares registered in this offering will be sold over the term of the Purchase Agreement. The sale by CCM of a significant amount of shares registered in this offering at any given time could cause the market price of our common stock to decline and to be highly volatile. Sales of our common stock to CCM, if any, will depend upon market conditions and other factors to be determined by us. We may ultimately decide to sell to CCM all, some or none of the additional shares of our common stock that may be available for us to sell pursuant to the Purchase Agreement. As of September 18, 2023, 98,500 shares have been issued under the ChEF Equity Facility for aggregate net proceeds to us of $670,593.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we do sell shares to CCM, after CCM has acquired the shares, CCM may resell all, some or none of those shares at any time or from time to time in its discretion. Therefore, sales to CCM by us under the Purchase Agreement may result in substantial dilution to the interests of other holders of our common stock. In addition, if we sell a substantial number of shares to CCM under the Purchase Agreement, or if investors expect that we will do so, the actual sales of shares or the mere existence of our arrangement with CCM may make it more difficult for us to sell equity or equity-related securities in the future at a time and at a price that we might otherwise wish to effect such sales. However, we have the right to control the timing and amount of any additional sales of our shares to CCM and the Purchase Agreement may be terminated by us at any time at our discretion without any cost to us, subject to the full payment of the Commitment Fee.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amount of gross proceeds we would receive from CCM from our sale of shares to CCM under the Purchase Agreement at varying purchase prices:</w:t>
      </w:r>
    </w:p>
    <w:p>
      <w:pPr>
        <w:pStyle w:val="TextBody"/>
        <w:bidi w:val="0"/>
        <w:jc w:val="center"/>
        <w:rPr>
          <w:caps w:val="false"/>
          <w:smallCaps w:val="false"/>
        </w:rPr>
      </w:pPr>
      <w:r>
        <w:rPr>
          <w:caps w:val="false"/>
          <w:smallCaps w:val="false"/>
        </w:rPr>
        <w:t> </w:t>
      </w:r>
    </w:p>
    <w:tbl>
      <w:tblPr>
        <w:tblW w:w="9506" w:type="dxa"/>
        <w:jc w:val="left"/>
        <w:tblInd w:w="0" w:type="dxa"/>
        <w:tblLayout w:type="fixed"/>
        <w:tblCellMar>
          <w:top w:w="0" w:type="dxa"/>
          <w:left w:w="0" w:type="dxa"/>
          <w:bottom w:w="28" w:type="dxa"/>
          <w:right w:w="0" w:type="dxa"/>
        </w:tblCellMar>
      </w:tblPr>
      <w:tblGrid>
        <w:gridCol w:w="559"/>
        <w:gridCol w:w="3195"/>
        <w:gridCol w:w="245"/>
        <w:gridCol w:w="60"/>
        <w:gridCol w:w="85"/>
        <w:gridCol w:w="1494"/>
        <w:gridCol w:w="60"/>
        <w:gridCol w:w="60"/>
        <w:gridCol w:w="232"/>
        <w:gridCol w:w="1482"/>
        <w:gridCol w:w="185"/>
        <w:gridCol w:w="60"/>
        <w:gridCol w:w="149"/>
        <w:gridCol w:w="1565"/>
        <w:gridCol w:w="75"/>
      </w:tblGrid>
      <w:tr>
        <w:trPr/>
        <w:tc>
          <w:tcPr>
            <w:tcW w:w="375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Assumed Average Purchase Price Per Share</w:t>
            </w:r>
          </w:p>
        </w:tc>
        <w:tc>
          <w:tcPr>
            <w:tcW w:w="2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Number of </w:t>
              <w:br/>
              <w:t xml:space="preserve">Registered Shares </w:t>
              <w:br/>
              <w:t xml:space="preserve">to be Issued if </w:t>
              <w:br/>
              <w:t>Full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Purchase(1)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of </w:t>
              <w:br/>
              <w:t xml:space="preserve">Outstanding Shares </w:t>
              <w:br/>
              <w:t xml:space="preserve">After Giving </w:t>
              <w:br/>
              <w:t xml:space="preserve">Effect to the </w:t>
              <w:br/>
              <w:t>Issuance to CCM(2)</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Proceeds from </w:t>
              <w:br/>
              <w:t xml:space="preserve">the Sale of </w:t>
              <w:br/>
              <w:t xml:space="preserve">Shares to CCM </w:t>
              <w:br/>
              <w:t>Under the Purchase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Agreement(1)</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5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9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1.50</w:t>
            </w:r>
          </w:p>
        </w:tc>
        <w:tc>
          <w:tcPr>
            <w:tcW w:w="2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133,023,941.18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5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2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141,847,470.59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5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2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88,235,294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5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84,745,762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5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2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83,333,333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5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2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78,947,368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18, 2023, we have issued 98,500 shares under the ChEF Equity Facility for gross proceeds of $671,000. Although the Purchase Agreement provides that we may sell up to $150 million of our common stock to CCM, we are only registering 21,512,027 shares under this prospectus and may need to file additional registration statements to register additional shares if we determine to sell more than the 21,512,027 shares registered for resale pursuant to this Registration Statement. The actual number of shares of common stock issuable will vary depending on the then current market price of shares of common stock sold to CCM under the ChEF Equity Facility. Accordingly, depending on the assumed average price per share, we may or may not be able to ultimately sell to CCM a number of shares of our common stock with a total value of $150 million under this prospectus.</w:t>
            </w:r>
          </w:p>
        </w:tc>
      </w:tr>
      <w:tr>
        <w:trPr/>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numerator is based on the number of shares issuable at the corresponding assumed purchase price as set forth in the adjacent column. The denominator is based on 58,880,812 shares of our common stock outstanding immediately as of September 18, 2023, adjusted to include the number of shares of our common stock set forth in the adjacent column which we would have sold to CCM, assuming the purchase price in the adjacent column. The numerator is based on the number of shares of our common stock issuable under the Purchase Agreement at the corresponding assumed purchase price set forth in the adjacent column without giving effect to the Beneficial Ownership Limitation.</w:t>
            </w:r>
          </w:p>
        </w:tc>
      </w:tr>
      <w:tr>
        <w:trPr/>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sale price of our shares of common stock on September 18, 2023.</w:t>
            </w:r>
          </w:p>
        </w:tc>
      </w:tr>
    </w:tbl>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rPr>
      </w:pPr>
      <w:r>
        <w:rPr>
          <w:caps/>
        </w:rPr>
        <w:t> </w:t>
      </w:r>
    </w:p>
    <w:p>
      <w:pPr>
        <w:pStyle w:val="TextBody"/>
        <w:bidi w:val="0"/>
        <w:jc w:val="center"/>
        <w:rPr>
          <w:rFonts w:ascii="Times New Roman;Times;Serif" w:hAnsi="Times New Roman;Times;Serif"/>
          <w:b w:val="false"/>
          <w:i w:val="false"/>
          <w:caps w:val="false"/>
          <w:smallCaps w:val="false"/>
          <w:sz w:val="20"/>
        </w:rPr>
      </w:pPr>
      <w:bookmarkStart w:id="21" w:name="Na_010"/>
      <w:bookmarkEnd w:id="21"/>
      <w:r>
        <w:rPr>
          <w:rFonts w:ascii="Times New Roman;Times;Serif" w:hAnsi="Times New Roman;Times;Serif"/>
          <w:b/>
          <w:i w:val="false"/>
          <w:caps/>
          <w:sz w:val="20"/>
        </w:rPr>
        <w:t>Plan of Distribution</w:t>
      </w:r>
      <w:r>
        <w:rPr>
          <w:rFonts w:ascii="Times New Roman;Times;Serif" w:hAnsi="Times New Roman;Times;Serif"/>
          <w:b w:val="false"/>
          <w:i w:val="false"/>
          <w:caps/>
          <w:sz w:val="20"/>
        </w:rPr>
        <w:t xml:space="preserve"> </w:t>
      </w:r>
      <w:r>
        <w:rPr>
          <w:rFonts w:ascii="Times New Roman;Times;Serif" w:hAnsi="Times New Roman;Times;Serif"/>
          <w:b/>
          <w:i w:val="false"/>
          <w:caps/>
          <w:sz w:val="20"/>
        </w:rPr>
        <w:t>(CONFLICTS OF INTEREST)</w:t>
      </w:r>
    </w:p>
    <w:p>
      <w:pPr>
        <w:pStyle w:val="TextBody"/>
        <w:bidi w:val="0"/>
        <w:jc w:val="center"/>
        <w:rPr>
          <w:caps/>
        </w:rPr>
      </w:pPr>
      <w:r>
        <w:rPr>
          <w:caps/>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by CCM of up to 21,512,027 shares of our common stock. Our common stock may be sold or distributed from time to time by CCM directly to one or more purchasers or through brokers, dealers, or underwriters who may act solely as agents at market prices prevailing at the time of sale, at prices related to the prevailing market prices, at negotiated prices, or at fixed prices, which may be changed.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Purchase Agreement provides that we may sell up to an aggregate of $150 million of shares of common stock to CCM, only 21,512,027 shares of common stock are being registered for resale under the registration statement that includes this prospectus. The actual number of shares of common stock issuable will vary depending on the then current market price of shares of common stock sold to CCM under the ChEF Equity Facility.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common stock offered by this prospectus could be effected in one or more of the following methods:</w:t>
      </w:r>
    </w:p>
    <w:p>
      <w:pPr>
        <w:pStyle w:val="TextBody"/>
        <w:bidi w:val="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brokers’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involving cross or block trades;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brokers, dealers, or underwriters who may act solely as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the market” into an existing market for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other ways not involving market makers or established business markets, including direct sales to purchasers or sales effected through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combination of the foregoing;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ind w:left="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will act independently of us in making decisions with respect to the timing, manner and size of each sale, subject to the restrictions in the Purchase Agreement. Such sales may be made on one or more exchanges or in the over-the-counter market or otherwise, at prices and under terms then prevailing or at prices related to the then current market price or in negotiated transactions. CCM reserves the right to accept and, together with its respective agents, to reject, any proposed purchase of securities to be made directly or through agents.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may be sold only through registered or licensed brokers or dealers.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is a selling securityholder and is an “underwriter” within the meaning of Section 2(a)(11) of the Securities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is a registered broker-dealer and FINRA member and has informed us that it presently anticipates effectuating resales, if any, of shares of our common stock that it may acquire from us pursuant to the Purchase Agreement, and that it may also engage one or more other registered broker-dealers to effectuate resales, if any, of such shares that it may acquire from us. Such sales will be made at prices and at terms then prevailing or at prices related to the then current market price. Each such registered broker-dealer will be an underwriter within the meaning of Section 2(a)(11) of the Securities Act. CCM has informed us that each such broker-dealer (excluding CCM), may receive commissions from CCM for executing such sales for CCM and, if so, such commissions will not exceed customary brokerage commissions.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shares of common stock that we elect to sell to CCM pursuant to the Purchase Agreement will be determined by reference to the VWAP of the common stock during the applicable purchase date on which we have timely delivered written notice to CCM directing it to purchase shares of common stock under the Purchase Agreement, less a fixed 3.5% discount to such VWAP. Also, as consideration for its commitment to purchase shares of our common stock under the Purchase Agreement, we have agreed to pay a commitment fee of $1 million to CCM, payable by way of a reduction of the VWAP purchase price under the terms of the Purchase Agreement. The foregoing 3.5% discount and commitment fee will be deemed to be underwriting compensation in connection with sales of the shares of common stock by CCM to the public.</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Purchase Agreement we have agreed to pay a structuring fee of $50,000 to CCM for advising us on the structure of the ChEF Equity Facility in order to establish all necessary corporate and other arrangements for the conduct of the ChEF Equity Facility. We have also agreed to reimburse CCM up to $125,000 for the fees and disbursements of its counsel in connection with the transactions contemplated by the Purchase Agreement and up to $25,000 per fiscal quarter thereafter for up to 36 months, or up to $425,000 in the aggregate, in connection with CCM’s ongoing due diligence review. These fees and reimbursed expenses will be deemed to be underwriting compensation in connection with sales of shares of common stock by CCM to the public.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under “Unaudited Pro Forma Condensed Combined Financial Information – PIPE Investment,” CCM acquired 15,000 shares of our common stock in a private placement on October 7, 2022. Such shares will be treated as underwriting compensation in connection with this offering and will not be sold, transferred, assigned, pledged, or hypothecated, or be the subject of any hedging, short sale, derivative, put or call transaction that would result in the effective economic disposition of such shares for a period of 180 days beginning on the date of commencement of sales of the public offering under the Purchase Agreement, except as provided in FINRA Rule 5110(e)(2).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underwriting compensation to be received in connection with sales of shares of common stock by CCM to the public, as determined under FINRA Rule 5110, will not exceed 8% of the maximum dollar amount of common stock to be sold to the public under the Purchase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as agents may receive compensation in the form of commissions, discounts, or concessions from CCM and/or purchasers of common stock for whom the broker-dealers may act as agent. Neither we nor CCM can presently estimate the amount of compensation that any agent will receive. We know of no existing arrangements between CCM or any other stockholder, broker, dealer, underwriter or agent relating to the sale or distribution of the shares offered by this prospectus. At the time a particular offer of shares is made, a prospectus supplement, if required, will be distributed that will set forth the names of any agents, underwriters or dealers and any compensation from CCM, and any other required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expenses incident to the registration, offering, and sale of the shares to CCM. We have agreed to indemnify CCM and certain other persons against certain liabilities in connection with the offering of shares of common stock offered hereby, including liabilities arising under the Securities Act or, if such indemnity is unavailable, to contribute amounts required to be paid in respect of such liabilities.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has represented to us that at no time prior to the Purchase Agreement has it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CCM has agreed that during the term of the Purchase Agreement, it, its agents, representatives or affiliates will not enter into or effect, directly or indirectly, any of the foregoing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CCM that the anti-manipulation rules of Regulation M under the Exchange Act may apply to sales of shares in the market and to the activities of CCM and its affiliates.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First Refusal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subject to entering into separate agreements containing customary terms and conditions, for a period of thirty months from the closing date of our business combination, that CCM shall have a right of first refusal to act as a book-running manager or placement manager for public and private offerings and as an exclusive sales agent in any “at-the-market-offering” as defined in Rule 415(a)(4) under the Securities Act. This right of first refusal will be deemed to be underwriting compensation in connection with this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Conflicts of Interest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CCM, an affiliate of the Sponsor, is a member of FINRA and is expected to act as an executing broker for the resale of common stock in this offering. The receipt by CCM of all the proceeds from resales of common stock results in a “conflict of interest” under FINRA Rule 5121. Accordingly, such resales will be conducted in compliance with FINRA Rule 5121. To the extent that the shares of common stock do not have a “bona fide public market,” as defined in FINRA Rule 5121, a qualified independent underwriter will participate in the preparation of, and exercise the usual standards of “due diligence” with respect to, the registration statement. LifeSci Capital, LLC has agreed to act as qualified independent underwriter for this offering and receive an upfront fee of $100,000 for performing the services required by a qualified independent underwriter under FINRA Rule 5121(a)(2)(A) prior to the filing of the initial registration statement relating to this offering, including conducting due diligence in connection with this offering and advising of any required changes to the registration statement (the “</w:t>
      </w:r>
      <w:r>
        <w:rPr>
          <w:rFonts w:ascii="Times New Roman;Times;Serif" w:hAnsi="Times New Roman;Times;Serif"/>
          <w:b/>
          <w:i w:val="false"/>
          <w:caps w:val="false"/>
          <w:smallCaps w:val="false"/>
          <w:sz w:val="20"/>
        </w:rPr>
        <w:t>QIU Services</w:t>
      </w:r>
      <w:r>
        <w:rPr>
          <w:rFonts w:ascii="Times New Roman;Times;Serif" w:hAnsi="Times New Roman;Times;Serif"/>
          <w:b w:val="false"/>
          <w:i w:val="false"/>
          <w:caps w:val="false"/>
          <w:smallCaps w:val="false"/>
          <w:sz w:val="20"/>
        </w:rPr>
        <w:t>”), and for its ongoing QIU Services during the first year after the date of the Purchase Agreement. In addition, beginning one year after the date of the Purchase Agreement until its termination, LifeSci Capital, LCC will receive quarterly fees of $25,000 for providing QIU Services. The total fees to be received by LifeSci Capital, LLC for its QIU Services will not exceed $300,000 in the aggregate. Pursuant to FINRA Rule 5121, CCM will not confirm resales of common stock to any account over which it exercises discretionary authority without the prior written approval of the customer.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on Nasdaq under the trading symbol “DFLI.”</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2" w:name="Na_011"/>
      <w:bookmarkEnd w:id="22"/>
      <w:r>
        <w:rPr>
          <w:rFonts w:ascii="Times New Roman;Times;Serif" w:hAnsi="Times New Roman;Times;Serif"/>
          <w:b/>
          <w:i w:val="false"/>
          <w:caps w:val="false"/>
          <w:smallCaps w:val="false"/>
          <w:sz w:val="20"/>
        </w:rPr>
        <w:t>LEGAL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for us by Parsons Behle &amp; Latimer.</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3" w:name="Na_012"/>
      <w:bookmarkEnd w:id="23"/>
      <w:r>
        <w:rPr>
          <w:rFonts w:ascii="Times New Roman;Times;Serif" w:hAnsi="Times New Roman;Times;Serif"/>
          <w:b/>
          <w:i w:val="false"/>
          <w:caps w:val="false"/>
          <w:smallCaps w:val="false"/>
          <w:sz w:val="20"/>
        </w:rPr>
        <w:t>EXPERTS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Dragonfly Energy Holdings Corp. as of December 31, 2022 and December 31, 2021, and for the years then ended, included in this prospectus and in this Registration Statement, have been so included in reliance on the report of BDO USA, LLP (n/k/a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Registrant’s Certifying Accountant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Audit Committee informed WithumSmith+Brown, PC (“</w:t>
      </w:r>
      <w:r>
        <w:rPr>
          <w:rFonts w:ascii="Times New Roman;Times;Serif" w:hAnsi="Times New Roman;Times;Serif"/>
          <w:b/>
          <w:i w:val="false"/>
          <w:caps w:val="false"/>
          <w:smallCaps w:val="false"/>
          <w:sz w:val="20"/>
        </w:rPr>
        <w:t>Withum</w:t>
      </w:r>
      <w:r>
        <w:rPr>
          <w:rFonts w:ascii="Times New Roman;Times;Serif" w:hAnsi="Times New Roman;Times;Serif"/>
          <w:b w:val="false"/>
          <w:i w:val="false"/>
          <w:caps w:val="false"/>
          <w:smallCaps w:val="false"/>
          <w:sz w:val="20"/>
        </w:rPr>
        <w:t>”), our independent registered public accounting firm prior to the Transactions, that Withum will be dismissed effective following the completion of our review for the nine month period ended September 30, 2022, which consists only of the pre-Transactions accounts of CNTQ.</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of Withum on CNTQ’s financial statements as of September 30, 2022, and for the fiscal year ended December 31, 2021, did not contain an adverse opinion or a disclaimer of opinion, and were not qualified or modified as to uncertainties, audit scope or accounting principles except for an explanatory paragraph regarding substantial doubt about CNTQ’s ability to continue as a going concern.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2021 and December 31, 2020, and the subsequent period through the date of Withum’s dismissal, there were no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During the fiscal years ended December 31, 2021 and December 31, 2020, and the subsequent period through September 30, 2022, there were no reportable events as defined in Item 304(a)(1)(v) of Regulation S-K under the Exchange Act other than the previously disclosed material weakness over financial reporting.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Withum with a copy of the foregoing disclosures.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 Audit Committee approved the engagement of BDO USA, P.C. (f/k/a BDO USA, LLP) as our independent registered public accounting firm to audit our consolidated financial statements for the year ended December 31, 2022. BDO USA, LLP served as the independent registered public accounting firm of Legacy Dragonfly prior to the Transactions, including the audit of the consolidated financial statements of Legacy Dragonfly for the fiscal year ended December 31, 2021. During the fiscal year ended December 31, 2021 and the subsequent period through the date of Withum’s dismissal, Legacy Dragonfly did not consult with BDO USA, LLP with respect to (i) the application of accounting principles to a specified transaction, either completed or proposed, the type of audit opinion that might be rendered on Legacy Dragonfly’s financial statements, and neither a written report nor oral advice was provided to Legacy Dragonfly that BDO USA, LLP concluded was an important factor considered by BDO USA, LLP in reaching a decision as to any accounting, auditing or financial reporting issue, or (ii) any other matter that was the subject of a disagreement or a reportable event (each as defined above).</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4" w:name="Na_013"/>
      <w:bookmarkEnd w:id="24"/>
      <w:r>
        <w:rPr>
          <w:rFonts w:ascii="Times New Roman;Times;Serif" w:hAnsi="Times New Roman;Times;Serif"/>
          <w:b/>
          <w:i w:val="false"/>
          <w:caps w:val="false"/>
          <w:smallCaps w:val="false"/>
          <w:sz w:val="20"/>
        </w:rPr>
        <w:t>WHERE YOU CAN FIND MORE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exhibits.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file annual, quarterly and current reports, prospectus and other information with the SEC. Our SEC filings are available to the public on a website maintained by the SEC located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We also maintain a website at </w:t>
      </w:r>
      <w:r>
        <w:rPr>
          <w:rFonts w:ascii="Times New Roman;Times;Serif" w:hAnsi="Times New Roman;Times;Serif"/>
          <w:b w:val="false"/>
          <w:i/>
          <w:caps w:val="false"/>
          <w:smallCaps w:val="false"/>
          <w:sz w:val="20"/>
        </w:rPr>
        <w:t>https://www.dragonflyenergy.com/</w:t>
      </w:r>
      <w:r>
        <w:rPr>
          <w:rFonts w:ascii="Times New Roman;Times;Serif" w:hAnsi="Times New Roman;Times;Serif"/>
          <w:b w:val="false"/>
          <w:i w:val="false"/>
          <w:caps w:val="false"/>
          <w:smallCaps w:val="false"/>
          <w:sz w:val="20"/>
        </w:rPr>
        <w:t>. Through our website, we make available, free of charge, annual, quarterly and current reports, prospectus and other information as soon as reasonably practicable after they are electronically filed with, or furnished to, the SEC. The information contained on, or that may be accessed through, our website is not part of, and is not incorporated into, this prospectus.</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Naf_001"/>
      <w:bookmarkEnd w:id="25"/>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95"/>
        <w:gridCol w:w="410"/>
      </w:tblGrid>
      <w:tr>
        <w:trPr/>
        <w:tc>
          <w:tcPr>
            <w:tcW w:w="979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95"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Consolidated Balance Sheets as of December 31, 2022 and 2021</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9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Consolidated Statements of Operations for the years ended December 31, 2022 and 2021</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95" w:type="dxa"/>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0"/>
                </w:rPr>
                <w:t>Consolidated Statements of Changes in Stockholders’ Equity for the years ended December 31, 2022 and 2021</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95"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b w:val="false"/>
                  <w:i w:val="false"/>
                  <w:caps w:val="false"/>
                  <w:smallCaps w:val="false"/>
                  <w:sz w:val="20"/>
                </w:rPr>
                <w:t>Statements of Cash Flows for the years ended December 31, 2022 and 2021</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95" w:type="dxa"/>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b w:val="false"/>
                  <w:i w:val="false"/>
                  <w:caps w:val="false"/>
                  <w:smallCaps w:val="false"/>
                  <w:sz w:val="20"/>
                </w:rPr>
                <w:t>Notes to Financial Statements</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79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Balance Sheets as of June 30, 2023 and December 31, 2022</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F-33</w:t>
            </w:r>
          </w:p>
        </w:tc>
      </w:tr>
      <w:tr>
        <w:trPr/>
        <w:tc>
          <w:tcPr>
            <w:tcW w:w="9795" w:type="dxa"/>
            <w:tcBorders/>
            <w:shd w:fill="FFFFFF" w:val="clear"/>
            <w:vAlign w:val="center"/>
          </w:tcPr>
          <w:p>
            <w:pPr>
              <w:pStyle w:val="TableContents"/>
              <w:bidi w:val="0"/>
              <w:spacing w:before="0" w:after="283"/>
              <w:jc w:val="left"/>
              <w:rPr/>
            </w:pPr>
            <w:hyperlink w:anchor="cr_001">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2023 and 2022</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F-34</w:t>
            </w:r>
          </w:p>
        </w:tc>
      </w:tr>
      <w:tr>
        <w:trPr/>
        <w:tc>
          <w:tcPr>
            <w:tcW w:w="9795" w:type="dxa"/>
            <w:tcBorders/>
            <w:shd w:fill="CCEEFF" w:val="clear"/>
            <w:vAlign w:val="center"/>
          </w:tcPr>
          <w:p>
            <w:pPr>
              <w:pStyle w:val="TableContents"/>
              <w:bidi w:val="0"/>
              <w:spacing w:before="0" w:after="283"/>
              <w:jc w:val="left"/>
              <w:rPr/>
            </w:pPr>
            <w:hyperlink w:anchor="cr_002">
              <w:r>
                <w:rPr>
                  <w:rStyle w:val="InternetLink"/>
                  <w:rFonts w:ascii="Times New Roman;Times;Serif" w:hAnsi="Times New Roman;Times;Serif"/>
                  <w:b w:val="false"/>
                  <w:i w:val="false"/>
                  <w:caps w:val="false"/>
                  <w:smallCaps w:val="false"/>
                  <w:sz w:val="20"/>
                </w:rPr>
                <w:t>Condensed Consolidated Statements of Shareholders’ Equity for the three and six months ended June 30, 2023 and 2022</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F-35</w:t>
            </w:r>
          </w:p>
        </w:tc>
      </w:tr>
      <w:tr>
        <w:trPr/>
        <w:tc>
          <w:tcPr>
            <w:tcW w:w="9795" w:type="dxa"/>
            <w:tcBorders/>
            <w:shd w:fill="FFFFFF" w:val="clear"/>
            <w:vAlign w:val="center"/>
          </w:tcPr>
          <w:p>
            <w:pPr>
              <w:pStyle w:val="TableContents"/>
              <w:bidi w:val="0"/>
              <w:spacing w:before="0" w:after="283"/>
              <w:jc w:val="left"/>
              <w:rPr/>
            </w:pPr>
            <w:hyperlink w:anchor="cr_003">
              <w:r>
                <w:rPr>
                  <w:rStyle w:val="InternetLink"/>
                  <w:rFonts w:ascii="Times New Roman;Times;Serif" w:hAnsi="Times New Roman;Times;Serif"/>
                  <w:b w:val="false"/>
                  <w:i w:val="false"/>
                  <w:caps w:val="false"/>
                  <w:smallCaps w:val="false"/>
                  <w:sz w:val="20"/>
                </w:rPr>
                <w:t>Condensed Consolidated Statements of Cash Flows for the six months ended June 30, 2023 and 2022</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F-36</w:t>
            </w:r>
          </w:p>
        </w:tc>
      </w:tr>
      <w:tr>
        <w:trPr/>
        <w:tc>
          <w:tcPr>
            <w:tcW w:w="979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F-38</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7"/>
      <w:bookmarkEnd w:id="26"/>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Dragonfly Energy Holdings Corp. (the “Company”) as of December 31, 2022 and 2021, the related consolidated statements of operations,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accounting principles generally accepted in the United States of America.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2 to the consolidated financial statements, the Company has incurred losses and has a negative cash flow from operations and concluded it is probable the Company will not comply with future covenants of the Term Loan and does not have sufficient resources to repay the Term Loan, which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Spokane, Washington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17, 2023</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8"/>
      <w:bookmarkEnd w:id="27"/>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65"/>
        <w:gridCol w:w="60"/>
        <w:gridCol w:w="140"/>
        <w:gridCol w:w="755"/>
        <w:gridCol w:w="95"/>
        <w:gridCol w:w="60"/>
        <w:gridCol w:w="140"/>
        <w:gridCol w:w="680"/>
        <w:gridCol w:w="110"/>
      </w:tblGrid>
      <w:tr>
        <w:trPr/>
        <w:tc>
          <w:tcPr>
            <w:tcW w:w="81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110" w:type="dxa"/>
            <w:tcBorders/>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25,586</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3,044</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doubtful accounts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783</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27,127</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7,461</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income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1,787</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66,081</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Machinery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3,615</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 furniture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1,307</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Vehicle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5,318</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4,461</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 of use asset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5,709</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76,251</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11,360</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payroll and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2,608</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current portion, net of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1,875</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17,990</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payable-noncurrent, net of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37,053</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long-term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4,694</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42,200</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60,190</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(See Note 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170,000,000 shares, $0.0001 par value, authorized, 43,272,728 and 36,496,998 shares issued and outstanding as of December 31, 2022 and 2021,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5,000,000 shares, $0.0001 par value, authorized, no shares issued and outstanding as of December 31, 2022 and 2021,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 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3,619</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Retained (deficit) earnings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12,438</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16,061</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76,251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9"/>
      <w:bookmarkEnd w:id="28"/>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w:t>
      </w:r>
      <w:r>
        <w:rPr>
          <w:rFonts w:ascii="Times New Roman;Times;Serif" w:hAnsi="Times New Roman;Times;Serif"/>
          <w:b/>
          <w:i w:val="false"/>
          <w:caps/>
          <w:sz w:val="20"/>
        </w:rPr>
        <w:t>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7325" w:type="dxa"/>
        <w:jc w:val="left"/>
        <w:tblInd w:w="0" w:type="dxa"/>
        <w:tblLayout w:type="fixed"/>
        <w:tblCellMar>
          <w:top w:w="0" w:type="dxa"/>
          <w:left w:w="0" w:type="dxa"/>
          <w:bottom w:w="0" w:type="dxa"/>
          <w:right w:w="0" w:type="dxa"/>
        </w:tblCellMar>
      </w:tblPr>
      <w:tblGrid>
        <w:gridCol w:w="4520"/>
        <w:gridCol w:w="60"/>
        <w:gridCol w:w="140"/>
        <w:gridCol w:w="1100"/>
        <w:gridCol w:w="95"/>
        <w:gridCol w:w="60"/>
        <w:gridCol w:w="140"/>
        <w:gridCol w:w="1100"/>
        <w:gridCol w:w="110"/>
      </w:tblGrid>
      <w:tr>
        <w:trPr/>
        <w:tc>
          <w:tcPr>
            <w:tcW w:w="4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110"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78,000</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48,375</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29,625</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2,689</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10,621</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9,848</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23,158</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Income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(33,997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6,467</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Income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(40,280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5,949</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(benefit)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1,611</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Earnings Per Share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0.12</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Earnings Per Share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0.11</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35,579,137</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37,742,337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20"/>
      <w:bookmarkEnd w:id="29"/>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6"/>
        <w:gridCol w:w="60"/>
        <w:gridCol w:w="60"/>
        <w:gridCol w:w="1175"/>
        <w:gridCol w:w="95"/>
        <w:gridCol w:w="60"/>
        <w:gridCol w:w="155"/>
        <w:gridCol w:w="705"/>
        <w:gridCol w:w="95"/>
        <w:gridCol w:w="60"/>
        <w:gridCol w:w="60"/>
        <w:gridCol w:w="1100"/>
        <w:gridCol w:w="60"/>
        <w:gridCol w:w="60"/>
        <w:gridCol w:w="172"/>
        <w:gridCol w:w="688"/>
        <w:gridCol w:w="60"/>
        <w:gridCol w:w="60"/>
        <w:gridCol w:w="198"/>
        <w:gridCol w:w="967"/>
        <w:gridCol w:w="60"/>
        <w:gridCol w:w="60"/>
        <w:gridCol w:w="160"/>
        <w:gridCol w:w="867"/>
        <w:gridCol w:w="95"/>
        <w:gridCol w:w="60"/>
        <w:gridCol w:w="140"/>
        <w:gridCol w:w="755"/>
        <w:gridCol w:w="112"/>
      </w:tblGrid>
      <w:tr>
        <w:trPr/>
        <w:tc>
          <w:tcPr>
            <w:tcW w:w="200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705"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center"/>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center"/>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967"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112" w:type="dxa"/>
            <w:tcBorders/>
            <w:shd w:fill="CCEEFF" w:val="clear"/>
            <w:vAlign w:val="center"/>
          </w:tcPr>
          <w:p>
            <w:pPr>
              <w:pStyle w:val="TableContents"/>
              <w:bidi w:val="0"/>
              <w:spacing w:before="0" w:after="283"/>
              <w:jc w:val="center"/>
              <w:rPr/>
            </w:pPr>
            <w:r>
              <w:rPr/>
              <w:t> </w:t>
            </w:r>
          </w:p>
        </w:tc>
      </w:tr>
      <w:tr>
        <w:trPr/>
        <w:tc>
          <w:tcPr>
            <w:tcW w:w="20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Redeemable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Retained 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20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2" w:type="dxa"/>
            <w:tcBorders/>
            <w:vAlign w:val="center"/>
          </w:tcPr>
          <w:p>
            <w:pPr>
              <w:pStyle w:val="TableContents"/>
              <w:bidi w:val="0"/>
              <w:spacing w:before="0" w:after="283"/>
              <w:jc w:val="left"/>
              <w:rPr/>
            </w:pPr>
            <w:r>
              <w:rPr/>
              <w:t> </w:t>
            </w:r>
          </w:p>
        </w:tc>
      </w:tr>
      <w:tr>
        <w:trPr/>
        <w:tc>
          <w:tcPr>
            <w:tcW w:w="20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January 1, 2021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20,040,470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8,555</w:t>
            </w:r>
          </w:p>
        </w:tc>
        <w:tc>
          <w:tcPr>
            <w:tcW w:w="112" w:type="dxa"/>
            <w:tcBorders/>
            <w:shd w:fill="CCEE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Retroactive application of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15,469,477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12" w:type="dxa"/>
            <w:tcBorders/>
            <w:shd w:fill="CCEE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balance, 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35,509,947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10,555</w:t>
            </w:r>
          </w:p>
        </w:tc>
        <w:tc>
          <w:tcPr>
            <w:tcW w:w="112" w:type="dxa"/>
            <w:tcBorders/>
            <w:shd w:fill="FFFFFF" w:val="clear"/>
            <w:vAlign w:val="center"/>
          </w:tcPr>
          <w:p>
            <w:pPr>
              <w:pStyle w:val="TableContents"/>
              <w:bidi w:val="0"/>
              <w:spacing w:before="0" w:after="283"/>
              <w:jc w:val="left"/>
              <w:rPr/>
            </w:pPr>
            <w:r>
              <w:rPr/>
              <w:t> </w:t>
            </w:r>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112" w:type="dxa"/>
            <w:tcBorders/>
            <w:shd w:fill="CCEE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w:t>
            </w:r>
          </w:p>
        </w:tc>
        <w:tc>
          <w:tcPr>
            <w:tcW w:w="112" w:type="dxa"/>
            <w:tcBorders/>
            <w:shd w:fill="FFFFFF" w:val="clear"/>
            <w:vAlign w:val="center"/>
          </w:tcPr>
          <w:p>
            <w:pPr>
              <w:pStyle w:val="TableContents"/>
              <w:bidi w:val="0"/>
              <w:spacing w:before="0" w:after="283"/>
              <w:jc w:val="left"/>
              <w:rPr/>
            </w:pPr>
            <w:r>
              <w:rPr/>
              <w:t> </w:t>
            </w:r>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987,051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w:t>
            </w:r>
          </w:p>
        </w:tc>
        <w:tc>
          <w:tcPr>
            <w:tcW w:w="112" w:type="dxa"/>
            <w:tcBorders/>
            <w:shd w:fill="CCEE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36,496,998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16,061</w:t>
            </w:r>
          </w:p>
        </w:tc>
        <w:tc>
          <w:tcPr>
            <w:tcW w:w="112" w:type="dxa"/>
            <w:tcBorders/>
            <w:shd w:fill="CCEE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-January 1, 2022, after giving effect to the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36,496,998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16,061</w:t>
            </w:r>
          </w:p>
        </w:tc>
        <w:tc>
          <w:tcPr>
            <w:tcW w:w="112" w:type="dxa"/>
            <w:tcBorders/>
            <w:shd w:fill="CCEE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2" w:type="dxa"/>
            <w:tcBorders/>
            <w:shd w:fill="FFFFFF" w:val="clear"/>
            <w:vAlign w:val="center"/>
          </w:tcPr>
          <w:p>
            <w:pPr>
              <w:pStyle w:val="TableContents"/>
              <w:bidi w:val="0"/>
              <w:spacing w:before="0" w:after="283"/>
              <w:jc w:val="left"/>
              <w:rPr/>
            </w:pPr>
            <w:r>
              <w:rPr/>
              <w:t> </w:t>
            </w:r>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w:t>
            </w:r>
          </w:p>
        </w:tc>
        <w:tc>
          <w:tcPr>
            <w:tcW w:w="112" w:type="dxa"/>
            <w:tcBorders/>
            <w:shd w:fill="CCEE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Reverse capitalization, net of transaction costs (See Note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4,238,936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 w:type="dxa"/>
            <w:tcBorders/>
            <w:shd w:fill="FFFFFF" w:val="clear"/>
            <w:vAlign w:val="center"/>
          </w:tcPr>
          <w:p>
            <w:pPr>
              <w:pStyle w:val="TableContents"/>
              <w:bidi w:val="0"/>
              <w:spacing w:before="0" w:after="283"/>
              <w:jc w:val="left"/>
              <w:rPr>
                <w:sz w:val="4"/>
                <w:szCs w:val="4"/>
              </w:rPr>
            </w:pPr>
            <w:r>
              <w:rPr>
                <w:sz w:val="4"/>
                <w:szCs w:val="4"/>
              </w:rPr>
            </w:r>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16,669</w:t>
            </w:r>
          </w:p>
        </w:tc>
        <w:tc>
          <w:tcPr>
            <w:tcW w:w="112" w:type="dxa"/>
            <w:tcBorders/>
            <w:shd w:fill="CCEE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2,467</w:t>
            </w:r>
          </w:p>
        </w:tc>
        <w:tc>
          <w:tcPr>
            <w:tcW w:w="112" w:type="dxa"/>
            <w:tcBorders/>
            <w:shd w:fill="FFFFFF" w:val="clear"/>
            <w:vAlign w:val="center"/>
          </w:tcPr>
          <w:p>
            <w:pPr>
              <w:pStyle w:val="TableContents"/>
              <w:bidi w:val="0"/>
              <w:spacing w:before="0" w:after="283"/>
              <w:jc w:val="left"/>
              <w:rPr/>
            </w:pPr>
            <w:r>
              <w:rPr/>
              <w:t> </w:t>
            </w:r>
          </w:p>
        </w:tc>
      </w:tr>
      <w:tr>
        <w:trPr/>
        <w:tc>
          <w:tcPr>
            <w:tcW w:w="200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43,272,728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11,332</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21"/>
      <w:bookmarkEnd w:id="30"/>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830" w:type="dxa"/>
        <w:jc w:val="left"/>
        <w:tblInd w:w="0" w:type="dxa"/>
        <w:tblLayout w:type="fixed"/>
        <w:tblCellMar>
          <w:top w:w="0" w:type="dxa"/>
          <w:left w:w="0" w:type="dxa"/>
          <w:bottom w:w="0" w:type="dxa"/>
          <w:right w:w="0" w:type="dxa"/>
        </w:tblCellMar>
      </w:tblPr>
      <w:tblGrid>
        <w:gridCol w:w="7715"/>
        <w:gridCol w:w="60"/>
        <w:gridCol w:w="140"/>
        <w:gridCol w:w="755"/>
        <w:gridCol w:w="95"/>
        <w:gridCol w:w="60"/>
        <w:gridCol w:w="140"/>
        <w:gridCol w:w="755"/>
        <w:gridCol w:w="110"/>
      </w:tblGrid>
      <w:tr>
        <w:trPr/>
        <w:tc>
          <w:tcPr>
            <w:tcW w:w="7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110" w:type="dxa"/>
            <w:tcBorders/>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Income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Income to Net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extinguishment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 (paid-in-kind)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doubtful accounts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Assumption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(21,179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1,029</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8,903</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(17,911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(13,573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term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Proceeds from public offering,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Payment of 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Proceeds from public offering (ATM), ne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note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Proceeds from exercise of public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from note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of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exercise of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stock purchase agreement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revolving note agreement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of revolving note agreement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38,906</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Increase in Cash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22,424</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cash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6,206</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cash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28,630</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2,390</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Non-Cash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Receivable of options exercised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property and equipment, not yet paid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Recognition of right of use asset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5,745</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22"/>
      <w:bookmarkEnd w:id="31"/>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w:t>
      </w:r>
      <w:r>
        <w:rPr>
          <w:rFonts w:ascii="Times New Roman;Times;Serif" w:hAnsi="Times New Roman;Times;Serif"/>
          <w:b/>
          <w:i w:val="false"/>
          <w:caps w:val="false"/>
          <w:smallCaps w:val="false"/>
          <w:sz w:val="20"/>
        </w:rPr>
        <w:t>New Dragonfly</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a merger transaction between Chardan NexTech Acquisition 2 Corporation (“</w:t>
      </w:r>
      <w:r>
        <w:rPr>
          <w:rFonts w:ascii="Times New Roman;Times;Serif" w:hAnsi="Times New Roman;Times;Serif"/>
          <w:b/>
          <w:i w:val="false"/>
          <w:caps w:val="false"/>
          <w:smallCaps w:val="false"/>
          <w:sz w:val="20"/>
        </w:rPr>
        <w:t>CNTQ</w:t>
      </w:r>
      <w:r>
        <w:rPr>
          <w:rFonts w:ascii="Times New Roman;Times;Serif" w:hAnsi="Times New Roman;Times;Serif"/>
          <w:b w:val="false"/>
          <w:i w:val="false"/>
          <w:caps w:val="false"/>
          <w:smallCaps w:val="false"/>
          <w:sz w:val="20"/>
        </w:rPr>
        <w:t>”), Dragonfly Energy Corp. (“</w:t>
      </w:r>
      <w:r>
        <w:rPr>
          <w:rFonts w:ascii="Times New Roman;Times;Serif" w:hAnsi="Times New Roman;Times;Serif"/>
          <w:b/>
          <w:i w:val="false"/>
          <w:caps w:val="false"/>
          <w:smallCaps w:val="false"/>
          <w:sz w:val="20"/>
        </w:rPr>
        <w:t>Legacy Dragonfly</w:t>
      </w:r>
      <w:r>
        <w:rPr>
          <w:rFonts w:ascii="Times New Roman;Times;Serif" w:hAnsi="Times New Roman;Times;Serif"/>
          <w:b w:val="false"/>
          <w:i w:val="false"/>
          <w:caps w:val="false"/>
          <w:smallCaps w:val="false"/>
          <w:sz w:val="20"/>
        </w:rPr>
        <w:t>”), and Bronco Merger Sub, Inc.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was completed pursuant to which Merger Sub was merged with and into Legacy Dragonfly, with Legacy Dragonfly surviving the merger. As a result of the merger, Legacy Dragonfly became a wholly owned subsidiary of New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the historical financial statements of Legacy Dragonfly became the historical financial statements of the Company upon the consummation of the merger. As a result, the financial statements included in this Annual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 See </w:t>
      </w:r>
      <w:r>
        <w:rPr>
          <w:rFonts w:ascii="Times New Roman;Times;Serif" w:hAnsi="Times New Roman;Times;Serif"/>
          <w:b w:val="false"/>
          <w:i/>
          <w:caps w:val="false"/>
          <w:smallCaps w:val="false"/>
          <w:sz w:val="20"/>
        </w:rPr>
        <w:t>Note 3 – Reverse Capitalization</w:t>
      </w:r>
      <w:r>
        <w:rPr>
          <w:rFonts w:ascii="Times New Roman;Times;Serif" w:hAnsi="Times New Roman;Times;Serif"/>
          <w:b w:val="false"/>
          <w:i w:val="false"/>
          <w:caps w:val="false"/>
          <w:smallCaps w:val="false"/>
          <w:sz w:val="20"/>
        </w:rPr>
        <w:t xml:space="preserve"> for further details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related notes have been prepared pursuant to the rules and regulations of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in accordance with generally accepted accounting principles generally accepted in the United States of America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and present the consolidated financial statements of the Company and its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Going Concern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the Company incurred losses and had a negative cash flow from operations. As of December 31, 2022, the Company had $17,781 in cash and cash equivalents and working capital of $32,923. The Company’s ability to achieve profitability and positive cash flow depends on its ability to increase revenue, contain its expenses and maintain compliance with the financial covenants in its outstanding indebtedness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senior secured term loan facility in an aggregate principal amount of $75,000 (the “</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the Company is obligated to comply with certain financial covenants, which include maintaining a maximum senior leverage ratio, minimum liquidity, a springing fixed charge coverage ratio, and maximum capital expenditures (See Note 7).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need to raise additional debt and/or equity financings to fund its operations and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Recently adopted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the Financial Accounting Standards Board (“</w:t>
      </w:r>
      <w:r>
        <w:rPr>
          <w:rFonts w:ascii="Times New Roman;Times;Serif" w:hAnsi="Times New Roman;Times;Serif"/>
          <w:b/>
          <w:i w:val="false"/>
          <w:caps w:val="false"/>
          <w:smallCaps w:val="false"/>
          <w:sz w:val="20"/>
        </w:rPr>
        <w:t>FASB</w:t>
      </w:r>
      <w:r>
        <w:rPr>
          <w:rFonts w:ascii="Times New Roman;Times;Serif" w:hAnsi="Times New Roman;Times;Serif"/>
          <w:b w:val="false"/>
          <w:i w:val="false"/>
          <w:caps w:val="false"/>
          <w:smallCaps w:val="false"/>
          <w:sz w:val="20"/>
        </w:rPr>
        <w:t>”) issued Accounting Standards Update (“</w:t>
      </w:r>
      <w:r>
        <w:rPr>
          <w:rFonts w:ascii="Times New Roman;Times;Serif" w:hAnsi="Times New Roman;Times;Serif"/>
          <w:b/>
          <w:i w:val="false"/>
          <w:caps w:val="false"/>
          <w:smallCaps w:val="false"/>
          <w:sz w:val="20"/>
        </w:rPr>
        <w:t>ASU</w:t>
      </w:r>
      <w:r>
        <w:rPr>
          <w:rFonts w:ascii="Times New Roman;Times;Serif" w:hAnsi="Times New Roman;Times;Serif"/>
          <w:b w:val="false"/>
          <w:i w:val="false"/>
          <w:caps w:val="false"/>
          <w:smallCaps w:val="false"/>
          <w:sz w:val="20"/>
        </w:rPr>
        <w:t>”) 2021-04, Earnings Per Share (Topic 260), Debt Modifications and Extinguishments (Subtopic 470 50), Compensation – Stock Based Compensation (Topic 718), and Derivatives and Hedging –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2021-04 are effective January 1, 2022. This ASU shall be applied on a prospective basis. The adoption of this guidance did not have a material impact on the accompanying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2020, the FASB issued ASU 2020-06, </w:t>
      </w:r>
      <w:r>
        <w:rPr>
          <w:rFonts w:ascii="Times New Roman;Times;Serif" w:hAnsi="Times New Roman;Times;Serif"/>
          <w:b w:val="false"/>
          <w:i/>
          <w:caps w:val="false"/>
          <w:smallCaps w:val="false"/>
          <w:sz w:val="20"/>
        </w:rPr>
        <w:t xml:space="preserve">Debt—Debt with Conversion and Other Options (Subtopic 470-20) and Derivatives and Hedging—Contracts in Entity’s Own Equity (Subtopic 815-40)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ASU 2020-06</w:t>
      </w:r>
      <w:r>
        <w:rPr>
          <w:rFonts w:ascii="Times New Roman;Times;Serif" w:hAnsi="Times New Roman;Times;Serif"/>
          <w:b w:val="false"/>
          <w:i w:val="false"/>
          <w:caps w:val="false"/>
          <w:smallCaps w:val="false"/>
          <w:sz w:val="20"/>
        </w:rPr>
        <w:t>”)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and may be early adopted at the beginning of fiscal year 2023. The Company is currently assessing the impact, if any, that ASU 2020-06 would have on its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Cash, Restricted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debt securities purchased with a maturity of three months or less to be cash equivalents. There were no cash equivalents as of December 31, 2022 or 2021. The Company also maintained a restricted cash balance to satisfy its note payable requirements as of December 31, 2021 (Refer to Note 7). There were no restricted cash balances as of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trade receivables are recorded when billed and represent claims against third parties that will be settled in cash. Generally, payment is due from customers within 30-60 days of the invoice date and the contracts do not have significant financing components. Trade accounts receivables are recorded gross and are net of any applicable allowance. The Company has an allowance for doubtful accounts as of December 31, 2022 and 2021 of $90 and $50,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(Note 5),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2022 and 2021, no such reserves were necessary.</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including the cost of significant improvements and renovations. Costs of routine repairs and maintenance are charged to expense as incurred. Depreciation and amortization are calculated by the straight-line method over the estimated useful lives for owned property, or, for leasehold improvements, over the shorter of the asset’s useful life or term of the lease. Depreciation expense for the years ended December 31, 2022 and 2021 was $891 and $617, respectively. The various classes of property and equipment and estimated useful lives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VARIOUS CLASSES OF PROPERTY AND EQUIPMENT AND ESTIMATED USEFUL LIVES</w:t>
      </w:r>
    </w:p>
    <w:tbl>
      <w:tblPr>
        <w:tblW w:w="4660" w:type="dxa"/>
        <w:jc w:val="left"/>
        <w:tblInd w:w="0" w:type="dxa"/>
        <w:tblLayout w:type="fixed"/>
        <w:tblCellMar>
          <w:top w:w="0" w:type="dxa"/>
          <w:left w:w="0" w:type="dxa"/>
          <w:bottom w:w="0" w:type="dxa"/>
          <w:right w:w="0" w:type="dxa"/>
        </w:tblCellMar>
      </w:tblPr>
      <w:tblGrid>
        <w:gridCol w:w="2540"/>
        <w:gridCol w:w="2120"/>
      </w:tblGrid>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 and equipment</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7 years</w:t>
            </w:r>
          </w:p>
        </w:tc>
      </w:tr>
      <w:tr>
        <w:trPr/>
        <w:tc>
          <w:tcPr>
            <w:tcW w:w="2540"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Vehicles</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years</w:t>
            </w:r>
          </w:p>
        </w:tc>
      </w:tr>
      <w:tr>
        <w:trPr/>
        <w:tc>
          <w:tcPr>
            <w:tcW w:w="2540"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to 7 years </w:t>
            </w:r>
          </w:p>
        </w:tc>
      </w:tr>
      <w:tr>
        <w:trPr/>
        <w:tc>
          <w:tcPr>
            <w:tcW w:w="2540"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Term of Lease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w:t>
      </w:r>
      <w:r>
        <w:rPr>
          <w:rFonts w:ascii="Times New Roman;Times;Serif" w:hAnsi="Times New Roman;Times;Serif"/>
          <w:b/>
          <w:i w:val="false"/>
          <w:caps w:val="false"/>
          <w:smallCaps w:val="false"/>
          <w:sz w:val="20"/>
        </w:rPr>
        <w:t>ASC 480</w:t>
      </w:r>
      <w:r>
        <w:rPr>
          <w:rFonts w:ascii="Times New Roman;Times;Serif" w:hAnsi="Times New Roman;Times;Serif"/>
          <w:b w:val="false"/>
          <w:i w:val="false"/>
          <w:caps w:val="false"/>
          <w:smallCaps w:val="false"/>
          <w:sz w:val="20"/>
        </w:rPr>
        <w:t>”), and ASC 815, Derivatives and Hedging (“</w:t>
      </w:r>
      <w:r>
        <w:rPr>
          <w:rFonts w:ascii="Times New Roman;Times;Serif" w:hAnsi="Times New Roman;Times;Serif"/>
          <w:b/>
          <w:i w:val="false"/>
          <w:caps w:val="false"/>
          <w:smallCaps w:val="false"/>
          <w:sz w:val="20"/>
        </w:rPr>
        <w:t>ASC 815</w:t>
      </w:r>
      <w:r>
        <w:rPr>
          <w:rFonts w:ascii="Times New Roman;Times;Serif" w:hAnsi="Times New Roman;Times;Serif"/>
          <w:b w:val="false"/>
          <w:i w:val="false"/>
          <w:caps w:val="false"/>
          <w:smallCaps w:val="false"/>
          <w:sz w:val="20"/>
        </w:rPr>
        <w:t>”),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receive payments at the onset of the contract before delivery of goods for customers in the retail channel. Payment terms for distributors and OEMs are due within 30-60 days after shipment. In such instances, the Company records a customer deposit liability. The Company recognizes these contract liabilities as sales after the revenue criteria are met. The company had $1,779 of contract liabilities as of January 1, 2021. As of December 31, 2022 and 2021, the contract liability related to the Company’s customer deposits approximated $238 and $434, respectively. The entire contract liability balance as of December 31, 2021 was recognized as revenue during the year ended December 31, 2022. The entire contract liability balance as of January 1, 2021 was recognized as revenue during the year ended December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 our disaggregated revenues by distribution channel:</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DISAGGREGATED REVENUES BY DISTRIBUTION CHANNEL</w:t>
      </w:r>
    </w:p>
    <w:tbl>
      <w:tblPr>
        <w:tblW w:w="4990" w:type="dxa"/>
        <w:jc w:val="left"/>
        <w:tblInd w:w="0" w:type="dxa"/>
        <w:tblLayout w:type="fixed"/>
        <w:tblCellMar>
          <w:top w:w="0" w:type="dxa"/>
          <w:left w:w="0" w:type="dxa"/>
          <w:bottom w:w="28" w:type="dxa"/>
          <w:right w:w="0" w:type="dxa"/>
        </w:tblCellMar>
      </w:tblPr>
      <w:tblGrid>
        <w:gridCol w:w="3095"/>
        <w:gridCol w:w="60"/>
        <w:gridCol w:w="140"/>
        <w:gridCol w:w="680"/>
        <w:gridCol w:w="60"/>
        <w:gridCol w:w="60"/>
        <w:gridCol w:w="140"/>
        <w:gridCol w:w="680"/>
        <w:gridCol w:w="75"/>
      </w:tblGrid>
      <w:tr>
        <w:trPr/>
        <w:tc>
          <w:tcPr>
            <w:tcW w:w="309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Sales</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75" w:type="dxa"/>
            <w:tcBorders/>
            <w:tcMar>
              <w:bottom w:w="0" w:type="dxa"/>
            </w:tcMar>
            <w:vAlign w:val="center"/>
          </w:tcPr>
          <w:p>
            <w:pPr>
              <w:pStyle w:val="TableContents"/>
              <w:bidi w:val="0"/>
              <w:spacing w:before="0" w:after="283"/>
              <w:jc w:val="left"/>
              <w:rPr/>
            </w:pPr>
            <w:r>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Retail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59,042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Distributor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10,733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Original equipment manufacture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Shipping and Handling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$5,440 and $5,105 for the years ended December 31, 2022 and 2021,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Product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assurance type warranties from 5 to 10 years on its products. The Company estimates the costs associated with the warranty obligation using historical data of warranty claims and costs incurred to satisfy those claims and records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2022 and 2021 to be $328 and $0,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from three customers comprised approximately 18%, 10% and 10%, respectively, of accounts receivable as of December 31, 2022. Receivables from two customers comprised approximately 42% and 16%, respectively, of accounts receivable as of December 31, 2021. There are no other significant accounts receivable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one customer accounted for approximately 22% of the Company’s sales for year ended December 31, 2022. There were no significant revenue concentrations for the year ended December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Payables to one vendor comprised approximately 61% of accounts payables as of December 31, 2022. There were no significant payable concentrations as of December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one vendor accounted for approximately 28% of the Company’s total purchases, respectively. For the year ended December 31, 2021, three vendors accounted for approximately 27%, 10% and 10% of the Company’s total purchases,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Deferred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they are incurred and are included in selling and marketing expenses. Advertising expenses amounted to $2,334 and $1,690 for the years ended December 31, 2022 and 2021,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 based compensation arrangements with employees and non employee consultants using a fair value method which requires the recognition of compensation expense for costs related to all stock based payments, including stock options (Note 14).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 based compensation awards granted to non employees at fair value as the awards vest and recognizes the resulting value as compensation expense at each financial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(Note 9)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 tax benefit for an uncertain tax position only if it is more likely than not that the tax position will be sustained on examination by taxing authorities, based on the technical merits of the position. The Company has a liability of $128 and $0 as of December 31, 2022 and 2021, respectively, of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accounting policy is to include penalties and interest related to income taxes if any, in selling, general and administrative expenses. We regularly assess the need to record a valuation allowance against net deferred tax assets if, based upon the available evidence, it is more likely than not that some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Net (Loss) Earnings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earnings per share is calculated by dividing net (loss) earnings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number of common shares included in the computation of diluted net (loss) earnings gives effect to all potentially dilutive common equivalent shares, including outstanding 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equivalent shares are excluded from the computation of diluted net (loss) earnings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Merger has been accounted for as a reverse recapitalization, the consolidated financial statements of the merged entity reflect the continuation of the pre-merger Legacy Dragonfly financial statements; Dragonfly equity has been retroactively adjusted to the earliest period presented to reflect the legal capital of the legal acquirer, CNTQ. As a result, net (loss) earnings per share was also retrospectively adjusted for periods ended prior to the Merger. See </w:t>
      </w:r>
      <w:r>
        <w:rPr>
          <w:rFonts w:ascii="Times New Roman;Times;Serif" w:hAnsi="Times New Roman;Times;Serif"/>
          <w:b w:val="false"/>
          <w:i/>
          <w:caps w:val="false"/>
          <w:smallCaps w:val="false"/>
          <w:sz w:val="20"/>
        </w:rPr>
        <w:t>Note 3 - Reverse Capitalization</w:t>
      </w:r>
      <w:r>
        <w:rPr>
          <w:rFonts w:ascii="Times New Roman;Times;Serif" w:hAnsi="Times New Roman;Times;Serif"/>
          <w:b w:val="false"/>
          <w:i w:val="false"/>
          <w:caps w:val="false"/>
          <w:smallCaps w:val="false"/>
          <w:sz w:val="20"/>
        </w:rPr>
        <w:t xml:space="preserve"> for details and discussion of the retrospective adjustment of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Financial Accounting Standards Board (“FASB”) Accounting Standard Update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3 – REVERSE CAPITALIZATION</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Legacy Dragonfly consummated a merger with CNTQ. Legacy Dragonfly was deemed to be the accounting acquirer in the merger. The determination was primarily based on Legacy Dragonfly’s stockholders having a majority of the voting power in the combined Company, Legacy Dragonfly having the ability to appoint a majority of the Board of Directors of the Company, Legacy Dragonfly’s existing management team comprising the senior management of the combined Company, Legacy Dragonfly comprising the ongoing operations of the combined Company and the combined Company assumed the name “Dragonfly Energy Holdings Corp.”. Accordingly, for accounting purposes, the merger was treated as the equivalent of Legacy Dragonfly issuing stock for the net assets of CNTQ, accompanied by a recapitalization. The net assets of CNTQ are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guidance applicable to these circumstances, the equity structure has been restated in all comparable periods up to October 7, 2022, to reflect the number of shares of the Company’s common stock, $0.0001 par value per share, issued to Legacy Dragonfly’s stockholders in connection with the merger. As such, the shares and corresponding capital amounts and earnings per share related to Legacy Dragonfly’s outstanding convertible preferred stock and Legacy Dragonfly’s common stock prior to the merger have been retroactively restated as shares reflecting the exchange ratio of 1.182 established in the merger. Legacy Dragonfly’s convertible preferred stock previously classified as temporary equity was retroactively adjusted, converted into common stock and reclassified to permanent equity as a result of the reverse recapitalization.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before the closing of the merger, and prior to the PIPE Financing, and the funds remaining after such redemptions, totaling approximately $6,265, became available to finance transaction expenses and the future operations of New Dragonfly. In connection with the merger, CNTQ entered into agreements with new investors and existing Legacy Dragonfly investors to subscribe and purchase an aggregate of approximately 500,000 shares of CNTQ Class A common stock (the “</w:t>
      </w:r>
      <w:r>
        <w:rPr>
          <w:rFonts w:ascii="Times New Roman;Times;Serif" w:hAnsi="Times New Roman;Times;Serif"/>
          <w:b/>
          <w:i w:val="false"/>
          <w:caps w:val="false"/>
          <w:smallCaps w:val="false"/>
          <w:sz w:val="20"/>
        </w:rPr>
        <w:t>PIPE 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Financing was consummated on September 26, 2022 and resulted in gross proceeds of an additional approximately $5,017, prior to payment of the transaction costs. As part of the PIPE Financing, the Company entered an initial Term Loan for an aggregate principal amount of $75,000. The Company incurred debt issuance costs of $1,950 of original issuance discount and additional $2,081 of transaction costs that were allocated to the Term Loan, resulting in net cash proceeds of $70,969. In addition, $52,956 of Term Loan warrants based on their combined relative fair values was recorded as a debt discount resulting in initial carrying amount of debt of $18,013. Pursuant to the terms of the loan agreement, the Term Loan was advanced in one tranche on the closing date and the funds were used to refinance on the closing date prior indebtedness of $42,492 (including payment of make-whole interest related to early extinguishment of debt),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direct and incremental transaction costs of approximately $13,221 were allocated to all instruments assumed and issued in the merger on a relative fair value basis. As such, the Company allocated $2,081 to the Term Loan, $9,633 to equity instruments, which was expensed in general and administrative expenses as the offering costs exceeded the proceeds received, and $1,507 to the warrant liabilities assumed and warrant liabilities issued with the term debt, which was expensed within the general and administrative expenses within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pursuant to the terms of the merger, the Company assumed $18,072 of CNTQ accrued and unpaid transaction expenses, of which all were paid upon consummation of the merger. As detailed below, $10,197 of these costs were expensed as the amount exceeded the proceeds received and such costs were determined not be a return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the Company’s certificate of incorporation was amended and restated to, among other things, increase the total number of authorized shares of all classes of capital stock to 175,000,000 common shares, of which 170,000,000 were designated as common stock and 5,000,000 were designated as preferred stock, both having a par value of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holders of Legacy Dragonfly common stock and preferred stock received shares of common stock in an amount determined by application of the Exchange Ratio. For periods prior to the merger, the reported share and per share amounts have been retroactively converted by applying the Exchange Ratio. The consolidated assets, liabilities, and results of operations prior to the merger are those of Legacy Dragonfly.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elements of the merger allocated to the Consolidated Statements of Operations: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MERGER CASH FLOW AND SHAREHOLDERS EQUITY</w:t>
      </w:r>
    </w:p>
    <w:tbl>
      <w:tblPr>
        <w:tblW w:w="4565" w:type="dxa"/>
        <w:jc w:val="left"/>
        <w:tblInd w:w="0" w:type="dxa"/>
        <w:tblLayout w:type="fixed"/>
        <w:tblCellMar>
          <w:top w:w="0" w:type="dxa"/>
          <w:left w:w="0" w:type="dxa"/>
          <w:bottom w:w="0" w:type="dxa"/>
          <w:right w:w="0" w:type="dxa"/>
        </w:tblCellMar>
      </w:tblPr>
      <w:tblGrid>
        <w:gridCol w:w="3635"/>
        <w:gridCol w:w="60"/>
        <w:gridCol w:w="125"/>
        <w:gridCol w:w="650"/>
        <w:gridCol w:w="95"/>
      </w:tblGrid>
      <w:tr>
        <w:trPr/>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CNTQ trust and PIPE Investors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CNTQ</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Proceeds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liabilities assumed in merger transaction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assumed in merger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CNTQ note payable settlement at close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CNTQ transaction costs paid at close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deficit assumed in recapitalization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(10,197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rPr>
      </w:pPr>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rPr>
      </w:pPr>
      <w:r>
        <w:rPr>
          <w:caps/>
        </w:rPr>
        <w:t> </w:t>
      </w:r>
    </w:p>
    <w:tbl>
      <w:tblPr>
        <w:tblW w:w="7544" w:type="dxa"/>
        <w:jc w:val="left"/>
        <w:tblInd w:w="0" w:type="dxa"/>
        <w:tblLayout w:type="fixed"/>
        <w:tblCellMar>
          <w:top w:w="0" w:type="dxa"/>
          <w:left w:w="0" w:type="dxa"/>
          <w:bottom w:w="0" w:type="dxa"/>
          <w:right w:w="0" w:type="dxa"/>
        </w:tblCellMar>
      </w:tblPr>
      <w:tblGrid>
        <w:gridCol w:w="5630"/>
        <w:gridCol w:w="60"/>
        <w:gridCol w:w="90"/>
        <w:gridCol w:w="1654"/>
        <w:gridCol w:w="110"/>
      </w:tblGrid>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Number of Shares</w:t>
            </w:r>
          </w:p>
        </w:tc>
        <w:tc>
          <w:tcPr>
            <w:tcW w:w="110" w:type="dxa"/>
            <w:tcBorders/>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outstanding prior to merger</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3,093,348</w:t>
            </w:r>
          </w:p>
        </w:tc>
        <w:tc>
          <w:tcPr>
            <w:tcW w:w="11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Redemption of CNTQ shares</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(2,016,912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CNTQ Public Shares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1,076,436</w:t>
            </w:r>
          </w:p>
        </w:tc>
        <w:tc>
          <w:tcPr>
            <w:tcW w:w="11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CNTQ Sponsor Shares</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3,162,500</w:t>
            </w:r>
          </w:p>
        </w:tc>
        <w:tc>
          <w:tcPr>
            <w:tcW w:w="11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Merger and PIPE financing shares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4,238,936</w:t>
            </w:r>
          </w:p>
        </w:tc>
        <w:tc>
          <w:tcPr>
            <w:tcW w:w="11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Legacy Dragonfly shares </w:t>
            </w:r>
            <w:r>
              <w:rPr>
                <w:rFonts w:ascii="Times New Roman;Times;Serif" w:hAnsi="Times New Roman;Times;Serif"/>
                <w:position w:val="7"/>
                <w:sz w:val="16"/>
                <w:sz w:val="20"/>
              </w:rPr>
              <w:t>(1)(2)</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38,576,650</w:t>
            </w:r>
          </w:p>
        </w:tc>
        <w:tc>
          <w:tcPr>
            <w:tcW w:w="11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of common stock immediately after the merger</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42,815,586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(1)</w:t>
            </w:r>
          </w:p>
        </w:tc>
        <w:tc>
          <w:tcPr>
            <w:tcW w:w="997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number of Legacy Dragonfly shares was determined from the shares of Legacy Dragonfly outstanding immediately prior to the closing of the merger converted at the Exchange Ratio. All fractional shares were rounded down.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right"/>
              <w:rPr>
                <w:i/>
              </w:rPr>
            </w:pPr>
            <w:r>
              <w:rPr>
                <w:i/>
              </w:rPr>
              <w:t>(2)</w:t>
            </w:r>
          </w:p>
        </w:tc>
        <w:tc>
          <w:tcPr>
            <w:tcW w:w="9939" w:type="dxa"/>
            <w:tcBorders/>
            <w:vAlign w:val="center"/>
          </w:tcPr>
          <w:p>
            <w:pPr>
              <w:pStyle w:val="TableContents"/>
              <w:bidi w:val="0"/>
              <w:spacing w:before="0" w:after="283"/>
              <w:jc w:val="both"/>
              <w:rPr/>
            </w:pPr>
            <w:r>
              <w:rPr/>
              <w:t>-</w:t>
            </w:r>
            <w:r>
              <w:rPr>
                <w:i/>
              </w:rPr>
              <w:t>The preferred shares of Legacy Dragonfly were exchanged on a 1 to 1 ratio to common stock and the shares were then exchanged for shares of Dragonfly Energy Holdings Corp. at the Exchange Ratio.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reverse capitalization transaction, the Company issued public warrants, private placement warrants and Term Loan warrants. Refer to Note 12 for a further description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Earnout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w:t>
      </w:r>
      <w:r>
        <w:rPr>
          <w:rFonts w:ascii="Times New Roman;Times;Serif" w:hAnsi="Times New Roman;Times;Serif"/>
          <w:b/>
          <w:i w:val="false"/>
          <w:caps w:val="false"/>
          <w:smallCaps w:val="false"/>
          <w:sz w:val="20"/>
        </w:rPr>
        <w:t>Earnout Shares</w:t>
      </w:r>
      <w:r>
        <w:rPr>
          <w:rFonts w:ascii="Times New Roman;Times;Serif" w:hAnsi="Times New Roman;Times;Serif"/>
          <w:b w:val="false"/>
          <w:i w:val="false"/>
          <w:caps w:val="false"/>
          <w:smallCaps w:val="false"/>
          <w:sz w:val="20"/>
        </w:rPr>
        <w:t>”).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Earnout Shares as either equity-classified or liability-classified instruments based on an assessment of the Earnout Shares specific terms and applicable authoritative guidance in ASC 480, Distinguishing Liabilities from Equity (“</w:t>
      </w:r>
      <w:r>
        <w:rPr>
          <w:rFonts w:ascii="Times New Roman;Times;Serif" w:hAnsi="Times New Roman;Times;Serif"/>
          <w:b/>
          <w:i w:val="false"/>
          <w:caps w:val="false"/>
          <w:smallCaps w:val="false"/>
          <w:sz w:val="20"/>
        </w:rPr>
        <w:t>ASC 480</w:t>
      </w:r>
      <w:r>
        <w:rPr>
          <w:rFonts w:ascii="Times New Roman;Times;Serif" w:hAnsi="Times New Roman;Times;Serif"/>
          <w:b w:val="false"/>
          <w:i w:val="false"/>
          <w:caps w:val="false"/>
          <w:smallCaps w:val="false"/>
          <w:sz w:val="20"/>
        </w:rPr>
        <w:t>”) and ASC 815, as defined below. The Company has determined that the Earnout Shares are indexed to the Company’s common stock and are therefore not precluded from equity classification. Such accounting determination will be assessed at each financial statement reporting date to determine whether equity classification remains appropriate. If the Earnout Shares are later determined to be liability-classified instruments, the Company would recognize subsequent changes in the fair value of such Earnout Shares within earnings at each reporting period during the earnout period. The value of the Earnout Shares was prepared utilizing a Monte Carlo simulation model. The significant assumptions utilized in determining the fair value of Earnout Shares include the following: (1) a price for our common stock of approximately $14.00; (2) a risk-free rate of 4.24%; (3) projected revenue and EBITDA of $255,100 and $41,000, respectively; (4) expected volatility of future annual revenue and future annual EBITDA of 42.0% and 64.0% respectively; (5) discount rate of 4.24%; and (6) expected probability of change in control of 15.0%.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treatment of the Earnout Shares have been recognized at fair value upon the closing of the merger and classified in stockholders’ equity. Because the merger is accounted for as a reverse recapitalization, the recognition of the Earnout Shares has been treated as a deemed dividend and has been recorded within additional-paid-in-capital and has no net impact on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4 -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w:t>
      </w:r>
      <w:r>
        <w:rPr>
          <w:rFonts w:ascii="Times New Roman;Times;Serif" w:hAnsi="Times New Roman;Times;Serif"/>
          <w:b/>
          <w:i w:val="false"/>
          <w:caps w:val="false"/>
          <w:smallCaps w:val="false"/>
          <w:sz w:val="20"/>
        </w:rPr>
        <w:t>ASC 820</w:t>
      </w:r>
      <w:r>
        <w:rPr>
          <w:rFonts w:ascii="Times New Roman;Times;Serif" w:hAnsi="Times New Roman;Times;Serif"/>
          <w:b w:val="false"/>
          <w:i w:val="false"/>
          <w:caps w:val="false"/>
          <w:smallCaps w:val="false"/>
          <w:sz w:val="20"/>
        </w:rPr>
        <w:t>”),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 inputs are quoted prices (unadjusted) in active markets for identical assets or liabilities.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2 inputs are inputs other than quoted prices included within Level 1 that are observable for a similar asset or liability, either directly or indirectly.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3 inputs are unobservable inputs that reflect the Company’s own assumptions about the inputs that market participants would use in pricing the asset or liability.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December 31, 2022 and 2021:</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ASSETS AND LIABILITIES</w:t>
      </w:r>
    </w:p>
    <w:tbl>
      <w:tblPr>
        <w:tblW w:w="10205" w:type="dxa"/>
        <w:jc w:val="left"/>
        <w:tblInd w:w="0" w:type="dxa"/>
        <w:tblLayout w:type="fixed"/>
        <w:tblCellMar>
          <w:top w:w="0" w:type="dxa"/>
          <w:left w:w="0" w:type="dxa"/>
          <w:bottom w:w="0" w:type="dxa"/>
          <w:right w:w="0" w:type="dxa"/>
        </w:tblCellMar>
      </w:tblPr>
      <w:tblGrid>
        <w:gridCol w:w="4216"/>
        <w:gridCol w:w="60"/>
        <w:gridCol w:w="286"/>
        <w:gridCol w:w="1402"/>
        <w:gridCol w:w="60"/>
        <w:gridCol w:w="60"/>
        <w:gridCol w:w="174"/>
        <w:gridCol w:w="847"/>
        <w:gridCol w:w="60"/>
        <w:gridCol w:w="60"/>
        <w:gridCol w:w="207"/>
        <w:gridCol w:w="678"/>
        <w:gridCol w:w="60"/>
        <w:gridCol w:w="60"/>
        <w:gridCol w:w="177"/>
        <w:gridCol w:w="710"/>
        <w:gridCol w:w="60"/>
        <w:gridCol w:w="60"/>
        <w:gridCol w:w="150"/>
        <w:gridCol w:w="737"/>
        <w:gridCol w:w="81"/>
      </w:tblGrid>
      <w:tr>
        <w:trPr/>
        <w:tc>
          <w:tcPr>
            <w:tcW w:w="42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848"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December 31, 2022</w:t>
            </w:r>
          </w:p>
        </w:tc>
        <w:tc>
          <w:tcPr>
            <w:tcW w:w="81" w:type="dxa"/>
            <w:tcBorders/>
            <w:vAlign w:val="center"/>
          </w:tcPr>
          <w:p>
            <w:pPr>
              <w:pStyle w:val="TableContents"/>
              <w:bidi w:val="0"/>
              <w:spacing w:before="0" w:after="283"/>
              <w:jc w:val="center"/>
              <w:rPr/>
            </w:pPr>
            <w:r>
              <w:rPr/>
              <w:t> </w:t>
            </w:r>
          </w:p>
        </w:tc>
      </w:tr>
      <w:tr>
        <w:trPr/>
        <w:tc>
          <w:tcPr>
            <w:tcW w:w="42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6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Carrying 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(Level 3)</w:t>
            </w:r>
          </w:p>
        </w:tc>
        <w:tc>
          <w:tcPr>
            <w:tcW w:w="81" w:type="dxa"/>
            <w:tcBorders/>
            <w:vAlign w:val="center"/>
          </w:tcPr>
          <w:p>
            <w:pPr>
              <w:pStyle w:val="TableContents"/>
              <w:bidi w:val="0"/>
              <w:spacing w:before="0" w:after="283"/>
              <w:jc w:val="center"/>
              <w:rPr/>
            </w:pPr>
            <w:r>
              <w:rPr/>
              <w:t> </w:t>
            </w:r>
          </w:p>
        </w:tc>
      </w:tr>
      <w:tr>
        <w:trPr/>
        <w:tc>
          <w:tcPr>
            <w:tcW w:w="4216" w:type="dxa"/>
            <w:tcBorders/>
            <w:shd w:fill="CCEEFF" w:val="cle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8"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7"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7"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liability-Term Loan</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30,841</w:t>
            </w:r>
          </w:p>
        </w:tc>
        <w:tc>
          <w:tcPr>
            <w:tcW w:w="81" w:type="dxa"/>
            <w:tcBorders/>
            <w:shd w:fill="FFFFFF" w:val="clear"/>
            <w:vAlign w:val="center"/>
          </w:tcPr>
          <w:p>
            <w:pPr>
              <w:pStyle w:val="TableContents"/>
              <w:bidi w:val="0"/>
              <w:spacing w:before="0" w:after="283"/>
              <w:jc w:val="left"/>
              <w:rPr/>
            </w:pPr>
            <w:r>
              <w:rPr/>
              <w:t> </w:t>
            </w:r>
          </w:p>
        </w:tc>
      </w:tr>
      <w:tr>
        <w:trPr/>
        <w:tc>
          <w:tcPr>
            <w:tcW w:w="42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liability-Private Placement Warrants</w:t>
            </w:r>
          </w:p>
        </w:tc>
        <w:tc>
          <w:tcPr>
            <w:tcW w:w="60" w:type="dxa"/>
            <w:tcBorders/>
            <w:shd w:fill="CCEEFF" w:val="clear"/>
            <w:vAlign w:val="center"/>
          </w:tcPr>
          <w:p>
            <w:pPr>
              <w:pStyle w:val="TableContents"/>
              <w:bidi w:val="0"/>
              <w:spacing w:before="0" w:after="283"/>
              <w:jc w:val="left"/>
              <w:rPr/>
            </w:pPr>
            <w:r>
              <w:rPr/>
              <w:t> </w:t>
            </w:r>
          </w:p>
        </w:tc>
        <w:tc>
          <w:tcPr>
            <w:tcW w:w="2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1" w:type="dxa"/>
            <w:tcBorders/>
            <w:shd w:fill="CCEEFF"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30,841</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assets or liabilities that were measured at fair value as of December 31, 2021.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accounts receivable and accounts payable are considered level 1 and approximate fair value as of December 31, 2022 and 2021 because of the relatively short maturity of these instruments.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term loan and fixed rate senior notes as of December 31, 2022 and 2021, respectively, are considered level 2 and approximates their fair value as the interest rate does not differ significantly from the current market rates available to the Company for similar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INVENTORY</w:t>
      </w:r>
    </w:p>
    <w:tbl>
      <w:tblPr>
        <w:tblW w:w="4573" w:type="dxa"/>
        <w:jc w:val="left"/>
        <w:tblInd w:w="0" w:type="dxa"/>
        <w:tblLayout w:type="fixed"/>
        <w:tblCellMar>
          <w:top w:w="0" w:type="dxa"/>
          <w:left w:w="0" w:type="dxa"/>
          <w:bottom w:w="0" w:type="dxa"/>
          <w:right w:w="0" w:type="dxa"/>
        </w:tblCellMar>
      </w:tblPr>
      <w:tblGrid>
        <w:gridCol w:w="1490"/>
        <w:gridCol w:w="60"/>
        <w:gridCol w:w="241"/>
        <w:gridCol w:w="1173"/>
        <w:gridCol w:w="60"/>
        <w:gridCol w:w="60"/>
        <w:gridCol w:w="241"/>
        <w:gridCol w:w="1173"/>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2021</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22,885</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Finished goods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4,242</w:t>
            </w:r>
          </w:p>
        </w:tc>
        <w:tc>
          <w:tcPr>
            <w:tcW w:w="7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inventory</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related to the main office, warehouse space, research and development lab, and engineering office, all located in Reno, Nevada. The leases require annual escalating monthly payments ranging from $60 to $74. In December of 2021, the Company entered into another lease for additional warehouse space located in Reno, Nevada that requires annual escalating monthly payments ranging from $47 to $55.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December 31, 2022, the lease has not commenced as the Company does not have control over the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breakout of the operating leases as of:</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TABLE REPRESENTING THE BREAKOUT OF THE OPERATING LEASES</w:t>
      </w:r>
    </w:p>
    <w:tbl>
      <w:tblPr>
        <w:tblW w:w="6840" w:type="dxa"/>
        <w:jc w:val="left"/>
        <w:tblInd w:w="0" w:type="dxa"/>
        <w:tblLayout w:type="fixed"/>
        <w:tblCellMar>
          <w:top w:w="0" w:type="dxa"/>
          <w:left w:w="0" w:type="dxa"/>
          <w:bottom w:w="0" w:type="dxa"/>
          <w:right w:w="0" w:type="dxa"/>
        </w:tblCellMar>
      </w:tblPr>
      <w:tblGrid>
        <w:gridCol w:w="3755"/>
        <w:gridCol w:w="60"/>
        <w:gridCol w:w="283"/>
        <w:gridCol w:w="1132"/>
        <w:gridCol w:w="60"/>
        <w:gridCol w:w="60"/>
        <w:gridCol w:w="283"/>
        <w:gridCol w:w="1132"/>
        <w:gridCol w:w="75"/>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2021</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5,709</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w:t>
            </w:r>
          </w:p>
        </w:tc>
        <w:tc>
          <w:tcPr>
            <w:tcW w:w="7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4,694</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5,776</w:t>
            </w:r>
          </w:p>
        </w:tc>
        <w:tc>
          <w:tcPr>
            <w:tcW w:w="7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 years</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2022, the future minimum lease payments under these operating leases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THE FUTURE MINIMUM LEASE PAYMENTS UNDER THE OPERATING LEASES</w:t>
      </w:r>
    </w:p>
    <w:tbl>
      <w:tblPr>
        <w:tblW w:w="3735" w:type="dxa"/>
        <w:jc w:val="left"/>
        <w:tblInd w:w="0" w:type="dxa"/>
        <w:tblLayout w:type="fixed"/>
        <w:tblCellMar>
          <w:top w:w="0" w:type="dxa"/>
          <w:left w:w="0" w:type="dxa"/>
          <w:bottom w:w="0" w:type="dxa"/>
          <w:right w:w="0" w:type="dxa"/>
        </w:tblCellMar>
      </w:tblPr>
      <w:tblGrid>
        <w:gridCol w:w="2900"/>
        <w:gridCol w:w="60"/>
        <w:gridCol w:w="140"/>
        <w:gridCol w:w="560"/>
        <w:gridCol w:w="75"/>
      </w:tblGrid>
      <w:tr>
        <w:trPr/>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1,399</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1,435</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1,440</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5,167</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LEASE COST</w:t>
      </w:r>
    </w:p>
    <w:tbl>
      <w:tblPr>
        <w:tblW w:w="7654" w:type="dxa"/>
        <w:jc w:val="left"/>
        <w:tblInd w:w="0" w:type="dxa"/>
        <w:tblLayout w:type="fixed"/>
        <w:tblCellMar>
          <w:top w:w="0" w:type="dxa"/>
          <w:left w:w="0" w:type="dxa"/>
          <w:bottom w:w="0" w:type="dxa"/>
          <w:right w:w="0" w:type="dxa"/>
        </w:tblCellMar>
      </w:tblPr>
      <w:tblGrid>
        <w:gridCol w:w="1940"/>
        <w:gridCol w:w="60"/>
        <w:gridCol w:w="2570"/>
        <w:gridCol w:w="60"/>
        <w:gridCol w:w="283"/>
        <w:gridCol w:w="1132"/>
        <w:gridCol w:w="60"/>
        <w:gridCol w:w="60"/>
        <w:gridCol w:w="380"/>
        <w:gridCol w:w="1034"/>
        <w:gridCol w:w="75"/>
      </w:tblGrid>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940" w:type="dxa"/>
            <w:tcBorders>
              <w:bottom w:val="single" w:sz="12" w:space="0" w:color="000000"/>
            </w:tcBorders>
            <w:tcMar>
              <w:bottom w:w="28" w:type="dxa"/>
            </w:tcMar>
            <w:vAlign w:val="center"/>
          </w:tcPr>
          <w:p>
            <w:pPr>
              <w:pStyle w:val="TableContents"/>
              <w:bidi w:val="0"/>
              <w:spacing w:before="0" w:after="283"/>
              <w:jc w:val="left"/>
              <w:rPr>
                <w:b/>
              </w:rPr>
            </w:pPr>
            <w:r>
              <w:rPr>
                <w:b/>
              </w:rPr>
              <w:t>Lease cost</w:t>
            </w:r>
          </w:p>
        </w:tc>
        <w:tc>
          <w:tcPr>
            <w:tcW w:w="60" w:type="dxa"/>
            <w:tcBorders/>
            <w:vAlign w:val="center"/>
          </w:tcPr>
          <w:p>
            <w:pPr>
              <w:pStyle w:val="TableContents"/>
              <w:bidi w:val="0"/>
              <w:spacing w:before="0" w:after="283"/>
              <w:jc w:val="left"/>
              <w:rPr/>
            </w:pPr>
            <w:r>
              <w:rPr/>
              <w:t> </w:t>
            </w:r>
          </w:p>
        </w:tc>
        <w:tc>
          <w:tcPr>
            <w:tcW w:w="2570" w:type="dxa"/>
            <w:tcBorders>
              <w:bottom w:val="single" w:sz="12" w:space="0" w:color="000000"/>
            </w:tcBorders>
            <w:tcMar>
              <w:bottom w:w="28" w:type="dxa"/>
            </w:tcMar>
            <w:vAlign w:val="center"/>
          </w:tcPr>
          <w:p>
            <w:pPr>
              <w:pStyle w:val="TableContents"/>
              <w:bidi w:val="0"/>
              <w:spacing w:before="0" w:after="283"/>
              <w:jc w:val="left"/>
              <w:rPr>
                <w:b/>
              </w:rPr>
            </w:pPr>
            <w:r>
              <w:rPr>
                <w:b/>
              </w:rPr>
              <w:t>Classification</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633</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Operating lease cost</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103</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pPr>
            <w:r>
              <w:rPr/>
              <w:t>General and administration</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42</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Operating lease cost</w:t>
            </w:r>
          </w:p>
        </w:tc>
        <w:tc>
          <w:tcPr>
            <w:tcW w:w="60" w:type="dxa"/>
            <w:tcBorders/>
            <w:shd w:fill="FFFFFF" w:val="clear"/>
            <w:vAlign w:val="center"/>
          </w:tcPr>
          <w:p>
            <w:pPr>
              <w:pStyle w:val="TableContents"/>
              <w:bidi w:val="0"/>
              <w:spacing w:before="0" w:after="283"/>
              <w:jc w:val="left"/>
              <w:rPr/>
            </w:pPr>
            <w:r>
              <w:rPr/>
              <w:t> </w:t>
            </w:r>
          </w:p>
        </w:tc>
        <w:tc>
          <w:tcPr>
            <w:tcW w:w="257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42</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820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lease costs included in the schedule above are fixed.</w:t>
      </w:r>
    </w:p>
    <w:p>
      <w:pPr>
        <w:pStyle w:val="TextBody"/>
        <w:bidi w:val="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Contingencies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10 for further discussion regarding contingent consideration arising from the April 2022 Asset Purchase agreement with Thomason Jones Company,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3 for further discussion regarding the earnout related to the reverse capitalization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LONG-TERM DEBT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Financing — Trust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the Company entered into agreements to issue $45,000 in fixed rate senior notes (the “</w:t>
      </w:r>
      <w:r>
        <w:rPr>
          <w:rFonts w:ascii="Times New Roman;Times;Serif" w:hAnsi="Times New Roman;Times;Serif"/>
          <w:b/>
          <w:i w:val="false"/>
          <w:caps w:val="false"/>
          <w:smallCaps w:val="false"/>
          <w:sz w:val="20"/>
        </w:rPr>
        <w:t>Series 2021-6 Notes</w:t>
      </w:r>
      <w:r>
        <w:rPr>
          <w:rFonts w:ascii="Times New Roman;Times;Serif" w:hAnsi="Times New Roman;Times;Serif"/>
          <w:b w:val="false"/>
          <w:i w:val="false"/>
          <w:caps w:val="false"/>
          <w:smallCaps w:val="false"/>
          <w:sz w:val="20"/>
        </w:rPr>
        <w:t>”) pursuant to a Trust Indenture held by UMB Bank, as trustee and disbursing agent, and NewLight Capital, LLC as servicer (the “</w:t>
      </w:r>
      <w:r>
        <w:rPr>
          <w:rFonts w:ascii="Times New Roman;Times;Serif" w:hAnsi="Times New Roman;Times;Serif"/>
          <w:b/>
          <w:i w:val="false"/>
          <w:caps w:val="false"/>
          <w:smallCaps w:val="false"/>
          <w:sz w:val="20"/>
        </w:rPr>
        <w:t>Servicer</w:t>
      </w:r>
      <w:r>
        <w:rPr>
          <w:rFonts w:ascii="Times New Roman;Times;Serif" w:hAnsi="Times New Roman;Times;Serif"/>
          <w:b w:val="false"/>
          <w:i w:val="false"/>
          <w:caps w:val="false"/>
          <w:smallCaps w:val="false"/>
          <w:sz w:val="20"/>
        </w:rPr>
        <w:t>”). The trust and debt documents also required the entry into a Lender Collateral Residual Value Insurance Policy (the “</w:t>
      </w:r>
      <w:r>
        <w:rPr>
          <w:rFonts w:ascii="Times New Roman;Times;Serif" w:hAnsi="Times New Roman;Times;Serif"/>
          <w:b/>
          <w:i w:val="false"/>
          <w:caps w:val="false"/>
          <w:smallCaps w:val="false"/>
          <w:sz w:val="20"/>
        </w:rPr>
        <w:t>Insurance Policy</w:t>
      </w:r>
      <w:r>
        <w:rPr>
          <w:rFonts w:ascii="Times New Roman;Times;Serif" w:hAnsi="Times New Roman;Times;Serif"/>
          <w:b w:val="false"/>
          <w:i w:val="false"/>
          <w:caps w:val="false"/>
          <w:smallCaps w:val="false"/>
          <w:sz w:val="20"/>
        </w:rPr>
        <w:t>”), with UMB Bank as named insured for $45,000, and engagement of a placement agent, Tribe Capital Markets,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closing date of the financing the Company received a wire for $35,474, which is comprised of the gross proceeds of $45,000 less $3,188 in deposits to certain reserve accounts (see subsection labeled </w:t>
      </w:r>
      <w:r>
        <w:rPr>
          <w:rFonts w:ascii="Times New Roman;Times;Serif" w:hAnsi="Times New Roman;Times;Serif"/>
          <w:b w:val="false"/>
          <w:i/>
          <w:caps w:val="false"/>
          <w:smallCaps w:val="false"/>
          <w:sz w:val="20"/>
        </w:rPr>
        <w:t xml:space="preserve">Reserve Accounts </w:t>
      </w:r>
      <w:r>
        <w:rPr>
          <w:rFonts w:ascii="Times New Roman;Times;Serif" w:hAnsi="Times New Roman;Times;Serif"/>
          <w:b w:val="false"/>
          <w:i w:val="false"/>
          <w:caps w:val="false"/>
          <w:smallCaps w:val="false"/>
          <w:sz w:val="20"/>
        </w:rPr>
        <w:t xml:space="preserve">below), and $6,338 in expenses withdrawn from the gross proceeds, which included $4,725 in prepaid policy premiums and related costs underlying the Insurance Policy (see subsection labelled </w:t>
      </w:r>
      <w:r>
        <w:rPr>
          <w:rFonts w:ascii="Times New Roman;Times;Serif" w:hAnsi="Times New Roman;Times;Serif"/>
          <w:b w:val="false"/>
          <w:i/>
          <w:caps w:val="false"/>
          <w:smallCaps w:val="false"/>
          <w:sz w:val="20"/>
        </w:rPr>
        <w:t>Collateral</w:t>
      </w:r>
      <w:r>
        <w:rPr>
          <w:rFonts w:ascii="Times New Roman;Times;Serif" w:hAnsi="Times New Roman;Times;Serif"/>
          <w:b w:val="false"/>
          <w:i w:val="false"/>
          <w:caps w:val="false"/>
          <w:smallCaps w:val="false"/>
          <w:sz w:val="20"/>
        </w:rPr>
        <w:t xml:space="preserve"> below), a prepaid loan monitoring fee of $60 and $1,553 in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for the Series 2021-6 Notes underlying the Trust Indenture is $45,000 in principal on the date of the closing of the financing. The debt bears interest at 5.50% per annum accruing monthly on a 360 day basis. Late payments will be subject to a $50 late fee and default interest based on a rate 5 percentage points above the applicable interest immediately prior to such default. The Company was making interest only payments on the unpaid principal amount in arrears, commencing December 1, 2021 and ending on November 1, 2022 (for interest accruing from the Financing Closing Date through October 31, 2022). Beginning on December 1, 2022, the Company was obligated to repay the debt in twenty four equal installments of principal in the amount of $1,875, plus accrued interest on the unpaid principal amount. Any remaining obligations were due and payable on November 1, 2024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obligations under the Trust Indenture will be deemed to be repaid or prepaid to the same extent, in the same amounts and at the same times, as the Series 2021-6 Notes are redeemed with funds provided except for payments made from the proceeds of the Insurance Policy (see subsection labelled </w:t>
      </w:r>
      <w:r>
        <w:rPr>
          <w:rFonts w:ascii="Times New Roman;Times;Serif" w:hAnsi="Times New Roman;Times;Serif"/>
          <w:b w:val="false"/>
          <w:i/>
          <w:caps w:val="false"/>
          <w:smallCaps w:val="false"/>
          <w:sz w:val="20"/>
        </w:rPr>
        <w:t>Collateral</w:t>
      </w:r>
      <w:r>
        <w:rPr>
          <w:rFonts w:ascii="Times New Roman;Times;Serif" w:hAnsi="Times New Roman;Times;Serif"/>
          <w:b w:val="false"/>
          <w:i w:val="false"/>
          <w:caps w:val="false"/>
          <w:smallCaps w:val="false"/>
          <w:sz w:val="20"/>
        </w:rPr>
        <w:t xml:space="preserve"> below) as such funds must be reimbursed by the Company to the insurer.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2022, a total of $1,873 of interest expense was incurred under the debt. Amortization of the debt issuance costs amounted to $1,783 during the year ended December 31, 2022. In connection with the merger on October 7, 2022, the Company entered into a Term Loan, Guarantee and Security Agreement (see subsection labeled </w:t>
      </w:r>
      <w:r>
        <w:rPr>
          <w:rFonts w:ascii="Times New Roman;Times;Serif" w:hAnsi="Times New Roman;Times;Serif"/>
          <w:b w:val="false"/>
          <w:i/>
          <w:caps w:val="false"/>
          <w:smallCaps w:val="false"/>
          <w:sz w:val="20"/>
        </w:rPr>
        <w:t>Term Loan Agreement</w:t>
      </w:r>
      <w:r>
        <w:rPr>
          <w:rFonts w:ascii="Times New Roman;Times;Serif" w:hAnsi="Times New Roman;Times;Serif"/>
          <w:b w:val="false"/>
          <w:i w:val="false"/>
          <w:caps w:val="false"/>
          <w:smallCaps w:val="false"/>
          <w:sz w:val="20"/>
        </w:rPr>
        <w:t xml:space="preserve"> below) and the outstanding principal balance for the Series 2021-6 Notes underlying the Trust Indenture was paid in full. A loss on extinguishment of $4,824 was recognized upon settlement. The net balance of $40,712 on the date of the merger consisted of $45,000 in principal less $4,288 in unamortized debt discount related to the debt issuance costs and Insurance Policy.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Reserve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into the reserve accounts consisted of the following items: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DEPOSITS INTO RESERVE ACCOUNTS</w:t>
      </w:r>
    </w:p>
    <w:tbl>
      <w:tblPr>
        <w:tblW w:w="3240" w:type="dxa"/>
        <w:jc w:val="left"/>
        <w:tblInd w:w="0" w:type="dxa"/>
        <w:tblLayout w:type="fixed"/>
        <w:tblCellMar>
          <w:top w:w="0" w:type="dxa"/>
          <w:left w:w="0" w:type="dxa"/>
          <w:bottom w:w="0" w:type="dxa"/>
          <w:right w:w="0" w:type="dxa"/>
        </w:tblCellMar>
      </w:tblPr>
      <w:tblGrid>
        <w:gridCol w:w="2405"/>
        <w:gridCol w:w="60"/>
        <w:gridCol w:w="140"/>
        <w:gridCol w:w="560"/>
        <w:gridCol w:w="75"/>
      </w:tblGrid>
      <w:tr>
        <w:trPr/>
        <w:tc>
          <w:tcPr>
            <w:tcW w:w="2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Reserve Fund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3,044</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Interest Fund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w:t>
            </w:r>
          </w:p>
        </w:tc>
        <w:tc>
          <w:tcPr>
            <w:tcW w:w="75"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Reserve Fund is a debt service fund to be maintained by UMB Bank, and the initial deposit is equal to the maximum amount of monthly interest and principal debt service payment due on the Series 2021-6 notes, plus interest earned on special redemptions (see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was a deposit account maintained by the trustee and restricted for release upon the occurrence of future events, this deposit was treated as 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Capitalized Interest Fund was created to hold the interest that accrued from the closing date until the first payment due on December 15, 2021. The initial deposit, therefore, was treated as prepaid interest. These funds were utilized to pay the interest incurred through that first payment date, therefore the balance as of December 31, 2021 was $3,088.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above funds, to the extent that they are deposited into interest bearing accounts, earn interest that UMB Bank will transfer into an Interest Earnings Fund, which funds will be held in escrow until the earlier of maturity or when the debt obligations are paid in full (assuming no events of default). There were no funds deposited into interest bearing accounts at December 31, 2022 or December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settled the Trust Indenture and the balance in the Payment Reserve Fund was offset against the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collateral for payment of the debt and certain obligations related to performance under the Trust Indenture and related transaction documents, the Company and the guarantors granted to NewLight Capital, LLC, as representative and for the benefit of UMB Bank a continuing security interest in substantially all of the assets of the Company, including certain intellectual property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Trust Indenture, the Insurance Policy is required as additional collateral guaranteeing the payments under the debt by the Company. The Company determined this was not a direct incremental cost of the financing but rather a cost for maintaining the collateral, recognized under the guidance at ASC 860-30, Transfers and Servicing, Secured Borrowing and Collateral. The premium costs were recognized as a prepaid expense and were being amortized straight line over the term of the policy (three years, unless reduced due to default provisions). The secured party (i.e., UMB Bank, as trustee) would not have the right to sell or repledge either the intellectual property or the insurance collateral unless and until the Company defaulted and a claim was made. Upon settlement of the debt underlying the Trust Indenture, the collateral requirements for the Insurance Policy were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Loan Monitoring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to incur ongoing monitoring service by NewLight Capital, LLC for 24 months at $180 total expense. These services entail monitory of financial records and information related to collateral enforcement on an ongoing basis. The $60 prepayment funded on the date of closing was recognized as a prepaid expense and was being amortized on a straight line basis over the first 10 months of the agreement as the amount was paid in full in connection with the merger. The Company incurred $77 and $10 of monitoring fee expenses during the years ended December 31, 2022 and 2021,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prepayment on that date of $33 was expensed and included in debt extinguishment.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Financial Covenants – Trust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obligated to comply with certain covenants which included a minimum adjusted EBITDA, capital expenditure requirement and minimum fixed charge coverage ratio. The Company was in compliance with all financial covenants as of December 31, 2021 and through October 7, 2022, the date of the settlement of the obligations underlying the Trust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in connection with the merger, CNTQ, Legacy Dragonfly and CCM Investments 5 LLC (“</w:t>
      </w:r>
      <w:r>
        <w:rPr>
          <w:rFonts w:ascii="Times New Roman;Times;Serif" w:hAnsi="Times New Roman;Times;Serif"/>
          <w:b/>
          <w:i w:val="false"/>
          <w:caps w:val="false"/>
          <w:smallCaps w:val="false"/>
          <w:sz w:val="20"/>
        </w:rPr>
        <w:t>CCM 5</w:t>
      </w:r>
      <w:r>
        <w:rPr>
          <w:rFonts w:ascii="Times New Roman;Times;Serif" w:hAnsi="Times New Roman;Times;Serif"/>
          <w:b w:val="false"/>
          <w:i w:val="false"/>
          <w:caps w:val="false"/>
          <w:smallCaps w:val="false"/>
          <w:sz w:val="20"/>
        </w:rPr>
        <w:t>”, and in connection with the Term Loan, the “Chardan Lender”), and EICF Agent LLC (“</w:t>
      </w:r>
      <w:r>
        <w:rPr>
          <w:rFonts w:ascii="Times New Roman;Times;Serif" w:hAnsi="Times New Roman;Times;Serif"/>
          <w:b/>
          <w:i w:val="false"/>
          <w:caps w:val="false"/>
          <w:smallCaps w:val="false"/>
          <w:sz w:val="20"/>
        </w:rPr>
        <w:t>EIP</w:t>
      </w:r>
      <w:r>
        <w:rPr>
          <w:rFonts w:ascii="Times New Roman;Times;Serif" w:hAnsi="Times New Roman;Times;Serif"/>
          <w:b w:val="false"/>
          <w:i w:val="false"/>
          <w:caps w:val="false"/>
          <w:smallCaps w:val="false"/>
          <w:sz w:val="20"/>
        </w:rPr>
        <w:t>” and, collectively with the Chardan Lender, the “</w:t>
      </w:r>
      <w:r>
        <w:rPr>
          <w:rFonts w:ascii="Times New Roman;Times;Serif" w:hAnsi="Times New Roman;Times;Serif"/>
          <w:b/>
          <w:i w:val="false"/>
          <w:caps w:val="false"/>
          <w:smallCaps w:val="false"/>
          <w:sz w:val="20"/>
        </w:rPr>
        <w:t>Initial Term Loan Lenders</w:t>
      </w:r>
      <w:r>
        <w:rPr>
          <w:rFonts w:ascii="Times New Roman;Times;Serif" w:hAnsi="Times New Roman;Times;Serif"/>
          <w:b w:val="false"/>
          <w:i w:val="false"/>
          <w:caps w:val="false"/>
          <w:smallCaps w:val="false"/>
          <w:sz w:val="20"/>
        </w:rPr>
        <w:t>”) entered into the Term Loan, Guarantee and Security Agreement (the “</w:t>
      </w:r>
      <w:r>
        <w:rPr>
          <w:rFonts w:ascii="Times New Roman;Times;Serif" w:hAnsi="Times New Roman;Times;Serif"/>
          <w:b/>
          <w:i w:val="false"/>
          <w:caps w:val="false"/>
          <w:smallCaps w:val="false"/>
          <w:sz w:val="20"/>
        </w:rPr>
        <w:t>Term Loan Agreement</w:t>
      </w:r>
      <w:r>
        <w:rPr>
          <w:rFonts w:ascii="Times New Roman;Times;Serif" w:hAnsi="Times New Roman;Times;Serif"/>
          <w:b w:val="false"/>
          <w:i w:val="false"/>
          <w:caps w:val="false"/>
          <w:smallCaps w:val="false"/>
          <w:sz w:val="20"/>
        </w:rPr>
        <w:t>”) setting forth the terms of a senior secured term loan facility in an aggregate principal amount of $75,000, or the Term Loan. The Chardan Lender backstopped its commitment under the Debt Commitment Letter by entering into a backstop commitment letter, dated as of May 20, 2022 (the “</w:t>
      </w:r>
      <w:r>
        <w:rPr>
          <w:rFonts w:ascii="Times New Roman;Times;Serif" w:hAnsi="Times New Roman;Times;Serif"/>
          <w:b/>
          <w:i w:val="false"/>
          <w:caps w:val="false"/>
          <w:smallCaps w:val="false"/>
          <w:sz w:val="20"/>
        </w:rPr>
        <w:t>Backstop Commitment Letter</w:t>
      </w:r>
      <w:r>
        <w:rPr>
          <w:rFonts w:ascii="Times New Roman;Times;Serif" w:hAnsi="Times New Roman;Times;Serif"/>
          <w:b w:val="false"/>
          <w:i w:val="false"/>
          <w:caps w:val="false"/>
          <w:smallCaps w:val="false"/>
          <w:sz w:val="20"/>
        </w:rPr>
        <w:t>”), with a certain third-party financing source (the “</w:t>
      </w:r>
      <w:r>
        <w:rPr>
          <w:rFonts w:ascii="Times New Roman;Times;Serif" w:hAnsi="Times New Roman;Times;Serif"/>
          <w:b/>
          <w:i w:val="false"/>
          <w:caps w:val="false"/>
          <w:smallCaps w:val="false"/>
          <w:sz w:val="20"/>
        </w:rPr>
        <w:t>Backstop Lender</w:t>
      </w:r>
      <w:r>
        <w:rPr>
          <w:rFonts w:ascii="Times New Roman;Times;Serif" w:hAnsi="Times New Roman;Times;Serif"/>
          <w:b w:val="false"/>
          <w:i w:val="false"/>
          <w:caps w:val="false"/>
          <w:smallCaps w:val="false"/>
          <w:sz w:val="20"/>
        </w:rPr>
        <w:t>” and collectively with EIP, the “</w:t>
      </w:r>
      <w:r>
        <w:rPr>
          <w:rFonts w:ascii="Times New Roman;Times;Serif" w:hAnsi="Times New Roman;Times;Serif"/>
          <w:b/>
          <w:i w:val="false"/>
          <w:caps w:val="false"/>
          <w:smallCaps w:val="false"/>
          <w:sz w:val="20"/>
        </w:rPr>
        <w:t>Term Loan Lenders</w:t>
      </w:r>
      <w:r>
        <w:rPr>
          <w:rFonts w:ascii="Times New Roman;Times;Serif" w:hAnsi="Times New Roman;Times;Serif"/>
          <w:b w:val="false"/>
          <w:i w:val="false"/>
          <w:caps w:val="false"/>
          <w:smallCaps w:val="false"/>
          <w:sz w:val="20"/>
        </w:rPr>
        <w:t>”), pursuant to which the Backstop Lender committed to purchase from the Chardan Lender the aggregate amount of the Term Loan held by the Chardan Lender (the “</w:t>
      </w:r>
      <w:r>
        <w:rPr>
          <w:rFonts w:ascii="Times New Roman;Times;Serif" w:hAnsi="Times New Roman;Times;Serif"/>
          <w:b/>
          <w:i w:val="false"/>
          <w:caps w:val="false"/>
          <w:smallCaps w:val="false"/>
          <w:sz w:val="20"/>
        </w:rPr>
        <w:t>Backstopped Loans</w:t>
      </w:r>
      <w:r>
        <w:rPr>
          <w:rFonts w:ascii="Times New Roman;Times;Serif" w:hAnsi="Times New Roman;Times;Serif"/>
          <w:b w:val="false"/>
          <w:i w:val="false"/>
          <w:caps w:val="false"/>
          <w:smallCaps w:val="false"/>
          <w:sz w:val="20"/>
        </w:rPr>
        <w:t>”) immediately following the issuance of the Term Loan on the Closing Date. Pursuant to an assignment agreement, the Backstopped Loans were assigned by CCM 5 to the Backstop Lender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(or $937.5 on the first day of each calendar quarter) beginning 24 months after the Closing Date and matures on the fourth anniversary of the Closing Date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The Term Loan accrues interest (i) until April 1, 2023, at a per annum rate equal to the adjusted Secured Overnight Financing Rate (“</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Term Loan Agreement, and as a required term and condition thereof, the Company issued (i) the penny warrants to the Term Loan Lenders exercisable to purchase an aggregate of 2,593,056 and (ii) the $10 warrants to issue warrants to the Term Loan Lenders exercisable to purchase an aggregate of 1,600,000 shares of common stock at $10 per share. Refer to Note 12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obligations under the Term Loan are accelerated under the terms of the agreement, the maturity date will be October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Lenders have been granted a first priority lien, and security interest in, the mortgaged properties underlying the Company’s mortgages.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a total of $3,195 of interest expense was incurred under the debt. Amortization of the debt issuance costs amounted to $38 during the year ended December 31, 2022. The carrying balance of $19,242 on December 31, 2022 consisted of $75,000 in principal, plus $1,192 PIK interest, less $56,950 in unamortized debt discount related to the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Covenants –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Maximum Senior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leverage ratio is the ratio of (a) consolidated indebtedness, as defined, on such date minus 100% of the unrestricted cash and cash equivalents held (subject to adjustment) to (b) Consolidated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LEVERAGE RATIO</w:t>
      </w:r>
    </w:p>
    <w:tbl>
      <w:tblPr>
        <w:tblW w:w="5320" w:type="dxa"/>
        <w:jc w:val="left"/>
        <w:tblInd w:w="0" w:type="dxa"/>
        <w:tblLayout w:type="fixed"/>
        <w:tblCellMar>
          <w:top w:w="0" w:type="dxa"/>
          <w:left w:w="0" w:type="dxa"/>
          <w:bottom w:w="28" w:type="dxa"/>
          <w:right w:w="0" w:type="dxa"/>
        </w:tblCellMar>
      </w:tblPr>
      <w:tblGrid>
        <w:gridCol w:w="3665"/>
        <w:gridCol w:w="60"/>
        <w:gridCol w:w="1595"/>
      </w:tblGrid>
      <w:tr>
        <w:trPr/>
        <w:tc>
          <w:tcPr>
            <w:tcW w:w="366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Test Period Ending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Leverage Ratio</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2022 – March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6.75 to 1.00</w:t>
            </w:r>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2023 – September 30,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6.00 to 1.00</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2023 – March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5.00 to 1.00</w:t>
            </w:r>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2024 – September 30,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4.00 to 1.00</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2024 – 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3.25 to 1.00</w:t>
            </w:r>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2025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3.00 to 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permit their liquidity (determined on a consolidated basis) to be less than $10,000 as of the last day of each fiscal month (commencing with month ending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Fixed Charge Coverage Ratio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fixed charge coverage ratio is the ratio of consolidated EBITDA (less capital expenditures and certain other adjustments) to consolidated fixed charges, as defined in the agreement. If liquidity is less than $15,000 as of the last day of any fiscal quarter (commencing with the quarter ending December 31, 2022), then the Company shall not permit the fixed charge coverage ratio for the trailing four quarterly periods ending on the last day of any such quarter to be less than 1.15 :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consolidated EBITDA for the trailing twelve-month period ending on the most recently completed fiscal quarter is less than $15,000, then the level of capital expenditures is limited.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Long-Term Debt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2022, the future debt maturities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FUTURE DEBT MATURITIES</w:t>
      </w:r>
    </w:p>
    <w:tbl>
      <w:tblPr>
        <w:tblW w:w="7439" w:type="dxa"/>
        <w:jc w:val="left"/>
        <w:tblInd w:w="0" w:type="dxa"/>
        <w:tblLayout w:type="fixed"/>
        <w:tblCellMar>
          <w:top w:w="0" w:type="dxa"/>
          <w:left w:w="0" w:type="dxa"/>
          <w:bottom w:w="28" w:type="dxa"/>
          <w:right w:w="0" w:type="dxa"/>
        </w:tblCellMar>
      </w:tblPr>
      <w:tblGrid>
        <w:gridCol w:w="4880"/>
        <w:gridCol w:w="60"/>
        <w:gridCol w:w="373"/>
        <w:gridCol w:w="2016"/>
        <w:gridCol w:w="110"/>
      </w:tblGrid>
      <w:tr>
        <w:trPr/>
        <w:tc>
          <w:tcPr>
            <w:tcW w:w="4880"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89" w:type="dxa"/>
            <w:gridSpan w:val="2"/>
            <w:tcBorders>
              <w:bottom w:val="single" w:sz="12" w:space="0" w:color="000000"/>
            </w:tcBorders>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88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For the Years Ending December 31,</w:t>
            </w:r>
          </w:p>
        </w:tc>
        <w:tc>
          <w:tcPr>
            <w:tcW w:w="60" w:type="dxa"/>
            <w:tcBorders/>
            <w:tcMar>
              <w:bottom w:w="0" w:type="dxa"/>
            </w:tcMar>
            <w:vAlign w:val="center"/>
          </w:tcPr>
          <w:p>
            <w:pPr>
              <w:pStyle w:val="TableContents"/>
              <w:bidi w:val="0"/>
              <w:spacing w:before="0" w:after="283"/>
              <w:jc w:val="left"/>
              <w:rPr/>
            </w:pPr>
            <w:r>
              <w:rPr/>
              <w:t> </w:t>
            </w:r>
          </w:p>
        </w:tc>
        <w:tc>
          <w:tcPr>
            <w:tcW w:w="238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Future Debt Maturities</w:t>
            </w:r>
          </w:p>
        </w:tc>
        <w:tc>
          <w:tcPr>
            <w:tcW w:w="110" w:type="dxa"/>
            <w:tcBorders/>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FFFFFF" w:val="clear"/>
            <w:vAlign w:val="center"/>
          </w:tcPr>
          <w:p>
            <w:pPr>
              <w:pStyle w:val="TableContents"/>
              <w:bidi w:val="0"/>
              <w:spacing w:before="0" w:after="283"/>
              <w:jc w:val="left"/>
              <w:rPr/>
            </w:pPr>
            <w:r>
              <w:rPr/>
              <w:t> </w:t>
            </w:r>
          </w:p>
        </w:tc>
        <w:tc>
          <w:tcPr>
            <w:tcW w:w="2016"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91,809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96,497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Estimated interest paid-in-kind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FFFFFF" w:val="clear"/>
            <w:vAlign w:val="center"/>
          </w:tcPr>
          <w:p>
            <w:pPr>
              <w:pStyle w:val="TableContents"/>
              <w:bidi w:val="0"/>
              <w:spacing w:before="0" w:after="283"/>
              <w:jc w:val="left"/>
              <w:rPr/>
            </w:pPr>
            <w:r>
              <w:rPr/>
              <w:t> </w:t>
            </w:r>
          </w:p>
        </w:tc>
        <w:tc>
          <w:tcPr>
            <w:tcW w:w="2016"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(20,305</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CCEEFF" w:val="clear"/>
            <w:vAlign w:val="center"/>
          </w:tcPr>
          <w:p>
            <w:pPr>
              <w:pStyle w:val="TableContents"/>
              <w:bidi w:val="0"/>
              <w:spacing w:before="0" w:after="283"/>
              <w:jc w:val="left"/>
              <w:rPr/>
            </w:pPr>
            <w:r>
              <w:rPr/>
              <w:t> </w:t>
            </w:r>
          </w:p>
        </w:tc>
        <w:tc>
          <w:tcPr>
            <w:tcW w:w="201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76,192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Unamortized debt issuance costs, 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FFFFFF" w:val="clear"/>
            <w:vAlign w:val="center"/>
          </w:tcPr>
          <w:p>
            <w:pPr>
              <w:pStyle w:val="TableContents"/>
              <w:bidi w:val="0"/>
              <w:spacing w:before="0" w:after="283"/>
              <w:jc w:val="left"/>
              <w:rPr/>
            </w:pPr>
            <w:r>
              <w:rPr/>
              <w:t> </w:t>
            </w:r>
          </w:p>
        </w:tc>
        <w:tc>
          <w:tcPr>
            <w:tcW w:w="2016"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(56,950</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carrying amount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CCEEFF" w:val="clear"/>
            <w:vAlign w:val="center"/>
          </w:tcPr>
          <w:p>
            <w:pPr>
              <w:pStyle w:val="TableContents"/>
              <w:bidi w:val="0"/>
              <w:spacing w:before="0" w:after="283"/>
              <w:jc w:val="left"/>
              <w:rPr/>
            </w:pPr>
            <w:r>
              <w:rPr/>
              <w:t> </w:t>
            </w:r>
          </w:p>
        </w:tc>
        <w:tc>
          <w:tcPr>
            <w:tcW w:w="201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19,242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current portion of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bottom w:val="single" w:sz="12" w:space="0" w:color="000000"/>
            </w:tcBorders>
            <w:shd w:fill="FFFFFF" w:val="clear"/>
            <w:vAlign w:val="center"/>
          </w:tcPr>
          <w:p>
            <w:pPr>
              <w:pStyle w:val="TableContents"/>
              <w:bidi w:val="0"/>
              <w:spacing w:before="0" w:after="283"/>
              <w:jc w:val="left"/>
              <w:rPr/>
            </w:pPr>
            <w:r>
              <w:rPr/>
              <w:t> </w:t>
            </w:r>
          </w:p>
        </w:tc>
        <w:tc>
          <w:tcPr>
            <w:tcW w:w="2016"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(19,242</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1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 The Company concluded it is probable it will not comply with future financial covenants. As a result, the Company classified the entire Term Loan balance in current liabilities on the balance sheet as of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8 - REVOLVING NOTE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2021, the Company entered into a revolving note agreement with a lender to borrow up to $8,000. The borrowing amount is limited and based on the lesser of maximum principal amount of $8,000 and the sum equal to 80% of eligible accounts receivable and 50% of eligible inventory. Interest on each advance shall accrue at the prime rate announced by US Bank from time to time, as and when such rate changes. The revolving credit amount is collateralized by all assets of the Company. The Company drew an initial amount of $5,000 under the facility, which it subsequently re-paid and the revolving note was terminated as a closing condition of the 2021-6 Notes.</w:t>
      </w:r>
    </w:p>
    <w:p>
      <w:pPr>
        <w:pStyle w:val="TextBody"/>
        <w:bidi w:val="0"/>
        <w:spacing w:before="0" w:after="0"/>
        <w:ind w:left="0" w:right="0" w:hanging="0"/>
        <w:jc w:val="both"/>
        <w:rPr>
          <w:caps/>
        </w:rPr>
      </w:pPr>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expense consists of the following items: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INCOME TAX EXPENSE </w:t>
      </w:r>
    </w:p>
    <w:tbl>
      <w:tblPr>
        <w:tblW w:w="3285" w:type="dxa"/>
        <w:jc w:val="left"/>
        <w:tblInd w:w="0" w:type="dxa"/>
        <w:tblLayout w:type="fixed"/>
        <w:tblCellMar>
          <w:top w:w="0" w:type="dxa"/>
          <w:left w:w="0" w:type="dxa"/>
          <w:bottom w:w="0" w:type="dxa"/>
          <w:right w:w="0" w:type="dxa"/>
        </w:tblCellMar>
      </w:tblPr>
      <w:tblGrid>
        <w:gridCol w:w="1700"/>
        <w:gridCol w:w="60"/>
        <w:gridCol w:w="140"/>
        <w:gridCol w:w="455"/>
        <w:gridCol w:w="95"/>
        <w:gridCol w:w="60"/>
        <w:gridCol w:w="140"/>
        <w:gridCol w:w="560"/>
        <w:gridCol w:w="75"/>
      </w:tblGrid>
      <w:tr>
        <w:trPr/>
        <w:tc>
          <w:tcPr>
            <w:tcW w:w="1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2021</w:t>
            </w:r>
          </w:p>
        </w:tc>
        <w:tc>
          <w:tcPr>
            <w:tcW w:w="75" w:type="dxa"/>
            <w:tcBorders/>
            <w:vAlign w:val="center"/>
          </w:tcPr>
          <w:p>
            <w:pPr>
              <w:pStyle w:val="TableContents"/>
              <w:bidi w:val="0"/>
              <w:spacing w:before="0" w:after="283"/>
              <w:jc w:val="center"/>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1,489</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w:t>
            </w:r>
          </w:p>
        </w:tc>
        <w:tc>
          <w:tcPr>
            <w:tcW w:w="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Components of deferred tax assets (liabilities)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DEFERRED TAX ASSETS (LIABILITIES) </w:t>
      </w:r>
    </w:p>
    <w:tbl>
      <w:tblPr>
        <w:tblW w:w="4970" w:type="dxa"/>
        <w:jc w:val="left"/>
        <w:tblInd w:w="0" w:type="dxa"/>
        <w:tblLayout w:type="fixed"/>
        <w:tblCellMar>
          <w:top w:w="0" w:type="dxa"/>
          <w:left w:w="0" w:type="dxa"/>
          <w:bottom w:w="0" w:type="dxa"/>
          <w:right w:w="0" w:type="dxa"/>
        </w:tblCellMar>
      </w:tblPr>
      <w:tblGrid>
        <w:gridCol w:w="3170"/>
        <w:gridCol w:w="60"/>
        <w:gridCol w:w="140"/>
        <w:gridCol w:w="635"/>
        <w:gridCol w:w="95"/>
        <w:gridCol w:w="60"/>
        <w:gridCol w:w="140"/>
        <w:gridCol w:w="560"/>
        <w:gridCol w:w="110"/>
      </w:tblGrid>
      <w:tr>
        <w:trPr/>
        <w:tc>
          <w:tcPr>
            <w:tcW w:w="3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pPr>
            <w:r>
              <w:rPr/>
              <w:t>2021</w:t>
            </w:r>
          </w:p>
        </w:tc>
        <w:tc>
          <w:tcPr>
            <w:tcW w:w="110" w:type="dxa"/>
            <w:tcBorders/>
            <w:vAlign w:val="center"/>
          </w:tcPr>
          <w:p>
            <w:pPr>
              <w:pStyle w:val="TableContents"/>
              <w:bidi w:val="0"/>
              <w:spacing w:before="0" w:after="283"/>
              <w:jc w:val="center"/>
              <w:rPr/>
            </w:pPr>
            <w:r>
              <w:rPr/>
              <w:t> </w:t>
            </w:r>
          </w:p>
        </w:tc>
      </w:tr>
      <w:tr>
        <w:trPr/>
        <w:tc>
          <w:tcPr>
            <w:tcW w:w="317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1,071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1,221</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Allowance for bad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59</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Research and development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Fixed assets and intangibles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Net 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3,727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Inventory (Sec. 263A)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45</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Deferred tax asset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8,360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1,360</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Right of 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1,207</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Fixed assets and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606</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1,036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1,813</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Net deferred tax asset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7,324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(453</w:t>
            </w:r>
          </w:p>
        </w:tc>
        <w:tc>
          <w:tcPr>
            <w:tcW w:w="110" w:type="dxa"/>
            <w:tcBorders/>
            <w:shd w:fill="FFFFFF" w:val="clear"/>
            <w:vAlign w:val="center"/>
          </w:tcPr>
          <w:p>
            <w:pPr>
              <w:pStyle w:val="TableContents"/>
              <w:bidi w:val="0"/>
              <w:spacing w:before="0" w:after="283"/>
              <w:jc w:val="left"/>
              <w:rPr/>
            </w:pPr>
            <w:r>
              <w:rPr/>
              <w:t>)</w:t>
            </w:r>
          </w:p>
        </w:tc>
      </w:tr>
      <w:tr>
        <w:trPr/>
        <w:tc>
          <w:tcPr>
            <w:tcW w:w="3170"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(7,324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Net deferred tax asset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(453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between the effective tax rate on income from continuing operations and the statutory rate for the years ended December 31, 2022 and 2021,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RECONCILIATION BETWEEN THE EFFECTIVE TAX RATE ON INCOME FROM CONTINUING OPERATIONS AND THE STATUTORY RATE </w:t>
      </w:r>
    </w:p>
    <w:tbl>
      <w:tblPr>
        <w:tblW w:w="8400" w:type="dxa"/>
        <w:jc w:val="left"/>
        <w:tblInd w:w="0" w:type="dxa"/>
        <w:tblLayout w:type="fixed"/>
        <w:tblCellMar>
          <w:top w:w="0" w:type="dxa"/>
          <w:left w:w="0" w:type="dxa"/>
          <w:bottom w:w="0" w:type="dxa"/>
          <w:right w:w="0" w:type="dxa"/>
        </w:tblCellMar>
      </w:tblPr>
      <w:tblGrid>
        <w:gridCol w:w="4250"/>
        <w:gridCol w:w="60"/>
        <w:gridCol w:w="140"/>
        <w:gridCol w:w="635"/>
        <w:gridCol w:w="95"/>
        <w:gridCol w:w="60"/>
        <w:gridCol w:w="91"/>
        <w:gridCol w:w="964"/>
        <w:gridCol w:w="60"/>
        <w:gridCol w:w="60"/>
        <w:gridCol w:w="140"/>
        <w:gridCol w:w="560"/>
        <w:gridCol w:w="95"/>
        <w:gridCol w:w="60"/>
        <w:gridCol w:w="102"/>
        <w:gridCol w:w="953"/>
        <w:gridCol w:w="75"/>
      </w:tblGrid>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8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10" w:type="dxa"/>
            <w:gridSpan w:val="6"/>
            <w:tcBorders>
              <w:bottom w:val="single" w:sz="12" w:space="0" w:color="000000"/>
            </w:tcBorders>
            <w:tcMar>
              <w:bottom w:w="28" w:type="dxa"/>
            </w:tcMar>
            <w:vAlign w:val="center"/>
          </w:tcPr>
          <w:p>
            <w:pPr>
              <w:pStyle w:val="TableContents"/>
              <w:bidi w:val="0"/>
              <w:spacing w:before="0" w:after="283"/>
              <w:jc w:val="center"/>
              <w:rPr/>
            </w:pPr>
            <w:r>
              <w:rPr/>
              <w:t>2021</w:t>
            </w:r>
          </w:p>
        </w:tc>
        <w:tc>
          <w:tcPr>
            <w:tcW w:w="75" w:type="dxa"/>
            <w:tcBorders/>
            <w:vAlign w:val="center"/>
          </w:tcPr>
          <w:p>
            <w:pPr>
              <w:pStyle w:val="TableContents"/>
              <w:bidi w:val="0"/>
              <w:spacing w:before="0" w:after="283"/>
              <w:jc w:val="center"/>
              <w:rPr/>
            </w:pPr>
            <w:r>
              <w:rPr/>
              <w:t> </w:t>
            </w:r>
          </w:p>
        </w:tc>
      </w:tr>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Tax</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Percentage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Tax</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Percentage</w:t>
            </w:r>
          </w:p>
        </w:tc>
        <w:tc>
          <w:tcPr>
            <w:tcW w:w="75" w:type="dxa"/>
            <w:tcBorders/>
            <w:vAlign w:val="center"/>
          </w:tcPr>
          <w:p>
            <w:pPr>
              <w:pStyle w:val="TableContents"/>
              <w:bidi w:val="0"/>
              <w:spacing w:before="0" w:after="283"/>
              <w:jc w:val="center"/>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Book income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1,249</w:t>
            </w:r>
          </w:p>
        </w:tc>
        <w:tc>
          <w:tcPr>
            <w:tcW w:w="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Permanent differences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Permanent differences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Permanent differences (other -other than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taxes,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true-up</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0.94%</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 tax positions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(0.32)%</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0.15%</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returns of the Company are open for three years form the date of filing. At the report date, the statute of limitations for federal and state tax returns are open for the Company for 2019, 2020 and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described below, as of December 31, 2022, the Company had federal net operating loss carryforwards of approximately $16,140, available to reduce future taxable income which do not expire, but are limited to 80% utilization against taxable income. As of December 31, 2022, the Company had state net operating loss carryforwards of approximately $6,747, available to reduce future taxable income, which start to expire in 2037. The Company also had research and development credits of $200 as of December 31, 2022 to offset future federal income taxes, which are set to expire in 2042.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2022. The valuation allowance as of December 31, 2022 was $7,324, primarily due to the company entering into a 3 year cumulative loss position and no expectation of income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roll-forward of the Company’s gross uncertain tax positions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GROSS UNCERTAIN TAX POSITIONS </w:t>
      </w:r>
    </w:p>
    <w:tbl>
      <w:tblPr>
        <w:tblW w:w="6719" w:type="dxa"/>
        <w:jc w:val="left"/>
        <w:tblInd w:w="0" w:type="dxa"/>
        <w:tblLayout w:type="fixed"/>
        <w:tblCellMar>
          <w:top w:w="0" w:type="dxa"/>
          <w:left w:w="0" w:type="dxa"/>
          <w:bottom w:w="0" w:type="dxa"/>
          <w:right w:w="0" w:type="dxa"/>
        </w:tblCellMar>
      </w:tblPr>
      <w:tblGrid>
        <w:gridCol w:w="3725"/>
        <w:gridCol w:w="60"/>
        <w:gridCol w:w="758"/>
        <w:gridCol w:w="2066"/>
        <w:gridCol w:w="11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4" w:type="dxa"/>
            <w:gridSpan w:val="2"/>
            <w:tcBorders>
              <w:bottom w:val="single" w:sz="12" w:space="0" w:color="000000"/>
            </w:tcBorders>
            <w:tcMar>
              <w:bottom w:w="28" w:type="dxa"/>
            </w:tcMar>
            <w:vAlign w:val="center"/>
          </w:tcPr>
          <w:p>
            <w:pPr>
              <w:pStyle w:val="TableContents"/>
              <w:bidi w:val="0"/>
              <w:spacing w:before="0" w:after="283"/>
              <w:jc w:val="center"/>
              <w:rPr/>
            </w:pPr>
            <w:r>
              <w:rPr/>
              <w:t>Gross Uncertain Tax Position</w:t>
            </w:r>
          </w:p>
        </w:tc>
        <w:tc>
          <w:tcPr>
            <w:tcW w:w="11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Balance January 1, 2021</w:t>
            </w:r>
          </w:p>
        </w:tc>
        <w:tc>
          <w:tcPr>
            <w:tcW w:w="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w:t>
            </w:r>
          </w:p>
        </w:tc>
        <w:tc>
          <w:tcPr>
            <w:tcW w:w="2066"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Additions for current year tax positions</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206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Reductions for prior year tax positions</w:t>
            </w:r>
          </w:p>
        </w:tc>
        <w:tc>
          <w:tcPr>
            <w:tcW w:w="60" w:type="dxa"/>
            <w:tcBorders/>
            <w:shd w:fill="CCEEFF" w:val="cle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66"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Balance- December 31, 2021</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206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Additions for current year tax positions</w:t>
            </w:r>
          </w:p>
        </w:tc>
        <w:tc>
          <w:tcPr>
            <w:tcW w:w="60" w:type="dxa"/>
            <w:tcBorders/>
            <w:shd w:fill="CCEEFF" w:val="cle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66" w:type="dxa"/>
            <w:tcBorders>
              <w:bottom w:val="single" w:sz="12" w:space="0" w:color="000000"/>
            </w:tcBorders>
            <w:shd w:fill="CCEEFF" w:val="clear"/>
            <w:tcMar>
              <w:bottom w:w="28" w:type="dxa"/>
            </w:tcMar>
            <w:vAlign w:val="center"/>
          </w:tcPr>
          <w:p>
            <w:pPr>
              <w:pStyle w:val="TableContents"/>
              <w:bidi w:val="0"/>
              <w:spacing w:before="0" w:after="283"/>
              <w:jc w:val="right"/>
              <w:rPr/>
            </w:pPr>
            <w:r>
              <w:rPr/>
              <w:t>128</w:t>
            </w:r>
          </w:p>
        </w:tc>
        <w:tc>
          <w:tcPr>
            <w:tcW w:w="11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Balance- December 31, 2022</w:t>
            </w:r>
          </w:p>
        </w:tc>
        <w:tc>
          <w:tcPr>
            <w:tcW w:w="60" w:type="dxa"/>
            <w:tcBorders/>
            <w:shd w:fill="FFFFFF" w:val="cle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66" w:type="dxa"/>
            <w:tcBorders>
              <w:bottom w:val="double" w:sz="6" w:space="0" w:color="000000"/>
            </w:tcBorders>
            <w:shd w:fill="FFFFFF" w:val="clear"/>
            <w:tcMar>
              <w:bottom w:w="28" w:type="dxa"/>
            </w:tcMar>
            <w:vAlign w:val="center"/>
          </w:tcPr>
          <w:p>
            <w:pPr>
              <w:pStyle w:val="TableContents"/>
              <w:bidi w:val="0"/>
              <w:spacing w:before="0" w:after="283"/>
              <w:jc w:val="right"/>
              <w:rPr/>
            </w:pPr>
            <w:r>
              <w:rPr/>
              <w:t>128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total uncertain tax positions increased during the year ended December 31, 2022 as a result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10 – ASSET PURCHASE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Bourns Productions,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2022, the Company entered into an asset purchase agreement (the “</w:t>
      </w:r>
      <w:r>
        <w:rPr>
          <w:rFonts w:ascii="Times New Roman;Times;Serif" w:hAnsi="Times New Roman;Times;Serif"/>
          <w:b/>
          <w:i w:val="false"/>
          <w:caps w:val="false"/>
          <w:smallCaps w:val="false"/>
          <w:sz w:val="20"/>
        </w:rPr>
        <w:t>APA</w:t>
      </w:r>
      <w:r>
        <w:rPr>
          <w:rFonts w:ascii="Times New Roman;Times;Serif" w:hAnsi="Times New Roman;Times;Serif"/>
          <w:b w:val="false"/>
          <w:i w:val="false"/>
          <w:caps w:val="false"/>
          <w:smallCaps w:val="false"/>
          <w:sz w:val="20"/>
        </w:rPr>
        <w:t>”) with Bourns Productions, Inc., a Nevada corporation (“</w:t>
      </w:r>
      <w:r>
        <w:rPr>
          <w:rFonts w:ascii="Times New Roman;Times;Serif" w:hAnsi="Times New Roman;Times;Serif"/>
          <w:b/>
          <w:i w:val="false"/>
          <w:caps w:val="false"/>
          <w:smallCaps w:val="false"/>
          <w:sz w:val="20"/>
        </w:rPr>
        <w:t>Bourns Productions</w:t>
      </w:r>
      <w:r>
        <w:rPr>
          <w:rFonts w:ascii="Times New Roman;Times;Serif" w:hAnsi="Times New Roman;Times;Serif"/>
          <w:b w:val="false"/>
          <w:i w:val="false"/>
          <w:caps w:val="false"/>
          <w:smallCaps w:val="false"/>
          <w:sz w:val="20"/>
        </w:rPr>
        <w:t>”), pursuant to which the Company acquired machinery, equipment and a lease for a podcast studio from Bourns Production Productions as set forth in the APA for a purchase price of $197 which approximated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Thomason Jones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entered into an Asset Purchase Agreement with William Thomason, Richard Jones, and Thomason Jones Company, LLC (“</w:t>
      </w:r>
      <w:r>
        <w:rPr>
          <w:rFonts w:ascii="Times New Roman;Times;Serif" w:hAnsi="Times New Roman;Times;Serif"/>
          <w:b/>
          <w:i w:val="false"/>
          <w:caps w:val="false"/>
          <w:smallCaps w:val="false"/>
          <w:sz w:val="20"/>
        </w:rPr>
        <w:t>Thomason Jones</w:t>
      </w:r>
      <w:r>
        <w:rPr>
          <w:rFonts w:ascii="Times New Roman;Times;Serif" w:hAnsi="Times New Roman;Times;Serif"/>
          <w:b w:val="false"/>
          <w:i w:val="false"/>
          <w:caps w:val="false"/>
          <w:smallCaps w:val="false"/>
          <w:sz w:val="20"/>
        </w:rPr>
        <w:t>”), whereby the Company acquired inventory and intellectual property assets for $444 cash plus contingent payments of $1,000 each to William Thomason and Richard Jones (the “</w:t>
      </w:r>
      <w:r>
        <w:rPr>
          <w:rFonts w:ascii="Times New Roman;Times;Serif" w:hAnsi="Times New Roman;Times;Serif"/>
          <w:b/>
          <w:i w:val="false"/>
          <w:caps w:val="false"/>
          <w:smallCaps w:val="false"/>
          <w:sz w:val="20"/>
        </w:rPr>
        <w:t>Earn Out</w:t>
      </w:r>
      <w:r>
        <w:rPr>
          <w:rFonts w:ascii="Times New Roman;Times;Serif" w:hAnsi="Times New Roman;Times;Serif"/>
          <w:b w:val="false"/>
          <w:i w:val="false"/>
          <w:caps w:val="false"/>
          <w:smallCaps w:val="false"/>
          <w:sz w:val="20"/>
        </w:rPr>
        <w:t>”). The Company determined the contingent consideration to be recognized as contingent compensation to Mr. Thomason and Mr. Jones. The entire purchase price of $444 was allocated to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Contingent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twenty-four months of the Agreement the Company realizes $3,000 in gross sales of product either (a) sold under the Wakespeed brand and/or (b) which incorporates any portion of Purchased IP as listed within the agreement, then the Company will pay to Thomason Jones each the amount of $1,000 as soon as reasonably practicable. This payment may be made in cash or common stock, in the sole discretion of the Company. As a result, the Company determined that a liability should be recorded ratably over the 24 month period. The Company recognized expenses in the fourth quarter related to the contingent payment as no accrual was recorded from the date of the agreement through September 30, 2022. The Company recognized immediate compensation expense within sales and marketing of $417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 month period from the date of acquisition. As a result, the Company recorded a cumulative accrual in the amount of $782 as of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11 - RELATED PARTY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2022, the Company entered into a separation and release of claims agreement with its Chief Operating Officer (“</w:t>
      </w:r>
      <w:r>
        <w:rPr>
          <w:rFonts w:ascii="Times New Roman;Times;Serif" w:hAnsi="Times New Roman;Times;Serif"/>
          <w:b/>
          <w:i w:val="false"/>
          <w:caps w:val="false"/>
          <w:smallCaps w:val="false"/>
          <w:sz w:val="20"/>
        </w:rPr>
        <w:t>COO</w:t>
      </w:r>
      <w:r>
        <w:rPr>
          <w:rFonts w:ascii="Times New Roman;Times;Serif" w:hAnsi="Times New Roman;Times;Serif"/>
          <w:b w:val="false"/>
          <w:i w:val="false"/>
          <w:caps w:val="false"/>
          <w:smallCaps w:val="false"/>
          <w:sz w:val="20"/>
        </w:rPr>
        <w:t>”).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12 -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discussed in Note 3, the Company assumed the outstanding public and private placement warrants of CNTQ.</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7 for further description of the warrants issued in connection with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9,487,500 Public Warrants issued and outstanding. The Public Warrants are not precluded from equity classification, and are accounted for as such on the date of issuance, and each balance sheet date thereafter. There was no activity of public warrants from the closing date through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On the Closing Date and as of December 31, 2022, there were 4,627,858 Private Warrants issued and outstanding.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WARRANT CLASSIFICATION AT EACH BALANCE SHEET DATE</w:t>
      </w:r>
    </w:p>
    <w:tbl>
      <w:tblPr>
        <w:tblW w:w="7288" w:type="dxa"/>
        <w:jc w:val="left"/>
        <w:tblInd w:w="0" w:type="dxa"/>
        <w:tblLayout w:type="fixed"/>
        <w:tblCellMar>
          <w:top w:w="0" w:type="dxa"/>
          <w:left w:w="0" w:type="dxa"/>
          <w:bottom w:w="28" w:type="dxa"/>
          <w:right w:w="0" w:type="dxa"/>
        </w:tblCellMar>
      </w:tblPr>
      <w:tblGrid>
        <w:gridCol w:w="2255"/>
        <w:gridCol w:w="60"/>
        <w:gridCol w:w="60"/>
        <w:gridCol w:w="845"/>
        <w:gridCol w:w="60"/>
        <w:gridCol w:w="60"/>
        <w:gridCol w:w="175"/>
        <w:gridCol w:w="684"/>
        <w:gridCol w:w="60"/>
        <w:gridCol w:w="60"/>
        <w:gridCol w:w="1085"/>
        <w:gridCol w:w="60"/>
        <w:gridCol w:w="186"/>
        <w:gridCol w:w="568"/>
        <w:gridCol w:w="60"/>
        <w:gridCol w:w="60"/>
        <w:gridCol w:w="950"/>
      </w:tblGrid>
      <w:tr>
        <w:trPr/>
        <w:tc>
          <w:tcPr>
            <w:tcW w:w="225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Inception </w:t>
              <w:br/>
              <w:t xml:space="preserve">Date </w:t>
              <w:br/>
              <w:t>Fair Value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 </w:t>
              <w:br/>
              <w:t xml:space="preserve">Recognition </w:t>
              <w:br/>
              <w:t>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Exercise </w:t>
              <w:br/>
              <w:t>Price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Expiration </w:t>
              <w:br/>
              <w:t>Date</w:t>
            </w:r>
          </w:p>
        </w:tc>
      </w:tr>
      <w:tr>
        <w:trPr/>
        <w:tc>
          <w:tcPr>
            <w:tcW w:w="22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Placement Warrants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4,627,858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Term Loan Agreement, and as a required term and condition thereof, the Company issued (i) the penny warrants to the Term Loan Lenders exercisable to purchase an aggregate of 2,593,056 shares (the “</w:t>
      </w:r>
      <w:r>
        <w:rPr>
          <w:rFonts w:ascii="Times New Roman;Times;Serif" w:hAnsi="Times New Roman;Times;Serif"/>
          <w:b/>
          <w:i w:val="false"/>
          <w:caps w:val="false"/>
          <w:smallCaps w:val="false"/>
          <w:sz w:val="20"/>
        </w:rPr>
        <w:t>Penny Warrants</w:t>
      </w:r>
      <w:r>
        <w:rPr>
          <w:rFonts w:ascii="Times New Roman;Times;Serif" w:hAnsi="Times New Roman;Times;Serif"/>
          <w:b w:val="false"/>
          <w:i w:val="false"/>
          <w:caps w:val="false"/>
          <w:smallCaps w:val="false"/>
          <w:sz w:val="20"/>
        </w:rPr>
        <w:t>”) and (ii) the $10 warrants to issue warrants to the Term Loan Lenders exercisable to purchase an aggregate of 1,600,000 shares of common stock at $10 per share (the “$10 Warrants” and, together with the Penny Warrants, the “ Term Loan Warrants”). The $10 Warrants were exercised on a cashless basis on October 10, 2022, with the Company agreeing to issue 457,142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significant inputs to the Black-Scholes method for the fair value of the Penny Warrants: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FAIR VALUE WARRANTS </w:t>
      </w:r>
    </w:p>
    <w:tbl>
      <w:tblPr>
        <w:tblW w:w="6045" w:type="dxa"/>
        <w:jc w:val="left"/>
        <w:tblInd w:w="0" w:type="dxa"/>
        <w:tblLayout w:type="fixed"/>
        <w:tblCellMar>
          <w:top w:w="0" w:type="dxa"/>
          <w:left w:w="0" w:type="dxa"/>
          <w:bottom w:w="0" w:type="dxa"/>
          <w:right w:w="0" w:type="dxa"/>
        </w:tblCellMar>
      </w:tblPr>
      <w:tblGrid>
        <w:gridCol w:w="2000"/>
        <w:gridCol w:w="60"/>
        <w:gridCol w:w="379"/>
        <w:gridCol w:w="1516"/>
        <w:gridCol w:w="60"/>
        <w:gridCol w:w="60"/>
        <w:gridCol w:w="379"/>
        <w:gridCol w:w="1516"/>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Initial Measurement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As of </w:t>
              <w:br/>
              <w:t>December 31, 2022</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11.09</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9.77</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significant inputs to the Black-Scholes method for the fair value of the $10 Warrants:</w:t>
      </w:r>
    </w:p>
    <w:p>
      <w:pPr>
        <w:pStyle w:val="TextBody"/>
        <w:bidi w:val="0"/>
        <w:spacing w:before="0" w:after="0"/>
        <w:ind w:left="0"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2000"/>
        <w:gridCol w:w="60"/>
        <w:gridCol w:w="259"/>
        <w:gridCol w:w="1036"/>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Initial </w:t>
              <w:br/>
              <w:t>Measurement</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presents a roll-forward of the Company’s warrants from January 1, 2022 to December 31, 2022: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ROLL FORWARD IN WARRANTS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Warrants:</w:t>
      </w:r>
    </w:p>
    <w:p>
      <w:pPr>
        <w:pStyle w:val="TextBody"/>
        <w:bidi w:val="0"/>
        <w:spacing w:before="0" w:after="0"/>
        <w:jc w:val="both"/>
        <w:rPr>
          <w:caps w:val="false"/>
          <w:smallCaps w:val="false"/>
        </w:rPr>
      </w:pPr>
      <w:r>
        <w:rPr>
          <w:caps w:val="false"/>
          <w:smallCaps w:val="false"/>
        </w:rPr>
        <w:t> </w:t>
      </w:r>
    </w:p>
    <w:tbl>
      <w:tblPr>
        <w:tblW w:w="6654" w:type="dxa"/>
        <w:jc w:val="left"/>
        <w:tblInd w:w="0" w:type="dxa"/>
        <w:tblLayout w:type="fixed"/>
        <w:tblCellMar>
          <w:top w:w="0" w:type="dxa"/>
          <w:left w:w="0" w:type="dxa"/>
          <w:bottom w:w="0" w:type="dxa"/>
          <w:right w:w="0" w:type="dxa"/>
        </w:tblCellMar>
      </w:tblPr>
      <w:tblGrid>
        <w:gridCol w:w="4100"/>
        <w:gridCol w:w="60"/>
        <w:gridCol w:w="139"/>
        <w:gridCol w:w="2280"/>
        <w:gridCol w:w="7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9" w:type="dxa"/>
            <w:gridSpan w:val="2"/>
            <w:tcBorders>
              <w:bottom w:val="single" w:sz="12" w:space="0" w:color="000000"/>
            </w:tcBorders>
            <w:tcMar>
              <w:bottom w:w="28" w:type="dxa"/>
            </w:tcMar>
            <w:vAlign w:val="center"/>
          </w:tcPr>
          <w:p>
            <w:pPr>
              <w:pStyle w:val="TableContents"/>
              <w:bidi w:val="0"/>
              <w:spacing w:before="0" w:after="283"/>
              <w:jc w:val="center"/>
              <w:rPr/>
            </w:pPr>
            <w:r>
              <w:rPr/>
              <w:t>Common Stock Warrants</w:t>
            </w:r>
          </w:p>
        </w:tc>
        <w:tc>
          <w:tcPr>
            <w:tcW w:w="7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**Warrants Outstanding, January 1, 2022</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2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Assumed in the merger</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2280" w:type="dxa"/>
            <w:tcBorders/>
            <w:shd w:fill="FFFFFF" w:val="clear"/>
            <w:vAlign w:val="center"/>
          </w:tcPr>
          <w:p>
            <w:pPr>
              <w:pStyle w:val="TableContents"/>
              <w:bidi w:val="0"/>
              <w:spacing w:before="0" w:after="283"/>
              <w:jc w:val="right"/>
              <w:rPr/>
            </w:pPr>
            <w:r>
              <w:rPr/>
              <w:t>4,627,858</w:t>
            </w:r>
          </w:p>
        </w:tc>
        <w:tc>
          <w:tcPr>
            <w:tcW w:w="7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Exercised subsequent to the merger</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Warrants Outstanding, December 31, 2022</w:t>
            </w:r>
          </w:p>
        </w:tc>
        <w:tc>
          <w:tcPr>
            <w:tcW w:w="60" w:type="dxa"/>
            <w:tcBorders/>
            <w:shd w:fill="FFFFFF" w:val="clear"/>
            <w:vAlign w:val="center"/>
          </w:tcPr>
          <w:p>
            <w:pPr>
              <w:pStyle w:val="TableContents"/>
              <w:bidi w:val="0"/>
              <w:spacing w:before="0" w:after="283"/>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280" w:type="dxa"/>
            <w:tcBorders>
              <w:bottom w:val="double" w:sz="6" w:space="0" w:color="000000"/>
            </w:tcBorders>
            <w:shd w:fill="FFFFFF" w:val="clear"/>
            <w:tcMar>
              <w:bottom w:w="28" w:type="dxa"/>
            </w:tcMar>
            <w:vAlign w:val="center"/>
          </w:tcPr>
          <w:p>
            <w:pPr>
              <w:pStyle w:val="TableContents"/>
              <w:bidi w:val="0"/>
              <w:spacing w:before="0" w:after="283"/>
              <w:jc w:val="right"/>
              <w:rPr/>
            </w:pPr>
            <w:r>
              <w:rPr/>
              <w:t>4,627,858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**There were no warrants issued, exercised and outstanding prior to January 1, 2022.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w:t>
      </w:r>
    </w:p>
    <w:p>
      <w:pPr>
        <w:pStyle w:val="TextBody"/>
        <w:bidi w:val="0"/>
        <w:spacing w:before="0" w:after="0"/>
        <w:jc w:val="both"/>
        <w:rPr>
          <w:caps w:val="false"/>
          <w:smallCaps w:val="false"/>
        </w:rPr>
      </w:pPr>
      <w:r>
        <w:rPr>
          <w:caps w:val="false"/>
          <w:smallCaps w:val="false"/>
        </w:rPr>
        <w:t> </w:t>
      </w:r>
    </w:p>
    <w:tbl>
      <w:tblPr>
        <w:tblW w:w="6654" w:type="dxa"/>
        <w:jc w:val="left"/>
        <w:tblInd w:w="0" w:type="dxa"/>
        <w:tblLayout w:type="fixed"/>
        <w:tblCellMar>
          <w:top w:w="0" w:type="dxa"/>
          <w:left w:w="0" w:type="dxa"/>
          <w:bottom w:w="0" w:type="dxa"/>
          <w:right w:w="0" w:type="dxa"/>
        </w:tblCellMar>
      </w:tblPr>
      <w:tblGrid>
        <w:gridCol w:w="4100"/>
        <w:gridCol w:w="60"/>
        <w:gridCol w:w="139"/>
        <w:gridCol w:w="2280"/>
        <w:gridCol w:w="7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9" w:type="dxa"/>
            <w:gridSpan w:val="2"/>
            <w:tcBorders>
              <w:bottom w:val="single" w:sz="12" w:space="0" w:color="000000"/>
            </w:tcBorders>
            <w:tcMar>
              <w:bottom w:w="28" w:type="dxa"/>
            </w:tcMar>
            <w:vAlign w:val="center"/>
          </w:tcPr>
          <w:p>
            <w:pPr>
              <w:pStyle w:val="TableContents"/>
              <w:bidi w:val="0"/>
              <w:spacing w:before="0" w:after="283"/>
              <w:jc w:val="center"/>
              <w:rPr/>
            </w:pPr>
            <w:r>
              <w:rPr/>
              <w:t>Common Stock Warrants</w:t>
            </w:r>
          </w:p>
        </w:tc>
        <w:tc>
          <w:tcPr>
            <w:tcW w:w="7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**Warrants Outstanding, January 1, 2022</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2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Assumed in the merger</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2280" w:type="dxa"/>
            <w:tcBorders/>
            <w:shd w:fill="FFFFFF" w:val="clear"/>
            <w:vAlign w:val="center"/>
          </w:tcPr>
          <w:p>
            <w:pPr>
              <w:pStyle w:val="TableContents"/>
              <w:bidi w:val="0"/>
              <w:spacing w:before="0" w:after="283"/>
              <w:jc w:val="right"/>
              <w:rPr/>
            </w:pPr>
            <w:r>
              <w:rPr/>
              <w:t>9,487,500</w:t>
            </w:r>
          </w:p>
        </w:tc>
        <w:tc>
          <w:tcPr>
            <w:tcW w:w="75"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Exercised subsequent to the merger</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Warrants Outstanding, December 31, 2022</w:t>
            </w:r>
          </w:p>
        </w:tc>
        <w:tc>
          <w:tcPr>
            <w:tcW w:w="60" w:type="dxa"/>
            <w:tcBorders/>
            <w:shd w:fill="FFFFFF" w:val="clear"/>
            <w:vAlign w:val="center"/>
          </w:tcPr>
          <w:p>
            <w:pPr>
              <w:pStyle w:val="TableContents"/>
              <w:bidi w:val="0"/>
              <w:spacing w:before="0" w:after="283"/>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280" w:type="dxa"/>
            <w:tcBorders>
              <w:bottom w:val="double" w:sz="6" w:space="0" w:color="000000"/>
            </w:tcBorders>
            <w:shd w:fill="FFFFFF" w:val="clear"/>
            <w:tcMar>
              <w:bottom w:w="28" w:type="dxa"/>
            </w:tcMar>
            <w:vAlign w:val="center"/>
          </w:tcPr>
          <w:p>
            <w:pPr>
              <w:pStyle w:val="TableContents"/>
              <w:bidi w:val="0"/>
              <w:spacing w:before="0" w:after="283"/>
              <w:jc w:val="right"/>
              <w:rPr/>
            </w:pPr>
            <w:r>
              <w:rPr/>
              <w:t>9,487,500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**There were no warrants issued, exercised and outstanding prior to January 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tbl>
      <w:tblPr>
        <w:tblW w:w="6689" w:type="dxa"/>
        <w:jc w:val="left"/>
        <w:tblInd w:w="0" w:type="dxa"/>
        <w:tblLayout w:type="fixed"/>
        <w:tblCellMar>
          <w:top w:w="0" w:type="dxa"/>
          <w:left w:w="0" w:type="dxa"/>
          <w:bottom w:w="0" w:type="dxa"/>
          <w:right w:w="0" w:type="dxa"/>
        </w:tblCellMar>
      </w:tblPr>
      <w:tblGrid>
        <w:gridCol w:w="4100"/>
        <w:gridCol w:w="60"/>
        <w:gridCol w:w="130"/>
        <w:gridCol w:w="2289"/>
        <w:gridCol w:w="110"/>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Common Stock Warrants</w:t>
            </w:r>
          </w:p>
        </w:tc>
        <w:tc>
          <w:tcPr>
            <w:tcW w:w="11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Outstanding, January 1, 2022</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2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Issued in conjunction with merger</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2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4,193,056</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 subsequent to the merger</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(1,600,000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Outstanding, December 31, 2022</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2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2,593,056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7120" w:type="dxa"/>
        <w:jc w:val="left"/>
        <w:tblInd w:w="0" w:type="dxa"/>
        <w:tblLayout w:type="fixed"/>
        <w:tblCellMar>
          <w:top w:w="0" w:type="dxa"/>
          <w:left w:w="0" w:type="dxa"/>
          <w:bottom w:w="0" w:type="dxa"/>
          <w:right w:w="0" w:type="dxa"/>
        </w:tblCellMar>
      </w:tblPr>
      <w:tblGrid>
        <w:gridCol w:w="245"/>
        <w:gridCol w:w="6875"/>
      </w:tblGrid>
      <w:tr>
        <w:trPr/>
        <w:tc>
          <w:tcPr>
            <w:tcW w:w="245" w:type="dxa"/>
            <w:tcBorders/>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w:t>
            </w:r>
          </w:p>
        </w:tc>
        <w:tc>
          <w:tcPr>
            <w:tcW w:w="687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There were no warrants issued, exercised and outstanding prior to January 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aggregate fair values of the Company’s warrant liabilities for which fair value is determined by Level 3 Inputs. The only class of warrants that were determined to be Level 3 are the term loan warrants.</w:t>
      </w:r>
    </w:p>
    <w:p>
      <w:pPr>
        <w:pStyle w:val="TextBody"/>
        <w:bidi w:val="0"/>
        <w:spacing w:before="0" w:after="0"/>
        <w:ind w:left="0" w:right="0" w:hanging="0"/>
        <w:jc w:val="left"/>
        <w:rPr>
          <w:caps w:val="false"/>
          <w:smallCaps w:val="false"/>
        </w:rPr>
      </w:pPr>
      <w:r>
        <w:rPr>
          <w:caps w:val="false"/>
          <w:smallCaps w:val="false"/>
        </w:rPr>
        <w:t> </w:t>
      </w:r>
    </w:p>
    <w:tbl>
      <w:tblPr>
        <w:tblW w:w="4889" w:type="dxa"/>
        <w:jc w:val="left"/>
        <w:tblInd w:w="0" w:type="dxa"/>
        <w:tblLayout w:type="fixed"/>
        <w:tblCellMar>
          <w:top w:w="0" w:type="dxa"/>
          <w:left w:w="0" w:type="dxa"/>
          <w:bottom w:w="0" w:type="dxa"/>
          <w:right w:w="0" w:type="dxa"/>
        </w:tblCellMar>
      </w:tblPr>
      <w:tblGrid>
        <w:gridCol w:w="3080"/>
        <w:gridCol w:w="60"/>
        <w:gridCol w:w="256"/>
        <w:gridCol w:w="1383"/>
        <w:gridCol w:w="110"/>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Warrant Liability</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Balances, January 1, 2022**</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52,956</w:t>
            </w:r>
          </w:p>
        </w:tc>
        <w:tc>
          <w:tcPr>
            <w:tcW w:w="11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of warrants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(16,669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8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Balances, December 31, 2022</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30,841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245"/>
        <w:gridCol w:w="6875"/>
      </w:tblGrid>
      <w:tr>
        <w:trPr/>
        <w:tc>
          <w:tcPr>
            <w:tcW w:w="245" w:type="dxa"/>
            <w:tcBorders/>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w:t>
            </w:r>
          </w:p>
        </w:tc>
        <w:tc>
          <w:tcPr>
            <w:tcW w:w="687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There were no warrants issued, exercised and outstanding prior to January 1, 2022.</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13 -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up to 170,000,000 shares of common stock with $0.0001 par value. Common stockholders are entitled to dividends if and when declared by the Board of Directors subject to the rights of the preferred stockholders. As of December 31, 2022 and 2021, there were 43,272,728 and 36,496,998 shares issued and outstanding retroactively adjusted and no dividends on common stock had been declared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2022, Dragonfly entered into a Stock Purchase Agreement with THOR Industries, whereby THOR purchased shares of Dragonfly common stock for $15,000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and 2021, the Company had reserved shares of common stock for issuance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RESERVED SHARES OF COMMON STOCK FOR ISSUANCE </w:t>
      </w:r>
    </w:p>
    <w:tbl>
      <w:tblPr>
        <w:tblW w:w="5983" w:type="dxa"/>
        <w:jc w:val="left"/>
        <w:tblInd w:w="0" w:type="dxa"/>
        <w:tblLayout w:type="fixed"/>
        <w:tblCellMar>
          <w:top w:w="0" w:type="dxa"/>
          <w:left w:w="0" w:type="dxa"/>
          <w:bottom w:w="0" w:type="dxa"/>
          <w:right w:w="0" w:type="dxa"/>
        </w:tblCellMar>
      </w:tblPr>
      <w:tblGrid>
        <w:gridCol w:w="3020"/>
        <w:gridCol w:w="60"/>
        <w:gridCol w:w="63"/>
        <w:gridCol w:w="1291"/>
        <w:gridCol w:w="60"/>
        <w:gridCol w:w="60"/>
        <w:gridCol w:w="70"/>
        <w:gridCol w:w="1284"/>
        <w:gridCol w:w="7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December 31,</w:t>
            </w:r>
          </w:p>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December 31,</w:t>
            </w:r>
          </w:p>
          <w:p>
            <w:pPr>
              <w:pStyle w:val="TableContents"/>
              <w:bidi w:val="0"/>
              <w:spacing w:before="0" w:after="283"/>
              <w:jc w:val="center"/>
              <w:rPr>
                <w:rFonts w:ascii="Times New Roman;Times;Serif" w:hAnsi="Times New Roman;Times;Serif"/>
              </w:rPr>
            </w:pPr>
            <w:r>
              <w:rPr>
                <w:rFonts w:ascii="Times New Roman;Times;Serif" w:hAnsi="Times New Roman;Times;Serif"/>
              </w:rPr>
              <w:t>2021</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issued and outstanding</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3,642,958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3,690,955</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outstanding</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43,272,728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36,496,998</w:t>
            </w:r>
          </w:p>
        </w:tc>
        <w:tc>
          <w:tcPr>
            <w:tcW w:w="7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outstanding</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16,708,414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shares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Shares available for future issuance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4,924,914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12,207</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108,549,014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40,200,160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260"/>
        <w:gridCol w:w="23"/>
        <w:gridCol w:w="4280"/>
      </w:tblGrid>
      <w:tr>
        <w:trPr/>
        <w:tc>
          <w:tcPr>
            <w:tcW w:w="260" w:type="dxa"/>
            <w:tcBorders/>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428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Refer to Stock Incentive Plan amendment at Note 14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CCM LLC entered into a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and a Registration Rights Agreement (the “</w:t>
      </w:r>
      <w:r>
        <w:rPr>
          <w:rFonts w:ascii="Times New Roman;Times;Serif" w:hAnsi="Times New Roman;Times;Serif"/>
          <w:b/>
          <w:i w:val="false"/>
          <w:caps w:val="false"/>
          <w:smallCaps w:val="false"/>
          <w:sz w:val="20"/>
        </w:rPr>
        <w:t>ChEF RRA</w:t>
      </w:r>
      <w:r>
        <w:rPr>
          <w:rFonts w:ascii="Times New Roman;Times;Serif" w:hAnsi="Times New Roman;Times;Serif"/>
          <w:b w:val="false"/>
          <w:i w:val="false"/>
          <w:caps w:val="false"/>
          <w:smallCaps w:val="false"/>
          <w:sz w:val="20"/>
        </w:rPr>
        <w:t>”) in connection with the merger. Pursuant to the Purchase Agreement, the Company has the right to sell to CCM LLC an amount of shares of common stock, up to a maximum aggregate purchase price of $150,000, from time to time, pursuant to the terms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$150,000, over the term of the equity facility (“</w:t>
      </w:r>
      <w:r>
        <w:rPr>
          <w:rFonts w:ascii="Times New Roman;Times;Serif" w:hAnsi="Times New Roman;Times;Serif"/>
          <w:b/>
          <w:i w:val="false"/>
          <w:caps w:val="false"/>
          <w:smallCaps w:val="false"/>
          <w:sz w:val="20"/>
        </w:rPr>
        <w:t>ChEF Equity Facility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CCM LLC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$3,000 and (iii) equal to 20% of the total number of shares of common stock that would count towards VWAP on the applicable Purchase Date of such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any sales under the Purchase Agreement will depend on the frequency with, and prices at, which shares of common stock are sold to CCM LLC. To the extent the Company sells shares of common stock under the Purchase Agreement, it currently plans to use any proceeds therefrom for working capital and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ChEF RRA, the Company has agreed to provide CCM LLC with certain registration rights with respect to the shares of common stock issued subject to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will automatically terminate on the earliest to occur of (i) the 36-month anniversary of the later of (x) the closing of the merger and (y) effective date of the Initial Registration Statement (as defined in the Purchase Agreement), (ii) the date on which CCM LLC shall have purchased 150,000,000 of shares of common stock pursuant to the Purchase Agreement, (iii) the date on which common stock shall have failed to be listed or quoted on Nasdaq or any successor principal market and (iv) the commencement of certain bankruptcy proceedings or similar transactions with respect to the Company or all or substantially all of its property.</w:t>
      </w:r>
    </w:p>
    <w:p>
      <w:pPr>
        <w:pStyle w:val="TextBody"/>
        <w:bidi w:val="0"/>
        <w:spacing w:before="0" w:after="0"/>
        <w:ind w:left="0" w:right="0" w:hanging="0"/>
        <w:jc w:val="both"/>
        <w:rPr>
          <w:caps/>
        </w:rPr>
      </w:pPr>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14 -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2019, the Board of Directors approved the 2019 Stock Incentive Plan (the “</w:t>
      </w:r>
      <w:r>
        <w:rPr>
          <w:rFonts w:ascii="Times New Roman;Times;Serif" w:hAnsi="Times New Roman;Times;Serif"/>
          <w:b/>
          <w:i w:val="false"/>
          <w:caps w:val="false"/>
          <w:smallCaps w:val="false"/>
          <w:sz w:val="20"/>
        </w:rPr>
        <w:t>2019 Plan</w:t>
      </w:r>
      <w:r>
        <w:rPr>
          <w:rFonts w:ascii="Times New Roman;Times;Serif" w:hAnsi="Times New Roman;Times;Serif"/>
          <w:b w:val="false"/>
          <w:i w:val="false"/>
          <w:caps w:val="false"/>
          <w:smallCaps w:val="false"/>
          <w:sz w:val="20"/>
        </w:rPr>
        <w:t>”) with a term of ten years. The Plan was administered by the Board of Directors, which was authorized to grant, at its discretion, awards to employees, directors, and consultants. The maximum number of common shares that were reserved for grants of awards under the Plan was 3,000,000 shares. The Plan provided for the grant of stock options (both incentive stock options and nonqualified stock options), and the grants and sale of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Shares issued under this Plan may be drawn from authorized and unissued shares, or shares reacquired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of 2021, the Board of Directors approved the 2021 Stock Incentive Plan (the “</w:t>
      </w:r>
      <w:r>
        <w:rPr>
          <w:rFonts w:ascii="Times New Roman;Times;Serif" w:hAnsi="Times New Roman;Times;Serif"/>
          <w:b/>
          <w:i w:val="false"/>
          <w:caps w:val="false"/>
          <w:smallCaps w:val="false"/>
          <w:sz w:val="20"/>
        </w:rPr>
        <w:t>2021 Plan</w:t>
      </w:r>
      <w:r>
        <w:rPr>
          <w:rFonts w:ascii="Times New Roman;Times;Serif" w:hAnsi="Times New Roman;Times;Serif"/>
          <w:b w:val="false"/>
          <w:i w:val="false"/>
          <w:caps w:val="false"/>
          <w:smallCaps w:val="false"/>
          <w:sz w:val="20"/>
        </w:rPr>
        <w:t>” and, together with the 2019 Plan, the “</w:t>
      </w:r>
      <w:r>
        <w:rPr>
          <w:rFonts w:ascii="Times New Roman;Times;Serif" w:hAnsi="Times New Roman;Times;Serif"/>
          <w:b/>
          <w:i w:val="false"/>
          <w:caps w:val="false"/>
          <w:smallCaps w:val="false"/>
          <w:sz w:val="20"/>
        </w:rPr>
        <w:t>Prior Plans</w:t>
      </w:r>
      <w:r>
        <w:rPr>
          <w:rFonts w:ascii="Times New Roman;Times;Serif" w:hAnsi="Times New Roman;Times;Serif"/>
          <w:b w:val="false"/>
          <w:i w:val="false"/>
          <w:caps w:val="false"/>
          <w:smallCaps w:val="false"/>
          <w:sz w:val="20"/>
        </w:rPr>
        <w:t>”) with a term of ten years. The Plan was administered by the Board of Directors, which was authorized to grant, at its discretion, awards to employees, directors, and consultants. The maximum number of common shares reserved for grants of awards under the Plan was 1,000,000 shares which was amended and increased to 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shareholders and board members approved the 2022 Equity Incentive Plan (the “</w:t>
      </w:r>
      <w:r>
        <w:rPr>
          <w:rFonts w:ascii="Times New Roman;Times;Serif" w:hAnsi="Times New Roman;Times;Serif"/>
          <w:b/>
          <w:i w:val="false"/>
          <w:caps w:val="false"/>
          <w:smallCaps w:val="false"/>
          <w:sz w:val="20"/>
        </w:rPr>
        <w:t>2022 Plan</w:t>
      </w:r>
      <w:r>
        <w:rPr>
          <w:rFonts w:ascii="Times New Roman;Times;Serif" w:hAnsi="Times New Roman;Times;Serif"/>
          <w:b w:val="false"/>
          <w:i w:val="false"/>
          <w:caps w:val="false"/>
          <w:smallCaps w:val="false"/>
          <w:sz w:val="20"/>
        </w:rPr>
        <w:t>”). A total of 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pPr>
      <w:r>
        <w:rPr/>
        <w:t>The Company maintains an Employee Stock Purchase Plan (“</w:t>
      </w:r>
      <w:r>
        <w:rPr>
          <w:b/>
        </w:rPr>
        <w:t>ESPP</w:t>
      </w:r>
      <w:r>
        <w:rPr/>
        <w:t>”) which is designed to allow eligible employees and the eligible employees of our participating subsidiaries to purchase shares of our common stock, at semi-annual intervals, with their accumulated payroll deductions. A total of 2,464,400 shares of the Company’s common stock will initially be available for issuance under the ESPP. The share limit will automatically increase on the first trading day in January of each year by an amount equal to lesser of (1) 1% of the total number of outstanding shares of our common stock on December 31 in the prior year, (2) 1,500,000 shares, or (3) such number as determined by the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option activity and related information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OPTION ACTIVITY AND RELATED INFORMATION</w:t>
      </w:r>
    </w:p>
    <w:tbl>
      <w:tblPr>
        <w:tblW w:w="10205" w:type="dxa"/>
        <w:jc w:val="left"/>
        <w:tblInd w:w="0" w:type="dxa"/>
        <w:tblLayout w:type="fixed"/>
        <w:tblCellMar>
          <w:top w:w="0" w:type="dxa"/>
          <w:left w:w="0" w:type="dxa"/>
          <w:bottom w:w="0" w:type="dxa"/>
          <w:right w:w="0" w:type="dxa"/>
        </w:tblCellMar>
      </w:tblPr>
      <w:tblGrid>
        <w:gridCol w:w="1682"/>
        <w:gridCol w:w="60"/>
        <w:gridCol w:w="60"/>
        <w:gridCol w:w="845"/>
        <w:gridCol w:w="80"/>
        <w:gridCol w:w="60"/>
        <w:gridCol w:w="246"/>
        <w:gridCol w:w="1112"/>
        <w:gridCol w:w="60"/>
        <w:gridCol w:w="60"/>
        <w:gridCol w:w="238"/>
        <w:gridCol w:w="1418"/>
        <w:gridCol w:w="60"/>
        <w:gridCol w:w="60"/>
        <w:gridCol w:w="318"/>
        <w:gridCol w:w="2030"/>
        <w:gridCol w:w="60"/>
        <w:gridCol w:w="60"/>
        <w:gridCol w:w="282"/>
        <w:gridCol w:w="1334"/>
        <w:gridCol w:w="80"/>
      </w:tblGrid>
      <w:tr>
        <w:trPr/>
        <w:tc>
          <w:tcPr>
            <w:tcW w:w="16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w:t>
            </w:r>
            <w:r>
              <w:rPr>
                <w:rFonts w:ascii="Times New Roman;Times;Serif" w:hAnsi="Times New Roman;Times;Serif"/>
                <w:b w:val="false"/>
                <w:i w:val="false"/>
                <w:caps w:val="false"/>
                <w:smallCaps w:val="false"/>
                <w:position w:val="7"/>
                <w:sz w:val="16"/>
                <w:sz w:val="20"/>
              </w:rPr>
              <w:t>(1)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Weighted- </w:t>
              <w:br/>
              <w:t>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w:t>
              <w:br/>
              <w:t>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Weighted- </w:t>
              <w:br/>
              <w:t>Average Remaining Contractual 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Aggregate Intrinsic value</w:t>
            </w:r>
          </w:p>
        </w:tc>
        <w:tc>
          <w:tcPr>
            <w:tcW w:w="80" w:type="dxa"/>
            <w:tcBorders/>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Balances, January 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3,029,791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2"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651</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2,069,309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3,551</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(421,094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(987,051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Balances,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3,690,955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6,550</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Balances,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3,690,955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6,550</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572,428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(581,351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Balances,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3,642,958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35,898</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6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 and Exercisable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1,646,304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17,114</w:t>
            </w:r>
          </w:p>
        </w:tc>
        <w:tc>
          <w:tcPr>
            <w:tcW w:w="80" w:type="dxa"/>
            <w:tcBorders/>
            <w:shd w:fill="FFFFFF" w:val="clear"/>
            <w:vAlign w:val="center"/>
          </w:tcPr>
          <w:p>
            <w:pPr>
              <w:pStyle w:val="TableContents"/>
              <w:bidi w:val="0"/>
              <w:spacing w:before="0" w:after="283"/>
              <w:jc w:val="left"/>
              <w:rPr/>
            </w:pPr>
            <w:r>
              <w:rPr/>
              <w:t> </w:t>
            </w:r>
          </w:p>
        </w:tc>
      </w:tr>
      <w:tr>
        <w:trPr/>
        <w:tc>
          <w:tcPr>
            <w:tcW w:w="16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 and expected to vest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3,642,958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35,898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23"/>
        <w:gridCol w:w="9958"/>
      </w:tblGrid>
      <w:tr>
        <w:trPr/>
        <w:tc>
          <w:tcPr>
            <w:tcW w:w="224" w:type="dxa"/>
            <w:tcBorders/>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9958"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Number of options and weighted average exercise price has been adjusted to reflect the exchange of Legacy Dragonfly’s stock options for New Dragonfly stock options at an exchange ratio of approximately 1.182 as a result of the merger. See Note 3 for further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for options and RSUs totaling $2,467 and $734 was recognized in the Company’s consolidated statements of operations for the years ended December 31, 2022 and 2021, respectively. Of the $2,467 of share-based compensation incurred during the year ended December 31, 2022, $155 is allocated to cost of goods sold, $149 to research and development, $654 to selling and marketing, and $1,509 to general and administrative expenses. Of the $734 of share-based compensation incurred during the year ended December 31, 2021, $252 is allocated to cost of goods sold, $95 to research and development, $156 to selling and marketing, and $231 to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there were 4,924,914 shares of unissued authorized and available for future awards under the plans.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VALUATION ASSUMPTIONS OF OPTIONS</w:t>
      </w:r>
    </w:p>
    <w:tbl>
      <w:tblPr>
        <w:tblW w:w="6265" w:type="dxa"/>
        <w:jc w:val="left"/>
        <w:tblInd w:w="0" w:type="dxa"/>
        <w:tblLayout w:type="fixed"/>
        <w:tblCellMar>
          <w:top w:w="0" w:type="dxa"/>
          <w:left w:w="0" w:type="dxa"/>
          <w:bottom w:w="0" w:type="dxa"/>
          <w:right w:w="0" w:type="dxa"/>
        </w:tblCellMar>
      </w:tblPr>
      <w:tblGrid>
        <w:gridCol w:w="4460"/>
        <w:gridCol w:w="60"/>
        <w:gridCol w:w="140"/>
        <w:gridCol w:w="635"/>
        <w:gridCol w:w="60"/>
        <w:gridCol w:w="60"/>
        <w:gridCol w:w="140"/>
        <w:gridCol w:w="635"/>
        <w:gridCol w:w="7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2021</w:t>
            </w:r>
          </w:p>
        </w:tc>
        <w:tc>
          <w:tcPr>
            <w:tcW w:w="75"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fair value of options granted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75"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w:t>
            </w:r>
          </w:p>
        </w:tc>
        <w:tc>
          <w:tcPr>
            <w:tcW w:w="7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life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w:t>
            </w:r>
          </w:p>
        </w:tc>
        <w:tc>
          <w:tcPr>
            <w:tcW w:w="75"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Company granted 180,000 restricted stock units under the 2022 plan which vest one year from the grant date. The fair value of the restricted stock units on the date of grant was $2,520, which is recognized as compensation expense over the requisite service period based on the value of the underlying shares on the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grants of restricted stock units prior to October 7, 2022. The following table presents the restricted stock units activity for the year ended December 31, 2022:</w:t>
      </w:r>
    </w:p>
    <w:p>
      <w:pPr>
        <w:pStyle w:val="TextBody"/>
        <w:bidi w:val="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RESTRICTED STOCK UNITS ACTIVITY</w:t>
      </w:r>
    </w:p>
    <w:tbl>
      <w:tblPr>
        <w:tblW w:w="9194" w:type="dxa"/>
        <w:jc w:val="left"/>
        <w:tblInd w:w="0" w:type="dxa"/>
        <w:tblLayout w:type="fixed"/>
        <w:tblCellMar>
          <w:top w:w="0" w:type="dxa"/>
          <w:left w:w="0" w:type="dxa"/>
          <w:bottom w:w="0" w:type="dxa"/>
          <w:right w:w="0" w:type="dxa"/>
        </w:tblCellMar>
      </w:tblPr>
      <w:tblGrid>
        <w:gridCol w:w="3575"/>
        <w:gridCol w:w="60"/>
        <w:gridCol w:w="121"/>
        <w:gridCol w:w="1623"/>
        <w:gridCol w:w="60"/>
        <w:gridCol w:w="60"/>
        <w:gridCol w:w="724"/>
        <w:gridCol w:w="2896"/>
        <w:gridCol w:w="75"/>
      </w:tblGrid>
      <w:tr>
        <w:trPr/>
        <w:tc>
          <w:tcPr>
            <w:tcW w:w="3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283"/>
              <w:jc w:val="center"/>
              <w:rPr/>
            </w:pPr>
            <w:r>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0" w:type="dxa"/>
            <w:gridSpan w:val="2"/>
            <w:tcBorders>
              <w:bottom w:val="single" w:sz="12" w:space="0" w:color="000000"/>
            </w:tcBorders>
            <w:tcMar>
              <w:bottom w:w="28" w:type="dxa"/>
            </w:tcMar>
            <w:vAlign w:val="center"/>
          </w:tcPr>
          <w:p>
            <w:pPr>
              <w:pStyle w:val="TableContents"/>
              <w:bidi w:val="0"/>
              <w:spacing w:before="0" w:after="283"/>
              <w:jc w:val="center"/>
              <w:rPr/>
            </w:pPr>
            <w:r>
              <w:rPr/>
              <w:t>Weighted-Average Fair Market Value</w:t>
            </w:r>
          </w:p>
        </w:tc>
        <w:tc>
          <w:tcPr>
            <w:tcW w:w="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Unvested shares, December 31, 2021</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left"/>
              <w:rPr/>
            </w:pPr>
            <w:r>
              <w:rPr/>
              <w:t> </w:t>
            </w:r>
          </w:p>
        </w:tc>
        <w:tc>
          <w:tcPr>
            <w:tcW w:w="289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Granted and unvested</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23" w:type="dxa"/>
            <w:tcBorders/>
            <w:shd w:fill="FFFFFF" w:val="clear"/>
            <w:vAlign w:val="center"/>
          </w:tcPr>
          <w:p>
            <w:pPr>
              <w:pStyle w:val="TableContents"/>
              <w:bidi w:val="0"/>
              <w:spacing w:before="0" w:after="283"/>
              <w:jc w:val="right"/>
              <w:rPr/>
            </w:pPr>
            <w:r>
              <w:rPr/>
              <w:t>180,000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left"/>
              <w:rPr/>
            </w:pPr>
            <w:r>
              <w:rPr/>
              <w:t>$</w:t>
            </w:r>
          </w:p>
        </w:tc>
        <w:tc>
          <w:tcPr>
            <w:tcW w:w="2896" w:type="dxa"/>
            <w:tcBorders/>
            <w:shd w:fill="FFFFFF" w:val="clear"/>
            <w:vAlign w:val="center"/>
          </w:tcPr>
          <w:p>
            <w:pPr>
              <w:pStyle w:val="TableContents"/>
              <w:bidi w:val="0"/>
              <w:spacing w:before="0" w:after="283"/>
              <w:jc w:val="right"/>
              <w:rPr/>
            </w:pPr>
            <w:r>
              <w:rPr/>
              <w:t>14.00</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left"/>
              <w:rPr/>
            </w:pPr>
            <w:r>
              <w:rPr/>
              <w:t> </w:t>
            </w:r>
          </w:p>
        </w:tc>
        <w:tc>
          <w:tcPr>
            <w:tcW w:w="289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Forfeited/Cancelled</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89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Unvested shares, December 31, 2022</w:t>
            </w:r>
          </w:p>
        </w:tc>
        <w:tc>
          <w:tcPr>
            <w:tcW w:w="60" w:type="dxa"/>
            <w:tcBorders/>
            <w:shd w:fill="CCEEFF" w:val="clear"/>
            <w:vAlign w:val="center"/>
          </w:tcPr>
          <w:p>
            <w:pPr>
              <w:pStyle w:val="TableContents"/>
              <w:bidi w:val="0"/>
              <w:spacing w:before="0" w:after="283"/>
              <w:jc w:val="left"/>
              <w:rPr/>
            </w:pPr>
            <w:r>
              <w:rPr/>
              <w:t> </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23" w:type="dxa"/>
            <w:tcBorders>
              <w:bottom w:val="double" w:sz="6" w:space="0" w:color="000000"/>
            </w:tcBorders>
            <w:shd w:fill="CCEEFF" w:val="clear"/>
            <w:tcMar>
              <w:bottom w:w="28" w:type="dxa"/>
            </w:tcMar>
            <w:vAlign w:val="center"/>
          </w:tcPr>
          <w:p>
            <w:pPr>
              <w:pStyle w:val="TableContents"/>
              <w:bidi w:val="0"/>
              <w:spacing w:before="0" w:after="283"/>
              <w:jc w:val="right"/>
              <w:rPr/>
            </w:pPr>
            <w:r>
              <w:rPr/>
              <w:t>180,000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896" w:type="dxa"/>
            <w:tcBorders>
              <w:bottom w:val="double" w:sz="6" w:space="0" w:color="000000"/>
            </w:tcBorders>
            <w:shd w:fill="CCEEFF" w:val="clear"/>
            <w:tcMar>
              <w:bottom w:w="28" w:type="dxa"/>
            </w:tcMar>
            <w:vAlign w:val="center"/>
          </w:tcPr>
          <w:p>
            <w:pPr>
              <w:pStyle w:val="TableContents"/>
              <w:bidi w:val="0"/>
              <w:spacing w:before="0" w:after="283"/>
              <w:jc w:val="right"/>
              <w:rPr/>
            </w:pPr>
            <w:r>
              <w:rPr/>
              <w:t>14.00</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Vested as of December 31, 2022</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2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89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15 - REDEEMABLE PREFERRED STOCK RIGHTS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Legacy Redeemable Convertible Preferred Stock previously classified as temporary equity was retroactively adjusted, converted into common stock at an exchange ratio of approximately 1.182, and reclassified to permanent equity as a result of the reverse recapitalization. As of December 31, 2022, there was no Legacy Redeemable Convertible Preferred Stock authorized, issued or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the rights and preferences of the Legacy Dragonfly Redeemable Convertible Preferred Stock prior to the conversion in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declare, pay or set aside any dividends on shares of any other class or series of capital stock of the Company (other than dividends on shares of common stock payable in shares of common stock) unless the holders of Series A Preferred Stock then outstanding shall first receive, or simultaneously receive, a dividend on each outstanding share of Series A preferred stock in an amount as set forth in the amended and restated certificate of incorporation. No dividends have been declared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Preferred Stock are entitled to vote, together with the holders of common stock, on all matters submitted to stockholders for a vote. Each preferred stockholder is entitled to the number of votes equal to the number of shares of common stock into which each preferred share is convertible at the time of such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record of the shares of Series A Preferred Stock, exclusively and as a separate class, shall be entitled to elect one director of the Company (the “</w:t>
      </w:r>
      <w:r>
        <w:rPr>
          <w:rFonts w:ascii="Times New Roman;Times;Serif" w:hAnsi="Times New Roman;Times;Serif"/>
          <w:b/>
          <w:i w:val="false"/>
          <w:caps w:val="false"/>
          <w:smallCaps w:val="false"/>
          <w:sz w:val="20"/>
        </w:rPr>
        <w:t>Series A Director</w:t>
      </w:r>
      <w:r>
        <w:rPr>
          <w:rFonts w:ascii="Times New Roman;Times;Serif" w:hAnsi="Times New Roman;Times;Serif"/>
          <w:b w:val="false"/>
          <w:i w:val="false"/>
          <w:caps w:val="false"/>
          <w:smallCaps w:val="false"/>
          <w:sz w:val="20"/>
        </w:rPr>
        <w:t>”). The Series A Director shall be given two votes on any action requiring the vote or approval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record of the shares of common stock, exclusively and as a separate class, shall be entitled to elect two directors of the Company, the “</w:t>
      </w:r>
      <w:r>
        <w:rPr>
          <w:rFonts w:ascii="Times New Roman;Times;Serif" w:hAnsi="Times New Roman;Times;Serif"/>
          <w:b/>
          <w:i w:val="false"/>
          <w:caps w:val="false"/>
          <w:smallCaps w:val="false"/>
          <w:sz w:val="20"/>
        </w:rPr>
        <w:t>Common Stock Director A</w:t>
      </w:r>
      <w:r>
        <w:rPr>
          <w:rFonts w:ascii="Times New Roman;Times;Serif" w:hAnsi="Times New Roman;Times;Serif"/>
          <w:b w:val="false"/>
          <w:i w:val="false"/>
          <w:caps w:val="false"/>
          <w:smallCaps w:val="false"/>
          <w:sz w:val="20"/>
        </w:rPr>
        <w:t>” and the “</w:t>
      </w:r>
      <w:r>
        <w:rPr>
          <w:rFonts w:ascii="Times New Roman;Times;Serif" w:hAnsi="Times New Roman;Times;Serif"/>
          <w:b/>
          <w:i w:val="false"/>
          <w:caps w:val="false"/>
          <w:smallCaps w:val="false"/>
          <w:sz w:val="20"/>
        </w:rPr>
        <w:t>Common Stock Director B</w:t>
      </w:r>
      <w:r>
        <w:rPr>
          <w:rFonts w:ascii="Times New Roman;Times;Serif" w:hAnsi="Times New Roman;Times;Serif"/>
          <w:b w:val="false"/>
          <w:i w:val="false"/>
          <w:caps w:val="false"/>
          <w:smallCaps w:val="false"/>
          <w:sz w:val="20"/>
        </w:rPr>
        <w:t>”). The Common Stock Director A shall be given three votes on any action requiring the vote or approval of the Board of Directors and the Common Stock Director B shall be given one vote on any action requiring the vote or approval of the Board of Directors. Any director elected as provided above may be removed without caused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rPr>
      </w:pPr>
      <w:r>
        <w:rPr>
          <w:caps/>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Liquidation, Dissolution or Winding Up; Certain Mergers, Consolidations and Assets Sales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voluntary or involuntary liquidation, dissolution or winding up of the Company or deemed liquidation event, as defined, the holders of shares of Series A Preferred Stock then outstanding (the “</w:t>
      </w:r>
      <w:r>
        <w:rPr>
          <w:rFonts w:ascii="Times New Roman;Times;Serif" w:hAnsi="Times New Roman;Times;Serif"/>
          <w:b/>
          <w:i w:val="false"/>
          <w:caps w:val="false"/>
          <w:smallCaps w:val="false"/>
          <w:sz w:val="20"/>
        </w:rPr>
        <w:t>Series A shareholders</w:t>
      </w:r>
      <w:r>
        <w:rPr>
          <w:rFonts w:ascii="Times New Roman;Times;Serif" w:hAnsi="Times New Roman;Times;Serif"/>
          <w:b w:val="false"/>
          <w:i w:val="false"/>
          <w:caps w:val="false"/>
          <w:smallCaps w:val="false"/>
          <w:sz w:val="20"/>
        </w:rPr>
        <w:t>”) shall be entitled to be paid out of the assets of the Company available for distribution to its stockholders prior to payment to common shareholders, an amount per share equal to the greater of (i) the Series A Original Issue Price, plus any dividends declared but unpaid thereon, or (ii) such amount per share as would have been payable had all shares of Series A preferred Stock been converted into common stock immediately prior to such liquidation event. If upon the occurrence of such liquidation event, if the assets of the Company available for distribution to its stockholders are insufficient to pay the Series A shareholders the full amount to which they shall be entitled, the Series A shareholders will be entitled to a pro rata distribution of assets in proportion to the respective amounts which would otherwise be payable in respect of the shares held by them upon such distribution if all amounts payable on or with respect to such shares were paid in full. Upon the occurrence of such liquidation event, and after the payment of all preferential amounts required to be paid to the Series A holders, the remaining assets of the Company available for distribution to its stockholders shall be distributed among the holders of shares of common stock, pro rata based on the number of shares held by each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Redemption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are subject to mandatory redemption based on the occurrence of certain “deemed liquidation events” as defined which include a merger or consolidation or the sale, exchange, lease, transfer, exclusive license, or other disposition by the Company of all or substantially all of the Company’s assets. If the Company does not affect a dissolution of the Company under Nevada Law within ninety days after a deemed liquidation event, then the Company is required to send written notice to each holder of Series A Preferred Stock no later than the ninetieth day after the deemed liquidation event advising such holders of their right to require the redemption of such shares of Preferred Stock. Dissolution of the Company under Nevada Law with ninety days after a deemed liquidation event is not within the control of the Company. As such the Preferred Stock is precluded from permanent equity classification and has been presented as mezzanine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of $0.20. Such initial conversion price may be converted into common stock, subject to certain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Mandatory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either (a) the closing of the sale of shares of common stock at a price of at least $1.00 per share, in a firm-commitment underwritten public offering pursuant to an effective registration statement under the Securities Act of 1933, as amended, resulting in at least $25,000 of gross proceeds to the Company or (b) the date and time, or the occurrence of an event, specified by vote or written consent of the holders of more than 50% of the then outstanding shares of Series A Preferred Stock, then (i) all outstanding shares of Series A Preferred Stock shall automatically be converted into shares of common stock, at the then effective conversion rate and (ii) such shares may not be reissued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16 - EARNINGS (LOSS) PER SHARE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PER SHARE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Earnings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information needed to compute basic and diluted (loss) earnings per share for the years ended December 31, 2022 and December 31, 2021:</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INFORMATION NEEDED TO COMPUTE BASIC AND DILUTED EARNINGS PER SHARE</w:t>
      </w:r>
    </w:p>
    <w:tbl>
      <w:tblPr>
        <w:tblW w:w="9153" w:type="dxa"/>
        <w:jc w:val="left"/>
        <w:tblInd w:w="0" w:type="dxa"/>
        <w:tblLayout w:type="fixed"/>
        <w:tblCellMar>
          <w:top w:w="0" w:type="dxa"/>
          <w:left w:w="0" w:type="dxa"/>
          <w:bottom w:w="0" w:type="dxa"/>
          <w:right w:w="0" w:type="dxa"/>
        </w:tblCellMar>
      </w:tblPr>
      <w:tblGrid>
        <w:gridCol w:w="5075"/>
        <w:gridCol w:w="60"/>
        <w:gridCol w:w="213"/>
        <w:gridCol w:w="1681"/>
        <w:gridCol w:w="95"/>
        <w:gridCol w:w="60"/>
        <w:gridCol w:w="213"/>
        <w:gridCol w:w="1681"/>
        <w:gridCol w:w="75"/>
      </w:tblGrid>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2021</w:t>
            </w:r>
          </w:p>
        </w:tc>
        <w:tc>
          <w:tcPr>
            <w:tcW w:w="7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Basic (Loss) Earnings per common share: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 available to common shareholders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common shares-basic</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35,579,137</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Earnings per share, basic</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0.12</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Diluted (Loss) earnings per common share: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 available to common shareholders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(39,571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35,579,137</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Dilutive effect related to stock options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2,163,200</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diluted shares outstanding</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38,565,307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37,742,337</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Earnings per share, diluted</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potential shares of common stock that have been excluded from diluted net income per share net (loss) income per share because their effect was anti-dilutive:</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POTENTIAL SHARES OF COMMON STOCK EXCLUDED FROM DILUTED NET (LOSS) INCOME PER SHARE</w:t>
      </w:r>
    </w:p>
    <w:p>
      <w:pPr>
        <w:pStyle w:val="TextBody"/>
        <w:bidi w:val="0"/>
        <w:spacing w:before="0" w:after="0"/>
        <w:ind w:left="0" w:right="0" w:hanging="0"/>
        <w:jc w:val="both"/>
        <w:rPr>
          <w:caps w:val="false"/>
          <w:smallCaps w:val="false"/>
        </w:rPr>
      </w:pPr>
      <w:r>
        <w:rPr>
          <w:caps w:val="false"/>
          <w:smallCaps w:val="false"/>
        </w:rPr>
        <w:t> </w:t>
      </w:r>
    </w:p>
    <w:tbl>
      <w:tblPr>
        <w:tblW w:w="8908" w:type="dxa"/>
        <w:jc w:val="left"/>
        <w:tblInd w:w="0" w:type="dxa"/>
        <w:tblLayout w:type="fixed"/>
        <w:tblCellMar>
          <w:top w:w="0" w:type="dxa"/>
          <w:left w:w="0" w:type="dxa"/>
          <w:bottom w:w="0" w:type="dxa"/>
          <w:right w:w="0" w:type="dxa"/>
        </w:tblCellMar>
      </w:tblPr>
      <w:tblGrid>
        <w:gridCol w:w="4865"/>
        <w:gridCol w:w="60"/>
        <w:gridCol w:w="98"/>
        <w:gridCol w:w="1796"/>
        <w:gridCol w:w="60"/>
        <w:gridCol w:w="60"/>
        <w:gridCol w:w="219"/>
        <w:gridCol w:w="1675"/>
        <w:gridCol w:w="75"/>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2021</w:t>
            </w:r>
          </w:p>
        </w:tc>
        <w:tc>
          <w:tcPr>
            <w:tcW w:w="7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16,708,414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6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stock units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7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6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3,642,958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7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20,531,372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the Company entered into a convertible promissory note with a board member in the amount of $1,000, or the Principal Amount. Upon execution of the Note and funding of the original principal sum, a payment of $100, or the Loan Fee, was fully earned as of the date of the note and was due and payable in full in cash on April 4, 2023. The Company paid the Principal Amount and the Loan Fee on April 1, 2023 and April 4,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Company changed its state of incorporation from the State of Delaware to the State of Nevada (the “</w:t>
      </w:r>
      <w:r>
        <w:rPr>
          <w:rFonts w:ascii="Times New Roman;Times;Serif" w:hAnsi="Times New Roman;Times;Serif"/>
          <w:b/>
          <w:i w:val="false"/>
          <w:caps w:val="false"/>
          <w:smallCaps w:val="false"/>
          <w:sz w:val="20"/>
        </w:rPr>
        <w:t>Reincorporation</w:t>
      </w:r>
      <w:r>
        <w:rPr>
          <w:rFonts w:ascii="Times New Roman;Times;Serif" w:hAnsi="Times New Roman;Times;Serif"/>
          <w:b w:val="false"/>
          <w:i w:val="false"/>
          <w:caps w:val="false"/>
          <w:smallCaps w:val="false"/>
          <w:sz w:val="20"/>
        </w:rPr>
        <w:t>”) pursuant to a plan of conversion dated March 30, 2023 (the “</w:t>
      </w:r>
      <w:r>
        <w:rPr>
          <w:rFonts w:ascii="Times New Roman;Times;Serif" w:hAnsi="Times New Roman;Times;Serif"/>
          <w:b/>
          <w:i w:val="false"/>
          <w:caps w:val="false"/>
          <w:smallCaps w:val="false"/>
          <w:sz w:val="20"/>
        </w:rPr>
        <w:t>Plan of Conversion</w:t>
      </w:r>
      <w:r>
        <w:rPr>
          <w:rFonts w:ascii="Times New Roman;Times;Serif" w:hAnsi="Times New Roman;Times;Serif"/>
          <w:b w:val="false"/>
          <w:i w:val="false"/>
          <w:caps w:val="false"/>
          <w:smallCaps w:val="false"/>
          <w:sz w:val="20"/>
        </w:rPr>
        <w:t>”). Pursuant to the Plan of Conversion, the issued and outstanding shares of common stock of the Company were automatically converted into common stock of the reincorporated company at the effective time of the Reincorporation.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described in Note 13 the Company issued 98,500 shares pursuant to the Purchase Agreement with CCM LLC for aggregate net proceeds to the Company of $671 through April 17,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bookmarkStart w:id="32" w:name="a_003"/>
      <w:bookmarkEnd w:id="32"/>
      <w:r>
        <w:rPr>
          <w:rFonts w:ascii="Times New Roman;Times;Serif" w:hAnsi="Times New Roman;Times;Serif"/>
          <w:b/>
          <w:i w:val="false"/>
          <w:caps/>
          <w:color w:val="000000"/>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457"/>
        <w:gridCol w:w="60"/>
        <w:gridCol w:w="162"/>
        <w:gridCol w:w="930"/>
        <w:gridCol w:w="95"/>
        <w:gridCol w:w="60"/>
        <w:gridCol w:w="206"/>
        <w:gridCol w:w="1121"/>
        <w:gridCol w:w="114"/>
      </w:tblGrid>
      <w:tr>
        <w:trPr/>
        <w:tc>
          <w:tcPr>
            <w:tcW w:w="7457"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9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June 30, 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2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December 31, 2022</w:t>
            </w:r>
          </w:p>
        </w:tc>
        <w:tc>
          <w:tcPr>
            <w:tcW w:w="114" w:type="dxa"/>
            <w:tcBorders/>
            <w:vAlign w:val="center"/>
          </w:tcPr>
          <w:p>
            <w:pPr>
              <w:pStyle w:val="TableContents"/>
              <w:bidi w:val="0"/>
              <w:spacing w:before="0" w:after="283"/>
              <w:jc w:val="left"/>
              <w:rPr>
                <w:color w:val="000000"/>
              </w:rPr>
            </w:pPr>
            <w:r>
              <w:rPr>
                <w:color w:val="000000"/>
              </w:rPr>
              <w:t> </w:t>
            </w:r>
          </w:p>
        </w:tc>
      </w:tr>
      <w:tr>
        <w:trPr/>
        <w:tc>
          <w:tcPr>
            <w:tcW w:w="7457"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57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As of</w:t>
            </w:r>
          </w:p>
        </w:tc>
        <w:tc>
          <w:tcPr>
            <w:tcW w:w="114" w:type="dxa"/>
            <w:tcBorders/>
            <w:vAlign w:val="center"/>
          </w:tcPr>
          <w:p>
            <w:pPr>
              <w:pStyle w:val="TableContents"/>
              <w:bidi w:val="0"/>
              <w:spacing w:before="0" w:after="283"/>
              <w:jc w:val="left"/>
              <w:rPr>
                <w:color w:val="000000"/>
              </w:rPr>
            </w:pPr>
            <w:r>
              <w:rPr>
                <w:color w:val="000000"/>
              </w:rPr>
              <w:t> </w:t>
            </w:r>
          </w:p>
        </w:tc>
      </w:tr>
      <w:tr>
        <w:trPr/>
        <w:tc>
          <w:tcPr>
            <w:tcW w:w="7457"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9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June 30, 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2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December 31, 2022</w:t>
            </w:r>
          </w:p>
        </w:tc>
        <w:tc>
          <w:tcPr>
            <w:tcW w:w="114" w:type="dxa"/>
            <w:tcBorders/>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Current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shd w:fill="CCEEFF" w:val="clear"/>
            <w:vAlign w:val="center"/>
          </w:tcPr>
          <w:p>
            <w:pPr>
              <w:pStyle w:val="TableContents"/>
              <w:bidi w:val="0"/>
              <w:spacing w:before="0" w:after="283"/>
              <w:jc w:val="left"/>
              <w:rPr>
                <w:color w:val="000000"/>
              </w:rPr>
            </w:pPr>
            <w:r>
              <w:rPr>
                <w:color w:val="000000"/>
              </w:rPr>
              <w:t> </w:t>
            </w:r>
          </w:p>
        </w:tc>
        <w:tc>
          <w:tcPr>
            <w:tcW w:w="93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shd w:fill="CCEEFF" w:val="clear"/>
            <w:vAlign w:val="center"/>
          </w:tcPr>
          <w:p>
            <w:pPr>
              <w:pStyle w:val="TableContents"/>
              <w:bidi w:val="0"/>
              <w:spacing w:before="0" w:after="283"/>
              <w:jc w:val="left"/>
              <w:rPr>
                <w:color w:val="000000"/>
              </w:rPr>
            </w:pPr>
            <w:r>
              <w:rPr>
                <w:color w:val="000000"/>
              </w:rPr>
              <w:t> </w:t>
            </w:r>
          </w:p>
        </w:tc>
        <w:tc>
          <w:tcPr>
            <w:tcW w:w="1121" w:type="dxa"/>
            <w:tcBorders/>
            <w:shd w:fill="CCEEFF" w:val="clear"/>
            <w:vAlign w:val="center"/>
          </w:tcPr>
          <w:p>
            <w:pPr>
              <w:pStyle w:val="TableContents"/>
              <w:bidi w:val="0"/>
              <w:spacing w:before="0" w:after="283"/>
              <w:jc w:val="right"/>
              <w:rPr>
                <w:color w:val="000000"/>
              </w:rPr>
            </w:pPr>
            <w:r>
              <w:rPr>
                <w:color w:val="000000"/>
              </w:rPr>
              <w:t> </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Cash</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3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32,952</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21"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17,781</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Accounts receivable, net of allowance for credit losses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shd w:fill="CCEEFF" w:val="clear"/>
            <w:vAlign w:val="center"/>
          </w:tcPr>
          <w:p>
            <w:pPr>
              <w:pStyle w:val="TableContents"/>
              <w:bidi w:val="0"/>
              <w:spacing w:before="0" w:after="283"/>
              <w:jc w:val="left"/>
              <w:rPr>
                <w:color w:val="000000"/>
              </w:rPr>
            </w:pPr>
            <w:r>
              <w:rPr>
                <w:color w:val="00000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2,172</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shd w:fill="CCEEFF" w:val="clear"/>
            <w:vAlign w:val="center"/>
          </w:tcPr>
          <w:p>
            <w:pPr>
              <w:pStyle w:val="TableContents"/>
              <w:bidi w:val="0"/>
              <w:spacing w:before="0" w:after="283"/>
              <w:jc w:val="left"/>
              <w:rPr>
                <w:color w:val="000000"/>
              </w:rPr>
            </w:pPr>
            <w:r>
              <w:rPr>
                <w:color w:val="000000"/>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1,444</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Inventory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shd w:fill="FFFFFF" w:val="clear"/>
            <w:vAlign w:val="center"/>
          </w:tcPr>
          <w:p>
            <w:pPr>
              <w:pStyle w:val="TableContents"/>
              <w:bidi w:val="0"/>
              <w:spacing w:before="0" w:after="283"/>
              <w:jc w:val="left"/>
              <w:rPr>
                <w:color w:val="000000"/>
              </w:rPr>
            </w:pPr>
            <w:r>
              <w:rPr>
                <w:color w:val="00000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44,198</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shd w:fill="FFFFFF" w:val="clear"/>
            <w:vAlign w:val="center"/>
          </w:tcPr>
          <w:p>
            <w:pPr>
              <w:pStyle w:val="TableContents"/>
              <w:bidi w:val="0"/>
              <w:spacing w:before="0" w:after="283"/>
              <w:jc w:val="left"/>
              <w:rPr>
                <w:color w:val="000000"/>
              </w:rPr>
            </w:pPr>
            <w:r>
              <w:rPr>
                <w:color w:val="000000"/>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49,846</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Prepaid expenses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shd w:fill="CCEEFF" w:val="clear"/>
            <w:vAlign w:val="center"/>
          </w:tcPr>
          <w:p>
            <w:pPr>
              <w:pStyle w:val="TableContents"/>
              <w:bidi w:val="0"/>
              <w:spacing w:before="0" w:after="283"/>
              <w:jc w:val="left"/>
              <w:rPr>
                <w:color w:val="000000"/>
              </w:rPr>
            </w:pPr>
            <w:r>
              <w:rPr>
                <w:color w:val="00000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1,199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shd w:fill="CCEEFF" w:val="clear"/>
            <w:vAlign w:val="center"/>
          </w:tcPr>
          <w:p>
            <w:pPr>
              <w:pStyle w:val="TableContents"/>
              <w:bidi w:val="0"/>
              <w:spacing w:before="0" w:after="283"/>
              <w:jc w:val="left"/>
              <w:rPr>
                <w:color w:val="000000"/>
              </w:rPr>
            </w:pPr>
            <w:r>
              <w:rPr>
                <w:color w:val="000000"/>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1,624</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Prepaid inventory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shd w:fill="FFFFFF" w:val="clear"/>
            <w:vAlign w:val="center"/>
          </w:tcPr>
          <w:p>
            <w:pPr>
              <w:pStyle w:val="TableContents"/>
              <w:bidi w:val="0"/>
              <w:spacing w:before="0" w:after="283"/>
              <w:jc w:val="left"/>
              <w:rPr>
                <w:color w:val="000000"/>
              </w:rPr>
            </w:pPr>
            <w:r>
              <w:rPr>
                <w:color w:val="00000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2,942</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shd w:fill="FFFFFF" w:val="clear"/>
            <w:vAlign w:val="center"/>
          </w:tcPr>
          <w:p>
            <w:pPr>
              <w:pStyle w:val="TableContents"/>
              <w:bidi w:val="0"/>
              <w:spacing w:before="0" w:after="283"/>
              <w:jc w:val="left"/>
              <w:rPr>
                <w:color w:val="000000"/>
              </w:rPr>
            </w:pPr>
            <w:r>
              <w:rPr>
                <w:color w:val="000000"/>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2,002</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Prepaid income tax</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shd w:fill="CCEEFF" w:val="clear"/>
            <w:vAlign w:val="center"/>
          </w:tcPr>
          <w:p>
            <w:pPr>
              <w:pStyle w:val="TableContents"/>
              <w:bidi w:val="0"/>
              <w:spacing w:before="0" w:after="283"/>
              <w:jc w:val="left"/>
              <w:rPr>
                <w:color w:val="000000"/>
              </w:rPr>
            </w:pPr>
            <w:r>
              <w:rPr>
                <w:color w:val="00000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529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shd w:fill="CCEEFF" w:val="clear"/>
            <w:vAlign w:val="center"/>
          </w:tcPr>
          <w:p>
            <w:pPr>
              <w:pStyle w:val="TableContents"/>
              <w:bidi w:val="0"/>
              <w:spacing w:before="0" w:after="283"/>
              <w:jc w:val="left"/>
              <w:rPr>
                <w:color w:val="000000"/>
              </w:rPr>
            </w:pPr>
            <w:r>
              <w:rPr>
                <w:color w:val="000000"/>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525</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Other current assets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239</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267</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 Current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84,231</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73,489</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Property and Equipment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shd w:fill="FFFFFF" w:val="clear"/>
            <w:vAlign w:val="center"/>
          </w:tcPr>
          <w:p>
            <w:pPr>
              <w:pStyle w:val="TableContents"/>
              <w:bidi w:val="0"/>
              <w:spacing w:before="0" w:after="283"/>
              <w:jc w:val="left"/>
              <w:rPr>
                <w:color w:val="000000"/>
              </w:rPr>
            </w:pPr>
            <w:r>
              <w:rPr>
                <w:color w:val="000000"/>
              </w:rPr>
              <w:t> </w:t>
            </w:r>
          </w:p>
        </w:tc>
        <w:tc>
          <w:tcPr>
            <w:tcW w:w="93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shd w:fill="FFFFFF" w:val="clear"/>
            <w:vAlign w:val="center"/>
          </w:tcPr>
          <w:p>
            <w:pPr>
              <w:pStyle w:val="TableContents"/>
              <w:bidi w:val="0"/>
              <w:spacing w:before="0" w:after="283"/>
              <w:jc w:val="left"/>
              <w:rPr>
                <w:color w:val="000000"/>
              </w:rPr>
            </w:pPr>
            <w:r>
              <w:rPr>
                <w:color w:val="000000"/>
              </w:rPr>
              <w:t> </w:t>
            </w:r>
          </w:p>
        </w:tc>
        <w:tc>
          <w:tcPr>
            <w:tcW w:w="1121" w:type="dxa"/>
            <w:tcBorders/>
            <w:shd w:fill="FFFFFF" w:val="clear"/>
            <w:vAlign w:val="center"/>
          </w:tcPr>
          <w:p>
            <w:pPr>
              <w:pStyle w:val="TableContents"/>
              <w:bidi w:val="0"/>
              <w:spacing w:before="0" w:after="283"/>
              <w:jc w:val="right"/>
              <w:rPr>
                <w:color w:val="000000"/>
              </w:rPr>
            </w:pPr>
            <w:r>
              <w:rPr>
                <w:color w:val="000000"/>
              </w:rPr>
              <w:t> </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Machinery and equipment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shd w:fill="CCEEFF" w:val="clear"/>
            <w:vAlign w:val="center"/>
          </w:tcPr>
          <w:p>
            <w:pPr>
              <w:pStyle w:val="TableContents"/>
              <w:bidi w:val="0"/>
              <w:spacing w:before="0" w:after="283"/>
              <w:jc w:val="left"/>
              <w:rPr>
                <w:color w:val="000000"/>
              </w:rPr>
            </w:pPr>
            <w:r>
              <w:rPr>
                <w:color w:val="00000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15,932</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shd w:fill="CCEEFF" w:val="clear"/>
            <w:vAlign w:val="center"/>
          </w:tcPr>
          <w:p>
            <w:pPr>
              <w:pStyle w:val="TableContents"/>
              <w:bidi w:val="0"/>
              <w:spacing w:before="0" w:after="283"/>
              <w:jc w:val="left"/>
              <w:rPr>
                <w:color w:val="000000"/>
              </w:rPr>
            </w:pPr>
            <w:r>
              <w:rPr>
                <w:color w:val="000000"/>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10,214</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Office furniture and equipment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shd w:fill="FFFFFF" w:val="clear"/>
            <w:vAlign w:val="center"/>
          </w:tcPr>
          <w:p>
            <w:pPr>
              <w:pStyle w:val="TableContents"/>
              <w:bidi w:val="0"/>
              <w:spacing w:before="0" w:after="283"/>
              <w:jc w:val="left"/>
              <w:rPr>
                <w:color w:val="000000"/>
              </w:rPr>
            </w:pPr>
            <w:r>
              <w:rPr>
                <w:color w:val="00000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275</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shd w:fill="FFFFFF" w:val="clear"/>
            <w:vAlign w:val="center"/>
          </w:tcPr>
          <w:p>
            <w:pPr>
              <w:pStyle w:val="TableContents"/>
              <w:bidi w:val="0"/>
              <w:spacing w:before="0" w:after="283"/>
              <w:jc w:val="left"/>
              <w:rPr>
                <w:color w:val="000000"/>
              </w:rPr>
            </w:pPr>
            <w:r>
              <w:rPr>
                <w:color w:val="000000"/>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275</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Leasehold improvements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shd w:fill="CCEEFF" w:val="clear"/>
            <w:vAlign w:val="center"/>
          </w:tcPr>
          <w:p>
            <w:pPr>
              <w:pStyle w:val="TableContents"/>
              <w:bidi w:val="0"/>
              <w:spacing w:before="0" w:after="283"/>
              <w:jc w:val="left"/>
              <w:rPr>
                <w:color w:val="000000"/>
              </w:rPr>
            </w:pPr>
            <w:r>
              <w:rPr>
                <w:color w:val="00000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1,727</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shd w:fill="CCEEFF" w:val="clear"/>
            <w:vAlign w:val="center"/>
          </w:tcPr>
          <w:p>
            <w:pPr>
              <w:pStyle w:val="TableContents"/>
              <w:bidi w:val="0"/>
              <w:spacing w:before="0" w:after="283"/>
              <w:jc w:val="left"/>
              <w:rPr>
                <w:color w:val="000000"/>
              </w:rPr>
            </w:pPr>
            <w:r>
              <w:rPr>
                <w:color w:val="000000"/>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1,709</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Vehicle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33</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195</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shd w:fill="CCEEFF" w:val="clear"/>
            <w:vAlign w:val="center"/>
          </w:tcPr>
          <w:p>
            <w:pPr>
              <w:pStyle w:val="TableContents"/>
              <w:bidi w:val="0"/>
              <w:spacing w:before="0" w:after="283"/>
              <w:jc w:val="left"/>
              <w:rPr>
                <w:color w:val="000000"/>
              </w:rPr>
            </w:pPr>
            <w:r>
              <w:rPr>
                <w:color w:val="00000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17,967</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shd w:fill="CCEEFF" w:val="clear"/>
            <w:vAlign w:val="center"/>
          </w:tcPr>
          <w:p>
            <w:pPr>
              <w:pStyle w:val="TableContents"/>
              <w:bidi w:val="0"/>
              <w:spacing w:before="0" w:after="283"/>
              <w:jc w:val="left"/>
              <w:rPr>
                <w:color w:val="000000"/>
              </w:rPr>
            </w:pPr>
            <w:r>
              <w:rPr>
                <w:color w:val="000000"/>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12,393</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Less accumulated depreciation and amortization</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(2,180</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(1,633</w:t>
            </w:r>
          </w:p>
        </w:tc>
        <w:tc>
          <w:tcPr>
            <w:tcW w:w="114"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Property and Equipment, Net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shd w:fill="CCEEFF" w:val="clear"/>
            <w:vAlign w:val="center"/>
          </w:tcPr>
          <w:p>
            <w:pPr>
              <w:pStyle w:val="TableContents"/>
              <w:bidi w:val="0"/>
              <w:spacing w:before="0" w:after="283"/>
              <w:jc w:val="left"/>
              <w:rPr>
                <w:color w:val="000000"/>
              </w:rPr>
            </w:pPr>
            <w:r>
              <w:rPr>
                <w:color w:val="00000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15,787</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shd w:fill="CCEEFF" w:val="clear"/>
            <w:vAlign w:val="center"/>
          </w:tcPr>
          <w:p>
            <w:pPr>
              <w:pStyle w:val="TableContents"/>
              <w:bidi w:val="0"/>
              <w:spacing w:before="0" w:after="283"/>
              <w:jc w:val="left"/>
              <w:rPr>
                <w:color w:val="000000"/>
              </w:rPr>
            </w:pPr>
            <w:r>
              <w:rPr>
                <w:color w:val="000000"/>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10,760</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Operating lease right of use asset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3,912</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4,513</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Total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103,930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88,762</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Current Liabilities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shd w:fill="FFFFFF" w:val="clear"/>
            <w:vAlign w:val="center"/>
          </w:tcPr>
          <w:p>
            <w:pPr>
              <w:pStyle w:val="TableContents"/>
              <w:bidi w:val="0"/>
              <w:spacing w:before="0" w:after="283"/>
              <w:jc w:val="left"/>
              <w:rPr>
                <w:color w:val="000000"/>
              </w:rPr>
            </w:pPr>
            <w:r>
              <w:rPr>
                <w:color w:val="000000"/>
              </w:rPr>
              <w:t> </w:t>
            </w:r>
          </w:p>
        </w:tc>
        <w:tc>
          <w:tcPr>
            <w:tcW w:w="93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shd w:fill="FFFFFF" w:val="clear"/>
            <w:vAlign w:val="center"/>
          </w:tcPr>
          <w:p>
            <w:pPr>
              <w:pStyle w:val="TableContents"/>
              <w:bidi w:val="0"/>
              <w:spacing w:before="0" w:after="283"/>
              <w:jc w:val="left"/>
              <w:rPr>
                <w:color w:val="000000"/>
              </w:rPr>
            </w:pPr>
            <w:r>
              <w:rPr>
                <w:color w:val="000000"/>
              </w:rPr>
              <w:t> </w:t>
            </w:r>
          </w:p>
        </w:tc>
        <w:tc>
          <w:tcPr>
            <w:tcW w:w="1121" w:type="dxa"/>
            <w:tcBorders/>
            <w:shd w:fill="FFFFFF" w:val="clear"/>
            <w:vAlign w:val="center"/>
          </w:tcPr>
          <w:p>
            <w:pPr>
              <w:pStyle w:val="TableContents"/>
              <w:bidi w:val="0"/>
              <w:spacing w:before="0" w:after="283"/>
              <w:jc w:val="right"/>
              <w:rPr>
                <w:color w:val="000000"/>
              </w:rPr>
            </w:pPr>
            <w:r>
              <w:rPr>
                <w:color w:val="000000"/>
              </w:rPr>
              <w:t> </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shd w:fill="CCEEFF" w:val="clear"/>
            <w:vAlign w:val="center"/>
          </w:tcPr>
          <w:p>
            <w:pPr>
              <w:pStyle w:val="TableContents"/>
              <w:bidi w:val="0"/>
              <w:spacing w:before="0" w:after="283"/>
              <w:jc w:val="left"/>
              <w:rPr>
                <w:color w:val="000000"/>
              </w:rPr>
            </w:pPr>
            <w:r>
              <w:rPr>
                <w:color w:val="000000"/>
              </w:rPr>
              <w:t> </w:t>
            </w:r>
          </w:p>
        </w:tc>
        <w:tc>
          <w:tcPr>
            <w:tcW w:w="93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shd w:fill="CCEEFF" w:val="clear"/>
            <w:vAlign w:val="center"/>
          </w:tcPr>
          <w:p>
            <w:pPr>
              <w:pStyle w:val="TableContents"/>
              <w:bidi w:val="0"/>
              <w:spacing w:before="0" w:after="283"/>
              <w:jc w:val="left"/>
              <w:rPr>
                <w:color w:val="000000"/>
              </w:rPr>
            </w:pPr>
            <w:r>
              <w:rPr>
                <w:color w:val="000000"/>
              </w:rPr>
              <w:t> </w:t>
            </w:r>
          </w:p>
        </w:tc>
        <w:tc>
          <w:tcPr>
            <w:tcW w:w="1121" w:type="dxa"/>
            <w:tcBorders/>
            <w:shd w:fill="CCEEFF" w:val="clear"/>
            <w:vAlign w:val="center"/>
          </w:tcPr>
          <w:p>
            <w:pPr>
              <w:pStyle w:val="TableContents"/>
              <w:bidi w:val="0"/>
              <w:spacing w:before="0" w:after="283"/>
              <w:jc w:val="right"/>
              <w:rPr>
                <w:color w:val="000000"/>
              </w:rPr>
            </w:pPr>
            <w:r>
              <w:rPr>
                <w:color w:val="000000"/>
              </w:rPr>
              <w:t> </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Accounts payable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shd w:fill="FFFFFF" w:val="clear"/>
            <w:vAlign w:val="center"/>
          </w:tcPr>
          <w:p>
            <w:pPr>
              <w:pStyle w:val="TableContents"/>
              <w:bidi w:val="0"/>
              <w:spacing w:before="0" w:after="283"/>
              <w:jc w:val="left"/>
              <w:rPr>
                <w:color w:val="000000"/>
              </w:rPr>
            </w:pPr>
            <w:r>
              <w:rPr>
                <w:color w:val="00000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19,990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shd w:fill="FFFFFF" w:val="clear"/>
            <w:vAlign w:val="center"/>
          </w:tcPr>
          <w:p>
            <w:pPr>
              <w:pStyle w:val="TableContents"/>
              <w:bidi w:val="0"/>
              <w:spacing w:before="0" w:after="283"/>
              <w:jc w:val="left"/>
              <w:rPr>
                <w:color w:val="000000"/>
              </w:rPr>
            </w:pPr>
            <w:r>
              <w:rPr>
                <w:color w:val="000000"/>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13,475</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Accrued payroll and other liabilities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shd w:fill="CCEEFF" w:val="clear"/>
            <w:vAlign w:val="center"/>
          </w:tcPr>
          <w:p>
            <w:pPr>
              <w:pStyle w:val="TableContents"/>
              <w:bidi w:val="0"/>
              <w:spacing w:before="0" w:after="283"/>
              <w:jc w:val="left"/>
              <w:rPr>
                <w:color w:val="000000"/>
              </w:rPr>
            </w:pPr>
            <w:r>
              <w:rPr>
                <w:color w:val="00000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9,758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shd w:fill="CCEEFF" w:val="clear"/>
            <w:vAlign w:val="center"/>
          </w:tcPr>
          <w:p>
            <w:pPr>
              <w:pStyle w:val="TableContents"/>
              <w:bidi w:val="0"/>
              <w:spacing w:before="0" w:after="283"/>
              <w:jc w:val="left"/>
              <w:rPr>
                <w:color w:val="000000"/>
              </w:rPr>
            </w:pPr>
            <w:r>
              <w:rPr>
                <w:color w:val="000000"/>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6,295</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Customer deposits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shd w:fill="FFFFFF" w:val="clear"/>
            <w:vAlign w:val="center"/>
          </w:tcPr>
          <w:p>
            <w:pPr>
              <w:pStyle w:val="TableContents"/>
              <w:bidi w:val="0"/>
              <w:spacing w:before="0" w:after="283"/>
              <w:jc w:val="left"/>
              <w:rPr>
                <w:color w:val="000000"/>
              </w:rPr>
            </w:pPr>
            <w:r>
              <w:rPr>
                <w:color w:val="00000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152</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shd w:fill="FFFFFF" w:val="clear"/>
            <w:vAlign w:val="center"/>
          </w:tcPr>
          <w:p>
            <w:pPr>
              <w:pStyle w:val="TableContents"/>
              <w:bidi w:val="0"/>
              <w:spacing w:before="0" w:after="283"/>
              <w:jc w:val="left"/>
              <w:rPr>
                <w:color w:val="000000"/>
              </w:rPr>
            </w:pPr>
            <w:r>
              <w:rPr>
                <w:color w:val="000000"/>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238</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Uncertain tax position liability</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shd w:fill="CCEEFF" w:val="clear"/>
            <w:vAlign w:val="center"/>
          </w:tcPr>
          <w:p>
            <w:pPr>
              <w:pStyle w:val="TableContents"/>
              <w:bidi w:val="0"/>
              <w:spacing w:before="0" w:after="283"/>
              <w:jc w:val="left"/>
              <w:rPr>
                <w:color w:val="000000"/>
              </w:rPr>
            </w:pPr>
            <w:r>
              <w:rPr>
                <w:color w:val="00000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shd w:fill="CCEEFF" w:val="clear"/>
            <w:vAlign w:val="center"/>
          </w:tcPr>
          <w:p>
            <w:pPr>
              <w:pStyle w:val="TableContents"/>
              <w:bidi w:val="0"/>
              <w:spacing w:before="0" w:after="283"/>
              <w:jc w:val="left"/>
              <w:rPr>
                <w:color w:val="000000"/>
              </w:rPr>
            </w:pPr>
            <w:r>
              <w:rPr>
                <w:color w:val="000000"/>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128</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Notes payable, current portion, net of deferred financing fees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shd w:fill="FFFFFF" w:val="clear"/>
            <w:vAlign w:val="center"/>
          </w:tcPr>
          <w:p>
            <w:pPr>
              <w:pStyle w:val="TableContents"/>
              <w:bidi w:val="0"/>
              <w:spacing w:before="0" w:after="283"/>
              <w:jc w:val="left"/>
              <w:rPr>
                <w:color w:val="000000"/>
              </w:rPr>
            </w:pPr>
            <w:r>
              <w:rPr>
                <w:color w:val="00000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22,372</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shd w:fill="FFFFFF" w:val="clear"/>
            <w:vAlign w:val="center"/>
          </w:tcPr>
          <w:p>
            <w:pPr>
              <w:pStyle w:val="TableContents"/>
              <w:bidi w:val="0"/>
              <w:spacing w:before="0" w:after="283"/>
              <w:jc w:val="left"/>
              <w:rPr>
                <w:color w:val="000000"/>
              </w:rPr>
            </w:pPr>
            <w:r>
              <w:rPr>
                <w:color w:val="000000"/>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19,242</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Operating lease liability, current portion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1,239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1,188</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 Current Liabilities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53,639</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40,566</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Long-Term Liabilities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shd w:fill="CCEEFF" w:val="clear"/>
            <w:vAlign w:val="center"/>
          </w:tcPr>
          <w:p>
            <w:pPr>
              <w:pStyle w:val="TableContents"/>
              <w:bidi w:val="0"/>
              <w:spacing w:before="0" w:after="283"/>
              <w:jc w:val="left"/>
              <w:rPr>
                <w:color w:val="000000"/>
              </w:rPr>
            </w:pPr>
            <w:r>
              <w:rPr>
                <w:color w:val="000000"/>
              </w:rPr>
              <w:t> </w:t>
            </w:r>
          </w:p>
        </w:tc>
        <w:tc>
          <w:tcPr>
            <w:tcW w:w="93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shd w:fill="CCEEFF" w:val="clear"/>
            <w:vAlign w:val="center"/>
          </w:tcPr>
          <w:p>
            <w:pPr>
              <w:pStyle w:val="TableContents"/>
              <w:bidi w:val="0"/>
              <w:spacing w:before="0" w:after="283"/>
              <w:jc w:val="left"/>
              <w:rPr>
                <w:color w:val="000000"/>
              </w:rPr>
            </w:pPr>
            <w:r>
              <w:rPr>
                <w:color w:val="000000"/>
              </w:rPr>
              <w:t> </w:t>
            </w:r>
          </w:p>
        </w:tc>
        <w:tc>
          <w:tcPr>
            <w:tcW w:w="1121" w:type="dxa"/>
            <w:tcBorders/>
            <w:shd w:fill="CCEEFF" w:val="clear"/>
            <w:vAlign w:val="center"/>
          </w:tcPr>
          <w:p>
            <w:pPr>
              <w:pStyle w:val="TableContents"/>
              <w:bidi w:val="0"/>
              <w:spacing w:before="0" w:after="283"/>
              <w:jc w:val="right"/>
              <w:rPr>
                <w:color w:val="000000"/>
              </w:rPr>
            </w:pPr>
            <w:r>
              <w:rPr>
                <w:color w:val="000000"/>
              </w:rPr>
              <w:t> </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Warrant liabilities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shd w:fill="FFFFFF" w:val="clear"/>
            <w:vAlign w:val="center"/>
          </w:tcPr>
          <w:p>
            <w:pPr>
              <w:pStyle w:val="TableContents"/>
              <w:bidi w:val="0"/>
              <w:spacing w:before="0" w:after="283"/>
              <w:jc w:val="left"/>
              <w:rPr>
                <w:color w:val="000000"/>
              </w:rPr>
            </w:pPr>
            <w:r>
              <w:rPr>
                <w:color w:val="00000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14,637</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shd w:fill="FFFFFF" w:val="clear"/>
            <w:vAlign w:val="center"/>
          </w:tcPr>
          <w:p>
            <w:pPr>
              <w:pStyle w:val="TableContents"/>
              <w:bidi w:val="0"/>
              <w:spacing w:before="0" w:after="283"/>
              <w:jc w:val="left"/>
              <w:rPr>
                <w:color w:val="000000"/>
              </w:rPr>
            </w:pPr>
            <w:r>
              <w:rPr>
                <w:color w:val="000000"/>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32,831</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Accrued expenses-long term</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shd w:fill="CCEEFF" w:val="clear"/>
            <w:vAlign w:val="center"/>
          </w:tcPr>
          <w:p>
            <w:pPr>
              <w:pStyle w:val="TableContents"/>
              <w:bidi w:val="0"/>
              <w:spacing w:before="0" w:after="283"/>
              <w:jc w:val="left"/>
              <w:rPr>
                <w:color w:val="000000"/>
              </w:rPr>
            </w:pPr>
            <w:r>
              <w:rPr>
                <w:color w:val="00000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551</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shd w:fill="CCEEFF" w:val="clear"/>
            <w:vAlign w:val="center"/>
          </w:tcPr>
          <w:p>
            <w:pPr>
              <w:pStyle w:val="TableContents"/>
              <w:bidi w:val="0"/>
              <w:spacing w:before="0" w:after="283"/>
              <w:jc w:val="left"/>
              <w:rPr>
                <w:color w:val="000000"/>
              </w:rPr>
            </w:pPr>
            <w:r>
              <w:rPr>
                <w:color w:val="000000"/>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492</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Operating lease liability, net of current portion</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2,890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3,541</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 Long-Term Liabilities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18,078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36,864</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Total Liabilities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71,717</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77,430</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Commitments and Contingencies (See Note 5)</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shd w:fill="CCEEFF" w:val="clear"/>
            <w:vAlign w:val="center"/>
          </w:tcPr>
          <w:p>
            <w:pPr>
              <w:pStyle w:val="TableContents"/>
              <w:bidi w:val="0"/>
              <w:spacing w:before="0" w:after="283"/>
              <w:jc w:val="left"/>
              <w:rPr>
                <w:color w:val="000000"/>
              </w:rPr>
            </w:pPr>
            <w:r>
              <w:rPr>
                <w:color w:val="000000"/>
              </w:rPr>
              <w:t> </w:t>
            </w:r>
          </w:p>
        </w:tc>
        <w:tc>
          <w:tcPr>
            <w:tcW w:w="930" w:type="dxa"/>
            <w:tcBorders/>
            <w:shd w:fill="CCEEFF" w:val="clear"/>
            <w:vAlign w:val="center"/>
          </w:tcPr>
          <w:p>
            <w:pPr>
              <w:pStyle w:val="TableContents"/>
              <w:bidi w:val="0"/>
              <w:spacing w:before="0" w:after="283"/>
              <w:jc w:val="right"/>
              <w:rPr>
                <w:color w:val="000000"/>
              </w:rPr>
            </w:pPr>
            <w:r>
              <w:rPr>
                <w:rFonts w:ascii="Times New Roman;Times;Serif" w:hAnsi="Times New Roman;Times;Serif"/>
                <w:color w:val="000000"/>
                <w:sz w:val="20"/>
              </w:rPr>
              <w:t>-</w:t>
            </w: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shd w:fill="CCEEFF" w:val="clear"/>
            <w:vAlign w:val="center"/>
          </w:tcPr>
          <w:p>
            <w:pPr>
              <w:pStyle w:val="TableContents"/>
              <w:bidi w:val="0"/>
              <w:spacing w:before="0" w:after="283"/>
              <w:jc w:val="left"/>
              <w:rPr>
                <w:color w:val="000000"/>
              </w:rPr>
            </w:pPr>
            <w:r>
              <w:rPr>
                <w:color w:val="000000"/>
              </w:rPr>
              <w:t> </w:t>
            </w:r>
          </w:p>
        </w:tc>
        <w:tc>
          <w:tcPr>
            <w:tcW w:w="1121" w:type="dxa"/>
            <w:tcBorders/>
            <w:shd w:fill="CCEEFF" w:val="clear"/>
            <w:vAlign w:val="center"/>
          </w:tcPr>
          <w:p>
            <w:pPr>
              <w:pStyle w:val="TableContents"/>
              <w:bidi w:val="0"/>
              <w:spacing w:before="0" w:after="283"/>
              <w:jc w:val="right"/>
              <w:rPr>
                <w:color w:val="000000"/>
              </w:rPr>
            </w:pPr>
            <w:r>
              <w:rPr>
                <w:rFonts w:ascii="Times New Roman;Times;Serif" w:hAnsi="Times New Roman;Times;Serif"/>
                <w:color w:val="000000"/>
                <w:sz w:val="20"/>
              </w:rPr>
              <w:t>-</w:t>
            </w:r>
            <w:r>
              <w:rPr>
                <w:color w:val="000000"/>
              </w:rPr>
              <w:t> </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Equity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shd w:fill="FFFFFF" w:val="clear"/>
            <w:vAlign w:val="center"/>
          </w:tcPr>
          <w:p>
            <w:pPr>
              <w:pStyle w:val="TableContents"/>
              <w:bidi w:val="0"/>
              <w:spacing w:before="0" w:after="283"/>
              <w:jc w:val="left"/>
              <w:rPr>
                <w:color w:val="000000"/>
              </w:rPr>
            </w:pPr>
            <w:r>
              <w:rPr>
                <w:color w:val="000000"/>
              </w:rPr>
              <w:t> </w:t>
            </w:r>
          </w:p>
        </w:tc>
        <w:tc>
          <w:tcPr>
            <w:tcW w:w="93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shd w:fill="FFFFFF" w:val="clear"/>
            <w:vAlign w:val="center"/>
          </w:tcPr>
          <w:p>
            <w:pPr>
              <w:pStyle w:val="TableContents"/>
              <w:bidi w:val="0"/>
              <w:spacing w:before="0" w:after="283"/>
              <w:jc w:val="left"/>
              <w:rPr>
                <w:color w:val="000000"/>
              </w:rPr>
            </w:pPr>
            <w:r>
              <w:rPr>
                <w:color w:val="000000"/>
              </w:rPr>
              <w:t> </w:t>
            </w:r>
          </w:p>
        </w:tc>
        <w:tc>
          <w:tcPr>
            <w:tcW w:w="1121" w:type="dxa"/>
            <w:tcBorders/>
            <w:shd w:fill="FFFFFF" w:val="clear"/>
            <w:vAlign w:val="center"/>
          </w:tcPr>
          <w:p>
            <w:pPr>
              <w:pStyle w:val="TableContents"/>
              <w:bidi w:val="0"/>
              <w:spacing w:before="0" w:after="283"/>
              <w:jc w:val="right"/>
              <w:rPr>
                <w:color w:val="000000"/>
              </w:rPr>
            </w:pPr>
            <w:r>
              <w:rPr>
                <w:color w:val="000000"/>
              </w:rPr>
              <w:t> </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Common stock, 170,000,000 shares at $0.0001 par value, authorized, 58,504,541 and 43,272,728 shares issued and outstanding as of June 30, 2023 and December 31, 2022, respectively</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shd w:fill="CCEEFF" w:val="clear"/>
            <w:vAlign w:val="center"/>
          </w:tcPr>
          <w:p>
            <w:pPr>
              <w:pStyle w:val="TableContents"/>
              <w:bidi w:val="0"/>
              <w:spacing w:before="0" w:after="283"/>
              <w:jc w:val="left"/>
              <w:rPr>
                <w:color w:val="000000"/>
              </w:rPr>
            </w:pPr>
            <w:r>
              <w:rPr>
                <w:color w:val="00000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shd w:fill="CCEEFF" w:val="clear"/>
            <w:vAlign w:val="center"/>
          </w:tcPr>
          <w:p>
            <w:pPr>
              <w:pStyle w:val="TableContents"/>
              <w:bidi w:val="0"/>
              <w:spacing w:before="0" w:after="283"/>
              <w:jc w:val="left"/>
              <w:rPr>
                <w:color w:val="000000"/>
              </w:rPr>
            </w:pPr>
            <w:r>
              <w:rPr>
                <w:color w:val="000000"/>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Preferred stock, 5,000,000 shares at $0.0001 par value, authorized, no shares issued and outstanding as of June 30, 2023 and December 31, 2022, respectively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shd w:fill="FFFFFF" w:val="clear"/>
            <w:vAlign w:val="center"/>
          </w:tcPr>
          <w:p>
            <w:pPr>
              <w:pStyle w:val="TableContents"/>
              <w:bidi w:val="0"/>
              <w:spacing w:before="0" w:after="283"/>
              <w:jc w:val="left"/>
              <w:rPr>
                <w:color w:val="000000"/>
              </w:rPr>
            </w:pPr>
            <w:r>
              <w:rPr>
                <w:color w:val="00000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shd w:fill="FFFFFF" w:val="clear"/>
            <w:vAlign w:val="center"/>
          </w:tcPr>
          <w:p>
            <w:pPr>
              <w:pStyle w:val="TableContents"/>
              <w:bidi w:val="0"/>
              <w:spacing w:before="0" w:after="283"/>
              <w:jc w:val="left"/>
              <w:rPr>
                <w:color w:val="000000"/>
              </w:rPr>
            </w:pPr>
            <w:r>
              <w:rPr>
                <w:color w:val="000000"/>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4" w:type="dxa"/>
            <w:tcBorders/>
            <w:shd w:fill="FFFFFF" w:val="clear"/>
            <w:vAlign w:val="center"/>
          </w:tcPr>
          <w:p>
            <w:pPr>
              <w:pStyle w:val="TableContents"/>
              <w:bidi w:val="0"/>
              <w:spacing w:before="0" w:after="283"/>
              <w:jc w:val="left"/>
              <w:rPr>
                <w:color w:val="000000"/>
              </w:rPr>
            </w:pPr>
            <w:r>
              <w:rPr>
                <w:color w:val="000000"/>
              </w:rPr>
              <w:t> </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Additional paid in capital</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shd w:fill="CCEEFF" w:val="clear"/>
            <w:vAlign w:val="center"/>
          </w:tcPr>
          <w:p>
            <w:pPr>
              <w:pStyle w:val="TableContents"/>
              <w:bidi w:val="0"/>
              <w:spacing w:before="0" w:after="283"/>
              <w:jc w:val="left"/>
              <w:rPr>
                <w:color w:val="000000"/>
              </w:rPr>
            </w:pPr>
            <w:r>
              <w:rPr>
                <w:color w:val="00000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66,148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shd w:fill="CCEEFF" w:val="clear"/>
            <w:vAlign w:val="center"/>
          </w:tcPr>
          <w:p>
            <w:pPr>
              <w:pStyle w:val="TableContents"/>
              <w:bidi w:val="0"/>
              <w:spacing w:before="0" w:after="283"/>
              <w:jc w:val="left"/>
              <w:rPr>
                <w:color w:val="000000"/>
              </w:rPr>
            </w:pPr>
            <w:r>
              <w:rPr>
                <w:color w:val="000000"/>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38,461</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Retained deficit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(33,941</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(27,133</w:t>
            </w:r>
          </w:p>
        </w:tc>
        <w:tc>
          <w:tcPr>
            <w:tcW w:w="114"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7457"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Total Equity</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32,213</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11,332</w:t>
            </w:r>
          </w:p>
        </w:tc>
        <w:tc>
          <w:tcPr>
            <w:tcW w:w="114" w:type="dxa"/>
            <w:tcBorders/>
            <w:shd w:fill="CCEEFF" w:val="clear"/>
            <w:vAlign w:val="center"/>
          </w:tcPr>
          <w:p>
            <w:pPr>
              <w:pStyle w:val="TableContents"/>
              <w:bidi w:val="0"/>
              <w:spacing w:before="0" w:after="283"/>
              <w:jc w:val="left"/>
              <w:rPr>
                <w:color w:val="000000"/>
              </w:rPr>
            </w:pPr>
            <w:r>
              <w:rPr>
                <w:color w:val="000000"/>
              </w:rPr>
              <w:t> </w:t>
            </w:r>
          </w:p>
        </w:tc>
      </w:tr>
      <w:tr>
        <w:trPr/>
        <w:tc>
          <w:tcPr>
            <w:tcW w:w="7457"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Total Liabilities and Shareholders’ Equity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103,930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88,762</w:t>
            </w:r>
          </w:p>
        </w:tc>
        <w:tc>
          <w:tcPr>
            <w:tcW w:w="114"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120" w:after="283"/>
        <w:jc w:val="left"/>
        <w:rPr/>
      </w:pPr>
      <w:r>
        <w:rPr/>
        <w:t> </w:t>
      </w:r>
    </w:p>
    <w:p>
      <w:pPr>
        <w:pStyle w:val="TextBody"/>
        <w:bidi w:val="0"/>
        <w:spacing w:before="0" w:after="0"/>
        <w:ind w:left="0" w:right="0" w:hanging="0"/>
        <w:jc w:val="center"/>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bookmarkStart w:id="33" w:name="cr_001"/>
      <w:bookmarkEnd w:id="33"/>
      <w:r>
        <w:rPr>
          <w:rFonts w:ascii="Times New Roman;Times;Serif" w:hAnsi="Times New Roman;Times;Serif"/>
          <w:b/>
          <w:i w:val="false"/>
          <w:caps/>
          <w:color w:val="000000"/>
          <w:sz w:val="20"/>
        </w:rPr>
        <w:t>Unaudited Condensed Interim Consolidated Statements of Operations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jc w:val="center"/>
        <w:rPr>
          <w:caps w:val="false"/>
          <w:smallCaps w:val="false"/>
          <w:color w:val="000000"/>
        </w:rPr>
      </w:pPr>
      <w:r>
        <w:rPr>
          <w:caps w:val="false"/>
          <w:smallCaps w:val="false"/>
          <w:color w:val="000000"/>
        </w:rPr>
        <w:t> </w:t>
      </w:r>
    </w:p>
    <w:tbl>
      <w:tblPr>
        <w:tblW w:w="10055" w:type="dxa"/>
        <w:jc w:val="left"/>
        <w:tblInd w:w="0" w:type="dxa"/>
        <w:tblLayout w:type="fixed"/>
        <w:tblCellMar>
          <w:top w:w="0" w:type="dxa"/>
          <w:left w:w="0" w:type="dxa"/>
          <w:bottom w:w="0" w:type="dxa"/>
          <w:right w:w="0" w:type="dxa"/>
        </w:tblCellMar>
      </w:tblPr>
      <w:tblGrid>
        <w:gridCol w:w="4460"/>
        <w:gridCol w:w="60"/>
        <w:gridCol w:w="140"/>
        <w:gridCol w:w="1100"/>
        <w:gridCol w:w="95"/>
        <w:gridCol w:w="60"/>
        <w:gridCol w:w="140"/>
        <w:gridCol w:w="1100"/>
        <w:gridCol w:w="95"/>
        <w:gridCol w:w="60"/>
        <w:gridCol w:w="140"/>
        <w:gridCol w:w="1100"/>
        <w:gridCol w:w="95"/>
        <w:gridCol w:w="60"/>
        <w:gridCol w:w="140"/>
        <w:gridCol w:w="1100"/>
        <w:gridCol w:w="110"/>
      </w:tblGrid>
      <w:tr>
        <w:trPr/>
        <w:tc>
          <w:tcPr>
            <w:tcW w:w="44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vAlign w:val="center"/>
          </w:tcPr>
          <w:p>
            <w:pPr>
              <w:pStyle w:val="TableContents"/>
              <w:bidi w:val="0"/>
              <w:spacing w:before="0" w:after="283"/>
              <w:jc w:val="lef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vAlign w:val="center"/>
          </w:tcPr>
          <w:p>
            <w:pPr>
              <w:pStyle w:val="TableContents"/>
              <w:bidi w:val="0"/>
              <w:spacing w:before="0" w:after="283"/>
              <w:jc w:val="lef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vAlign w:val="center"/>
          </w:tcPr>
          <w:p>
            <w:pPr>
              <w:pStyle w:val="TableContents"/>
              <w:bidi w:val="0"/>
              <w:spacing w:before="0" w:after="283"/>
              <w:jc w:val="lef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vAlign w:val="center"/>
          </w:tcPr>
          <w:p>
            <w:pPr>
              <w:pStyle w:val="TableContents"/>
              <w:bidi w:val="0"/>
              <w:spacing w:before="0" w:after="283"/>
              <w:jc w:val="left"/>
              <w:rPr>
                <w:color w:val="000000"/>
              </w:rPr>
            </w:pPr>
            <w:r>
              <w:rPr>
                <w:color w:val="000000"/>
              </w:rPr>
              <w:t> </w:t>
            </w:r>
          </w:p>
        </w:tc>
        <w:tc>
          <w:tcPr>
            <w:tcW w:w="110" w:type="dxa"/>
            <w:tcBorders/>
            <w:vAlign w:val="center"/>
          </w:tcPr>
          <w:p>
            <w:pPr>
              <w:pStyle w:val="TableContents"/>
              <w:bidi w:val="0"/>
              <w:spacing w:before="0" w:after="283"/>
              <w:jc w:val="left"/>
              <w:rPr>
                <w:color w:val="000000"/>
              </w:rPr>
            </w:pPr>
            <w:r>
              <w:rPr>
                <w:color w:val="000000"/>
              </w:rPr>
              <w:t> </w:t>
            </w:r>
          </w:p>
        </w:tc>
      </w:tr>
      <w:tr>
        <w:trPr/>
        <w:tc>
          <w:tcPr>
            <w:tcW w:w="44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635"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The Three Months Ended</w:t>
            </w:r>
          </w:p>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June 30,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635"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The Six Months Ended</w:t>
            </w:r>
          </w:p>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June 30, </w:t>
            </w:r>
          </w:p>
        </w:tc>
        <w:tc>
          <w:tcPr>
            <w:tcW w:w="110" w:type="dxa"/>
            <w:tcBorders/>
            <w:vAlign w:val="center"/>
          </w:tcPr>
          <w:p>
            <w:pPr>
              <w:pStyle w:val="TableContents"/>
              <w:bidi w:val="0"/>
              <w:spacing w:before="0" w:after="283"/>
              <w:jc w:val="left"/>
              <w:rPr>
                <w:color w:val="000000"/>
              </w:rPr>
            </w:pPr>
            <w:r>
              <w:rPr>
                <w:color w:val="000000"/>
              </w:rPr>
              <w:t> </w:t>
            </w:r>
          </w:p>
        </w:tc>
      </w:tr>
      <w:tr>
        <w:trPr/>
        <w:tc>
          <w:tcPr>
            <w:tcW w:w="44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2022</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2022</w:t>
            </w:r>
          </w:p>
        </w:tc>
        <w:tc>
          <w:tcPr>
            <w:tcW w:w="110" w:type="dxa"/>
            <w:tcBorders/>
            <w:vAlign w:val="center"/>
          </w:tcPr>
          <w:p>
            <w:pPr>
              <w:pStyle w:val="TableContents"/>
              <w:bidi w:val="0"/>
              <w:spacing w:before="0" w:after="283"/>
              <w:jc w:val="left"/>
              <w:rPr>
                <w:color w:val="000000"/>
              </w:rPr>
            </w:pPr>
            <w:r>
              <w:rPr>
                <w:color w:val="000000"/>
              </w:rPr>
              <w:t> </w:t>
            </w:r>
          </w:p>
        </w:tc>
      </w:tr>
      <w:tr>
        <w:trPr/>
        <w:tc>
          <w:tcPr>
            <w:tcW w:w="44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vAlign w:val="center"/>
          </w:tcPr>
          <w:p>
            <w:pPr>
              <w:pStyle w:val="TableContents"/>
              <w:bidi w:val="0"/>
              <w:spacing w:before="0" w:after="283"/>
              <w:jc w:val="lef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vAlign w:val="center"/>
          </w:tcPr>
          <w:p>
            <w:pPr>
              <w:pStyle w:val="TableContents"/>
              <w:bidi w:val="0"/>
              <w:spacing w:before="0" w:after="283"/>
              <w:jc w:val="lef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vAlign w:val="center"/>
          </w:tcPr>
          <w:p>
            <w:pPr>
              <w:pStyle w:val="TableContents"/>
              <w:bidi w:val="0"/>
              <w:spacing w:before="0" w:after="283"/>
              <w:jc w:val="lef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0" w:type="dxa"/>
            <w:gridSpan w:val="2"/>
            <w:tcBorders/>
            <w:vAlign w:val="center"/>
          </w:tcPr>
          <w:p>
            <w:pPr>
              <w:pStyle w:val="TableContents"/>
              <w:bidi w:val="0"/>
              <w:spacing w:before="0" w:after="283"/>
              <w:jc w:val="left"/>
              <w:rPr>
                <w:color w:val="000000"/>
              </w:rPr>
            </w:pPr>
            <w:r>
              <w:rPr>
                <w:color w:val="000000"/>
              </w:rPr>
              <w:t> </w:t>
            </w:r>
          </w:p>
        </w:tc>
        <w:tc>
          <w:tcPr>
            <w:tcW w:w="110" w:type="dxa"/>
            <w:tcBorders/>
            <w:vAlign w:val="center"/>
          </w:tcPr>
          <w:p>
            <w:pPr>
              <w:pStyle w:val="TableContents"/>
              <w:bidi w:val="0"/>
              <w:spacing w:before="0" w:after="283"/>
              <w:jc w:val="left"/>
              <w:rPr>
                <w:color w:val="000000"/>
              </w:rPr>
            </w:pPr>
            <w:r>
              <w:rPr>
                <w:color w:val="000000"/>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Net Sales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19,274</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21,622</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38,065</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39,925</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4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Cost of Goods Sold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15,176</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14,594</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29,224</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27,402</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4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Gross Profit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4,098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7,028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8,841</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12,523</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4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Operating Expenses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Research and development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1,067</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859</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1,947</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1,198</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General and administrative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7,614</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3,816</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17,109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7,442</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Selling and marketing</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3,808</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2,881</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7,992</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5,973</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4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Total Operating Expenses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12,489</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7,556</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27,048</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14,613</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4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Loss From Operations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(8,391</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(528</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(18,207</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(2,090</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4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Other (Expense) Income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Interest expense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(4,113</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(1,228</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(7,928</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(2,491</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Change in fair market value of warrant liability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804</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19,327</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b/>
                <w:color w:val="000000"/>
                <w:sz w:val="20"/>
              </w:rPr>
              <w:t>Total Other (Expense</w:t>
            </w:r>
            <w:r>
              <w:rPr>
                <w:rFonts w:ascii="Times New Roman;Times;Serif" w:hAnsi="Times New Roman;Times;Serif"/>
                <w:color w:val="000000"/>
                <w:sz w:val="20"/>
              </w:rPr>
              <w:t xml:space="preserve">) </w:t>
            </w:r>
            <w:r>
              <w:rPr>
                <w:rFonts w:ascii="Times New Roman;Times;Serif" w:hAnsi="Times New Roman;Times;Serif"/>
                <w:b/>
                <w:color w:val="000000"/>
                <w:sz w:val="20"/>
              </w:rPr>
              <w:t>Income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(3,309</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(1,228</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11,399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(2,491</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4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Loss Before Taxes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(11,700</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(1,756</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(6,808</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(4,581</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4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Income Tax (Benefit) Expense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(287</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(814</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4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Net Loss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(11,700</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(1,469</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(6,808</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(3,767</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4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Loss Per Share- Basic</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(0.25</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(0.04</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(0.15</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(0.10</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Loss Per Share- Diluted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(0.25</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(0.04</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(0.15</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(0.10</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Weighted Average Number of Shares- Basic</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47,418,269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36,616,430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46,263,591</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36,579,990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Weighted Average Number of Shares- Diluted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47,418,269</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36,616,430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46,263,591</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36,579,990</w:t>
            </w:r>
          </w:p>
        </w:tc>
        <w:tc>
          <w:tcPr>
            <w:tcW w:w="110"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120" w:after="283"/>
        <w:jc w:val="left"/>
        <w:rPr/>
      </w:pPr>
      <w:r>
        <w:rPr/>
        <w:t> </w:t>
      </w:r>
    </w:p>
    <w:p>
      <w:pPr>
        <w:pStyle w:val="TextBody"/>
        <w:bidi w:val="0"/>
        <w:spacing w:before="0" w:after="0"/>
        <w:ind w:left="0" w:right="0" w:hanging="0"/>
        <w:jc w:val="center"/>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bookmarkStart w:id="34" w:name="cr_002"/>
      <w:bookmarkEnd w:id="34"/>
      <w:r>
        <w:rPr>
          <w:rFonts w:ascii="Times New Roman;Times;Serif" w:hAnsi="Times New Roman;Times;Serif"/>
          <w:b/>
          <w:i w:val="false"/>
          <w:caps/>
          <w:color w:val="000000"/>
          <w:sz w:val="20"/>
        </w:rPr>
        <w:t>Unaudited Condensed Consolidated Statements of Shareholders’ Equity</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FOR THE PERIOD ENDED jUNE 30, 2023 AND 2022</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data)</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2242"/>
        <w:gridCol w:w="60"/>
        <w:gridCol w:w="60"/>
        <w:gridCol w:w="1175"/>
        <w:gridCol w:w="95"/>
        <w:gridCol w:w="60"/>
        <w:gridCol w:w="144"/>
        <w:gridCol w:w="656"/>
        <w:gridCol w:w="95"/>
        <w:gridCol w:w="60"/>
        <w:gridCol w:w="60"/>
        <w:gridCol w:w="1100"/>
        <w:gridCol w:w="60"/>
        <w:gridCol w:w="60"/>
        <w:gridCol w:w="400"/>
        <w:gridCol w:w="400"/>
        <w:gridCol w:w="60"/>
        <w:gridCol w:w="60"/>
        <w:gridCol w:w="175"/>
        <w:gridCol w:w="850"/>
        <w:gridCol w:w="60"/>
        <w:gridCol w:w="60"/>
        <w:gridCol w:w="164"/>
        <w:gridCol w:w="887"/>
        <w:gridCol w:w="95"/>
        <w:gridCol w:w="60"/>
        <w:gridCol w:w="140"/>
        <w:gridCol w:w="755"/>
        <w:gridCol w:w="112"/>
      </w:tblGrid>
      <w:tr>
        <w:trPr/>
        <w:tc>
          <w:tcPr>
            <w:tcW w:w="2242"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Shares</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Amount</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Shares</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Amount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Capital</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5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(Deficit)</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Total</w:t>
            </w:r>
          </w:p>
        </w:tc>
        <w:tc>
          <w:tcPr>
            <w:tcW w:w="112" w:type="dxa"/>
            <w:tcBorders/>
            <w:vAlign w:val="center"/>
          </w:tcPr>
          <w:p>
            <w:pPr>
              <w:pStyle w:val="TableContents"/>
              <w:bidi w:val="0"/>
              <w:spacing w:before="0" w:after="283"/>
              <w:jc w:val="left"/>
              <w:rPr>
                <w:color w:val="000000"/>
              </w:rPr>
            </w:pPr>
            <w:r>
              <w:rPr>
                <w:color w:val="000000"/>
              </w:rPr>
              <w:t> </w:t>
            </w:r>
          </w:p>
        </w:tc>
      </w:tr>
      <w:tr>
        <w:trPr/>
        <w:tc>
          <w:tcPr>
            <w:tcW w:w="2242"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1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 xml:space="preserve">Redeemable </w:t>
              <w:br/>
              <w:t>Preferred Stock</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0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Common Stock</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25" w:type="dxa"/>
            <w:gridSpan w:val="2"/>
            <w:tcBorders/>
            <w:vAlign w:val="center"/>
          </w:tcPr>
          <w:p>
            <w:pPr>
              <w:pStyle w:val="TableContents"/>
              <w:bidi w:val="0"/>
              <w:jc w:val="center"/>
              <w:rPr>
                <w:rFonts w:ascii="Times New Roman;Times;Serif" w:hAnsi="Times New Roman;Times;Serif"/>
                <w:color w:val="000000"/>
              </w:rPr>
            </w:pPr>
            <w:r>
              <w:rPr>
                <w:rFonts w:ascii="Times New Roman;Times;Serif" w:hAnsi="Times New Roman;Times;Serif"/>
                <w:color w:val="000000"/>
              </w:rPr>
              <w:t>Additional</w:t>
            </w:r>
          </w:p>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Paid-In</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51" w:type="dxa"/>
            <w:gridSpan w:val="2"/>
            <w:tcBorders/>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Retained Earnings</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95" w:type="dxa"/>
            <w:gridSpan w:val="2"/>
            <w:tcBorders/>
            <w:vAlign w:val="center"/>
          </w:tcPr>
          <w:p>
            <w:pPr>
              <w:pStyle w:val="TableContents"/>
              <w:bidi w:val="0"/>
              <w:spacing w:before="0" w:after="283"/>
              <w:jc w:val="left"/>
              <w:rPr>
                <w:color w:val="000000"/>
              </w:rPr>
            </w:pPr>
            <w:r>
              <w:rPr>
                <w:color w:val="000000"/>
              </w:rPr>
              <w:t> </w:t>
            </w:r>
          </w:p>
        </w:tc>
        <w:tc>
          <w:tcPr>
            <w:tcW w:w="112" w:type="dxa"/>
            <w:tcBorders/>
            <w:vAlign w:val="center"/>
          </w:tcPr>
          <w:p>
            <w:pPr>
              <w:pStyle w:val="TableContents"/>
              <w:bidi w:val="0"/>
              <w:spacing w:before="0" w:after="283"/>
              <w:jc w:val="left"/>
              <w:rPr>
                <w:color w:val="000000"/>
              </w:rPr>
            </w:pPr>
            <w:r>
              <w:rPr>
                <w:color w:val="000000"/>
              </w:rPr>
              <w:t> </w:t>
            </w:r>
          </w:p>
        </w:tc>
      </w:tr>
      <w:tr>
        <w:trPr/>
        <w:tc>
          <w:tcPr>
            <w:tcW w:w="2242"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Shares</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Amount</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Shares</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Amount</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Capital</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5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(Deficit)</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Total</w:t>
            </w:r>
          </w:p>
        </w:tc>
        <w:tc>
          <w:tcPr>
            <w:tcW w:w="112" w:type="dxa"/>
            <w:tcBorders/>
            <w:vAlign w:val="center"/>
          </w:tcPr>
          <w:p>
            <w:pPr>
              <w:pStyle w:val="TableContents"/>
              <w:bidi w:val="0"/>
              <w:spacing w:before="0" w:after="283"/>
              <w:jc w:val="left"/>
              <w:rPr>
                <w:color w:val="000000"/>
              </w:rPr>
            </w:pPr>
            <w:r>
              <w:rPr>
                <w:color w:val="000000"/>
              </w:rPr>
              <w:t> </w:t>
            </w:r>
          </w:p>
        </w:tc>
      </w:tr>
      <w:tr>
        <w:trPr/>
        <w:tc>
          <w:tcPr>
            <w:tcW w:w="2242"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35" w:type="dxa"/>
            <w:gridSpan w:val="2"/>
            <w:tcBorders/>
            <w:vAlign w:val="center"/>
          </w:tcPr>
          <w:p>
            <w:pPr>
              <w:pStyle w:val="TableContents"/>
              <w:bidi w:val="0"/>
              <w:spacing w:before="0" w:after="283"/>
              <w:jc w:val="lef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00" w:type="dxa"/>
            <w:gridSpan w:val="2"/>
            <w:tcBorders/>
            <w:vAlign w:val="center"/>
          </w:tcPr>
          <w:p>
            <w:pPr>
              <w:pStyle w:val="TableContents"/>
              <w:bidi w:val="0"/>
              <w:spacing w:before="0" w:after="283"/>
              <w:jc w:val="lef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60" w:type="dxa"/>
            <w:gridSpan w:val="2"/>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00" w:type="dxa"/>
            <w:gridSpan w:val="2"/>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25" w:type="dxa"/>
            <w:gridSpan w:val="2"/>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51" w:type="dxa"/>
            <w:gridSpan w:val="2"/>
            <w:tcBorders/>
            <w:vAlign w:val="center"/>
          </w:tcPr>
          <w:p>
            <w:pPr>
              <w:pStyle w:val="TableContents"/>
              <w:bidi w:val="0"/>
              <w:spacing w:before="0" w:after="283"/>
              <w:jc w:val="left"/>
              <w:rPr>
                <w:color w:val="000000"/>
              </w:rPr>
            </w:pPr>
            <w:r>
              <w:rPr>
                <w:color w:val="000000"/>
              </w:rPr>
              <w:t> </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95" w:type="dxa"/>
            <w:gridSpan w:val="2"/>
            <w:tcBorders/>
            <w:vAlign w:val="center"/>
          </w:tcPr>
          <w:p>
            <w:pPr>
              <w:pStyle w:val="TableContents"/>
              <w:bidi w:val="0"/>
              <w:spacing w:before="0" w:after="283"/>
              <w:jc w:val="left"/>
              <w:rPr>
                <w:color w:val="000000"/>
              </w:rPr>
            </w:pPr>
            <w:r>
              <w:rPr>
                <w:color w:val="000000"/>
              </w:rPr>
              <w:t> </w:t>
            </w:r>
          </w:p>
        </w:tc>
        <w:tc>
          <w:tcPr>
            <w:tcW w:w="112" w:type="dxa"/>
            <w:tcBorders/>
            <w:vAlign w:val="center"/>
          </w:tcPr>
          <w:p>
            <w:pPr>
              <w:pStyle w:val="TableContents"/>
              <w:bidi w:val="0"/>
              <w:spacing w:before="0" w:after="283"/>
              <w:jc w:val="left"/>
              <w:rPr>
                <w:color w:val="000000"/>
              </w:rPr>
            </w:pPr>
            <w:r>
              <w:rPr>
                <w:color w:val="000000"/>
              </w:rPr>
              <w:t> </w:t>
            </w:r>
          </w:p>
        </w:tc>
      </w:tr>
      <w:tr>
        <w:trPr/>
        <w:tc>
          <w:tcPr>
            <w:tcW w:w="2242"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Balance -January 1, 2022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10,000,000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20,875,475</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4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1,619</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12,438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14,061</w:t>
            </w:r>
          </w:p>
        </w:tc>
        <w:tc>
          <w:tcPr>
            <w:tcW w:w="112" w:type="dxa"/>
            <w:tcBorders/>
            <w:shd w:fill="CCEEFF" w:val="clear"/>
            <w:vAlign w:val="center"/>
          </w:tcPr>
          <w:p>
            <w:pPr>
              <w:pStyle w:val="TableContents"/>
              <w:bidi w:val="0"/>
              <w:spacing w:before="0" w:after="283"/>
              <w:jc w:val="left"/>
              <w:rPr>
                <w:color w:val="000000"/>
              </w:rPr>
            </w:pPr>
            <w:r>
              <w:rPr>
                <w:color w:val="000000"/>
              </w:rPr>
              <w:t> </w:t>
            </w:r>
          </w:p>
        </w:tc>
      </w:tr>
      <w:tr>
        <w:trPr/>
        <w:tc>
          <w:tcPr>
            <w:tcW w:w="2242"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shd w:fill="FFFFFF" w:val="clear"/>
            <w:vAlign w:val="center"/>
          </w:tcPr>
          <w:p>
            <w:pPr>
              <w:pStyle w:val="TableContents"/>
              <w:bidi w:val="0"/>
              <w:spacing w:before="0" w:after="283"/>
              <w:jc w:val="left"/>
              <w:rPr>
                <w:color w:val="000000"/>
              </w:rPr>
            </w:pPr>
            <w:r>
              <w:rPr>
                <w:color w:val="000000"/>
              </w:rPr>
              <w:t> </w:t>
            </w:r>
          </w:p>
        </w:tc>
        <w:tc>
          <w:tcPr>
            <w:tcW w:w="656"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shd w:fill="FFFFFF" w:val="clear"/>
            <w:vAlign w:val="center"/>
          </w:tcPr>
          <w:p>
            <w:pPr>
              <w:pStyle w:val="TableContents"/>
              <w:bidi w:val="0"/>
              <w:spacing w:before="0" w:after="283"/>
              <w:jc w:val="left"/>
              <w:rPr>
                <w:color w:val="000000"/>
              </w:rPr>
            </w:pPr>
            <w:r>
              <w:rPr>
                <w:color w:val="000000"/>
              </w:rPr>
              <w:t> </w:t>
            </w:r>
          </w:p>
        </w:tc>
        <w:tc>
          <w:tcPr>
            <w:tcW w:w="85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shd w:fill="FFFFFF" w:val="clear"/>
            <w:vAlign w:val="center"/>
          </w:tcPr>
          <w:p>
            <w:pPr>
              <w:pStyle w:val="TableContents"/>
              <w:bidi w:val="0"/>
              <w:spacing w:before="0" w:after="283"/>
              <w:jc w:val="left"/>
              <w:rPr>
                <w:color w:val="000000"/>
              </w:rPr>
            </w:pPr>
            <w:r>
              <w:rPr>
                <w:color w:val="000000"/>
              </w:rPr>
              <w:t> </w:t>
            </w:r>
          </w:p>
        </w:tc>
        <w:tc>
          <w:tcPr>
            <w:tcW w:w="887"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color w:val="000000"/>
              </w:rPr>
            </w:pPr>
            <w:r>
              <w:rPr>
                <w:color w:val="000000"/>
              </w:rPr>
              <w:t> </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224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Retroactive application of recapitalization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(10,000,000</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(2,000</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15,621,523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4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2,000</w:t>
            </w:r>
          </w:p>
        </w:tc>
        <w:tc>
          <w:tcPr>
            <w:tcW w:w="112" w:type="dxa"/>
            <w:tcBorders/>
            <w:shd w:fill="CCEEFF" w:val="clear"/>
            <w:vAlign w:val="center"/>
          </w:tcPr>
          <w:p>
            <w:pPr>
              <w:pStyle w:val="TableContents"/>
              <w:bidi w:val="0"/>
              <w:spacing w:before="0" w:after="283"/>
              <w:jc w:val="left"/>
              <w:rPr>
                <w:color w:val="000000"/>
              </w:rPr>
            </w:pPr>
            <w:r>
              <w:rPr>
                <w:color w:val="000000"/>
              </w:rPr>
              <w:t> </w:t>
            </w:r>
          </w:p>
        </w:tc>
      </w:tr>
      <w:tr>
        <w:trPr/>
        <w:tc>
          <w:tcPr>
            <w:tcW w:w="224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Adjusted balance, beginning of period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shd w:fill="FFFFFF" w:val="clear"/>
            <w:vAlign w:val="center"/>
          </w:tcPr>
          <w:p>
            <w:pPr>
              <w:pStyle w:val="TableContents"/>
              <w:bidi w:val="0"/>
              <w:spacing w:before="0" w:after="283"/>
              <w:jc w:val="left"/>
              <w:rPr>
                <w:color w:val="000000"/>
              </w:rPr>
            </w:pPr>
            <w:r>
              <w:rPr>
                <w:color w:val="000000"/>
              </w:rPr>
              <w:t> </w:t>
            </w:r>
          </w:p>
        </w:tc>
        <w:tc>
          <w:tcPr>
            <w:tcW w:w="65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36,496,998</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shd w:fill="FFFFFF" w:val="clear"/>
            <w:vAlign w:val="center"/>
          </w:tcPr>
          <w:p>
            <w:pPr>
              <w:pStyle w:val="TableContents"/>
              <w:bidi w:val="0"/>
              <w:spacing w:before="0" w:after="283"/>
              <w:jc w:val="left"/>
              <w:rPr>
                <w:color w:val="000000"/>
              </w:rPr>
            </w:pPr>
            <w:r>
              <w:rPr>
                <w:color w:val="000000"/>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3,619</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shd w:fill="FFFFFF" w:val="clear"/>
            <w:vAlign w:val="center"/>
          </w:tcPr>
          <w:p>
            <w:pPr>
              <w:pStyle w:val="TableContents"/>
              <w:bidi w:val="0"/>
              <w:spacing w:before="0" w:after="283"/>
              <w:jc w:val="left"/>
              <w:rPr>
                <w:color w:val="000000"/>
              </w:rPr>
            </w:pPr>
            <w:r>
              <w:rPr>
                <w:color w:val="000000"/>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12,438</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16,061</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224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loss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4" w:type="dxa"/>
            <w:tcBorders/>
            <w:shd w:fill="CCEEFF" w:val="clear"/>
            <w:vAlign w:val="center"/>
          </w:tcPr>
          <w:p>
            <w:pPr>
              <w:pStyle w:val="TableContents"/>
              <w:bidi w:val="0"/>
              <w:spacing w:before="0" w:after="283"/>
              <w:jc w:val="left"/>
              <w:rPr>
                <w:color w:val="000000"/>
              </w:rPr>
            </w:pPr>
            <w:r>
              <w:rPr>
                <w:color w:val="000000"/>
              </w:rPr>
              <w:t> </w:t>
            </w:r>
          </w:p>
        </w:tc>
        <w:tc>
          <w:tcPr>
            <w:tcW w:w="65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5" w:type="dxa"/>
            <w:tcBorders/>
            <w:shd w:fill="CCEEFF" w:val="clear"/>
            <w:vAlign w:val="center"/>
          </w:tcPr>
          <w:p>
            <w:pPr>
              <w:pStyle w:val="TableContents"/>
              <w:bidi w:val="0"/>
              <w:spacing w:before="0" w:after="283"/>
              <w:jc w:val="left"/>
              <w:rPr>
                <w:color w:val="000000"/>
              </w:rPr>
            </w:pPr>
            <w:r>
              <w:rPr>
                <w:color w:val="00000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4" w:type="dxa"/>
            <w:tcBorders/>
            <w:shd w:fill="CCEEFF" w:val="clear"/>
            <w:vAlign w:val="center"/>
          </w:tcPr>
          <w:p>
            <w:pPr>
              <w:pStyle w:val="TableContents"/>
              <w:bidi w:val="0"/>
              <w:spacing w:before="0" w:after="283"/>
              <w:jc w:val="left"/>
              <w:rPr>
                <w:color w:val="000000"/>
              </w:rPr>
            </w:pPr>
            <w:r>
              <w:rPr>
                <w:color w:val="000000"/>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(2,298</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(2,298</w:t>
            </w:r>
          </w:p>
        </w:tc>
        <w:tc>
          <w:tcPr>
            <w:tcW w:w="11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224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Stock compensation expense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shd w:fill="FFFFFF" w:val="clear"/>
            <w:vAlign w:val="center"/>
          </w:tcPr>
          <w:p>
            <w:pPr>
              <w:pStyle w:val="TableContents"/>
              <w:bidi w:val="0"/>
              <w:spacing w:before="0" w:after="283"/>
              <w:jc w:val="left"/>
              <w:rPr>
                <w:color w:val="000000"/>
              </w:rPr>
            </w:pPr>
            <w:r>
              <w:rPr>
                <w:color w:val="000000"/>
              </w:rPr>
              <w:t> </w:t>
            </w:r>
          </w:p>
        </w:tc>
        <w:tc>
          <w:tcPr>
            <w:tcW w:w="65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shd w:fill="FFFFFF" w:val="clear"/>
            <w:vAlign w:val="center"/>
          </w:tcPr>
          <w:p>
            <w:pPr>
              <w:pStyle w:val="TableContents"/>
              <w:bidi w:val="0"/>
              <w:spacing w:before="0" w:after="283"/>
              <w:jc w:val="left"/>
              <w:rPr>
                <w:color w:val="000000"/>
              </w:rPr>
            </w:pPr>
            <w:r>
              <w:rPr>
                <w:color w:val="000000"/>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288</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shd w:fill="FFFFFF" w:val="clear"/>
            <w:vAlign w:val="center"/>
          </w:tcPr>
          <w:p>
            <w:pPr>
              <w:pStyle w:val="TableContents"/>
              <w:bidi w:val="0"/>
              <w:spacing w:before="0" w:after="283"/>
              <w:jc w:val="left"/>
              <w:rPr>
                <w:color w:val="000000"/>
              </w:rPr>
            </w:pPr>
            <w:r>
              <w:rPr>
                <w:color w:val="000000"/>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288</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224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Exercise of stock options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100,374</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4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113</w:t>
            </w:r>
          </w:p>
        </w:tc>
        <w:tc>
          <w:tcPr>
            <w:tcW w:w="112" w:type="dxa"/>
            <w:tcBorders/>
            <w:shd w:fill="CCEEFF" w:val="clear"/>
            <w:vAlign w:val="center"/>
          </w:tcPr>
          <w:p>
            <w:pPr>
              <w:pStyle w:val="TableContents"/>
              <w:bidi w:val="0"/>
              <w:spacing w:before="0" w:after="283"/>
              <w:jc w:val="left"/>
              <w:rPr>
                <w:color w:val="000000"/>
              </w:rPr>
            </w:pPr>
            <w:r>
              <w:rPr>
                <w:color w:val="000000"/>
              </w:rPr>
              <w:t> </w:t>
            </w:r>
          </w:p>
        </w:tc>
      </w:tr>
      <w:tr>
        <w:trPr/>
        <w:tc>
          <w:tcPr>
            <w:tcW w:w="2242"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shd w:fill="FFFFFF" w:val="clear"/>
            <w:vAlign w:val="center"/>
          </w:tcPr>
          <w:p>
            <w:pPr>
              <w:pStyle w:val="TableContents"/>
              <w:bidi w:val="0"/>
              <w:spacing w:before="0" w:after="283"/>
              <w:jc w:val="left"/>
              <w:rPr>
                <w:color w:val="000000"/>
              </w:rPr>
            </w:pPr>
            <w:r>
              <w:rPr>
                <w:color w:val="000000"/>
              </w:rPr>
              <w:t> </w:t>
            </w:r>
          </w:p>
        </w:tc>
        <w:tc>
          <w:tcPr>
            <w:tcW w:w="656"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shd w:fill="FFFFFF" w:val="clear"/>
            <w:vAlign w:val="center"/>
          </w:tcPr>
          <w:p>
            <w:pPr>
              <w:pStyle w:val="TableContents"/>
              <w:bidi w:val="0"/>
              <w:spacing w:before="0" w:after="283"/>
              <w:jc w:val="left"/>
              <w:rPr>
                <w:color w:val="000000"/>
              </w:rPr>
            </w:pPr>
            <w:r>
              <w:rPr>
                <w:color w:val="000000"/>
              </w:rPr>
              <w:t> </w:t>
            </w:r>
          </w:p>
        </w:tc>
        <w:tc>
          <w:tcPr>
            <w:tcW w:w="850"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shd w:fill="FFFFFF" w:val="clear"/>
            <w:vAlign w:val="center"/>
          </w:tcPr>
          <w:p>
            <w:pPr>
              <w:pStyle w:val="TableContents"/>
              <w:bidi w:val="0"/>
              <w:spacing w:before="0" w:after="283"/>
              <w:jc w:val="left"/>
              <w:rPr>
                <w:color w:val="000000"/>
              </w:rPr>
            </w:pPr>
            <w:r>
              <w:rPr>
                <w:color w:val="000000"/>
              </w:rPr>
              <w:t> </w:t>
            </w:r>
          </w:p>
        </w:tc>
        <w:tc>
          <w:tcPr>
            <w:tcW w:w="887"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color w:val="000000"/>
              </w:rPr>
            </w:pPr>
            <w:r>
              <w:rPr>
                <w:color w:val="000000"/>
              </w:rPr>
              <w:t> </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2242" w:type="dxa"/>
            <w:tcBorders/>
            <w:shd w:fill="CCEE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Balance – March 31, 2022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36,597,372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4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4,020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8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10,140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14,164</w:t>
            </w:r>
          </w:p>
        </w:tc>
        <w:tc>
          <w:tcPr>
            <w:tcW w:w="112" w:type="dxa"/>
            <w:tcBorders/>
            <w:shd w:fill="CCEEFF" w:val="clear"/>
            <w:vAlign w:val="center"/>
          </w:tcPr>
          <w:p>
            <w:pPr>
              <w:pStyle w:val="TableContents"/>
              <w:bidi w:val="0"/>
              <w:spacing w:before="0" w:after="283"/>
              <w:jc w:val="left"/>
              <w:rPr>
                <w:color w:val="000000"/>
              </w:rPr>
            </w:pPr>
            <w:r>
              <w:rPr>
                <w:color w:val="000000"/>
              </w:rPr>
              <w:t> </w:t>
            </w:r>
          </w:p>
        </w:tc>
      </w:tr>
      <w:tr>
        <w:trPr/>
        <w:tc>
          <w:tcPr>
            <w:tcW w:w="224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loss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shd w:fill="FFFFFF" w:val="clear"/>
            <w:vAlign w:val="center"/>
          </w:tcPr>
          <w:p>
            <w:pPr>
              <w:pStyle w:val="TableContents"/>
              <w:bidi w:val="0"/>
              <w:spacing w:before="0" w:after="283"/>
              <w:jc w:val="left"/>
              <w:rPr>
                <w:color w:val="000000"/>
              </w:rPr>
            </w:pPr>
            <w:r>
              <w:rPr>
                <w:color w:val="000000"/>
              </w:rPr>
              <w:t> </w:t>
            </w:r>
          </w:p>
        </w:tc>
        <w:tc>
          <w:tcPr>
            <w:tcW w:w="65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shd w:fill="FFFFFF" w:val="clear"/>
            <w:vAlign w:val="center"/>
          </w:tcPr>
          <w:p>
            <w:pPr>
              <w:pStyle w:val="TableContents"/>
              <w:bidi w:val="0"/>
              <w:spacing w:before="0" w:after="283"/>
              <w:jc w:val="left"/>
              <w:rPr>
                <w:color w:val="000000"/>
              </w:rPr>
            </w:pPr>
            <w:r>
              <w:rPr>
                <w:color w:val="000000"/>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shd w:fill="FFFFFF" w:val="clear"/>
            <w:vAlign w:val="center"/>
          </w:tcPr>
          <w:p>
            <w:pPr>
              <w:pStyle w:val="TableContents"/>
              <w:bidi w:val="0"/>
              <w:spacing w:before="0" w:after="283"/>
              <w:jc w:val="left"/>
              <w:rPr>
                <w:color w:val="000000"/>
              </w:rPr>
            </w:pPr>
            <w:r>
              <w:rPr>
                <w:color w:val="000000"/>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(1,469</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(1,469</w:t>
            </w:r>
          </w:p>
        </w:tc>
        <w:tc>
          <w:tcPr>
            <w:tcW w:w="11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224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Stock compensation expense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4" w:type="dxa"/>
            <w:tcBorders/>
            <w:shd w:fill="CCEEFF" w:val="clear"/>
            <w:vAlign w:val="center"/>
          </w:tcPr>
          <w:p>
            <w:pPr>
              <w:pStyle w:val="TableContents"/>
              <w:bidi w:val="0"/>
              <w:spacing w:before="0" w:after="283"/>
              <w:jc w:val="left"/>
              <w:rPr>
                <w:color w:val="000000"/>
              </w:rPr>
            </w:pPr>
            <w:r>
              <w:rPr>
                <w:color w:val="000000"/>
              </w:rPr>
              <w:t> </w:t>
            </w:r>
          </w:p>
        </w:tc>
        <w:tc>
          <w:tcPr>
            <w:tcW w:w="65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5" w:type="dxa"/>
            <w:tcBorders/>
            <w:shd w:fill="CCEEFF" w:val="clear"/>
            <w:vAlign w:val="center"/>
          </w:tcPr>
          <w:p>
            <w:pPr>
              <w:pStyle w:val="TableContents"/>
              <w:bidi w:val="0"/>
              <w:spacing w:before="0" w:after="283"/>
              <w:jc w:val="left"/>
              <w:rPr>
                <w:color w:val="000000"/>
              </w:rPr>
            </w:pPr>
            <w:r>
              <w:rPr>
                <w:color w:val="00000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431</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4" w:type="dxa"/>
            <w:tcBorders/>
            <w:shd w:fill="CCEEFF" w:val="clear"/>
            <w:vAlign w:val="center"/>
          </w:tcPr>
          <w:p>
            <w:pPr>
              <w:pStyle w:val="TableContents"/>
              <w:bidi w:val="0"/>
              <w:spacing w:before="0" w:after="283"/>
              <w:jc w:val="left"/>
              <w:rPr>
                <w:color w:val="000000"/>
              </w:rPr>
            </w:pPr>
            <w:r>
              <w:rPr>
                <w:color w:val="000000"/>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431</w:t>
            </w:r>
          </w:p>
        </w:tc>
        <w:tc>
          <w:tcPr>
            <w:tcW w:w="112" w:type="dxa"/>
            <w:tcBorders/>
            <w:shd w:fill="CCEEFF" w:val="clear"/>
            <w:vAlign w:val="center"/>
          </w:tcPr>
          <w:p>
            <w:pPr>
              <w:pStyle w:val="TableContents"/>
              <w:bidi w:val="0"/>
              <w:spacing w:before="0" w:after="283"/>
              <w:jc w:val="left"/>
              <w:rPr>
                <w:color w:val="000000"/>
              </w:rPr>
            </w:pPr>
            <w:r>
              <w:rPr>
                <w:color w:val="000000"/>
              </w:rPr>
              <w:t> </w:t>
            </w:r>
          </w:p>
        </w:tc>
      </w:tr>
      <w:tr>
        <w:trPr/>
        <w:tc>
          <w:tcPr>
            <w:tcW w:w="224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Exercise of stock options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6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152,366</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4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8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89</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89</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2242"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4" w:type="dxa"/>
            <w:tcBorders/>
            <w:shd w:fill="CCEEFF" w:val="clear"/>
            <w:vAlign w:val="center"/>
          </w:tcPr>
          <w:p>
            <w:pPr>
              <w:pStyle w:val="TableContents"/>
              <w:bidi w:val="0"/>
              <w:spacing w:before="0" w:after="283"/>
              <w:jc w:val="left"/>
              <w:rPr>
                <w:color w:val="000000"/>
              </w:rPr>
            </w:pPr>
            <w:r>
              <w:rPr>
                <w:color w:val="000000"/>
              </w:rPr>
              <w:t> </w:t>
            </w:r>
          </w:p>
        </w:tc>
        <w:tc>
          <w:tcPr>
            <w:tcW w:w="656"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5" w:type="dxa"/>
            <w:tcBorders/>
            <w:shd w:fill="CCEEFF" w:val="clear"/>
            <w:vAlign w:val="center"/>
          </w:tcPr>
          <w:p>
            <w:pPr>
              <w:pStyle w:val="TableContents"/>
              <w:bidi w:val="0"/>
              <w:spacing w:before="0" w:after="283"/>
              <w:jc w:val="left"/>
              <w:rPr>
                <w:color w:val="000000"/>
              </w:rPr>
            </w:pPr>
            <w:r>
              <w:rPr>
                <w:color w:val="000000"/>
              </w:rPr>
              <w:t> </w:t>
            </w:r>
          </w:p>
        </w:tc>
        <w:tc>
          <w:tcPr>
            <w:tcW w:w="85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4" w:type="dxa"/>
            <w:tcBorders/>
            <w:shd w:fill="CCEEFF" w:val="clear"/>
            <w:vAlign w:val="center"/>
          </w:tcPr>
          <w:p>
            <w:pPr>
              <w:pStyle w:val="TableContents"/>
              <w:bidi w:val="0"/>
              <w:spacing w:before="0" w:after="283"/>
              <w:jc w:val="left"/>
              <w:rPr>
                <w:color w:val="000000"/>
              </w:rPr>
            </w:pPr>
            <w:r>
              <w:rPr>
                <w:color w:val="000000"/>
              </w:rPr>
              <w:t> </w:t>
            </w:r>
          </w:p>
        </w:tc>
        <w:tc>
          <w:tcPr>
            <w:tcW w:w="887"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color w:val="000000"/>
              </w:rPr>
            </w:pPr>
            <w:r>
              <w:rPr>
                <w:color w:val="000000"/>
              </w:rPr>
              <w:t> </w:t>
            </w:r>
          </w:p>
        </w:tc>
        <w:tc>
          <w:tcPr>
            <w:tcW w:w="112" w:type="dxa"/>
            <w:tcBorders/>
            <w:shd w:fill="CCEEFF" w:val="clear"/>
            <w:vAlign w:val="center"/>
          </w:tcPr>
          <w:p>
            <w:pPr>
              <w:pStyle w:val="TableContents"/>
              <w:bidi w:val="0"/>
              <w:spacing w:before="0" w:after="283"/>
              <w:jc w:val="left"/>
              <w:rPr>
                <w:color w:val="000000"/>
              </w:rPr>
            </w:pPr>
            <w:r>
              <w:rPr>
                <w:color w:val="000000"/>
              </w:rPr>
              <w:t> </w:t>
            </w:r>
          </w:p>
        </w:tc>
      </w:tr>
      <w:tr>
        <w:trPr/>
        <w:tc>
          <w:tcPr>
            <w:tcW w:w="2242"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Balance – June 30, 2022</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36,749,738</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4,540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8,671</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13,215</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2242"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4" w:type="dxa"/>
            <w:tcBorders/>
            <w:shd w:fill="CCEEFF" w:val="clear"/>
            <w:vAlign w:val="center"/>
          </w:tcPr>
          <w:p>
            <w:pPr>
              <w:pStyle w:val="TableContents"/>
              <w:bidi w:val="0"/>
              <w:spacing w:before="0" w:after="283"/>
              <w:jc w:val="left"/>
              <w:rPr>
                <w:color w:val="000000"/>
              </w:rPr>
            </w:pPr>
            <w:r>
              <w:rPr>
                <w:color w:val="000000"/>
              </w:rPr>
              <w:t> </w:t>
            </w:r>
          </w:p>
        </w:tc>
        <w:tc>
          <w:tcPr>
            <w:tcW w:w="656"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5" w:type="dxa"/>
            <w:tcBorders/>
            <w:shd w:fill="CCEEFF" w:val="clear"/>
            <w:vAlign w:val="center"/>
          </w:tcPr>
          <w:p>
            <w:pPr>
              <w:pStyle w:val="TableContents"/>
              <w:bidi w:val="0"/>
              <w:spacing w:before="0" w:after="283"/>
              <w:jc w:val="left"/>
              <w:rPr>
                <w:color w:val="000000"/>
              </w:rPr>
            </w:pPr>
            <w:r>
              <w:rPr>
                <w:color w:val="000000"/>
              </w:rPr>
              <w:t> </w:t>
            </w:r>
          </w:p>
        </w:tc>
        <w:tc>
          <w:tcPr>
            <w:tcW w:w="85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4" w:type="dxa"/>
            <w:tcBorders/>
            <w:shd w:fill="CCEEFF" w:val="clear"/>
            <w:vAlign w:val="center"/>
          </w:tcPr>
          <w:p>
            <w:pPr>
              <w:pStyle w:val="TableContents"/>
              <w:bidi w:val="0"/>
              <w:spacing w:before="0" w:after="283"/>
              <w:jc w:val="left"/>
              <w:rPr>
                <w:color w:val="000000"/>
              </w:rPr>
            </w:pPr>
            <w:r>
              <w:rPr>
                <w:color w:val="000000"/>
              </w:rPr>
              <w:t> </w:t>
            </w:r>
          </w:p>
        </w:tc>
        <w:tc>
          <w:tcPr>
            <w:tcW w:w="887"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color w:val="000000"/>
              </w:rPr>
            </w:pPr>
            <w:r>
              <w:rPr>
                <w:color w:val="000000"/>
              </w:rPr>
              <w:t> </w:t>
            </w:r>
          </w:p>
        </w:tc>
        <w:tc>
          <w:tcPr>
            <w:tcW w:w="112" w:type="dxa"/>
            <w:tcBorders/>
            <w:shd w:fill="CCEEFF" w:val="clear"/>
            <w:vAlign w:val="center"/>
          </w:tcPr>
          <w:p>
            <w:pPr>
              <w:pStyle w:val="TableContents"/>
              <w:bidi w:val="0"/>
              <w:spacing w:before="0" w:after="283"/>
              <w:jc w:val="left"/>
              <w:rPr>
                <w:color w:val="000000"/>
              </w:rPr>
            </w:pPr>
            <w:r>
              <w:rPr>
                <w:color w:val="000000"/>
              </w:rPr>
              <w:t> </w:t>
            </w:r>
          </w:p>
        </w:tc>
      </w:tr>
      <w:tr>
        <w:trPr/>
        <w:tc>
          <w:tcPr>
            <w:tcW w:w="2242"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Balance -January 1, 2023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shd w:fill="FFFFFF" w:val="clear"/>
            <w:vAlign w:val="center"/>
          </w:tcPr>
          <w:p>
            <w:pPr>
              <w:pStyle w:val="TableContents"/>
              <w:bidi w:val="0"/>
              <w:spacing w:before="0" w:after="283"/>
              <w:jc w:val="left"/>
              <w:rPr>
                <w:color w:val="000000"/>
              </w:rPr>
            </w:pPr>
            <w:r>
              <w:rPr>
                <w:color w:val="000000"/>
              </w:rPr>
              <w:t> </w:t>
            </w:r>
          </w:p>
        </w:tc>
        <w:tc>
          <w:tcPr>
            <w:tcW w:w="65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43,272,728</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shd w:fill="FFFFFF" w:val="clear"/>
            <w:vAlign w:val="center"/>
          </w:tcPr>
          <w:p>
            <w:pPr>
              <w:pStyle w:val="TableContents"/>
              <w:bidi w:val="0"/>
              <w:spacing w:before="0" w:after="283"/>
              <w:jc w:val="left"/>
              <w:rPr>
                <w:color w:val="000000"/>
              </w:rPr>
            </w:pPr>
            <w:r>
              <w:rPr>
                <w:color w:val="000000"/>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38,461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shd w:fill="FFFFFF" w:val="clear"/>
            <w:vAlign w:val="center"/>
          </w:tcPr>
          <w:p>
            <w:pPr>
              <w:pStyle w:val="TableContents"/>
              <w:bidi w:val="0"/>
              <w:spacing w:before="0" w:after="283"/>
              <w:jc w:val="left"/>
              <w:rPr>
                <w:color w:val="000000"/>
              </w:rPr>
            </w:pPr>
            <w:r>
              <w:rPr>
                <w:color w:val="000000"/>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(27,133</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11,332</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224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income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4" w:type="dxa"/>
            <w:tcBorders/>
            <w:shd w:fill="CCEEFF" w:val="clear"/>
            <w:vAlign w:val="center"/>
          </w:tcPr>
          <w:p>
            <w:pPr>
              <w:pStyle w:val="TableContents"/>
              <w:bidi w:val="0"/>
              <w:spacing w:before="0" w:after="283"/>
              <w:jc w:val="left"/>
              <w:rPr>
                <w:color w:val="000000"/>
              </w:rPr>
            </w:pPr>
            <w:r>
              <w:rPr>
                <w:color w:val="000000"/>
              </w:rPr>
              <w:t> </w:t>
            </w:r>
          </w:p>
        </w:tc>
        <w:tc>
          <w:tcPr>
            <w:tcW w:w="65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5" w:type="dxa"/>
            <w:tcBorders/>
            <w:shd w:fill="CCEEFF" w:val="clear"/>
            <w:vAlign w:val="center"/>
          </w:tcPr>
          <w:p>
            <w:pPr>
              <w:pStyle w:val="TableContents"/>
              <w:bidi w:val="0"/>
              <w:spacing w:before="0" w:after="283"/>
              <w:jc w:val="left"/>
              <w:rPr>
                <w:color w:val="000000"/>
              </w:rPr>
            </w:pPr>
            <w:r>
              <w:rPr>
                <w:color w:val="00000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4" w:type="dxa"/>
            <w:tcBorders/>
            <w:shd w:fill="CCEEFF" w:val="clear"/>
            <w:vAlign w:val="center"/>
          </w:tcPr>
          <w:p>
            <w:pPr>
              <w:pStyle w:val="TableContents"/>
              <w:bidi w:val="0"/>
              <w:spacing w:before="0" w:after="283"/>
              <w:jc w:val="left"/>
              <w:rPr>
                <w:color w:val="000000"/>
              </w:rPr>
            </w:pPr>
            <w:r>
              <w:rPr>
                <w:color w:val="000000"/>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4,892</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4,892</w:t>
            </w:r>
          </w:p>
        </w:tc>
        <w:tc>
          <w:tcPr>
            <w:tcW w:w="112" w:type="dxa"/>
            <w:tcBorders/>
            <w:shd w:fill="CCEEFF" w:val="clear"/>
            <w:vAlign w:val="center"/>
          </w:tcPr>
          <w:p>
            <w:pPr>
              <w:pStyle w:val="TableContents"/>
              <w:bidi w:val="0"/>
              <w:spacing w:before="0" w:after="283"/>
              <w:jc w:val="left"/>
              <w:rPr>
                <w:color w:val="000000"/>
              </w:rPr>
            </w:pPr>
            <w:r>
              <w:rPr>
                <w:color w:val="000000"/>
              </w:rPr>
              <w:t> </w:t>
            </w:r>
          </w:p>
        </w:tc>
      </w:tr>
      <w:tr>
        <w:trPr/>
        <w:tc>
          <w:tcPr>
            <w:tcW w:w="224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Common stock issued in public offering (ATM), net of costs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shd w:fill="FFFFFF" w:val="clear"/>
            <w:vAlign w:val="center"/>
          </w:tcPr>
          <w:p>
            <w:pPr>
              <w:pStyle w:val="TableContents"/>
              <w:bidi w:val="0"/>
              <w:spacing w:before="0" w:after="283"/>
              <w:jc w:val="left"/>
              <w:rPr>
                <w:color w:val="000000"/>
              </w:rPr>
            </w:pPr>
            <w:r>
              <w:rPr>
                <w:color w:val="000000"/>
              </w:rPr>
              <w:t> </w:t>
            </w:r>
          </w:p>
        </w:tc>
        <w:tc>
          <w:tcPr>
            <w:tcW w:w="65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73,500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shd w:fill="FFFFFF" w:val="clear"/>
            <w:vAlign w:val="center"/>
          </w:tcPr>
          <w:p>
            <w:pPr>
              <w:pStyle w:val="TableContents"/>
              <w:bidi w:val="0"/>
              <w:spacing w:before="0" w:after="283"/>
              <w:jc w:val="left"/>
              <w:rPr>
                <w:color w:val="000000"/>
              </w:rPr>
            </w:pPr>
            <w:r>
              <w:rPr>
                <w:color w:val="000000"/>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597</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shd w:fill="FFFFFF" w:val="clear"/>
            <w:vAlign w:val="center"/>
          </w:tcPr>
          <w:p>
            <w:pPr>
              <w:pStyle w:val="TableContents"/>
              <w:bidi w:val="0"/>
              <w:spacing w:before="0" w:after="283"/>
              <w:jc w:val="left"/>
              <w:rPr>
                <w:color w:val="000000"/>
              </w:rPr>
            </w:pPr>
            <w:r>
              <w:rPr>
                <w:color w:val="000000"/>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597</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224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Exercise of stock options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4" w:type="dxa"/>
            <w:tcBorders/>
            <w:shd w:fill="CCEEFF" w:val="clear"/>
            <w:vAlign w:val="center"/>
          </w:tcPr>
          <w:p>
            <w:pPr>
              <w:pStyle w:val="TableContents"/>
              <w:bidi w:val="0"/>
              <w:spacing w:before="0" w:after="283"/>
              <w:jc w:val="left"/>
              <w:rPr>
                <w:color w:val="000000"/>
              </w:rPr>
            </w:pPr>
            <w:r>
              <w:rPr>
                <w:color w:val="000000"/>
              </w:rPr>
              <w:t> </w:t>
            </w:r>
          </w:p>
        </w:tc>
        <w:tc>
          <w:tcPr>
            <w:tcW w:w="65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36,009</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5" w:type="dxa"/>
            <w:tcBorders/>
            <w:shd w:fill="CCEEFF" w:val="clear"/>
            <w:vAlign w:val="center"/>
          </w:tcPr>
          <w:p>
            <w:pPr>
              <w:pStyle w:val="TableContents"/>
              <w:bidi w:val="0"/>
              <w:spacing w:before="0" w:after="283"/>
              <w:jc w:val="left"/>
              <w:rPr>
                <w:color w:val="000000"/>
              </w:rPr>
            </w:pPr>
            <w:r>
              <w:rPr>
                <w:color w:val="00000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4" w:type="dxa"/>
            <w:tcBorders/>
            <w:shd w:fill="CCEEFF" w:val="clear"/>
            <w:vAlign w:val="center"/>
          </w:tcPr>
          <w:p>
            <w:pPr>
              <w:pStyle w:val="TableContents"/>
              <w:bidi w:val="0"/>
              <w:spacing w:before="0" w:after="283"/>
              <w:jc w:val="left"/>
              <w:rPr>
                <w:color w:val="000000"/>
              </w:rPr>
            </w:pPr>
            <w:r>
              <w:rPr>
                <w:color w:val="000000"/>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93</w:t>
            </w:r>
          </w:p>
        </w:tc>
        <w:tc>
          <w:tcPr>
            <w:tcW w:w="112" w:type="dxa"/>
            <w:tcBorders/>
            <w:shd w:fill="CCEEFF" w:val="clear"/>
            <w:vAlign w:val="center"/>
          </w:tcPr>
          <w:p>
            <w:pPr>
              <w:pStyle w:val="TableContents"/>
              <w:bidi w:val="0"/>
              <w:spacing w:before="0" w:after="283"/>
              <w:jc w:val="left"/>
              <w:rPr>
                <w:color w:val="000000"/>
              </w:rPr>
            </w:pPr>
            <w:r>
              <w:rPr>
                <w:color w:val="000000"/>
              </w:rPr>
              <w:t> </w:t>
            </w:r>
          </w:p>
        </w:tc>
      </w:tr>
      <w:tr>
        <w:trPr/>
        <w:tc>
          <w:tcPr>
            <w:tcW w:w="224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Exercise of public warrants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shd w:fill="FFFFFF" w:val="clear"/>
            <w:vAlign w:val="center"/>
          </w:tcPr>
          <w:p>
            <w:pPr>
              <w:pStyle w:val="TableContents"/>
              <w:bidi w:val="0"/>
              <w:spacing w:before="0" w:after="283"/>
              <w:jc w:val="left"/>
              <w:rPr>
                <w:color w:val="000000"/>
              </w:rPr>
            </w:pPr>
            <w:r>
              <w:rPr>
                <w:color w:val="000000"/>
              </w:rPr>
              <w:t> </w:t>
            </w:r>
          </w:p>
        </w:tc>
        <w:tc>
          <w:tcPr>
            <w:tcW w:w="65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64,971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shd w:fill="FFFFFF" w:val="clear"/>
            <w:vAlign w:val="center"/>
          </w:tcPr>
          <w:p>
            <w:pPr>
              <w:pStyle w:val="TableContents"/>
              <w:bidi w:val="0"/>
              <w:spacing w:before="0" w:after="283"/>
              <w:jc w:val="left"/>
              <w:rPr>
                <w:color w:val="000000"/>
              </w:rPr>
            </w:pPr>
            <w:r>
              <w:rPr>
                <w:color w:val="000000"/>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747</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shd w:fill="FFFFFF" w:val="clear"/>
            <w:vAlign w:val="center"/>
          </w:tcPr>
          <w:p>
            <w:pPr>
              <w:pStyle w:val="TableContents"/>
              <w:bidi w:val="0"/>
              <w:spacing w:before="0" w:after="283"/>
              <w:jc w:val="left"/>
              <w:rPr>
                <w:color w:val="000000"/>
              </w:rPr>
            </w:pPr>
            <w:r>
              <w:rPr>
                <w:color w:val="000000"/>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747</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224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Cashless exercise of liability classified warrants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4" w:type="dxa"/>
            <w:tcBorders/>
            <w:shd w:fill="CCEEFF" w:val="clear"/>
            <w:vAlign w:val="center"/>
          </w:tcPr>
          <w:p>
            <w:pPr>
              <w:pStyle w:val="TableContents"/>
              <w:bidi w:val="0"/>
              <w:spacing w:before="0" w:after="283"/>
              <w:jc w:val="left"/>
              <w:rPr>
                <w:color w:val="000000"/>
              </w:rPr>
            </w:pPr>
            <w:r>
              <w:rPr>
                <w:color w:val="000000"/>
              </w:rPr>
              <w:t> </w:t>
            </w:r>
          </w:p>
        </w:tc>
        <w:tc>
          <w:tcPr>
            <w:tcW w:w="65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2,348,294</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5" w:type="dxa"/>
            <w:tcBorders/>
            <w:shd w:fill="CCEEFF" w:val="clear"/>
            <w:vAlign w:val="center"/>
          </w:tcPr>
          <w:p>
            <w:pPr>
              <w:pStyle w:val="TableContents"/>
              <w:bidi w:val="0"/>
              <w:spacing w:before="0" w:after="283"/>
              <w:jc w:val="left"/>
              <w:rPr>
                <w:color w:val="000000"/>
              </w:rPr>
            </w:pPr>
            <w:r>
              <w:rPr>
                <w:color w:val="00000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10,166</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4" w:type="dxa"/>
            <w:tcBorders/>
            <w:shd w:fill="CCEEFF" w:val="clear"/>
            <w:vAlign w:val="center"/>
          </w:tcPr>
          <w:p>
            <w:pPr>
              <w:pStyle w:val="TableContents"/>
              <w:bidi w:val="0"/>
              <w:spacing w:before="0" w:after="283"/>
              <w:jc w:val="left"/>
              <w:rPr>
                <w:color w:val="000000"/>
              </w:rPr>
            </w:pPr>
            <w:r>
              <w:rPr>
                <w:color w:val="000000"/>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10,167</w:t>
            </w:r>
          </w:p>
        </w:tc>
        <w:tc>
          <w:tcPr>
            <w:tcW w:w="112" w:type="dxa"/>
            <w:tcBorders/>
            <w:shd w:fill="CCEEFF" w:val="clear"/>
            <w:vAlign w:val="center"/>
          </w:tcPr>
          <w:p>
            <w:pPr>
              <w:pStyle w:val="TableContents"/>
              <w:bidi w:val="0"/>
              <w:spacing w:before="0" w:after="283"/>
              <w:jc w:val="left"/>
              <w:rPr>
                <w:color w:val="000000"/>
              </w:rPr>
            </w:pPr>
            <w:r>
              <w:rPr>
                <w:color w:val="000000"/>
              </w:rPr>
              <w:t> </w:t>
            </w:r>
          </w:p>
        </w:tc>
      </w:tr>
      <w:tr>
        <w:trPr/>
        <w:tc>
          <w:tcPr>
            <w:tcW w:w="224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Stock compensation expense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6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4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8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4,487</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4,487</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2242"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4" w:type="dxa"/>
            <w:tcBorders/>
            <w:shd w:fill="CCEEFF" w:val="clear"/>
            <w:vAlign w:val="center"/>
          </w:tcPr>
          <w:p>
            <w:pPr>
              <w:pStyle w:val="TableContents"/>
              <w:bidi w:val="0"/>
              <w:spacing w:before="0" w:after="283"/>
              <w:jc w:val="left"/>
              <w:rPr>
                <w:color w:val="000000"/>
              </w:rPr>
            </w:pPr>
            <w:r>
              <w:rPr>
                <w:color w:val="000000"/>
              </w:rPr>
              <w:t> </w:t>
            </w:r>
          </w:p>
        </w:tc>
        <w:tc>
          <w:tcPr>
            <w:tcW w:w="656"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5" w:type="dxa"/>
            <w:tcBorders/>
            <w:shd w:fill="CCEEFF" w:val="clear"/>
            <w:vAlign w:val="center"/>
          </w:tcPr>
          <w:p>
            <w:pPr>
              <w:pStyle w:val="TableContents"/>
              <w:bidi w:val="0"/>
              <w:spacing w:before="0" w:after="283"/>
              <w:jc w:val="left"/>
              <w:rPr>
                <w:color w:val="000000"/>
              </w:rPr>
            </w:pPr>
            <w:r>
              <w:rPr>
                <w:color w:val="000000"/>
              </w:rPr>
              <w:t> </w:t>
            </w:r>
          </w:p>
        </w:tc>
        <w:tc>
          <w:tcPr>
            <w:tcW w:w="85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4" w:type="dxa"/>
            <w:tcBorders/>
            <w:shd w:fill="CCEEFF" w:val="clear"/>
            <w:vAlign w:val="center"/>
          </w:tcPr>
          <w:p>
            <w:pPr>
              <w:pStyle w:val="TableContents"/>
              <w:bidi w:val="0"/>
              <w:spacing w:before="0" w:after="283"/>
              <w:jc w:val="left"/>
              <w:rPr>
                <w:color w:val="000000"/>
              </w:rPr>
            </w:pPr>
            <w:r>
              <w:rPr>
                <w:color w:val="000000"/>
              </w:rPr>
              <w:t> </w:t>
            </w:r>
          </w:p>
        </w:tc>
        <w:tc>
          <w:tcPr>
            <w:tcW w:w="887"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color w:val="000000"/>
              </w:rPr>
            </w:pPr>
            <w:r>
              <w:rPr>
                <w:color w:val="000000"/>
              </w:rPr>
              <w:t> </w:t>
            </w:r>
          </w:p>
        </w:tc>
        <w:tc>
          <w:tcPr>
            <w:tcW w:w="112" w:type="dxa"/>
            <w:tcBorders/>
            <w:shd w:fill="CCEEFF" w:val="clear"/>
            <w:vAlign w:val="center"/>
          </w:tcPr>
          <w:p>
            <w:pPr>
              <w:pStyle w:val="TableContents"/>
              <w:bidi w:val="0"/>
              <w:spacing w:before="0" w:after="283"/>
              <w:jc w:val="left"/>
              <w:rPr>
                <w:color w:val="000000"/>
              </w:rPr>
            </w:pPr>
            <w:r>
              <w:rPr>
                <w:color w:val="000000"/>
              </w:rPr>
              <w:t> </w:t>
            </w:r>
          </w:p>
        </w:tc>
      </w:tr>
      <w:tr>
        <w:trPr/>
        <w:tc>
          <w:tcPr>
            <w:tcW w:w="2242"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Balance – March 31, 2023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45,795,502</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54,551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(22,241</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32,315</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2242"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Balance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45,795,502</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54,551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(22,241</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32,315</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224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income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4" w:type="dxa"/>
            <w:tcBorders/>
            <w:shd w:fill="CCEEFF" w:val="clear"/>
            <w:vAlign w:val="center"/>
          </w:tcPr>
          <w:p>
            <w:pPr>
              <w:pStyle w:val="TableContents"/>
              <w:bidi w:val="0"/>
              <w:spacing w:before="0" w:after="283"/>
              <w:jc w:val="left"/>
              <w:rPr>
                <w:color w:val="000000"/>
              </w:rPr>
            </w:pPr>
            <w:r>
              <w:rPr>
                <w:color w:val="000000"/>
              </w:rPr>
              <w:t> </w:t>
            </w:r>
          </w:p>
        </w:tc>
        <w:tc>
          <w:tcPr>
            <w:tcW w:w="65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5" w:type="dxa"/>
            <w:tcBorders/>
            <w:shd w:fill="CCEEFF" w:val="clear"/>
            <w:vAlign w:val="center"/>
          </w:tcPr>
          <w:p>
            <w:pPr>
              <w:pStyle w:val="TableContents"/>
              <w:bidi w:val="0"/>
              <w:spacing w:before="0" w:after="283"/>
              <w:jc w:val="left"/>
              <w:rPr>
                <w:color w:val="000000"/>
              </w:rPr>
            </w:pPr>
            <w:r>
              <w:rPr>
                <w:color w:val="00000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4" w:type="dxa"/>
            <w:tcBorders/>
            <w:shd w:fill="CCEEFF" w:val="clear"/>
            <w:vAlign w:val="center"/>
          </w:tcPr>
          <w:p>
            <w:pPr>
              <w:pStyle w:val="TableContents"/>
              <w:bidi w:val="0"/>
              <w:spacing w:before="0" w:after="283"/>
              <w:jc w:val="left"/>
              <w:rPr>
                <w:color w:val="000000"/>
              </w:rPr>
            </w:pPr>
            <w:r>
              <w:rPr>
                <w:color w:val="000000"/>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(11,700</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(11,700</w:t>
            </w:r>
          </w:p>
        </w:tc>
        <w:tc>
          <w:tcPr>
            <w:tcW w:w="11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224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income (loss)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4" w:type="dxa"/>
            <w:tcBorders/>
            <w:shd w:fill="CCEEFF" w:val="clear"/>
            <w:vAlign w:val="center"/>
          </w:tcPr>
          <w:p>
            <w:pPr>
              <w:pStyle w:val="TableContents"/>
              <w:bidi w:val="0"/>
              <w:spacing w:before="0" w:after="283"/>
              <w:jc w:val="left"/>
              <w:rPr>
                <w:color w:val="000000"/>
              </w:rPr>
            </w:pPr>
            <w:r>
              <w:rPr>
                <w:color w:val="000000"/>
              </w:rPr>
              <w:t> </w:t>
            </w:r>
          </w:p>
        </w:tc>
        <w:tc>
          <w:tcPr>
            <w:tcW w:w="65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5" w:type="dxa"/>
            <w:tcBorders/>
            <w:shd w:fill="CCEEFF" w:val="clear"/>
            <w:vAlign w:val="center"/>
          </w:tcPr>
          <w:p>
            <w:pPr>
              <w:pStyle w:val="TableContents"/>
              <w:bidi w:val="0"/>
              <w:spacing w:before="0" w:after="283"/>
              <w:jc w:val="left"/>
              <w:rPr>
                <w:color w:val="000000"/>
              </w:rPr>
            </w:pPr>
            <w:r>
              <w:rPr>
                <w:color w:val="00000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4" w:type="dxa"/>
            <w:tcBorders/>
            <w:shd w:fill="CCEEFF" w:val="clear"/>
            <w:vAlign w:val="center"/>
          </w:tcPr>
          <w:p>
            <w:pPr>
              <w:pStyle w:val="TableContents"/>
              <w:bidi w:val="0"/>
              <w:spacing w:before="0" w:after="283"/>
              <w:jc w:val="left"/>
              <w:rPr>
                <w:color w:val="000000"/>
              </w:rPr>
            </w:pPr>
            <w:r>
              <w:rPr>
                <w:color w:val="000000"/>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(11,700</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(11,700</w:t>
            </w:r>
          </w:p>
        </w:tc>
        <w:tc>
          <w:tcPr>
            <w:tcW w:w="11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224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Common stock issued in public offering, net of costs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shd w:fill="FFFFFF" w:val="clear"/>
            <w:vAlign w:val="center"/>
          </w:tcPr>
          <w:p>
            <w:pPr>
              <w:pStyle w:val="TableContents"/>
              <w:bidi w:val="0"/>
              <w:spacing w:before="0" w:after="283"/>
              <w:jc w:val="left"/>
              <w:rPr>
                <w:color w:val="000000"/>
              </w:rPr>
            </w:pPr>
            <w:r>
              <w:rPr>
                <w:color w:val="000000"/>
              </w:rPr>
              <w:t> </w:t>
            </w:r>
          </w:p>
        </w:tc>
        <w:tc>
          <w:tcPr>
            <w:tcW w:w="65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11,405,000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shd w:fill="FFFFFF" w:val="clear"/>
            <w:vAlign w:val="center"/>
          </w:tcPr>
          <w:p>
            <w:pPr>
              <w:pStyle w:val="TableContents"/>
              <w:bidi w:val="0"/>
              <w:spacing w:before="0" w:after="283"/>
              <w:jc w:val="left"/>
              <w:rPr>
                <w:color w:val="000000"/>
              </w:rPr>
            </w:pPr>
            <w:r>
              <w:rPr>
                <w:color w:val="000000"/>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7,877</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shd w:fill="FFFFFF" w:val="clear"/>
            <w:vAlign w:val="center"/>
          </w:tcPr>
          <w:p>
            <w:pPr>
              <w:pStyle w:val="TableContents"/>
              <w:bidi w:val="0"/>
              <w:spacing w:before="0" w:after="283"/>
              <w:jc w:val="left"/>
              <w:rPr>
                <w:color w:val="000000"/>
              </w:rPr>
            </w:pPr>
            <w:r>
              <w:rPr>
                <w:color w:val="000000"/>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7,878</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224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Common stock issued in public offering (ATM), net of costs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4" w:type="dxa"/>
            <w:tcBorders/>
            <w:shd w:fill="CCEEFF" w:val="clear"/>
            <w:vAlign w:val="center"/>
          </w:tcPr>
          <w:p>
            <w:pPr>
              <w:pStyle w:val="TableContents"/>
              <w:bidi w:val="0"/>
              <w:spacing w:before="0" w:after="283"/>
              <w:jc w:val="left"/>
              <w:rPr>
                <w:color w:val="000000"/>
              </w:rPr>
            </w:pPr>
            <w:r>
              <w:rPr>
                <w:color w:val="000000"/>
              </w:rPr>
              <w:t> </w:t>
            </w:r>
          </w:p>
        </w:tc>
        <w:tc>
          <w:tcPr>
            <w:tcW w:w="65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25,000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5" w:type="dxa"/>
            <w:tcBorders/>
            <w:shd w:fill="CCEEFF" w:val="clear"/>
            <w:vAlign w:val="center"/>
          </w:tcPr>
          <w:p>
            <w:pPr>
              <w:pStyle w:val="TableContents"/>
              <w:bidi w:val="0"/>
              <w:spacing w:before="0" w:after="283"/>
              <w:jc w:val="left"/>
              <w:rPr>
                <w:color w:val="000000"/>
              </w:rPr>
            </w:pPr>
            <w:r>
              <w:rPr>
                <w:color w:val="00000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74</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4" w:type="dxa"/>
            <w:tcBorders/>
            <w:shd w:fill="CCEEFF" w:val="clear"/>
            <w:vAlign w:val="center"/>
          </w:tcPr>
          <w:p>
            <w:pPr>
              <w:pStyle w:val="TableContents"/>
              <w:bidi w:val="0"/>
              <w:spacing w:before="0" w:after="283"/>
              <w:jc w:val="left"/>
              <w:rPr>
                <w:color w:val="000000"/>
              </w:rPr>
            </w:pPr>
            <w:r>
              <w:rPr>
                <w:color w:val="000000"/>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74</w:t>
            </w:r>
          </w:p>
        </w:tc>
        <w:tc>
          <w:tcPr>
            <w:tcW w:w="112" w:type="dxa"/>
            <w:tcBorders/>
            <w:shd w:fill="CCEEFF" w:val="clear"/>
            <w:vAlign w:val="center"/>
          </w:tcPr>
          <w:p>
            <w:pPr>
              <w:pStyle w:val="TableContents"/>
              <w:bidi w:val="0"/>
              <w:spacing w:before="0" w:after="283"/>
              <w:jc w:val="left"/>
              <w:rPr>
                <w:color w:val="000000"/>
              </w:rPr>
            </w:pPr>
            <w:r>
              <w:rPr>
                <w:color w:val="000000"/>
              </w:rPr>
              <w:t> </w:t>
            </w:r>
          </w:p>
        </w:tc>
      </w:tr>
      <w:tr>
        <w:trPr/>
        <w:tc>
          <w:tcPr>
            <w:tcW w:w="224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Exercise of stock options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shd w:fill="FFFFFF" w:val="clear"/>
            <w:vAlign w:val="center"/>
          </w:tcPr>
          <w:p>
            <w:pPr>
              <w:pStyle w:val="TableContents"/>
              <w:bidi w:val="0"/>
              <w:spacing w:before="0" w:after="283"/>
              <w:jc w:val="left"/>
              <w:rPr>
                <w:color w:val="000000"/>
              </w:rPr>
            </w:pPr>
            <w:r>
              <w:rPr>
                <w:color w:val="000000"/>
              </w:rPr>
              <w:t> </w:t>
            </w:r>
          </w:p>
        </w:tc>
        <w:tc>
          <w:tcPr>
            <w:tcW w:w="65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69,012</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shd w:fill="FFFFFF" w:val="clear"/>
            <w:vAlign w:val="center"/>
          </w:tcPr>
          <w:p>
            <w:pPr>
              <w:pStyle w:val="TableContents"/>
              <w:bidi w:val="0"/>
              <w:spacing w:before="0" w:after="283"/>
              <w:jc w:val="left"/>
              <w:rPr>
                <w:color w:val="000000"/>
              </w:rPr>
            </w:pPr>
            <w:r>
              <w:rPr>
                <w:color w:val="000000"/>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shd w:fill="FFFFFF" w:val="clear"/>
            <w:vAlign w:val="center"/>
          </w:tcPr>
          <w:p>
            <w:pPr>
              <w:pStyle w:val="TableContents"/>
              <w:bidi w:val="0"/>
              <w:spacing w:before="0" w:after="283"/>
              <w:jc w:val="left"/>
              <w:rPr>
                <w:color w:val="000000"/>
              </w:rPr>
            </w:pPr>
            <w:r>
              <w:rPr>
                <w:color w:val="000000"/>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230</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224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Cashless exercise of liability classified warrants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4" w:type="dxa"/>
            <w:tcBorders/>
            <w:shd w:fill="CCEEFF" w:val="clear"/>
            <w:vAlign w:val="center"/>
          </w:tcPr>
          <w:p>
            <w:pPr>
              <w:pStyle w:val="TableContents"/>
              <w:bidi w:val="0"/>
              <w:spacing w:before="0" w:after="283"/>
              <w:jc w:val="left"/>
              <w:rPr>
                <w:color w:val="000000"/>
              </w:rPr>
            </w:pPr>
            <w:r>
              <w:rPr>
                <w:color w:val="000000"/>
              </w:rPr>
              <w:t> </w:t>
            </w:r>
          </w:p>
        </w:tc>
        <w:tc>
          <w:tcPr>
            <w:tcW w:w="65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748,029</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shd w:fill="CCEEFF" w:val="clear"/>
            <w:vAlign w:val="center"/>
          </w:tcPr>
          <w:p>
            <w:pPr>
              <w:pStyle w:val="TableContents"/>
              <w:bidi w:val="0"/>
              <w:spacing w:before="0" w:after="283"/>
              <w:jc w:val="right"/>
              <w:rPr>
                <w:color w:val="000000"/>
              </w:rPr>
            </w:pPr>
            <w:r>
              <w:rPr>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5" w:type="dxa"/>
            <w:tcBorders/>
            <w:shd w:fill="CCEEFF" w:val="clear"/>
            <w:vAlign w:val="center"/>
          </w:tcPr>
          <w:p>
            <w:pPr>
              <w:pStyle w:val="TableContents"/>
              <w:bidi w:val="0"/>
              <w:spacing w:before="0" w:after="283"/>
              <w:jc w:val="left"/>
              <w:rPr>
                <w:color w:val="000000"/>
              </w:rPr>
            </w:pPr>
            <w:r>
              <w:rPr>
                <w:color w:val="000000"/>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2,462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4" w:type="dxa"/>
            <w:tcBorders/>
            <w:shd w:fill="CCEEFF" w:val="clear"/>
            <w:vAlign w:val="center"/>
          </w:tcPr>
          <w:p>
            <w:pPr>
              <w:pStyle w:val="TableContents"/>
              <w:bidi w:val="0"/>
              <w:spacing w:before="0" w:after="283"/>
              <w:jc w:val="left"/>
              <w:rPr>
                <w:color w:val="000000"/>
              </w:rPr>
            </w:pPr>
            <w:r>
              <w:rPr>
                <w:color w:val="000000"/>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2,462</w:t>
            </w:r>
          </w:p>
        </w:tc>
        <w:tc>
          <w:tcPr>
            <w:tcW w:w="112" w:type="dxa"/>
            <w:tcBorders/>
            <w:shd w:fill="CCEEFF" w:val="clear"/>
            <w:vAlign w:val="center"/>
          </w:tcPr>
          <w:p>
            <w:pPr>
              <w:pStyle w:val="TableContents"/>
              <w:bidi w:val="0"/>
              <w:spacing w:before="0" w:after="283"/>
              <w:jc w:val="left"/>
              <w:rPr>
                <w:color w:val="000000"/>
              </w:rPr>
            </w:pPr>
            <w:r>
              <w:rPr>
                <w:color w:val="000000"/>
              </w:rPr>
              <w:t> </w:t>
            </w:r>
          </w:p>
        </w:tc>
      </w:tr>
      <w:tr>
        <w:trPr/>
        <w:tc>
          <w:tcPr>
            <w:tcW w:w="224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Shares issued for vested restricted stock units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shd w:fill="FFFFFF" w:val="clear"/>
            <w:vAlign w:val="center"/>
          </w:tcPr>
          <w:p>
            <w:pPr>
              <w:pStyle w:val="TableContents"/>
              <w:bidi w:val="0"/>
              <w:spacing w:before="0" w:after="283"/>
              <w:jc w:val="left"/>
              <w:rPr>
                <w:color w:val="000000"/>
              </w:rPr>
            </w:pPr>
            <w:r>
              <w:rPr>
                <w:color w:val="000000"/>
              </w:rPr>
              <w:t> </w:t>
            </w:r>
          </w:p>
        </w:tc>
        <w:tc>
          <w:tcPr>
            <w:tcW w:w="65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461,998</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shd w:fill="FFFFFF" w:val="clear"/>
            <w:vAlign w:val="center"/>
          </w:tcPr>
          <w:p>
            <w:pPr>
              <w:pStyle w:val="TableContents"/>
              <w:bidi w:val="0"/>
              <w:spacing w:before="0" w:after="283"/>
              <w:jc w:val="left"/>
              <w:rPr>
                <w:color w:val="000000"/>
              </w:rPr>
            </w:pPr>
            <w:r>
              <w:rPr>
                <w:color w:val="000000"/>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shd w:fill="FFFFFF" w:val="clear"/>
            <w:vAlign w:val="center"/>
          </w:tcPr>
          <w:p>
            <w:pPr>
              <w:pStyle w:val="TableContents"/>
              <w:bidi w:val="0"/>
              <w:spacing w:before="0" w:after="283"/>
              <w:jc w:val="left"/>
              <w:rPr>
                <w:color w:val="000000"/>
              </w:rPr>
            </w:pPr>
            <w:r>
              <w:rPr>
                <w:color w:val="000000"/>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224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Stock compensation expense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0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4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954</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954</w:t>
            </w:r>
          </w:p>
        </w:tc>
        <w:tc>
          <w:tcPr>
            <w:tcW w:w="112" w:type="dxa"/>
            <w:tcBorders/>
            <w:shd w:fill="CCEEFF" w:val="clear"/>
            <w:vAlign w:val="center"/>
          </w:tcPr>
          <w:p>
            <w:pPr>
              <w:pStyle w:val="TableContents"/>
              <w:bidi w:val="0"/>
              <w:spacing w:before="0" w:after="283"/>
              <w:jc w:val="left"/>
              <w:rPr>
                <w:color w:val="000000"/>
              </w:rPr>
            </w:pPr>
            <w:r>
              <w:rPr>
                <w:color w:val="000000"/>
              </w:rPr>
              <w:t> </w:t>
            </w:r>
          </w:p>
        </w:tc>
      </w:tr>
      <w:tr>
        <w:trPr/>
        <w:tc>
          <w:tcPr>
            <w:tcW w:w="2242"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Balance - June 30, 2023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58,504,541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66,148</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(33,941</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32,213</w:t>
            </w:r>
          </w:p>
        </w:tc>
        <w:tc>
          <w:tcPr>
            <w:tcW w:w="112" w:type="dxa"/>
            <w:tcBorders/>
            <w:shd w:fill="FFFFFF" w:val="clear"/>
            <w:vAlign w:val="center"/>
          </w:tcPr>
          <w:p>
            <w:pPr>
              <w:pStyle w:val="TableContents"/>
              <w:bidi w:val="0"/>
              <w:spacing w:before="0" w:after="283"/>
              <w:jc w:val="left"/>
              <w:rPr>
                <w:color w:val="000000"/>
              </w:rPr>
            </w:pPr>
            <w:r>
              <w:rPr>
                <w:color w:val="000000"/>
              </w:rPr>
              <w:t> </w:t>
            </w:r>
          </w:p>
        </w:tc>
      </w:tr>
      <w:tr>
        <w:trPr/>
        <w:tc>
          <w:tcPr>
            <w:tcW w:w="2242" w:type="dxa"/>
            <w:tcBorders/>
            <w:shd w:fill="FFFFFF" w:val="clear"/>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 xml:space="preserve">Balance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58,504,541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66,148</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(33,941</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32,213</w:t>
            </w:r>
          </w:p>
        </w:tc>
        <w:tc>
          <w:tcPr>
            <w:tcW w:w="112"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bookmarkStart w:id="35" w:name="cr_003"/>
      <w:bookmarkEnd w:id="35"/>
      <w:r>
        <w:rPr>
          <w:rFonts w:ascii="Times New Roman;Times;Serif" w:hAnsi="Times New Roman;Times;Serif"/>
          <w:b/>
          <w:i w:val="false"/>
          <w:caps/>
          <w:color w:val="000000"/>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 xml:space="preserve">For the SIX Months Ended June 30, 2023 and 2022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6680" w:type="dxa"/>
        <w:jc w:val="left"/>
        <w:tblInd w:w="0" w:type="dxa"/>
        <w:tblLayout w:type="fixed"/>
        <w:tblCellMar>
          <w:top w:w="0" w:type="dxa"/>
          <w:left w:w="0" w:type="dxa"/>
          <w:bottom w:w="0" w:type="dxa"/>
          <w:right w:w="0" w:type="dxa"/>
        </w:tblCellMar>
      </w:tblPr>
      <w:tblGrid>
        <w:gridCol w:w="4565"/>
        <w:gridCol w:w="60"/>
        <w:gridCol w:w="140"/>
        <w:gridCol w:w="755"/>
        <w:gridCol w:w="95"/>
        <w:gridCol w:w="60"/>
        <w:gridCol w:w="140"/>
        <w:gridCol w:w="755"/>
        <w:gridCol w:w="110"/>
      </w:tblGrid>
      <w:tr>
        <w:trPr/>
        <w:tc>
          <w:tcPr>
            <w:tcW w:w="456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2022</w:t>
            </w:r>
          </w:p>
        </w:tc>
        <w:tc>
          <w:tcPr>
            <w:tcW w:w="110" w:type="dxa"/>
            <w:tcBorders/>
            <w:vAlign w:val="center"/>
          </w:tcPr>
          <w:p>
            <w:pPr>
              <w:pStyle w:val="TableContents"/>
              <w:bidi w:val="0"/>
              <w:spacing w:before="0" w:after="283"/>
              <w:jc w:val="left"/>
              <w:rPr>
                <w:color w:val="000000"/>
              </w:rPr>
            </w:pPr>
            <w:r>
              <w:rPr>
                <w:color w:val="000000"/>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Cash flows from Operating Activities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Loss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(6,808</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(3,767</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Adjustments to Reconcile Net Loss to Net Cash</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Used in Operating Activities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Stock based compensation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5,441</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719</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Amortization of debt discount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620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1,196</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Change in fair market value of warrant liability</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(19,327</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Deferred tax liability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(819</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Non-cash interest expense (Paid-in Kind)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2,510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Provision for doubtful accounts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93</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Depreciation and amortization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593</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389</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Loss on disposal of property and equipment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116</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62</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Changes in Assets and Liabilities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Accounts receivable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(821</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(3,876</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Inventories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5,648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(15,141</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Prepaid expenses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425</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(1,236</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Prepaid inventory</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(940</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4,308</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Other current assets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28</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(1,962</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Other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601</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551</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Income taxes payable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(973</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Accounts payable and accrued expenses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6,272</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820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Customer deposits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(86</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(183</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 Adjustments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1,169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(16,145</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Cash Used in Operating Activities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(5,639</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(19,912</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56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Cash Flows from Investing Activities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Purchase of property and equipment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(2,571</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(4,819</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Cash Used in Investing Activities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(2,571</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(4,819</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Unaudited Condensed Consolidated Statements of Cash Flows (Continued)</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 xml:space="preserve">For the Six Months Ended June 30, 2023 and 2022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7100" w:type="dxa"/>
        <w:jc w:val="left"/>
        <w:tblInd w:w="0" w:type="dxa"/>
        <w:tblLayout w:type="fixed"/>
        <w:tblCellMar>
          <w:top w:w="0" w:type="dxa"/>
          <w:left w:w="0" w:type="dxa"/>
          <w:bottom w:w="0" w:type="dxa"/>
          <w:right w:w="0" w:type="dxa"/>
        </w:tblCellMar>
      </w:tblPr>
      <w:tblGrid>
        <w:gridCol w:w="5060"/>
        <w:gridCol w:w="60"/>
        <w:gridCol w:w="140"/>
        <w:gridCol w:w="680"/>
        <w:gridCol w:w="95"/>
        <w:gridCol w:w="60"/>
        <w:gridCol w:w="140"/>
        <w:gridCol w:w="755"/>
        <w:gridCol w:w="110"/>
      </w:tblGrid>
      <w:tr>
        <w:trPr/>
        <w:tc>
          <w:tcPr>
            <w:tcW w:w="5060"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(continued from previous page)</w:t>
            </w:r>
          </w:p>
        </w:tc>
        <w:tc>
          <w:tcPr>
            <w:tcW w:w="60" w:type="dxa"/>
            <w:tcBorders/>
            <w:vAlign w:val="center"/>
          </w:tcPr>
          <w:p>
            <w:pPr>
              <w:pStyle w:val="TableContents"/>
              <w:bidi w:val="0"/>
              <w:spacing w:before="0" w:after="283"/>
              <w:jc w:val="left"/>
              <w:rPr>
                <w:color w:val="000000"/>
              </w:rPr>
            </w:pPr>
            <w:r>
              <w:rPr>
                <w:color w:val="000000"/>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2023</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2022</w:t>
            </w:r>
          </w:p>
        </w:tc>
        <w:tc>
          <w:tcPr>
            <w:tcW w:w="110" w:type="dxa"/>
            <w:tcBorders/>
            <w:vAlign w:val="center"/>
          </w:tcPr>
          <w:p>
            <w:pPr>
              <w:pStyle w:val="TableContents"/>
              <w:bidi w:val="0"/>
              <w:spacing w:before="0" w:after="283"/>
              <w:jc w:val="left"/>
              <w:rPr>
                <w:color w:val="000000"/>
              </w:rPr>
            </w:pPr>
            <w:r>
              <w:rPr>
                <w:color w:val="000000"/>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Cash Flows from Financing Activities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Proceeds from public offering, net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22,002</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Payment of offering costs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(362</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5060" w:type="dxa"/>
            <w:tcBorders/>
            <w:shd w:fill="FFFFFF" w:val="clear"/>
            <w:vAlign w:val="center"/>
          </w:tcPr>
          <w:p>
            <w:pPr>
              <w:pStyle w:val="TableContents"/>
              <w:bidi w:val="0"/>
              <w:spacing w:before="0" w:after="283"/>
              <w:jc w:val="left"/>
              <w:rPr>
                <w:color w:val="000000"/>
              </w:rPr>
            </w:pPr>
            <w:r>
              <w:rPr>
                <w:color w:val="000000"/>
              </w:rPr>
              <w:t>Proceeds from public offering (ATM), net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671</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5060" w:type="dxa"/>
            <w:tcBorders/>
            <w:shd w:fill="CCEEFF" w:val="clear"/>
            <w:vAlign w:val="center"/>
          </w:tcPr>
          <w:p>
            <w:pPr>
              <w:pStyle w:val="TableContents"/>
              <w:bidi w:val="0"/>
              <w:spacing w:before="0" w:after="283"/>
              <w:jc w:val="left"/>
              <w:rPr>
                <w:color w:val="000000"/>
              </w:rPr>
            </w:pPr>
            <w:r>
              <w:rPr>
                <w:color w:val="000000"/>
              </w:rPr>
              <w:t>Proceeds from note payable, related party</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1,000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color w:val="000000"/>
              </w:rPr>
            </w:pPr>
            <w:r>
              <w:rPr>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Repayment of note payable, related party</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(1,000</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Proceeds from exercise of public warrants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747</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Proceeds from exercise of options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323</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200</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Cash Provided by Financing Activities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23,381</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50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Net Increase (Decrease) in Cash</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15,171</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(24,531</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Beginning cash</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17,781</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28,630</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Ending cash</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32,952</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4,099</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50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Supplemental Disclosures of Cash Flow Information: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Cash paid for income taxes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237</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Cash paid for interest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4,361</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1,254</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Supplemental Non-Cash Items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6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color w:val="000000"/>
              </w:rPr>
            </w:pPr>
            <w:r>
              <w:rPr>
                <w:color w:val="000000"/>
              </w:rPr>
              <w:t> </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Receivable of options exercised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Purchases of property and equipment, not yet paid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3,583</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Cashless exercise of liability classified warrants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12,628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bookmarkStart w:id="36" w:name="a_007"/>
      <w:bookmarkEnd w:id="36"/>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1 - NATURE OF BUSINESS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Dragonfly Energy Holdings Corp. (“New Dragonfly” or the “Company”)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October 7, 2022, a merger transaction between Chardan NexTech Acquisition 2 Corporation (“CNTQ”), Dragonfly Energy Corp. (“Legacy Dragonfly”), and Bronco Merger Sub, Inc. (“Merger Sub”) was completed pursuant to which Merger Sub was merged with and into Legacy Dragonfly, with Legacy Dragonfly surviving the merger. As a result of the merger, Legacy Dragonfly became a wholly owned subsidiary of New Dragonfly.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Although New Dragonfly was the legal acquirer of Legacy Dragonfly in the merger, Legacy Dragonfly was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Furthermore, the historical financial statements of Legacy Dragonfly became the historical financial statements of the Company upon the consummation of the merger. As a result, the financial statements included in this Quarterly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2 – SUMMARY OF SIGNIFICANT ACCOUNTING POLICIES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Principles of consolidation</w:t>
      </w:r>
    </w:p>
    <w:p>
      <w:pPr>
        <w:pStyle w:val="TextBody"/>
        <w:bidi w:val="0"/>
        <w:spacing w:before="0" w:after="0"/>
        <w:ind w:left="0" w:right="0" w:hanging="0"/>
        <w:jc w:val="both"/>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accompanying consolidated financial statements and related notes have been prepared in accordance with accounting principles generally accepted in the United States of America (“U.S. GAAP”) and present the consolidated financial statements of the Company and its wholly owned subsidiary. All significant intercompany transactions and balances are eliminated in consolidation.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Basis of presentation</w:t>
      </w:r>
    </w:p>
    <w:p>
      <w:pPr>
        <w:pStyle w:val="TextBody"/>
        <w:bidi w:val="0"/>
        <w:spacing w:before="0" w:after="0"/>
        <w:ind w:left="0" w:right="0" w:hanging="0"/>
        <w:jc w:val="left"/>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 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condensed and consolidated financial statements should be read along with the Annual Report filed of the Company for the annual period ended December 31, 2022. The consolidated balance sheet as of December 31, 2022 was derived from the audited consolidated financial statements as of and for the year then ended.</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120" w:after="283"/>
        <w:jc w:val="left"/>
        <w:rPr/>
      </w:pPr>
      <w:r>
        <w:rPr/>
        <w:t> </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both"/>
        <w:rPr>
          <w:caps/>
          <w:color w:val="000000"/>
        </w:rPr>
      </w:pPr>
      <w:r>
        <w:rPr>
          <w:caps/>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Going Concern</w:t>
      </w:r>
    </w:p>
    <w:p>
      <w:pPr>
        <w:pStyle w:val="TextBody"/>
        <w:bidi w:val="0"/>
        <w:spacing w:before="0" w:after="0"/>
        <w:ind w:left="0" w:right="0" w:hanging="0"/>
        <w:jc w:val="left"/>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the six months ended June 30, 2023 and 2022, the Company incurred loss from operations and had negative cash flow from operations. As of June 30, 2023, the Company had $32,952 in cash and working capital of $30,592. The Company’s ability to achieve profitability and positive cash flow depends on its ability to increase revenue, contain its expenses and maintain compliance with the financial covenants in its outstanding indebtedness agreements.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connection with the Company’s senior secured term loan facility in an aggregate principal amount of $75,000 (the “Term Loan”), the Company is obligated to comply with certain financial covenants, which include maintaining a maximum senior leverage ratio, minimum liquidity, a springing fixed charge coverage ratio, and maximum capital expenditures (See Note 6).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While the Company was in compliance with its covenants for the quarter ended June 30,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addition, the Company may need to raise additional debt and/or equity financings to fund our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Recently adopted accounting standards: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2016, the Financial Accounting Standards Board (“FASB”) issued Accounting Standards Update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 or financial statement disclosures.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Recently issued accounting pronouncements:</w:t>
      </w:r>
    </w:p>
    <w:p>
      <w:pPr>
        <w:pStyle w:val="TextBody"/>
        <w:bidi w:val="0"/>
        <w:spacing w:before="0" w:after="0"/>
        <w:ind w:left="0" w:right="0" w:hanging="0"/>
        <w:jc w:val="left"/>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There were no recently adopted accounting standards that had a material impact on the Company’s financial statements. There were no recently issued accounting standards not yet adopted which would have a material effect on the Company’s financial statements.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120" w:after="283"/>
        <w:jc w:val="left"/>
        <w:rPr/>
      </w:pPr>
      <w:r>
        <w:rPr/>
        <w:t> </w:t>
      </w:r>
    </w:p>
    <w:p>
      <w:pPr>
        <w:pStyle w:val="TextBody"/>
        <w:bidi w:val="0"/>
        <w:spacing w:before="0" w:after="0"/>
        <w:ind w:left="0" w:right="0" w:hanging="0"/>
        <w:jc w:val="center"/>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2 – Summary of Significant Accounting Policies (continued)</w:t>
      </w:r>
    </w:p>
    <w:p>
      <w:pPr>
        <w:pStyle w:val="TextBody"/>
        <w:bidi w:val="0"/>
        <w:spacing w:before="0" w:after="0"/>
        <w:ind w:left="0" w:right="0" w:hanging="0"/>
        <w:jc w:val="both"/>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Accounts Receivable</w:t>
      </w:r>
    </w:p>
    <w:p>
      <w:pPr>
        <w:pStyle w:val="TextBody"/>
        <w:bidi w:val="0"/>
        <w:spacing w:before="0" w:after="0"/>
        <w:ind w:left="0" w:right="0" w:hanging="0"/>
        <w:jc w:val="both"/>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Company’s trade receivables are recorded when billed and represent claims against third parties that will be settled in cash. Generally, payment is due from customers within 30 – 90 days of the invoice date and the contracts do not have significant financing components. Trade accounts receivables are recorded gross and are net of any applicable allowance. The Company has an allowance for doubtful accounts as of June 30, 2023 and December 31, 2022 of $131 and $90,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Inventory</w:t>
      </w:r>
    </w:p>
    <w:p>
      <w:pPr>
        <w:pStyle w:val="TextBody"/>
        <w:bidi w:val="0"/>
        <w:spacing w:before="0" w:after="0"/>
        <w:ind w:left="0" w:right="0" w:hanging="0"/>
        <w:jc w:val="left"/>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Inventories (Note 4),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 reserves. Inventory that is in excess of current and projected use is reduced by an allowance to a level that approximates its estimate of future demand. Products that are determined to be obsolete are written down to net realizable value. As of June 30, 2023 and December 31, 2022, no such reserves were necessary.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Property and Equipment</w:t>
      </w:r>
    </w:p>
    <w:p>
      <w:pPr>
        <w:pStyle w:val="TextBody"/>
        <w:bidi w:val="0"/>
        <w:spacing w:before="0" w:after="0"/>
        <w:ind w:left="0" w:right="0" w:hanging="0"/>
        <w:jc w:val="both"/>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six months ended June 30, 2023 and 2022 was $593 and $389, respectively. Depreciation expense for the three months ended June 30, 2023 and 2022 was $296 and $197, respectively. The various classes of property and equipment and estimated useful lives are as follows: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SCHEDULE OF VARIOUS CLASSES OF PROPERTY AND EQUIPMENT AND ESTIMATED USEFUL LIVES</w:t>
      </w:r>
    </w:p>
    <w:tbl>
      <w:tblPr>
        <w:tblW w:w="4660" w:type="dxa"/>
        <w:jc w:val="left"/>
        <w:tblInd w:w="0" w:type="dxa"/>
        <w:tblLayout w:type="fixed"/>
        <w:tblCellMar>
          <w:top w:w="0" w:type="dxa"/>
          <w:left w:w="0" w:type="dxa"/>
          <w:bottom w:w="0" w:type="dxa"/>
          <w:right w:w="0" w:type="dxa"/>
        </w:tblCellMar>
      </w:tblPr>
      <w:tblGrid>
        <w:gridCol w:w="2540"/>
        <w:gridCol w:w="2120"/>
      </w:tblGrid>
      <w:tr>
        <w:trPr/>
        <w:tc>
          <w:tcPr>
            <w:tcW w:w="254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Office furniture and equipment</w:t>
            </w:r>
          </w:p>
        </w:tc>
        <w:tc>
          <w:tcPr>
            <w:tcW w:w="21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 to 7 years</w:t>
            </w:r>
          </w:p>
        </w:tc>
      </w:tr>
      <w:tr>
        <w:trPr/>
        <w:tc>
          <w:tcPr>
            <w:tcW w:w="254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Vehicles</w:t>
            </w:r>
          </w:p>
        </w:tc>
        <w:tc>
          <w:tcPr>
            <w:tcW w:w="21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 years</w:t>
            </w:r>
          </w:p>
        </w:tc>
      </w:tr>
      <w:tr>
        <w:trPr/>
        <w:tc>
          <w:tcPr>
            <w:tcW w:w="254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Machinery and equipment</w:t>
            </w:r>
          </w:p>
        </w:tc>
        <w:tc>
          <w:tcPr>
            <w:tcW w:w="21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 to 7 years</w:t>
            </w:r>
          </w:p>
        </w:tc>
      </w:tr>
      <w:tr>
        <w:trPr/>
        <w:tc>
          <w:tcPr>
            <w:tcW w:w="254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Leasehold improvements</w:t>
            </w:r>
          </w:p>
        </w:tc>
        <w:tc>
          <w:tcPr>
            <w:tcW w:w="21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Remaining Term of Lease</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Use of Estimates</w:t>
      </w:r>
    </w:p>
    <w:p>
      <w:pPr>
        <w:pStyle w:val="TextBody"/>
        <w:bidi w:val="0"/>
        <w:spacing w:before="0" w:after="0"/>
        <w:ind w:left="0" w:right="0" w:hanging="0"/>
        <w:jc w:val="both"/>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Warrants</w:t>
      </w:r>
    </w:p>
    <w:p>
      <w:pPr>
        <w:pStyle w:val="TextBody"/>
        <w:bidi w:val="0"/>
        <w:spacing w:before="0" w:after="0"/>
        <w:ind w:left="0" w:right="0" w:hanging="0"/>
        <w:jc w:val="both"/>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Accounting Standards Codification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pStyle w:val="TextBody"/>
        <w:bidi w:val="0"/>
        <w:spacing w:before="0" w:after="0"/>
        <w:ind w:left="0" w:right="0" w:hanging="0"/>
        <w:jc w:val="center"/>
        <w:rPr>
          <w:caps/>
          <w:color w:val="000000"/>
        </w:rPr>
      </w:pPr>
      <w:r>
        <w:rPr>
          <w:caps/>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120" w:after="283"/>
        <w:jc w:val="left"/>
        <w:rPr/>
      </w:pPr>
      <w:r>
        <w:rPr/>
        <w:t> </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2 – Summary of Significant Accounting Policies (continued)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Revenue Recognition</w:t>
      </w:r>
    </w:p>
    <w:p>
      <w:pPr>
        <w:pStyle w:val="TextBody"/>
        <w:bidi w:val="0"/>
        <w:spacing w:before="0" w:after="0"/>
        <w:ind w:left="0" w:right="0" w:hanging="0"/>
        <w:jc w:val="both"/>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may receive payments at the onset of the contract before delivery of goods for customers in the retail channel. Payment terms for distributors and OEMs are typically due within 30-90 days after shipment. In such instances, the Company records a customer deposit liability. The Company recognizes these contract liabilities as sales after the revenue criteria are met. As of June 30, 2023 and December 31, 2022, the contract liability related to the Company’s customer deposits approximated $152 and $238, respectively. The Company recognized $221 of the contract liability pertaining to the year ended December 31, 2022 during the six months ended June 30, 2023. The entire contract liability balance of $434 as of January 1, 2022 was recognized as revenue during the six months ended June 30, 2022.</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Disaggregation of Revenue</w:t>
      </w:r>
    </w:p>
    <w:p>
      <w:pPr>
        <w:pStyle w:val="TextBody"/>
        <w:bidi w:val="0"/>
        <w:spacing w:before="0" w:after="0"/>
        <w:ind w:left="0" w:right="0" w:hanging="0"/>
        <w:jc w:val="both"/>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table present our disaggregated revenues by distribution channel:</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SCHEDULE OF DISAGGREGATED REVENUES BY DISTRIBUTION CHANNEL</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2985"/>
        <w:gridCol w:w="60"/>
        <w:gridCol w:w="286"/>
        <w:gridCol w:w="1389"/>
        <w:gridCol w:w="122"/>
        <w:gridCol w:w="122"/>
        <w:gridCol w:w="286"/>
        <w:gridCol w:w="1389"/>
        <w:gridCol w:w="60"/>
        <w:gridCol w:w="60"/>
        <w:gridCol w:w="268"/>
        <w:gridCol w:w="1301"/>
        <w:gridCol w:w="114"/>
        <w:gridCol w:w="114"/>
        <w:gridCol w:w="268"/>
        <w:gridCol w:w="1301"/>
        <w:gridCol w:w="80"/>
      </w:tblGrid>
      <w:tr>
        <w:trPr/>
        <w:tc>
          <w:tcPr>
            <w:tcW w:w="298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Sales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8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389"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2023</w:t>
            </w:r>
          </w:p>
        </w:tc>
        <w:tc>
          <w:tcPr>
            <w:tcW w:w="122" w:type="dxa"/>
            <w:tcBorders/>
            <w:shd w:fill="FFFFFF" w:val="clear"/>
            <w:vAlign w:val="center"/>
          </w:tcPr>
          <w:p>
            <w:pPr>
              <w:pStyle w:val="TableContents"/>
              <w:bidi w:val="0"/>
              <w:spacing w:before="0" w:after="283"/>
              <w:jc w:val="left"/>
              <w:rPr>
                <w:color w:val="000000"/>
              </w:rPr>
            </w:pPr>
            <w:r>
              <w:rPr>
                <w:color w:val="000000"/>
              </w:rPr>
              <w:t> </w:t>
            </w:r>
          </w:p>
        </w:tc>
        <w:tc>
          <w:tcPr>
            <w:tcW w:w="122" w:type="dxa"/>
            <w:tcBorders/>
            <w:shd w:fill="FFFFFF" w:val="clear"/>
            <w:vAlign w:val="center"/>
          </w:tcPr>
          <w:p>
            <w:pPr>
              <w:pStyle w:val="TableContents"/>
              <w:bidi w:val="0"/>
              <w:spacing w:before="0" w:after="283"/>
              <w:jc w:val="left"/>
              <w:rPr>
                <w:color w:val="000000"/>
              </w:rPr>
            </w:pPr>
            <w:r>
              <w:rPr>
                <w:color w:val="000000"/>
              </w:rPr>
              <w:t> </w:t>
            </w:r>
          </w:p>
        </w:tc>
        <w:tc>
          <w:tcPr>
            <w:tcW w:w="28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389"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2022</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68"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301"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2023</w:t>
            </w:r>
          </w:p>
        </w:tc>
        <w:tc>
          <w:tcPr>
            <w:tcW w:w="114" w:type="dxa"/>
            <w:tcBorders/>
            <w:shd w:fill="FFFFFF" w:val="clear"/>
            <w:vAlign w:val="center"/>
          </w:tcPr>
          <w:p>
            <w:pPr>
              <w:pStyle w:val="TableContents"/>
              <w:bidi w:val="0"/>
              <w:spacing w:before="0" w:after="283"/>
              <w:jc w:val="left"/>
              <w:rPr>
                <w:color w:val="000000"/>
              </w:rPr>
            </w:pPr>
            <w:r>
              <w:rPr>
                <w:color w:val="000000"/>
              </w:rPr>
              <w:t> </w:t>
            </w:r>
          </w:p>
        </w:tc>
        <w:tc>
          <w:tcPr>
            <w:tcW w:w="114" w:type="dxa"/>
            <w:tcBorders/>
            <w:shd w:fill="FFFFFF" w:val="clear"/>
            <w:vAlign w:val="center"/>
          </w:tcPr>
          <w:p>
            <w:pPr>
              <w:pStyle w:val="TableContents"/>
              <w:bidi w:val="0"/>
              <w:spacing w:before="0" w:after="283"/>
              <w:jc w:val="left"/>
              <w:rPr>
                <w:color w:val="000000"/>
              </w:rPr>
            </w:pPr>
            <w:r>
              <w:rPr>
                <w:color w:val="000000"/>
              </w:rPr>
              <w:t> </w:t>
            </w:r>
          </w:p>
        </w:tc>
        <w:tc>
          <w:tcPr>
            <w:tcW w:w="268"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301"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2022</w:t>
            </w:r>
          </w:p>
        </w:tc>
        <w:tc>
          <w:tcPr>
            <w:tcW w:w="80" w:type="dxa"/>
            <w:tcBorders/>
            <w:shd w:fill="FFFFFF" w:val="clear"/>
            <w:vAlign w:val="center"/>
          </w:tcPr>
          <w:p>
            <w:pPr>
              <w:pStyle w:val="TableContents"/>
              <w:bidi w:val="0"/>
              <w:spacing w:before="0" w:after="283"/>
              <w:jc w:val="left"/>
              <w:rPr>
                <w:color w:val="000000"/>
              </w:rPr>
            </w:pPr>
            <w:r>
              <w:rPr>
                <w:color w:val="000000"/>
              </w:rPr>
              <w:t> </w:t>
            </w:r>
          </w:p>
        </w:tc>
      </w:tr>
      <w:tr>
        <w:trPr/>
        <w:tc>
          <w:tcPr>
            <w:tcW w:w="298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359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For The Three Months Ended June 30,</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336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For The Six Months Ended June 30,</w:t>
            </w:r>
          </w:p>
        </w:tc>
        <w:tc>
          <w:tcPr>
            <w:tcW w:w="80" w:type="dxa"/>
            <w:tcBorders/>
            <w:vAlign w:val="center"/>
          </w:tcPr>
          <w:p>
            <w:pPr>
              <w:pStyle w:val="TableContents"/>
              <w:bidi w:val="0"/>
              <w:spacing w:before="0" w:after="283"/>
              <w:jc w:val="left"/>
              <w:rPr>
                <w:color w:val="000000"/>
              </w:rPr>
            </w:pPr>
            <w:r>
              <w:rPr>
                <w:color w:val="000000"/>
              </w:rPr>
              <w:t> </w:t>
            </w:r>
          </w:p>
        </w:tc>
      </w:tr>
      <w:tr>
        <w:trPr/>
        <w:tc>
          <w:tcPr>
            <w:tcW w:w="298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Sales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8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389"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2023</w:t>
            </w:r>
          </w:p>
        </w:tc>
        <w:tc>
          <w:tcPr>
            <w:tcW w:w="122" w:type="dxa"/>
            <w:tcBorders/>
            <w:shd w:fill="FFFFFF" w:val="clear"/>
            <w:vAlign w:val="center"/>
          </w:tcPr>
          <w:p>
            <w:pPr>
              <w:pStyle w:val="TableContents"/>
              <w:bidi w:val="0"/>
              <w:spacing w:before="0" w:after="283"/>
              <w:jc w:val="left"/>
              <w:rPr>
                <w:color w:val="000000"/>
              </w:rPr>
            </w:pPr>
            <w:r>
              <w:rPr>
                <w:color w:val="000000"/>
              </w:rPr>
              <w:t> </w:t>
            </w:r>
          </w:p>
        </w:tc>
        <w:tc>
          <w:tcPr>
            <w:tcW w:w="122" w:type="dxa"/>
            <w:tcBorders/>
            <w:shd w:fill="FFFFFF" w:val="clear"/>
            <w:vAlign w:val="center"/>
          </w:tcPr>
          <w:p>
            <w:pPr>
              <w:pStyle w:val="TableContents"/>
              <w:bidi w:val="0"/>
              <w:spacing w:before="0" w:after="283"/>
              <w:jc w:val="left"/>
              <w:rPr>
                <w:color w:val="000000"/>
              </w:rPr>
            </w:pPr>
            <w:r>
              <w:rPr>
                <w:color w:val="000000"/>
              </w:rPr>
              <w:t> </w:t>
            </w:r>
          </w:p>
        </w:tc>
        <w:tc>
          <w:tcPr>
            <w:tcW w:w="28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389"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2022</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68"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301"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2023</w:t>
            </w:r>
          </w:p>
        </w:tc>
        <w:tc>
          <w:tcPr>
            <w:tcW w:w="114" w:type="dxa"/>
            <w:tcBorders/>
            <w:shd w:fill="FFFFFF" w:val="clear"/>
            <w:vAlign w:val="center"/>
          </w:tcPr>
          <w:p>
            <w:pPr>
              <w:pStyle w:val="TableContents"/>
              <w:bidi w:val="0"/>
              <w:spacing w:before="0" w:after="283"/>
              <w:jc w:val="left"/>
              <w:rPr>
                <w:color w:val="000000"/>
              </w:rPr>
            </w:pPr>
            <w:r>
              <w:rPr>
                <w:color w:val="000000"/>
              </w:rPr>
              <w:t> </w:t>
            </w:r>
          </w:p>
        </w:tc>
        <w:tc>
          <w:tcPr>
            <w:tcW w:w="114" w:type="dxa"/>
            <w:tcBorders/>
            <w:shd w:fill="FFFFFF" w:val="clear"/>
            <w:vAlign w:val="center"/>
          </w:tcPr>
          <w:p>
            <w:pPr>
              <w:pStyle w:val="TableContents"/>
              <w:bidi w:val="0"/>
              <w:spacing w:before="0" w:after="283"/>
              <w:jc w:val="left"/>
              <w:rPr>
                <w:color w:val="000000"/>
              </w:rPr>
            </w:pPr>
            <w:r>
              <w:rPr>
                <w:color w:val="000000"/>
              </w:rPr>
              <w:t> </w:t>
            </w:r>
          </w:p>
        </w:tc>
        <w:tc>
          <w:tcPr>
            <w:tcW w:w="268"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301"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2022</w:t>
            </w:r>
          </w:p>
        </w:tc>
        <w:tc>
          <w:tcPr>
            <w:tcW w:w="80" w:type="dxa"/>
            <w:tcBorders/>
            <w:shd w:fill="FFFFFF" w:val="clear"/>
            <w:vAlign w:val="center"/>
          </w:tcPr>
          <w:p>
            <w:pPr>
              <w:pStyle w:val="TableContents"/>
              <w:bidi w:val="0"/>
              <w:spacing w:before="0" w:after="283"/>
              <w:jc w:val="left"/>
              <w:rPr>
                <w:color w:val="000000"/>
              </w:rPr>
            </w:pPr>
            <w:r>
              <w:rPr>
                <w:color w:val="000000"/>
              </w:rPr>
              <w:t> </w:t>
            </w:r>
          </w:p>
        </w:tc>
      </w:tr>
      <w:tr>
        <w:trPr/>
        <w:tc>
          <w:tcPr>
            <w:tcW w:w="298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Retail</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86" w:type="dxa"/>
            <w:tcBorders/>
            <w:shd w:fill="CCEEFF" w:val="clear"/>
            <w:vAlign w:val="center"/>
          </w:tcPr>
          <w:p>
            <w:pPr>
              <w:pStyle w:val="TableContents"/>
              <w:bidi w:val="0"/>
              <w:spacing w:before="0" w:after="283"/>
              <w:jc w:val="left"/>
              <w:rPr>
                <w:color w:val="000000"/>
              </w:rPr>
            </w:pPr>
            <w:r>
              <w:rPr>
                <w:color w:val="000000"/>
              </w:rPr>
              <w:t> </w:t>
            </w:r>
          </w:p>
        </w:tc>
        <w:tc>
          <w:tcPr>
            <w:tcW w:w="1389"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5,829</w:t>
            </w:r>
          </w:p>
        </w:tc>
        <w:tc>
          <w:tcPr>
            <w:tcW w:w="122" w:type="dxa"/>
            <w:tcBorders/>
            <w:shd w:fill="CCEEFF" w:val="clear"/>
            <w:vAlign w:val="center"/>
          </w:tcPr>
          <w:p>
            <w:pPr>
              <w:pStyle w:val="TableContents"/>
              <w:bidi w:val="0"/>
              <w:spacing w:before="0" w:after="283"/>
              <w:jc w:val="left"/>
              <w:rPr>
                <w:color w:val="000000"/>
              </w:rPr>
            </w:pPr>
            <w:r>
              <w:rPr>
                <w:color w:val="000000"/>
              </w:rPr>
              <w:t> </w:t>
            </w:r>
          </w:p>
        </w:tc>
        <w:tc>
          <w:tcPr>
            <w:tcW w:w="122" w:type="dxa"/>
            <w:tcBorders/>
            <w:shd w:fill="CCEEFF" w:val="clear"/>
            <w:vAlign w:val="center"/>
          </w:tcPr>
          <w:p>
            <w:pPr>
              <w:pStyle w:val="TableContents"/>
              <w:bidi w:val="0"/>
              <w:spacing w:before="0" w:after="283"/>
              <w:jc w:val="left"/>
              <w:rPr>
                <w:color w:val="000000"/>
              </w:rPr>
            </w:pPr>
            <w:r>
              <w:rPr>
                <w:color w:val="000000"/>
              </w:rPr>
              <w:t> </w:t>
            </w:r>
          </w:p>
        </w:tc>
        <w:tc>
          <w:tcPr>
            <w:tcW w:w="286" w:type="dxa"/>
            <w:tcBorders/>
            <w:shd w:fill="CCEEFF" w:val="clear"/>
            <w:vAlign w:val="center"/>
          </w:tcPr>
          <w:p>
            <w:pPr>
              <w:pStyle w:val="TableContents"/>
              <w:bidi w:val="0"/>
              <w:spacing w:before="0" w:after="283"/>
              <w:jc w:val="left"/>
              <w:rPr>
                <w:color w:val="000000"/>
              </w:rPr>
            </w:pPr>
            <w:r>
              <w:rPr>
                <w:color w:val="000000"/>
              </w:rPr>
              <w:t> </w:t>
            </w:r>
          </w:p>
        </w:tc>
        <w:tc>
          <w:tcPr>
            <w:tcW w:w="1389"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11,850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68"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30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12,898</w:t>
            </w:r>
          </w:p>
        </w:tc>
        <w:tc>
          <w:tcPr>
            <w:tcW w:w="114" w:type="dxa"/>
            <w:tcBorders/>
            <w:shd w:fill="CCEEFF" w:val="clear"/>
            <w:vAlign w:val="center"/>
          </w:tcPr>
          <w:p>
            <w:pPr>
              <w:pStyle w:val="TableContents"/>
              <w:bidi w:val="0"/>
              <w:spacing w:before="0" w:after="283"/>
              <w:jc w:val="left"/>
              <w:rPr>
                <w:color w:val="000000"/>
              </w:rPr>
            </w:pPr>
            <w:r>
              <w:rPr>
                <w:color w:val="000000"/>
              </w:rPr>
              <w:t> </w:t>
            </w:r>
          </w:p>
        </w:tc>
        <w:tc>
          <w:tcPr>
            <w:tcW w:w="114" w:type="dxa"/>
            <w:tcBorders/>
            <w:shd w:fill="CCEEFF" w:val="clear"/>
            <w:vAlign w:val="center"/>
          </w:tcPr>
          <w:p>
            <w:pPr>
              <w:pStyle w:val="TableContents"/>
              <w:bidi w:val="0"/>
              <w:spacing w:before="0" w:after="283"/>
              <w:jc w:val="left"/>
              <w:rPr>
                <w:color w:val="000000"/>
              </w:rPr>
            </w:pPr>
            <w:r>
              <w:rPr>
                <w:color w:val="000000"/>
              </w:rPr>
              <w:t> </w:t>
            </w:r>
          </w:p>
        </w:tc>
        <w:tc>
          <w:tcPr>
            <w:tcW w:w="268"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30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24,885</w:t>
            </w:r>
          </w:p>
        </w:tc>
        <w:tc>
          <w:tcPr>
            <w:tcW w:w="80" w:type="dxa"/>
            <w:tcBorders/>
            <w:shd w:fill="CCEEFF" w:val="clear"/>
            <w:vAlign w:val="center"/>
          </w:tcPr>
          <w:p>
            <w:pPr>
              <w:pStyle w:val="TableContents"/>
              <w:bidi w:val="0"/>
              <w:spacing w:before="0" w:after="283"/>
              <w:jc w:val="left"/>
              <w:rPr>
                <w:color w:val="000000"/>
              </w:rPr>
            </w:pPr>
            <w:r>
              <w:rPr>
                <w:color w:val="000000"/>
              </w:rPr>
              <w:t> </w:t>
            </w:r>
          </w:p>
        </w:tc>
      </w:tr>
      <w:tr>
        <w:trPr/>
        <w:tc>
          <w:tcPr>
            <w:tcW w:w="298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Distributor</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86" w:type="dxa"/>
            <w:tcBorders/>
            <w:shd w:fill="FFFFFF" w:val="clear"/>
            <w:vAlign w:val="center"/>
          </w:tcPr>
          <w:p>
            <w:pPr>
              <w:pStyle w:val="TableContents"/>
              <w:bidi w:val="0"/>
              <w:spacing w:before="0" w:after="283"/>
              <w:jc w:val="left"/>
              <w:rPr>
                <w:color w:val="000000"/>
              </w:rPr>
            </w:pPr>
            <w:r>
              <w:rPr>
                <w:color w:val="000000"/>
              </w:rPr>
              <w:t> </w:t>
            </w:r>
          </w:p>
        </w:tc>
        <w:tc>
          <w:tcPr>
            <w:tcW w:w="1389"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4,143</w:t>
            </w:r>
          </w:p>
        </w:tc>
        <w:tc>
          <w:tcPr>
            <w:tcW w:w="122" w:type="dxa"/>
            <w:tcBorders/>
            <w:shd w:fill="FFFFFF" w:val="clear"/>
            <w:vAlign w:val="center"/>
          </w:tcPr>
          <w:p>
            <w:pPr>
              <w:pStyle w:val="TableContents"/>
              <w:bidi w:val="0"/>
              <w:spacing w:before="0" w:after="283"/>
              <w:jc w:val="left"/>
              <w:rPr>
                <w:color w:val="000000"/>
              </w:rPr>
            </w:pPr>
            <w:r>
              <w:rPr>
                <w:color w:val="000000"/>
              </w:rPr>
              <w:t> </w:t>
            </w:r>
          </w:p>
        </w:tc>
        <w:tc>
          <w:tcPr>
            <w:tcW w:w="122" w:type="dxa"/>
            <w:tcBorders/>
            <w:shd w:fill="FFFFFF" w:val="clear"/>
            <w:vAlign w:val="center"/>
          </w:tcPr>
          <w:p>
            <w:pPr>
              <w:pStyle w:val="TableContents"/>
              <w:bidi w:val="0"/>
              <w:spacing w:before="0" w:after="283"/>
              <w:jc w:val="left"/>
              <w:rPr>
                <w:color w:val="000000"/>
              </w:rPr>
            </w:pPr>
            <w:r>
              <w:rPr>
                <w:color w:val="000000"/>
              </w:rPr>
              <w:t> </w:t>
            </w:r>
          </w:p>
        </w:tc>
        <w:tc>
          <w:tcPr>
            <w:tcW w:w="286" w:type="dxa"/>
            <w:tcBorders/>
            <w:shd w:fill="FFFFFF" w:val="clear"/>
            <w:vAlign w:val="center"/>
          </w:tcPr>
          <w:p>
            <w:pPr>
              <w:pStyle w:val="TableContents"/>
              <w:bidi w:val="0"/>
              <w:spacing w:before="0" w:after="283"/>
              <w:jc w:val="left"/>
              <w:rPr>
                <w:color w:val="000000"/>
              </w:rPr>
            </w:pPr>
            <w:r>
              <w:rPr>
                <w:color w:val="000000"/>
              </w:rPr>
              <w:t> </w:t>
            </w:r>
          </w:p>
        </w:tc>
        <w:tc>
          <w:tcPr>
            <w:tcW w:w="1389"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2,534</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68" w:type="dxa"/>
            <w:tcBorders/>
            <w:shd w:fill="FFFFFF" w:val="clear"/>
            <w:vAlign w:val="center"/>
          </w:tcPr>
          <w:p>
            <w:pPr>
              <w:pStyle w:val="TableContents"/>
              <w:bidi w:val="0"/>
              <w:spacing w:before="0" w:after="283"/>
              <w:jc w:val="left"/>
              <w:rPr>
                <w:color w:val="000000"/>
              </w:rPr>
            </w:pPr>
            <w:r>
              <w:rPr>
                <w:color w:val="000000"/>
              </w:rPr>
              <w:t> </w:t>
            </w:r>
          </w:p>
        </w:tc>
        <w:tc>
          <w:tcPr>
            <w:tcW w:w="1301"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7,111</w:t>
            </w:r>
          </w:p>
        </w:tc>
        <w:tc>
          <w:tcPr>
            <w:tcW w:w="114" w:type="dxa"/>
            <w:tcBorders/>
            <w:shd w:fill="FFFFFF" w:val="clear"/>
            <w:vAlign w:val="center"/>
          </w:tcPr>
          <w:p>
            <w:pPr>
              <w:pStyle w:val="TableContents"/>
              <w:bidi w:val="0"/>
              <w:spacing w:before="0" w:after="283"/>
              <w:jc w:val="left"/>
              <w:rPr>
                <w:color w:val="000000"/>
              </w:rPr>
            </w:pPr>
            <w:r>
              <w:rPr>
                <w:color w:val="000000"/>
              </w:rPr>
              <w:t> </w:t>
            </w:r>
          </w:p>
        </w:tc>
        <w:tc>
          <w:tcPr>
            <w:tcW w:w="114" w:type="dxa"/>
            <w:tcBorders/>
            <w:shd w:fill="FFFFFF" w:val="clear"/>
            <w:vAlign w:val="center"/>
          </w:tcPr>
          <w:p>
            <w:pPr>
              <w:pStyle w:val="TableContents"/>
              <w:bidi w:val="0"/>
              <w:spacing w:before="0" w:after="283"/>
              <w:jc w:val="left"/>
              <w:rPr>
                <w:color w:val="000000"/>
              </w:rPr>
            </w:pPr>
            <w:r>
              <w:rPr>
                <w:color w:val="000000"/>
              </w:rPr>
              <w:t> </w:t>
            </w:r>
          </w:p>
        </w:tc>
        <w:tc>
          <w:tcPr>
            <w:tcW w:w="268" w:type="dxa"/>
            <w:tcBorders/>
            <w:shd w:fill="FFFFFF" w:val="clear"/>
            <w:vAlign w:val="center"/>
          </w:tcPr>
          <w:p>
            <w:pPr>
              <w:pStyle w:val="TableContents"/>
              <w:bidi w:val="0"/>
              <w:spacing w:before="0" w:after="283"/>
              <w:jc w:val="left"/>
              <w:rPr>
                <w:color w:val="000000"/>
              </w:rPr>
            </w:pPr>
            <w:r>
              <w:rPr>
                <w:color w:val="000000"/>
              </w:rPr>
              <w:t> </w:t>
            </w:r>
          </w:p>
        </w:tc>
        <w:tc>
          <w:tcPr>
            <w:tcW w:w="1301"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4,621</w:t>
            </w:r>
          </w:p>
        </w:tc>
        <w:tc>
          <w:tcPr>
            <w:tcW w:w="80" w:type="dxa"/>
            <w:tcBorders/>
            <w:shd w:fill="FFFFFF" w:val="clear"/>
            <w:vAlign w:val="center"/>
          </w:tcPr>
          <w:p>
            <w:pPr>
              <w:pStyle w:val="TableContents"/>
              <w:bidi w:val="0"/>
              <w:spacing w:before="0" w:after="283"/>
              <w:jc w:val="left"/>
              <w:rPr>
                <w:color w:val="000000"/>
              </w:rPr>
            </w:pPr>
            <w:r>
              <w:rPr>
                <w:color w:val="000000"/>
              </w:rPr>
              <w:t> </w:t>
            </w:r>
          </w:p>
        </w:tc>
      </w:tr>
      <w:tr>
        <w:trPr/>
        <w:tc>
          <w:tcPr>
            <w:tcW w:w="298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Original equipment manufacture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86"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3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9,302</w:t>
            </w:r>
          </w:p>
        </w:tc>
        <w:tc>
          <w:tcPr>
            <w:tcW w:w="122" w:type="dxa"/>
            <w:tcBorders/>
            <w:shd w:fill="CCEEFF" w:val="clear"/>
            <w:vAlign w:val="center"/>
          </w:tcPr>
          <w:p>
            <w:pPr>
              <w:pStyle w:val="TableContents"/>
              <w:bidi w:val="0"/>
              <w:spacing w:before="0" w:after="283"/>
              <w:jc w:val="left"/>
              <w:rPr>
                <w:color w:val="000000"/>
              </w:rPr>
            </w:pPr>
            <w:r>
              <w:rPr>
                <w:color w:val="000000"/>
              </w:rPr>
              <w:t> </w:t>
            </w:r>
          </w:p>
        </w:tc>
        <w:tc>
          <w:tcPr>
            <w:tcW w:w="122" w:type="dxa"/>
            <w:tcBorders/>
            <w:shd w:fill="CCEEFF" w:val="clear"/>
            <w:vAlign w:val="center"/>
          </w:tcPr>
          <w:p>
            <w:pPr>
              <w:pStyle w:val="TableContents"/>
              <w:bidi w:val="0"/>
              <w:spacing w:before="0" w:after="283"/>
              <w:jc w:val="left"/>
              <w:rPr>
                <w:color w:val="000000"/>
              </w:rPr>
            </w:pPr>
            <w:r>
              <w:rPr>
                <w:color w:val="000000"/>
              </w:rPr>
              <w:t> </w:t>
            </w:r>
          </w:p>
        </w:tc>
        <w:tc>
          <w:tcPr>
            <w:tcW w:w="286"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3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7,238</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68"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30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18,056</w:t>
            </w:r>
          </w:p>
        </w:tc>
        <w:tc>
          <w:tcPr>
            <w:tcW w:w="114" w:type="dxa"/>
            <w:tcBorders/>
            <w:shd w:fill="CCEEFF" w:val="clear"/>
            <w:vAlign w:val="center"/>
          </w:tcPr>
          <w:p>
            <w:pPr>
              <w:pStyle w:val="TableContents"/>
              <w:bidi w:val="0"/>
              <w:spacing w:before="0" w:after="283"/>
              <w:jc w:val="left"/>
              <w:rPr>
                <w:color w:val="000000"/>
              </w:rPr>
            </w:pPr>
            <w:r>
              <w:rPr>
                <w:color w:val="000000"/>
              </w:rPr>
              <w:t> </w:t>
            </w:r>
          </w:p>
        </w:tc>
        <w:tc>
          <w:tcPr>
            <w:tcW w:w="114" w:type="dxa"/>
            <w:tcBorders/>
            <w:shd w:fill="CCEEFF" w:val="clear"/>
            <w:vAlign w:val="center"/>
          </w:tcPr>
          <w:p>
            <w:pPr>
              <w:pStyle w:val="TableContents"/>
              <w:bidi w:val="0"/>
              <w:spacing w:before="0" w:after="283"/>
              <w:jc w:val="left"/>
              <w:rPr>
                <w:color w:val="000000"/>
              </w:rPr>
            </w:pPr>
            <w:r>
              <w:rPr>
                <w:color w:val="000000"/>
              </w:rPr>
              <w:t> </w:t>
            </w:r>
          </w:p>
        </w:tc>
        <w:tc>
          <w:tcPr>
            <w:tcW w:w="268"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30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10,419</w:t>
            </w:r>
          </w:p>
        </w:tc>
        <w:tc>
          <w:tcPr>
            <w:tcW w:w="80" w:type="dxa"/>
            <w:tcBorders/>
            <w:shd w:fill="CCEEFF" w:val="clear"/>
            <w:vAlign w:val="center"/>
          </w:tcPr>
          <w:p>
            <w:pPr>
              <w:pStyle w:val="TableContents"/>
              <w:bidi w:val="0"/>
              <w:spacing w:before="0" w:after="283"/>
              <w:jc w:val="left"/>
              <w:rPr>
                <w:color w:val="000000"/>
              </w:rPr>
            </w:pPr>
            <w:r>
              <w:rPr>
                <w:color w:val="000000"/>
              </w:rPr>
              <w:t> </w:t>
            </w:r>
          </w:p>
        </w:tc>
      </w:tr>
      <w:tr>
        <w:trPr/>
        <w:tc>
          <w:tcPr>
            <w:tcW w:w="298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3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19,274</w:t>
            </w:r>
          </w:p>
        </w:tc>
        <w:tc>
          <w:tcPr>
            <w:tcW w:w="122" w:type="dxa"/>
            <w:tcBorders/>
            <w:shd w:fill="FFFFFF" w:val="clear"/>
            <w:vAlign w:val="center"/>
          </w:tcPr>
          <w:p>
            <w:pPr>
              <w:pStyle w:val="TableContents"/>
              <w:bidi w:val="0"/>
              <w:spacing w:before="0" w:after="283"/>
              <w:jc w:val="left"/>
              <w:rPr>
                <w:color w:val="000000"/>
              </w:rPr>
            </w:pPr>
            <w:r>
              <w:rPr>
                <w:color w:val="000000"/>
              </w:rPr>
              <w:t> </w:t>
            </w:r>
          </w:p>
        </w:tc>
        <w:tc>
          <w:tcPr>
            <w:tcW w:w="122" w:type="dxa"/>
            <w:tcBorders/>
            <w:shd w:fill="FFFFFF" w:val="clear"/>
            <w:vAlign w:val="center"/>
          </w:tcPr>
          <w:p>
            <w:pPr>
              <w:pStyle w:val="TableContents"/>
              <w:bidi w:val="0"/>
              <w:spacing w:before="0" w:after="283"/>
              <w:jc w:val="left"/>
              <w:rPr>
                <w:color w:val="000000"/>
              </w:rPr>
            </w:pPr>
            <w:r>
              <w:rPr>
                <w:color w:val="000000"/>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3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21,622</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3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38,065</w:t>
            </w:r>
          </w:p>
        </w:tc>
        <w:tc>
          <w:tcPr>
            <w:tcW w:w="114" w:type="dxa"/>
            <w:tcBorders/>
            <w:shd w:fill="FFFFFF" w:val="clear"/>
            <w:vAlign w:val="center"/>
          </w:tcPr>
          <w:p>
            <w:pPr>
              <w:pStyle w:val="TableContents"/>
              <w:bidi w:val="0"/>
              <w:spacing w:before="0" w:after="283"/>
              <w:jc w:val="left"/>
              <w:rPr>
                <w:color w:val="000000"/>
              </w:rPr>
            </w:pPr>
            <w:r>
              <w:rPr>
                <w:color w:val="000000"/>
              </w:rPr>
              <w:t> </w:t>
            </w:r>
          </w:p>
        </w:tc>
        <w:tc>
          <w:tcPr>
            <w:tcW w:w="114" w:type="dxa"/>
            <w:tcBorders/>
            <w:shd w:fill="FFFFFF" w:val="clear"/>
            <w:vAlign w:val="center"/>
          </w:tcPr>
          <w:p>
            <w:pPr>
              <w:pStyle w:val="TableContents"/>
              <w:bidi w:val="0"/>
              <w:spacing w:before="0" w:after="283"/>
              <w:jc w:val="left"/>
              <w:rPr>
                <w:color w:val="000000"/>
              </w:rPr>
            </w:pPr>
            <w:r>
              <w:rPr>
                <w:color w:val="000000"/>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3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39,925</w:t>
            </w:r>
          </w:p>
        </w:tc>
        <w:tc>
          <w:tcPr>
            <w:tcW w:w="80"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Shipping and Handling</w:t>
      </w:r>
    </w:p>
    <w:p>
      <w:pPr>
        <w:pStyle w:val="TextBody"/>
        <w:bidi w:val="0"/>
        <w:spacing w:before="0" w:after="0"/>
        <w:ind w:left="0" w:right="0" w:hanging="0"/>
        <w:jc w:val="left"/>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$1,958 and $2,534 for the six months ended June 30, 2023 and 2022, respectively. Shipping and handling costs associated with outbound freight totaled $951 and $1,306 for the three months ended June 30, 2023 and 2022,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Product Warranty</w:t>
      </w:r>
    </w:p>
    <w:p>
      <w:pPr>
        <w:pStyle w:val="TextBody"/>
        <w:bidi w:val="0"/>
        <w:spacing w:before="0" w:after="0"/>
        <w:ind w:left="0" w:right="0" w:hanging="0"/>
        <w:jc w:val="left"/>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June 30, 2023 and December 31, 2022 to be $329 and $328,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120" w:after="283"/>
        <w:jc w:val="left"/>
        <w:rPr/>
      </w:pPr>
      <w:r>
        <w:rPr/>
        <w:t> </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2 – Summary of Significant Accounting Policies (continued)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Concentrations</w:t>
      </w:r>
    </w:p>
    <w:p>
      <w:pPr>
        <w:pStyle w:val="TextBody"/>
        <w:bidi w:val="0"/>
        <w:spacing w:before="0" w:after="0"/>
        <w:ind w:left="0" w:right="0" w:hanging="0"/>
        <w:jc w:val="both"/>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Receivables from two customers comprised approximately 22% and 20%, respectively, of accounts receivable as of June 30, 2023. Receivables from three customers comprised approximately 18%, 10% and 10%, respectively, of accounts receivable as of December 31, 2022. There are no other significant accounts receivable concentration.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Sales from one customer comprised approximately 26% of revenue for the six months ended June 30, 2023. One customer accounted for approximately 11% of the Company’s total revenue for the six months ended June 30, 2022. Sales from one customer comprised approximately 27% of revenue for the three months ended June 30, 2023. One customer accounted for approximately 15% of the Company’s total revenue for the three months ended June 30, 2022.</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Payables to two vendors comprised approximately 56% and 10%, respectively, of accounts payables as of June 30, 2023. Payables to one vendor comprised approximately 61% of accounts payables as of December 31, 2022.</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the six months ended June 30, 2023, one vendor accounted for approximately 22% of the Company’s total purchases. For the six months ended June 30, 2022, one vendor accounted for approximately 26% of the Company’s total purchases. For the three months ended June 30, 2023, one vendor accounted for approximately 10% of the Company’s total purchases. For the three months ended June 30, 2022, two vendors accounted for approximately 17% and 15%, respectively, of the Company’s total purchases.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Advertising</w:t>
      </w:r>
    </w:p>
    <w:p>
      <w:pPr>
        <w:pStyle w:val="TextBody"/>
        <w:bidi w:val="0"/>
        <w:spacing w:before="0" w:after="0"/>
        <w:ind w:left="0" w:right="0" w:hanging="0"/>
        <w:jc w:val="both"/>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expenses advertising costs as they are incurred and are included in selling and marketing expenses. Advertising expenses amounted to $1,270 and $1,262 for the six months ended June 30, 2023 and 2022, respectively. Advertising expenses amounted to $683 and $481 for the three months ended June 30, 2023 and 2022,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Stock-Based Compensation</w:t>
      </w:r>
    </w:p>
    <w:p>
      <w:pPr>
        <w:pStyle w:val="TextBody"/>
        <w:bidi w:val="0"/>
        <w:spacing w:before="0" w:after="0"/>
        <w:ind w:left="0" w:right="0" w:hanging="0"/>
        <w:jc w:val="both"/>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accounts for stock-based compensation arrangements with employees and non-employee consultants using a fair value method which requires the recognition of compensation expense for costs related to all stock-based payments, including stock option</w:t>
      </w:r>
      <w:r>
        <w:rPr>
          <w:rFonts w:ascii="Times New Roman;Times;Serif" w:hAnsi="Times New Roman;Times;Serif"/>
          <w:b/>
          <w:i w:val="false"/>
          <w:caps w:val="false"/>
          <w:smallCaps w:val="false"/>
          <w:color w:val="000000"/>
          <w:sz w:val="20"/>
        </w:rPr>
        <w:t xml:space="preserve">s </w:t>
      </w:r>
      <w:r>
        <w:rPr>
          <w:rFonts w:ascii="Times New Roman;Times;Serif" w:hAnsi="Times New Roman;Times;Serif"/>
          <w:b w:val="false"/>
          <w:i w:val="false"/>
          <w:caps w:val="false"/>
          <w:smallCaps w:val="false"/>
          <w:color w:val="000000"/>
          <w:sz w:val="20"/>
        </w:rPr>
        <w:t>(Note 11). The fair value method requires the Company to estimate the fair value of stock-based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straight-line basis over the requisite service period, which is the vesting period. Restricted stock unit awards are valued based on the closing trading value of the Company’s common stock, par value $0.0001, per share (the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120" w:after="283"/>
        <w:jc w:val="left"/>
        <w:rPr/>
      </w:pPr>
      <w:r>
        <w:rPr/>
        <w:t> </w:t>
      </w:r>
    </w:p>
    <w:p>
      <w:pPr>
        <w:pStyle w:val="TextBody"/>
        <w:bidi w:val="0"/>
        <w:spacing w:before="0" w:after="0"/>
        <w:jc w:val="center"/>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center"/>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2 – Summary of Significant Accounting Policies (continued)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Income Taxes</w:t>
      </w:r>
    </w:p>
    <w:p>
      <w:pPr>
        <w:pStyle w:val="TextBody"/>
        <w:bidi w:val="0"/>
        <w:spacing w:before="0" w:after="0"/>
        <w:ind w:left="0" w:right="0" w:hanging="0"/>
        <w:jc w:val="both"/>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 The Company recognizes a tax benefit for an uncertain tax position only if it is more likely than not that the tax position will be sustained on examination by taxing authorities, based on the technical merits of the position. The Company has a liability of $128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as of June 30, 2023, and December 31, 2022 of uncertain tax positions. The Company’s accounting policy is to include penalties and interest related to income taxes if any, in selling, general and administrative expenses.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u w:val="single"/>
        </w:rPr>
      </w:pPr>
      <w:r>
        <w:rPr>
          <w:rFonts w:ascii="Times New Roman;Times;Serif" w:hAnsi="Times New Roman;Times;Serif"/>
          <w:b w:val="false"/>
          <w:i/>
          <w:caps w:val="false"/>
          <w:smallCaps w:val="false"/>
          <w:color w:val="000000"/>
          <w:sz w:val="20"/>
          <w:u w:val="single"/>
        </w:rPr>
        <w:t>Segment Reporting</w:t>
      </w:r>
    </w:p>
    <w:p>
      <w:pPr>
        <w:pStyle w:val="TextBody"/>
        <w:bidi w:val="0"/>
        <w:spacing w:before="0" w:after="0"/>
        <w:ind w:left="0" w:right="0" w:hanging="0"/>
        <w:jc w:val="both"/>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3 - FAIR VALUE MEASUREMENTS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Level 1 inputs are quoted prices (unadjusted) in active markets for identical assets or liabilities.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Level 2 inputs are inputs other than quoted prices included within Level 1 that are observable for a similar asset or liability, either directly or indirectly.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Level 3 inputs are unobservable inputs that reflect the Company’s own assumptions about the inputs that market participants would use in pricing the asset or liability. </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120" w:after="283"/>
        <w:jc w:val="left"/>
        <w:rPr/>
      </w:pPr>
      <w:r>
        <w:rPr/>
        <w:t> </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center"/>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3 - Fair Value Measurements (Continued)</w:t>
      </w:r>
    </w:p>
    <w:p>
      <w:pPr>
        <w:pStyle w:val="TextBody"/>
        <w:bidi w:val="0"/>
        <w:spacing w:before="0" w:after="0"/>
        <w:ind w:left="0" w:right="0" w:hanging="0"/>
        <w:jc w:val="both"/>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table presents assets and liabilities that were measured at fair value in the Condensed Consolidated Balance Sheets on a recurring basis as of June 30, 2023:</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SCHEDULE OF FAIR VALUE, ASSETS AND LIABILITIES</w:t>
      </w:r>
    </w:p>
    <w:tbl>
      <w:tblPr>
        <w:tblW w:w="9631" w:type="dxa"/>
        <w:jc w:val="left"/>
        <w:tblInd w:w="0" w:type="dxa"/>
        <w:tblLayout w:type="fixed"/>
        <w:tblCellMar>
          <w:top w:w="0" w:type="dxa"/>
          <w:left w:w="0" w:type="dxa"/>
          <w:bottom w:w="0" w:type="dxa"/>
          <w:right w:w="0" w:type="dxa"/>
        </w:tblCellMar>
      </w:tblPr>
      <w:tblGrid>
        <w:gridCol w:w="4250"/>
        <w:gridCol w:w="60"/>
        <w:gridCol w:w="246"/>
        <w:gridCol w:w="1198"/>
        <w:gridCol w:w="60"/>
        <w:gridCol w:w="60"/>
        <w:gridCol w:w="154"/>
        <w:gridCol w:w="750"/>
        <w:gridCol w:w="60"/>
        <w:gridCol w:w="60"/>
        <w:gridCol w:w="475"/>
        <w:gridCol w:w="324"/>
        <w:gridCol w:w="60"/>
        <w:gridCol w:w="60"/>
        <w:gridCol w:w="214"/>
        <w:gridCol w:w="585"/>
        <w:gridCol w:w="60"/>
        <w:gridCol w:w="60"/>
        <w:gridCol w:w="140"/>
        <w:gridCol w:w="680"/>
        <w:gridCol w:w="75"/>
      </w:tblGrid>
      <w:tr>
        <w:trPr/>
        <w:tc>
          <w:tcPr>
            <w:tcW w:w="425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Carrying Amount</w:t>
            </w:r>
          </w:p>
        </w:tc>
        <w:tc>
          <w:tcPr>
            <w:tcW w:w="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904"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color w:val="000000"/>
              </w:rPr>
            </w:pPr>
            <w:r>
              <w:rPr>
                <w:caps w:val="false"/>
                <w:smallCaps w:val="false"/>
                <w:color w:val="000000"/>
              </w:rPr>
              <w:t> </w:t>
            </w:r>
          </w:p>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Fair Value </w:t>
            </w:r>
          </w:p>
        </w:tc>
        <w:tc>
          <w:tcPr>
            <w:tcW w:w="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799"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color w:val="000000"/>
              </w:rPr>
            </w:pPr>
            <w:r>
              <w:rPr>
                <w:caps w:val="false"/>
                <w:smallCaps w:val="false"/>
                <w:color w:val="000000"/>
              </w:rPr>
              <w:t> </w:t>
            </w:r>
          </w:p>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(Level 1) </w:t>
            </w:r>
          </w:p>
        </w:tc>
        <w:tc>
          <w:tcPr>
            <w:tcW w:w="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799"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color w:val="000000"/>
              </w:rPr>
            </w:pPr>
            <w:r>
              <w:rPr>
                <w:caps w:val="false"/>
                <w:smallCaps w:val="false"/>
                <w:color w:val="000000"/>
              </w:rPr>
              <w:t> </w:t>
            </w:r>
          </w:p>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(Level 2) </w:t>
            </w:r>
          </w:p>
        </w:tc>
        <w:tc>
          <w:tcPr>
            <w:tcW w:w="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820"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color w:val="000000"/>
              </w:rPr>
            </w:pPr>
            <w:r>
              <w:rPr>
                <w:caps w:val="false"/>
                <w:smallCaps w:val="false"/>
                <w:color w:val="000000"/>
              </w:rPr>
              <w:t> </w:t>
            </w:r>
          </w:p>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(Level 3) </w:t>
            </w:r>
          </w:p>
        </w:tc>
        <w:tc>
          <w:tcPr>
            <w:tcW w:w="75" w:type="dxa"/>
            <w:tcBorders/>
            <w:vAlign w:val="center"/>
          </w:tcPr>
          <w:p>
            <w:pPr>
              <w:pStyle w:val="TableContents"/>
              <w:bidi w:val="0"/>
              <w:spacing w:before="0" w:after="283"/>
              <w:jc w:val="center"/>
              <w:rPr>
                <w:color w:val="000000"/>
              </w:rPr>
            </w:pPr>
            <w:r>
              <w:rPr>
                <w:color w:val="000000"/>
              </w:rPr>
              <w:t> </w:t>
            </w:r>
          </w:p>
        </w:tc>
      </w:tr>
      <w:tr>
        <w:trPr/>
        <w:tc>
          <w:tcPr>
            <w:tcW w:w="425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5246"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As of June 30, 2023</w:t>
            </w:r>
          </w:p>
        </w:tc>
        <w:tc>
          <w:tcPr>
            <w:tcW w:w="75" w:type="dxa"/>
            <w:tcBorders/>
            <w:vAlign w:val="center"/>
          </w:tcPr>
          <w:p>
            <w:pPr>
              <w:pStyle w:val="TableContents"/>
              <w:bidi w:val="0"/>
              <w:spacing w:before="0" w:after="283"/>
              <w:jc w:val="center"/>
              <w:rPr>
                <w:color w:val="000000"/>
              </w:rPr>
            </w:pPr>
            <w:r>
              <w:rPr>
                <w:color w:val="000000"/>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color w:val="000000"/>
                <w:u w:val="single"/>
              </w:rPr>
            </w:pPr>
            <w:r>
              <w:rPr>
                <w:rFonts w:ascii="Times New Roman;Times;Serif" w:hAnsi="Times New Roman;Times;Serif"/>
                <w:color w:val="000000"/>
                <w:u w:val="single"/>
              </w:rPr>
              <w:t>Liabilities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6" w:type="dxa"/>
            <w:tcBorders/>
            <w:shd w:fill="CCEEFF" w:val="clear"/>
            <w:vAlign w:val="center"/>
          </w:tcPr>
          <w:p>
            <w:pPr>
              <w:pStyle w:val="TableContents"/>
              <w:bidi w:val="0"/>
              <w:spacing w:before="0" w:after="283"/>
              <w:jc w:val="left"/>
              <w:rPr>
                <w:color w:val="000000"/>
              </w:rPr>
            </w:pPr>
            <w:r>
              <w:rPr>
                <w:color w:val="000000"/>
              </w:rPr>
              <w:t> </w:t>
            </w:r>
          </w:p>
        </w:tc>
        <w:tc>
          <w:tcPr>
            <w:tcW w:w="1198"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color w:val="000000"/>
              </w:rPr>
            </w:pPr>
            <w:r>
              <w:rPr>
                <w:color w:val="000000"/>
              </w:rPr>
              <w:t> </w:t>
            </w:r>
          </w:p>
        </w:tc>
        <w:tc>
          <w:tcPr>
            <w:tcW w:w="75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5" w:type="dxa"/>
            <w:tcBorders/>
            <w:shd w:fill="CCEEFF" w:val="clear"/>
            <w:vAlign w:val="center"/>
          </w:tcPr>
          <w:p>
            <w:pPr>
              <w:pStyle w:val="TableContents"/>
              <w:bidi w:val="0"/>
              <w:spacing w:before="0" w:after="283"/>
              <w:jc w:val="left"/>
              <w:rPr>
                <w:color w:val="000000"/>
              </w:rPr>
            </w:pPr>
            <w:r>
              <w:rPr>
                <w:color w:val="000000"/>
              </w:rPr>
              <w:t> </w:t>
            </w:r>
          </w:p>
        </w:tc>
        <w:tc>
          <w:tcPr>
            <w:tcW w:w="324"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4" w:type="dxa"/>
            <w:tcBorders/>
            <w:shd w:fill="CCEEFF" w:val="clear"/>
            <w:vAlign w:val="center"/>
          </w:tcPr>
          <w:p>
            <w:pPr>
              <w:pStyle w:val="TableContents"/>
              <w:bidi w:val="0"/>
              <w:spacing w:before="0" w:after="283"/>
              <w:jc w:val="left"/>
              <w:rPr>
                <w:color w:val="000000"/>
              </w:rPr>
            </w:pPr>
            <w:r>
              <w:rPr>
                <w:color w:val="000000"/>
              </w:rPr>
              <w:t> </w:t>
            </w:r>
          </w:p>
        </w:tc>
        <w:tc>
          <w:tcPr>
            <w:tcW w:w="585"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 </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Warrant liability- Term Loan</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46"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98"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875</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875</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324"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4"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58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875</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Warrant liability- June public offering</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6" w:type="dxa"/>
            <w:tcBorders/>
            <w:shd w:fill="CCEEFF" w:val="clear"/>
            <w:vAlign w:val="center"/>
          </w:tcPr>
          <w:p>
            <w:pPr>
              <w:pStyle w:val="TableContents"/>
              <w:bidi w:val="0"/>
              <w:spacing w:before="0" w:after="283"/>
              <w:jc w:val="left"/>
              <w:rPr>
                <w:color w:val="000000"/>
              </w:rPr>
            </w:pPr>
            <w:r>
              <w:rPr>
                <w:color w:val="000000"/>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13,612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color w:val="000000"/>
              </w:rPr>
            </w:pPr>
            <w:r>
              <w:rPr>
                <w:color w:val="000000"/>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13,612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5" w:type="dxa"/>
            <w:tcBorders/>
            <w:shd w:fill="CCEEFF" w:val="clear"/>
            <w:vAlign w:val="center"/>
          </w:tcPr>
          <w:p>
            <w:pPr>
              <w:pStyle w:val="TableContents"/>
              <w:bidi w:val="0"/>
              <w:spacing w:before="0" w:after="283"/>
              <w:jc w:val="left"/>
              <w:rPr>
                <w:color w:val="000000"/>
              </w:rPr>
            </w:pPr>
            <w:r>
              <w:rPr>
                <w:color w:val="000000"/>
              </w:rPr>
              <w:t> </w:t>
            </w:r>
          </w:p>
        </w:tc>
        <w:tc>
          <w:tcPr>
            <w:tcW w:w="32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4" w:type="dxa"/>
            <w:tcBorders/>
            <w:shd w:fill="CCEEFF" w:val="clear"/>
            <w:vAlign w:val="center"/>
          </w:tcPr>
          <w:p>
            <w:pPr>
              <w:pStyle w:val="TableContents"/>
              <w:bidi w:val="0"/>
              <w:spacing w:before="0" w:after="283"/>
              <w:jc w:val="left"/>
              <w:rPr>
                <w:color w:val="000000"/>
              </w:rPr>
            </w:pPr>
            <w:r>
              <w:rPr>
                <w:color w:val="000000"/>
              </w:rPr>
              <w:t> </w:t>
            </w:r>
          </w:p>
        </w:tc>
        <w:tc>
          <w:tcPr>
            <w:tcW w:w="58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13,612</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Warrant liability- Private placement warrants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9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7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5"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32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5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 liabilities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14,637</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14,637</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5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14,487</w:t>
            </w:r>
          </w:p>
        </w:tc>
        <w:tc>
          <w:tcPr>
            <w:tcW w:w="75"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table presents assets and liabilities that were measured at fair value in the Consolidated Balance Sheets on a recurring basis as of December 31, 2022:</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9632" w:type="dxa"/>
        <w:jc w:val="left"/>
        <w:tblInd w:w="0" w:type="dxa"/>
        <w:tblLayout w:type="fixed"/>
        <w:tblCellMar>
          <w:top w:w="0" w:type="dxa"/>
          <w:left w:w="0" w:type="dxa"/>
          <w:bottom w:w="0" w:type="dxa"/>
          <w:right w:w="0" w:type="dxa"/>
        </w:tblCellMar>
      </w:tblPr>
      <w:tblGrid>
        <w:gridCol w:w="4250"/>
        <w:gridCol w:w="60"/>
        <w:gridCol w:w="246"/>
        <w:gridCol w:w="1198"/>
        <w:gridCol w:w="60"/>
        <w:gridCol w:w="60"/>
        <w:gridCol w:w="154"/>
        <w:gridCol w:w="750"/>
        <w:gridCol w:w="60"/>
        <w:gridCol w:w="60"/>
        <w:gridCol w:w="475"/>
        <w:gridCol w:w="324"/>
        <w:gridCol w:w="60"/>
        <w:gridCol w:w="60"/>
        <w:gridCol w:w="160"/>
        <w:gridCol w:w="640"/>
        <w:gridCol w:w="60"/>
        <w:gridCol w:w="60"/>
        <w:gridCol w:w="140"/>
        <w:gridCol w:w="680"/>
        <w:gridCol w:w="75"/>
      </w:tblGrid>
      <w:tr>
        <w:trPr/>
        <w:tc>
          <w:tcPr>
            <w:tcW w:w="425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144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Carrying Amount</w:t>
            </w:r>
          </w:p>
        </w:tc>
        <w:tc>
          <w:tcPr>
            <w:tcW w:w="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90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Fair Value </w:t>
            </w:r>
          </w:p>
        </w:tc>
        <w:tc>
          <w:tcPr>
            <w:tcW w:w="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79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(Level 1) </w:t>
            </w:r>
          </w:p>
        </w:tc>
        <w:tc>
          <w:tcPr>
            <w:tcW w:w="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80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(Level 2) </w:t>
            </w:r>
          </w:p>
        </w:tc>
        <w:tc>
          <w:tcPr>
            <w:tcW w:w="6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82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(Level 3) </w:t>
            </w:r>
          </w:p>
        </w:tc>
        <w:tc>
          <w:tcPr>
            <w:tcW w:w="75" w:type="dxa"/>
            <w:tcBorders/>
            <w:vAlign w:val="center"/>
          </w:tcPr>
          <w:p>
            <w:pPr>
              <w:pStyle w:val="TableContents"/>
              <w:bidi w:val="0"/>
              <w:spacing w:before="0" w:after="283"/>
              <w:jc w:val="center"/>
              <w:rPr>
                <w:color w:val="000000"/>
              </w:rPr>
            </w:pPr>
            <w:r>
              <w:rPr>
                <w:color w:val="000000"/>
              </w:rPr>
              <w:t> </w:t>
            </w:r>
          </w:p>
        </w:tc>
      </w:tr>
      <w:tr>
        <w:trPr/>
        <w:tc>
          <w:tcPr>
            <w:tcW w:w="4250" w:type="dxa"/>
            <w:tcBorders/>
            <w:vAlign w:val="center"/>
          </w:tcPr>
          <w:p>
            <w:pPr>
              <w:pStyle w:val="TableContents"/>
              <w:bidi w:val="0"/>
              <w:spacing w:before="0" w:after="283"/>
              <w:jc w:val="center"/>
              <w:rPr>
                <w:color w:val="000000"/>
              </w:rPr>
            </w:pPr>
            <w:r>
              <w:rPr>
                <w:color w:val="000000"/>
              </w:rPr>
              <w:t> </w:t>
            </w:r>
          </w:p>
        </w:tc>
        <w:tc>
          <w:tcPr>
            <w:tcW w:w="60" w:type="dxa"/>
            <w:tcBorders/>
            <w:vAlign w:val="center"/>
          </w:tcPr>
          <w:p>
            <w:pPr>
              <w:pStyle w:val="TableContents"/>
              <w:bidi w:val="0"/>
              <w:spacing w:before="0" w:after="283"/>
              <w:jc w:val="center"/>
              <w:rPr>
                <w:color w:val="000000"/>
              </w:rPr>
            </w:pPr>
            <w:r>
              <w:rPr>
                <w:color w:val="000000"/>
              </w:rPr>
              <w:t> </w:t>
            </w:r>
          </w:p>
        </w:tc>
        <w:tc>
          <w:tcPr>
            <w:tcW w:w="5247"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As of December 31, 2022</w:t>
            </w:r>
          </w:p>
        </w:tc>
        <w:tc>
          <w:tcPr>
            <w:tcW w:w="75" w:type="dxa"/>
            <w:tcBorders/>
            <w:vAlign w:val="center"/>
          </w:tcPr>
          <w:p>
            <w:pPr>
              <w:pStyle w:val="TableContents"/>
              <w:bidi w:val="0"/>
              <w:spacing w:before="0" w:after="283"/>
              <w:jc w:val="center"/>
              <w:rPr>
                <w:color w:val="000000"/>
              </w:rPr>
            </w:pPr>
            <w:r>
              <w:rPr>
                <w:color w:val="000000"/>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color w:val="000000"/>
                <w:u w:val="single"/>
              </w:rPr>
            </w:pPr>
            <w:r>
              <w:rPr>
                <w:rFonts w:ascii="Times New Roman;Times;Serif" w:hAnsi="Times New Roman;Times;Serif"/>
                <w:color w:val="000000"/>
                <w:u w:val="single"/>
              </w:rPr>
              <w:t>Liabilities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6" w:type="dxa"/>
            <w:tcBorders/>
            <w:shd w:fill="CCEEFF" w:val="clear"/>
            <w:vAlign w:val="center"/>
          </w:tcPr>
          <w:p>
            <w:pPr>
              <w:pStyle w:val="TableContents"/>
              <w:bidi w:val="0"/>
              <w:spacing w:before="0" w:after="283"/>
              <w:jc w:val="left"/>
              <w:rPr>
                <w:color w:val="000000"/>
              </w:rPr>
            </w:pPr>
            <w:r>
              <w:rPr>
                <w:color w:val="000000"/>
              </w:rPr>
              <w:t> </w:t>
            </w:r>
          </w:p>
        </w:tc>
        <w:tc>
          <w:tcPr>
            <w:tcW w:w="1198"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shd w:fill="CCEEFF" w:val="clear"/>
            <w:vAlign w:val="center"/>
          </w:tcPr>
          <w:p>
            <w:pPr>
              <w:pStyle w:val="TableContents"/>
              <w:bidi w:val="0"/>
              <w:spacing w:before="0" w:after="283"/>
              <w:jc w:val="left"/>
              <w:rPr>
                <w:color w:val="000000"/>
              </w:rPr>
            </w:pPr>
            <w:r>
              <w:rPr>
                <w:color w:val="000000"/>
              </w:rPr>
              <w:t> </w:t>
            </w:r>
          </w:p>
        </w:tc>
        <w:tc>
          <w:tcPr>
            <w:tcW w:w="75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5" w:type="dxa"/>
            <w:tcBorders/>
            <w:shd w:fill="CCEEFF" w:val="clear"/>
            <w:vAlign w:val="center"/>
          </w:tcPr>
          <w:p>
            <w:pPr>
              <w:pStyle w:val="TableContents"/>
              <w:bidi w:val="0"/>
              <w:spacing w:before="0" w:after="283"/>
              <w:jc w:val="left"/>
              <w:rPr>
                <w:color w:val="000000"/>
              </w:rPr>
            </w:pPr>
            <w:r>
              <w:rPr>
                <w:color w:val="000000"/>
              </w:rPr>
              <w:t> </w:t>
            </w:r>
          </w:p>
        </w:tc>
        <w:tc>
          <w:tcPr>
            <w:tcW w:w="324"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0" w:type="dxa"/>
            <w:tcBorders/>
            <w:shd w:fill="CCEEFF" w:val="clear"/>
            <w:vAlign w:val="center"/>
          </w:tcPr>
          <w:p>
            <w:pPr>
              <w:pStyle w:val="TableContents"/>
              <w:bidi w:val="0"/>
              <w:spacing w:before="0" w:after="283"/>
              <w:jc w:val="left"/>
              <w:rPr>
                <w:color w:val="000000"/>
              </w:rPr>
            </w:pPr>
            <w:r>
              <w:rPr>
                <w:color w:val="000000"/>
              </w:rPr>
              <w:t> </w:t>
            </w:r>
          </w:p>
        </w:tc>
        <w:tc>
          <w:tcPr>
            <w:tcW w:w="64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680" w:type="dxa"/>
            <w:tcBorders/>
            <w:shd w:fill="CCEEFF" w:val="clear"/>
            <w:vAlign w:val="center"/>
          </w:tcPr>
          <w:p>
            <w:pPr>
              <w:pStyle w:val="TableContents"/>
              <w:bidi w:val="0"/>
              <w:spacing w:before="0" w:after="283"/>
              <w:jc w:val="right"/>
              <w:rPr>
                <w:color w:val="000000"/>
              </w:rPr>
            </w:pPr>
            <w:r>
              <w:rPr>
                <w:color w:val="000000"/>
              </w:rPr>
              <w:t> </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Warrant liability- Term Loan</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46"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98"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30,841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30,841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324"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4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30,841</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Warrant liability- Private placement warrants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9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1,990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1,990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32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1,990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 liabilities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32,831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32,831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3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1,990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30,841</w:t>
            </w:r>
          </w:p>
        </w:tc>
        <w:tc>
          <w:tcPr>
            <w:tcW w:w="75"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carrying amounts of accounts receivable and accounts payable are considered level 1 and approximate fair value as of June 30, 2023 and December 31, 2022 because of the relatively short maturity of these instruments.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carrying value of the term loan as of June 30, 2023 and December 31, 2022 approximates fair value as the interest rate does not differ significantly from the current market rates available to the Company for similar debt and is considered level 2.</w:t>
      </w:r>
    </w:p>
    <w:p>
      <w:pPr>
        <w:pStyle w:val="TextBody"/>
        <w:bidi w:val="0"/>
        <w:spacing w:before="0" w:after="0"/>
        <w:ind w:left="0" w:right="0" w:hanging="0"/>
        <w:jc w:val="center"/>
        <w:rPr>
          <w:caps/>
          <w:color w:val="000000"/>
        </w:rPr>
      </w:pPr>
      <w:r>
        <w:rPr>
          <w:caps/>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120" w:after="283"/>
        <w:jc w:val="left"/>
        <w:rPr/>
      </w:pPr>
      <w:r>
        <w:rPr/>
        <w:t> </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4 - INVENTORY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Inventory consists of the following: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INVENTORY</w:t>
      </w:r>
      <w:r>
        <w:rPr>
          <w:rFonts w:ascii="Times New Roman;Times;Serif" w:hAnsi="Times New Roman;Times;Serif"/>
          <w:b w:val="false"/>
          <w:i w:val="false"/>
          <w:caps w:val="false"/>
          <w:smallCaps w:val="false"/>
          <w:color w:val="000000"/>
          <w:sz w:val="20"/>
        </w:rPr>
        <w:t> </w:t>
      </w:r>
    </w:p>
    <w:tbl>
      <w:tblPr>
        <w:tblW w:w="4513" w:type="dxa"/>
        <w:jc w:val="left"/>
        <w:tblInd w:w="0" w:type="dxa"/>
        <w:tblLayout w:type="fixed"/>
        <w:tblCellMar>
          <w:top w:w="0" w:type="dxa"/>
          <w:left w:w="0" w:type="dxa"/>
          <w:bottom w:w="0" w:type="dxa"/>
          <w:right w:w="0" w:type="dxa"/>
        </w:tblCellMar>
      </w:tblPr>
      <w:tblGrid>
        <w:gridCol w:w="1490"/>
        <w:gridCol w:w="60"/>
        <w:gridCol w:w="149"/>
        <w:gridCol w:w="725"/>
        <w:gridCol w:w="60"/>
        <w:gridCol w:w="60"/>
        <w:gridCol w:w="321"/>
        <w:gridCol w:w="1573"/>
        <w:gridCol w:w="75"/>
      </w:tblGrid>
      <w:tr>
        <w:trPr/>
        <w:tc>
          <w:tcPr>
            <w:tcW w:w="149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 xml:space="preserve">June 30, </w:t>
              <w:br/>
              <w:t>2023</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December 31, 2022</w:t>
            </w:r>
          </w:p>
        </w:tc>
        <w:tc>
          <w:tcPr>
            <w:tcW w:w="75" w:type="dxa"/>
            <w:tcBorders/>
            <w:vAlign w:val="center"/>
          </w:tcPr>
          <w:p>
            <w:pPr>
              <w:pStyle w:val="TableContents"/>
              <w:bidi w:val="0"/>
              <w:spacing w:before="0" w:after="283"/>
              <w:jc w:val="left"/>
              <w:rPr>
                <w:color w:val="000000"/>
              </w:rPr>
            </w:pPr>
            <w:r>
              <w:rPr>
                <w:color w:val="000000"/>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Raw material</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38,713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21"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57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42,586</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Finished goods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5,485</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32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5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7,260</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 inventory</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44,198</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5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49,846</w:t>
            </w:r>
          </w:p>
        </w:tc>
        <w:tc>
          <w:tcPr>
            <w:tcW w:w="75"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5 - COMMITMENTS AND CONTINGENCIES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Litigation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Operating Leases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has leases related to the main office, warehouse space, research and development lab, and engineering office, all located in Reno, Nevada. The leases require annual escalating monthly payments ranging from $111 to $128.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June 30, 2023, the lease has not commenced as the Company does not have control over the asset.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table presents the breakout of the operating leases as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TABLE REPRESENTING THE BREAKOUT OF THE OPERATING LEASES</w:t>
      </w:r>
      <w:r>
        <w:rPr>
          <w:rFonts w:ascii="Times New Roman;Times;Serif" w:hAnsi="Times New Roman;Times;Serif"/>
          <w:b w:val="false"/>
          <w:i w:val="false"/>
          <w:caps w:val="false"/>
          <w:smallCaps w:val="false"/>
          <w:color w:val="000000"/>
          <w:sz w:val="20"/>
        </w:rPr>
        <w:t> </w:t>
      </w:r>
    </w:p>
    <w:tbl>
      <w:tblPr>
        <w:tblW w:w="7095" w:type="dxa"/>
        <w:jc w:val="left"/>
        <w:tblInd w:w="0" w:type="dxa"/>
        <w:tblLayout w:type="fixed"/>
        <w:tblCellMar>
          <w:top w:w="0" w:type="dxa"/>
          <w:left w:w="0" w:type="dxa"/>
          <w:bottom w:w="0" w:type="dxa"/>
          <w:right w:w="0" w:type="dxa"/>
        </w:tblCellMar>
      </w:tblPr>
      <w:tblGrid>
        <w:gridCol w:w="3755"/>
        <w:gridCol w:w="60"/>
        <w:gridCol w:w="140"/>
        <w:gridCol w:w="740"/>
        <w:gridCol w:w="215"/>
        <w:gridCol w:w="60"/>
        <w:gridCol w:w="379"/>
        <w:gridCol w:w="1516"/>
        <w:gridCol w:w="230"/>
      </w:tblGrid>
      <w:tr>
        <w:trPr/>
        <w:tc>
          <w:tcPr>
            <w:tcW w:w="375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 xml:space="preserve">June 30, </w:t>
              <w:br/>
              <w:t>2023</w:t>
            </w:r>
          </w:p>
        </w:tc>
        <w:tc>
          <w:tcPr>
            <w:tcW w:w="2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December 31, 2022</w:t>
            </w:r>
          </w:p>
        </w:tc>
        <w:tc>
          <w:tcPr>
            <w:tcW w:w="230" w:type="dxa"/>
            <w:tcBorders/>
            <w:vAlign w:val="center"/>
          </w:tcPr>
          <w:p>
            <w:pPr>
              <w:pStyle w:val="TableContents"/>
              <w:bidi w:val="0"/>
              <w:spacing w:before="0" w:after="283"/>
              <w:jc w:val="left"/>
              <w:rPr>
                <w:color w:val="000000"/>
              </w:rPr>
            </w:pPr>
            <w:r>
              <w:rPr>
                <w:color w:val="000000"/>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Operating lease right-of-use assets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3,912</w:t>
            </w:r>
          </w:p>
        </w:tc>
        <w:tc>
          <w:tcPr>
            <w:tcW w:w="21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79"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51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4,513</w:t>
            </w:r>
          </w:p>
        </w:tc>
        <w:tc>
          <w:tcPr>
            <w:tcW w:w="230" w:type="dxa"/>
            <w:tcBorders/>
            <w:shd w:fill="CCEEFF" w:val="clear"/>
            <w:vAlign w:val="center"/>
          </w:tcPr>
          <w:p>
            <w:pPr>
              <w:pStyle w:val="TableContents"/>
              <w:bidi w:val="0"/>
              <w:spacing w:before="0" w:after="283"/>
              <w:jc w:val="left"/>
              <w:rPr>
                <w:color w:val="000000"/>
              </w:rPr>
            </w:pPr>
            <w:r>
              <w:rPr>
                <w:color w:val="000000"/>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Short-term operating lease liabilities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1,239</w:t>
            </w:r>
          </w:p>
        </w:tc>
        <w:tc>
          <w:tcPr>
            <w:tcW w:w="2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379" w:type="dxa"/>
            <w:tcBorders/>
            <w:shd w:fill="FFFFFF" w:val="clear"/>
            <w:vAlign w:val="center"/>
          </w:tcPr>
          <w:p>
            <w:pPr>
              <w:pStyle w:val="TableContents"/>
              <w:bidi w:val="0"/>
              <w:spacing w:before="0" w:after="283"/>
              <w:jc w:val="left"/>
              <w:rPr>
                <w:color w:val="000000"/>
              </w:rPr>
            </w:pPr>
            <w:r>
              <w:rPr>
                <w:color w:val="000000"/>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1,188</w:t>
            </w:r>
          </w:p>
        </w:tc>
        <w:tc>
          <w:tcPr>
            <w:tcW w:w="230" w:type="dxa"/>
            <w:tcBorders/>
            <w:shd w:fill="FFFFFF" w:val="clear"/>
            <w:vAlign w:val="center"/>
          </w:tcPr>
          <w:p>
            <w:pPr>
              <w:pStyle w:val="TableContents"/>
              <w:bidi w:val="0"/>
              <w:spacing w:before="0" w:after="283"/>
              <w:jc w:val="left"/>
              <w:rPr>
                <w:color w:val="000000"/>
              </w:rPr>
            </w:pPr>
            <w:r>
              <w:rPr>
                <w:color w:val="000000"/>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Long-term operating lease liabilities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2,890</w:t>
            </w:r>
          </w:p>
        </w:tc>
        <w:tc>
          <w:tcPr>
            <w:tcW w:w="21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79"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51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3,541</w:t>
            </w:r>
          </w:p>
        </w:tc>
        <w:tc>
          <w:tcPr>
            <w:tcW w:w="230" w:type="dxa"/>
            <w:tcBorders/>
            <w:shd w:fill="CCEEFF" w:val="clear"/>
            <w:vAlign w:val="center"/>
          </w:tcPr>
          <w:p>
            <w:pPr>
              <w:pStyle w:val="TableContents"/>
              <w:bidi w:val="0"/>
              <w:spacing w:before="0" w:after="283"/>
              <w:jc w:val="left"/>
              <w:rPr>
                <w:color w:val="000000"/>
              </w:rPr>
            </w:pPr>
            <w:r>
              <w:rPr>
                <w:color w:val="000000"/>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 operating lease liabilities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4,129</w:t>
            </w:r>
          </w:p>
        </w:tc>
        <w:tc>
          <w:tcPr>
            <w:tcW w:w="2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3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5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4,729</w:t>
            </w:r>
          </w:p>
        </w:tc>
        <w:tc>
          <w:tcPr>
            <w:tcW w:w="230" w:type="dxa"/>
            <w:tcBorders/>
            <w:shd w:fill="FFFFFF" w:val="clear"/>
            <w:vAlign w:val="center"/>
          </w:tcPr>
          <w:p>
            <w:pPr>
              <w:pStyle w:val="TableContents"/>
              <w:bidi w:val="0"/>
              <w:spacing w:before="0" w:after="283"/>
              <w:jc w:val="left"/>
              <w:rPr>
                <w:color w:val="000000"/>
              </w:rPr>
            </w:pPr>
            <w:r>
              <w:rPr>
                <w:color w:val="000000"/>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Weighted average remaining lease term</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3.1 years</w:t>
            </w:r>
          </w:p>
        </w:tc>
        <w:tc>
          <w:tcPr>
            <w:tcW w:w="21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79" w:type="dxa"/>
            <w:tcBorders/>
            <w:shd w:fill="CCEEFF" w:val="clear"/>
            <w:vAlign w:val="center"/>
          </w:tcPr>
          <w:p>
            <w:pPr>
              <w:pStyle w:val="TableContents"/>
              <w:bidi w:val="0"/>
              <w:spacing w:before="0" w:after="283"/>
              <w:jc w:val="left"/>
              <w:rPr>
                <w:color w:val="000000"/>
              </w:rPr>
            </w:pPr>
            <w:r>
              <w:rPr>
                <w:color w:val="000000"/>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3.6 years</w:t>
            </w:r>
          </w:p>
        </w:tc>
        <w:tc>
          <w:tcPr>
            <w:tcW w:w="230" w:type="dxa"/>
            <w:tcBorders/>
            <w:shd w:fill="CCEEFF" w:val="clear"/>
            <w:vAlign w:val="center"/>
          </w:tcPr>
          <w:p>
            <w:pPr>
              <w:pStyle w:val="TableContents"/>
              <w:bidi w:val="0"/>
              <w:spacing w:before="0" w:after="283"/>
              <w:jc w:val="left"/>
              <w:rPr>
                <w:color w:val="000000"/>
              </w:rPr>
            </w:pPr>
            <w:r>
              <w:rPr>
                <w:color w:val="000000"/>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Weighted average discount rate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5.2</w:t>
            </w:r>
          </w:p>
        </w:tc>
        <w:tc>
          <w:tcPr>
            <w:tcW w:w="21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379" w:type="dxa"/>
            <w:tcBorders/>
            <w:shd w:fill="FFFFFF" w:val="clear"/>
            <w:vAlign w:val="center"/>
          </w:tcPr>
          <w:p>
            <w:pPr>
              <w:pStyle w:val="TableContents"/>
              <w:bidi w:val="0"/>
              <w:spacing w:before="0" w:after="283"/>
              <w:jc w:val="left"/>
              <w:rPr>
                <w:color w:val="000000"/>
              </w:rPr>
            </w:pPr>
            <w:r>
              <w:rPr>
                <w:color w:val="000000"/>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5.2</w:t>
            </w:r>
          </w:p>
        </w:tc>
        <w:tc>
          <w:tcPr>
            <w:tcW w:w="23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Assumptions used in determining our incremental borrowing rate include our implied credit rating and an estimate of secured borrowing rates based on comparable market data.</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120" w:after="283"/>
        <w:jc w:val="left"/>
        <w:rPr/>
      </w:pPr>
      <w:r>
        <w:rPr/>
        <w:t> </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5 - Commitments and Contingencies (Continued)</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Operating Leases (Continued)</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At June 30, 2023, the future minimum lease payments under these operating leases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THE FUTURE MINIMUM LEASE PAYMENTS UNDER THE OPERATING LEASES</w:t>
      </w:r>
      <w:r>
        <w:rPr>
          <w:rFonts w:ascii="Times New Roman;Times;Serif" w:hAnsi="Times New Roman;Times;Serif"/>
          <w:b w:val="false"/>
          <w:i w:val="false"/>
          <w:caps w:val="false"/>
          <w:smallCaps w:val="false"/>
          <w:color w:val="000000"/>
          <w:sz w:val="20"/>
        </w:rPr>
        <w:t> </w:t>
      </w:r>
    </w:p>
    <w:tbl>
      <w:tblPr>
        <w:tblW w:w="3895" w:type="dxa"/>
        <w:jc w:val="left"/>
        <w:tblInd w:w="0" w:type="dxa"/>
        <w:tblLayout w:type="fixed"/>
        <w:tblCellMar>
          <w:top w:w="0" w:type="dxa"/>
          <w:left w:w="0" w:type="dxa"/>
          <w:bottom w:w="28" w:type="dxa"/>
          <w:right w:w="0" w:type="dxa"/>
        </w:tblCellMar>
      </w:tblPr>
      <w:tblGrid>
        <w:gridCol w:w="2900"/>
        <w:gridCol w:w="60"/>
        <w:gridCol w:w="172"/>
        <w:gridCol w:w="688"/>
        <w:gridCol w:w="75"/>
      </w:tblGrid>
      <w:tr>
        <w:trPr/>
        <w:tc>
          <w:tcPr>
            <w:tcW w:w="2900" w:type="dxa"/>
            <w:tcBorders>
              <w:bottom w:val="single" w:sz="12" w:space="0" w:color="000000"/>
            </w:tcBorders>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Fiscal Years Ending</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8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Amount</w:t>
            </w:r>
          </w:p>
        </w:tc>
        <w:tc>
          <w:tcPr>
            <w:tcW w:w="75" w:type="dxa"/>
            <w:tcBorders/>
            <w:tcMar>
              <w:bottom w:w="0" w:type="dxa"/>
            </w:tcMar>
            <w:vAlign w:val="center"/>
          </w:tcPr>
          <w:p>
            <w:pPr>
              <w:pStyle w:val="TableContents"/>
              <w:bidi w:val="0"/>
              <w:spacing w:before="0" w:after="283"/>
              <w:jc w:val="left"/>
              <w:rPr>
                <w:color w:val="000000"/>
              </w:rPr>
            </w:pPr>
            <w:r>
              <w:rPr>
                <w:color w:val="000000"/>
              </w:rPr>
              <w:t> </w:t>
            </w:r>
          </w:p>
        </w:tc>
      </w:tr>
      <w:tr>
        <w:trPr/>
        <w:tc>
          <w:tcPr>
            <w:tcW w:w="2900" w:type="dxa"/>
            <w:tcBorders/>
            <w:shd w:fill="CCEEFF" w:val="clear"/>
            <w:tcMar>
              <w:bottom w:w="0" w:type="dxa"/>
            </w:tcM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December 31, 2023 </w:t>
            </w:r>
            <w:r>
              <w:rPr>
                <w:rFonts w:ascii="Times New Roman;Times;Serif" w:hAnsi="Times New Roman;Times;Serif"/>
                <w:color w:val="000000"/>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72" w:type="dxa"/>
            <w:tcBorders/>
            <w:shd w:fill="CCEEFF" w:val="clear"/>
            <w:tcMar>
              <w:bottom w:w="0"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8" w:type="dxa"/>
            <w:tcBorders/>
            <w:shd w:fill="CCEEFF" w:val="clear"/>
            <w:tcMar>
              <w:bottom w:w="0"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704</w:t>
            </w:r>
          </w:p>
        </w:tc>
        <w:tc>
          <w:tcPr>
            <w:tcW w:w="75" w:type="dxa"/>
            <w:tcBorders/>
            <w:shd w:fill="CCEEFF" w:val="clear"/>
            <w:tcMar>
              <w:bottom w:w="0" w:type="dxa"/>
            </w:tcMar>
            <w:vAlign w:val="center"/>
          </w:tcPr>
          <w:p>
            <w:pPr>
              <w:pStyle w:val="TableContents"/>
              <w:bidi w:val="0"/>
              <w:spacing w:before="0" w:after="283"/>
              <w:jc w:val="left"/>
              <w:rPr>
                <w:color w:val="000000"/>
              </w:rPr>
            </w:pPr>
            <w:r>
              <w:rPr>
                <w:color w:val="000000"/>
              </w:rPr>
              <w:t> </w:t>
            </w:r>
          </w:p>
        </w:tc>
      </w:tr>
      <w:tr>
        <w:trPr/>
        <w:tc>
          <w:tcPr>
            <w:tcW w:w="2900" w:type="dxa"/>
            <w:tcBorders/>
            <w:shd w:fill="FFFFFF" w:val="clear"/>
            <w:tcMar>
              <w:bottom w:w="0"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December 31, 2024</w:t>
            </w:r>
          </w:p>
        </w:tc>
        <w:tc>
          <w:tcPr>
            <w:tcW w:w="60"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172"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688" w:type="dxa"/>
            <w:tcBorders/>
            <w:shd w:fill="FFFFFF" w:val="clear"/>
            <w:tcMar>
              <w:bottom w:w="0"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1,435</w:t>
            </w:r>
          </w:p>
        </w:tc>
        <w:tc>
          <w:tcPr>
            <w:tcW w:w="75" w:type="dxa"/>
            <w:tcBorders/>
            <w:shd w:fill="FFFFFF" w:val="clear"/>
            <w:tcMar>
              <w:bottom w:w="0" w:type="dxa"/>
            </w:tcMar>
            <w:vAlign w:val="center"/>
          </w:tcPr>
          <w:p>
            <w:pPr>
              <w:pStyle w:val="TableContents"/>
              <w:bidi w:val="0"/>
              <w:spacing w:before="0" w:after="283"/>
              <w:jc w:val="left"/>
              <w:rPr>
                <w:color w:val="000000"/>
              </w:rPr>
            </w:pPr>
            <w:r>
              <w:rPr>
                <w:color w:val="000000"/>
              </w:rPr>
              <w:t> </w:t>
            </w:r>
          </w:p>
        </w:tc>
      </w:tr>
      <w:tr>
        <w:trPr/>
        <w:tc>
          <w:tcPr>
            <w:tcW w:w="2900" w:type="dxa"/>
            <w:tcBorders/>
            <w:shd w:fill="CCEEFF" w:val="clear"/>
            <w:tcMar>
              <w:bottom w:w="0"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December 31, 2025</w:t>
            </w:r>
          </w:p>
        </w:tc>
        <w:tc>
          <w:tcPr>
            <w:tcW w:w="6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72"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688" w:type="dxa"/>
            <w:tcBorders/>
            <w:shd w:fill="CCEEFF" w:val="clear"/>
            <w:tcMar>
              <w:bottom w:w="0"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1,435</w:t>
            </w:r>
          </w:p>
        </w:tc>
        <w:tc>
          <w:tcPr>
            <w:tcW w:w="75" w:type="dxa"/>
            <w:tcBorders/>
            <w:shd w:fill="CCEEFF" w:val="clear"/>
            <w:tcMar>
              <w:bottom w:w="0" w:type="dxa"/>
            </w:tcMar>
            <w:vAlign w:val="center"/>
          </w:tcPr>
          <w:p>
            <w:pPr>
              <w:pStyle w:val="TableContents"/>
              <w:bidi w:val="0"/>
              <w:spacing w:before="0" w:after="283"/>
              <w:jc w:val="left"/>
              <w:rPr>
                <w:color w:val="000000"/>
              </w:rPr>
            </w:pPr>
            <w:r>
              <w:rPr>
                <w:color w:val="000000"/>
              </w:rPr>
              <w:t> </w:t>
            </w:r>
          </w:p>
        </w:tc>
      </w:tr>
      <w:tr>
        <w:trPr/>
        <w:tc>
          <w:tcPr>
            <w:tcW w:w="2900" w:type="dxa"/>
            <w:tcBorders/>
            <w:shd w:fill="FFFFFF" w:val="clear"/>
            <w:tcMar>
              <w:bottom w:w="0"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December 31, 2026</w:t>
            </w:r>
          </w:p>
        </w:tc>
        <w:tc>
          <w:tcPr>
            <w:tcW w:w="60"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172" w:type="dxa"/>
            <w:tcBorders>
              <w:bottom w:val="single" w:sz="12" w:space="0" w:color="000000"/>
            </w:tcBorders>
            <w:shd w:fill="FFFFFF" w:val="clear"/>
            <w:vAlign w:val="center"/>
          </w:tcPr>
          <w:p>
            <w:pPr>
              <w:pStyle w:val="TableContents"/>
              <w:bidi w:val="0"/>
              <w:spacing w:before="0" w:after="283"/>
              <w:jc w:val="left"/>
              <w:rPr>
                <w:color w:val="000000"/>
              </w:rPr>
            </w:pPr>
            <w:r>
              <w:rPr>
                <w:color w:val="000000"/>
              </w:rPr>
              <w:t> </w:t>
            </w:r>
          </w:p>
        </w:tc>
        <w:tc>
          <w:tcPr>
            <w:tcW w:w="688"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893</w:t>
            </w:r>
          </w:p>
        </w:tc>
        <w:tc>
          <w:tcPr>
            <w:tcW w:w="75" w:type="dxa"/>
            <w:tcBorders/>
            <w:shd w:fill="FFFFFF" w:val="clear"/>
            <w:tcMar>
              <w:bottom w:w="0" w:type="dxa"/>
            </w:tcMar>
            <w:vAlign w:val="center"/>
          </w:tcPr>
          <w:p>
            <w:pPr>
              <w:pStyle w:val="TableContents"/>
              <w:bidi w:val="0"/>
              <w:spacing w:before="0" w:after="283"/>
              <w:jc w:val="left"/>
              <w:rPr>
                <w:color w:val="000000"/>
              </w:rPr>
            </w:pPr>
            <w:r>
              <w:rPr>
                <w:color w:val="000000"/>
              </w:rPr>
              <w:t> </w:t>
            </w:r>
          </w:p>
        </w:tc>
      </w:tr>
      <w:tr>
        <w:trPr/>
        <w:tc>
          <w:tcPr>
            <w:tcW w:w="2900" w:type="dxa"/>
            <w:tcBorders/>
            <w:shd w:fill="CCEEFF" w:val="clear"/>
            <w:tcMar>
              <w:bottom w:w="0"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 lease payments</w:t>
            </w:r>
          </w:p>
        </w:tc>
        <w:tc>
          <w:tcPr>
            <w:tcW w:w="6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72" w:type="dxa"/>
            <w:tcBorders>
              <w:bottom w:val="single" w:sz="12" w:space="0" w:color="000000"/>
            </w:tcBorders>
            <w:shd w:fill="CCEEFF" w:val="clear"/>
            <w:vAlign w:val="center"/>
          </w:tcPr>
          <w:p>
            <w:pPr>
              <w:pStyle w:val="TableContents"/>
              <w:bidi w:val="0"/>
              <w:spacing w:before="0" w:after="283"/>
              <w:jc w:val="left"/>
              <w:rPr>
                <w:color w:val="000000"/>
              </w:rPr>
            </w:pPr>
            <w:r>
              <w:rPr>
                <w:color w:val="000000"/>
              </w:rPr>
              <w:t> </w:t>
            </w:r>
          </w:p>
        </w:tc>
        <w:tc>
          <w:tcPr>
            <w:tcW w:w="68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4,467</w:t>
            </w:r>
          </w:p>
        </w:tc>
        <w:tc>
          <w:tcPr>
            <w:tcW w:w="75" w:type="dxa"/>
            <w:tcBorders/>
            <w:shd w:fill="CCEEFF" w:val="clear"/>
            <w:tcMar>
              <w:bottom w:w="0" w:type="dxa"/>
            </w:tcMar>
            <w:vAlign w:val="center"/>
          </w:tcPr>
          <w:p>
            <w:pPr>
              <w:pStyle w:val="TableContents"/>
              <w:bidi w:val="0"/>
              <w:spacing w:before="0" w:after="283"/>
              <w:jc w:val="left"/>
              <w:rPr>
                <w:color w:val="000000"/>
              </w:rPr>
            </w:pPr>
            <w:r>
              <w:rPr>
                <w:color w:val="000000"/>
              </w:rPr>
              <w:t> </w:t>
            </w:r>
          </w:p>
        </w:tc>
      </w:tr>
      <w:tr>
        <w:trPr/>
        <w:tc>
          <w:tcPr>
            <w:tcW w:w="2900" w:type="dxa"/>
            <w:tcBorders/>
            <w:shd w:fill="FFFFFF" w:val="clear"/>
            <w:tcMar>
              <w:bottom w:w="0"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Less imputed interest</w:t>
            </w:r>
          </w:p>
        </w:tc>
        <w:tc>
          <w:tcPr>
            <w:tcW w:w="60"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172" w:type="dxa"/>
            <w:tcBorders>
              <w:bottom w:val="single" w:sz="12" w:space="0" w:color="000000"/>
            </w:tcBorders>
            <w:shd w:fill="FFFFFF" w:val="clear"/>
            <w:vAlign w:val="center"/>
          </w:tcPr>
          <w:p>
            <w:pPr>
              <w:pStyle w:val="TableContents"/>
              <w:bidi w:val="0"/>
              <w:spacing w:before="0" w:after="283"/>
              <w:jc w:val="left"/>
              <w:rPr>
                <w:color w:val="000000"/>
              </w:rPr>
            </w:pPr>
            <w:r>
              <w:rPr>
                <w:color w:val="000000"/>
              </w:rPr>
              <w:t> </w:t>
            </w:r>
          </w:p>
        </w:tc>
        <w:tc>
          <w:tcPr>
            <w:tcW w:w="688"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338</w:t>
            </w:r>
          </w:p>
        </w:tc>
        <w:tc>
          <w:tcPr>
            <w:tcW w:w="75" w:type="dxa"/>
            <w:tcBorders/>
            <w:shd w:fill="FFFFFF" w:val="clear"/>
            <w:tcMar>
              <w:bottom w:w="0" w:type="dxa"/>
            </w:tcMar>
            <w:vAlign w:val="center"/>
          </w:tcPr>
          <w:p>
            <w:pPr>
              <w:pStyle w:val="TableContents"/>
              <w:bidi w:val="0"/>
              <w:spacing w:before="0" w:after="283"/>
              <w:jc w:val="left"/>
              <w:rPr>
                <w:color w:val="000000"/>
              </w:rPr>
            </w:pPr>
            <w:r>
              <w:rPr>
                <w:color w:val="000000"/>
              </w:rPr>
              <w:t> </w:t>
            </w:r>
          </w:p>
        </w:tc>
      </w:tr>
      <w:tr>
        <w:trPr/>
        <w:tc>
          <w:tcPr>
            <w:tcW w:w="2900" w:type="dxa"/>
            <w:tcBorders/>
            <w:shd w:fill="CCEEFF" w:val="clear"/>
            <w:tcMar>
              <w:bottom w:w="0"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 operating lease liabilities</w:t>
            </w:r>
          </w:p>
        </w:tc>
        <w:tc>
          <w:tcPr>
            <w:tcW w:w="6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7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88"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4,129</w:t>
            </w:r>
          </w:p>
        </w:tc>
        <w:tc>
          <w:tcPr>
            <w:tcW w:w="75" w:type="dxa"/>
            <w:tcBorders/>
            <w:shd w:fill="CCEEFF" w:val="clear"/>
            <w:tcMar>
              <w:bottom w:w="0" w:type="dxa"/>
            </w:tcM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7975" w:type="dxa"/>
        <w:jc w:val="left"/>
        <w:tblInd w:w="0" w:type="dxa"/>
        <w:tblLayout w:type="fixed"/>
        <w:tblCellMar>
          <w:top w:w="0" w:type="dxa"/>
          <w:left w:w="0" w:type="dxa"/>
          <w:bottom w:w="0" w:type="dxa"/>
          <w:right w:w="0" w:type="dxa"/>
        </w:tblCellMar>
      </w:tblPr>
      <w:tblGrid>
        <w:gridCol w:w="245"/>
        <w:gridCol w:w="7730"/>
      </w:tblGrid>
      <w:tr>
        <w:trPr/>
        <w:tc>
          <w:tcPr>
            <w:tcW w:w="245" w:type="dxa"/>
            <w:tcBorders/>
            <w:vAlign w:val="center"/>
          </w:tcPr>
          <w:p>
            <w:pPr>
              <w:pStyle w:val="TableContents"/>
              <w:bidi w:val="0"/>
              <w:spacing w:before="0" w:after="283"/>
              <w:jc w:val="right"/>
              <w:rPr>
                <w:rFonts w:ascii="Times New Roman;Times;Serif" w:hAnsi="Times New Roman;Times;Serif"/>
                <w:color w:val="000000"/>
                <w:position w:val="7"/>
                <w:sz w:val="16"/>
                <w:sz w:val="20"/>
              </w:rPr>
            </w:pPr>
            <w:r>
              <w:rPr>
                <w:rFonts w:ascii="Times New Roman;Times;Serif" w:hAnsi="Times New Roman;Times;Serif"/>
                <w:color w:val="000000"/>
                <w:position w:val="7"/>
                <w:sz w:val="16"/>
                <w:sz w:val="20"/>
              </w:rPr>
              <w:t>(1)</w:t>
            </w:r>
          </w:p>
        </w:tc>
        <w:tc>
          <w:tcPr>
            <w:tcW w:w="7730" w:type="dxa"/>
            <w:tcBorders/>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Represents scheduled payments for the remaining six-month period ending December 31, 2023</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caps w:val="false"/>
          <w:smallCaps w:val="false"/>
          <w:color w:val="000000"/>
        </w:rPr>
      </w:pPr>
      <w:r>
        <w:rPr>
          <w:caps w:val="false"/>
          <w:smallCaps w:val="false"/>
          <w:color w:val="000000"/>
        </w:rPr>
        <w:t> </w:t>
      </w:r>
      <w:r>
        <w:rPr>
          <w:rFonts w:ascii="Times New Roman;Times;Serif" w:hAnsi="Times New Roman;Times;Serif"/>
          <w:b w:val="false"/>
          <w:i w:val="false"/>
          <w:caps w:val="false"/>
          <w:smallCaps w:val="false"/>
          <w:color w:val="000000"/>
          <w:sz w:val="20"/>
        </w:rPr>
        <w:t>SCHEDULE OF LEASE COST </w:t>
      </w:r>
    </w:p>
    <w:tbl>
      <w:tblPr>
        <w:tblW w:w="10205" w:type="dxa"/>
        <w:jc w:val="left"/>
        <w:tblInd w:w="0" w:type="dxa"/>
        <w:tblLayout w:type="fixed"/>
        <w:tblCellMar>
          <w:top w:w="0" w:type="dxa"/>
          <w:left w:w="0" w:type="dxa"/>
          <w:bottom w:w="0" w:type="dxa"/>
          <w:right w:w="0" w:type="dxa"/>
        </w:tblCellMar>
      </w:tblPr>
      <w:tblGrid>
        <w:gridCol w:w="1900"/>
        <w:gridCol w:w="60"/>
        <w:gridCol w:w="2520"/>
        <w:gridCol w:w="60"/>
        <w:gridCol w:w="284"/>
        <w:gridCol w:w="1018"/>
        <w:gridCol w:w="121"/>
        <w:gridCol w:w="121"/>
        <w:gridCol w:w="284"/>
        <w:gridCol w:w="1018"/>
        <w:gridCol w:w="60"/>
        <w:gridCol w:w="60"/>
        <w:gridCol w:w="261"/>
        <w:gridCol w:w="936"/>
        <w:gridCol w:w="111"/>
        <w:gridCol w:w="111"/>
        <w:gridCol w:w="261"/>
        <w:gridCol w:w="936"/>
        <w:gridCol w:w="83"/>
      </w:tblGrid>
      <w:tr>
        <w:trPr/>
        <w:tc>
          <w:tcPr>
            <w:tcW w:w="190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52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84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 xml:space="preserve">For The Three Months Ended </w:t>
              <w:br/>
              <w:t>June 30,</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61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 xml:space="preserve">For The Six Months Ended </w:t>
              <w:br/>
              <w:t>June 30,</w:t>
            </w:r>
          </w:p>
        </w:tc>
        <w:tc>
          <w:tcPr>
            <w:tcW w:w="83" w:type="dxa"/>
            <w:tcBorders/>
            <w:vAlign w:val="center"/>
          </w:tcPr>
          <w:p>
            <w:pPr>
              <w:pStyle w:val="TableContents"/>
              <w:bidi w:val="0"/>
              <w:spacing w:before="0" w:after="283"/>
              <w:jc w:val="left"/>
              <w:rPr>
                <w:color w:val="000000"/>
              </w:rPr>
            </w:pPr>
            <w:r>
              <w:rPr>
                <w:color w:val="000000"/>
              </w:rPr>
              <w:t> </w:t>
            </w:r>
          </w:p>
        </w:tc>
      </w:tr>
      <w:tr>
        <w:trPr/>
        <w:tc>
          <w:tcPr>
            <w:tcW w:w="190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Lease cost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52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Classification</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8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018"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2023</w:t>
            </w:r>
          </w:p>
        </w:tc>
        <w:tc>
          <w:tcPr>
            <w:tcW w:w="121" w:type="dxa"/>
            <w:tcBorders/>
            <w:shd w:fill="FFFFFF" w:val="clear"/>
            <w:vAlign w:val="center"/>
          </w:tcPr>
          <w:p>
            <w:pPr>
              <w:pStyle w:val="TableContents"/>
              <w:bidi w:val="0"/>
              <w:spacing w:before="0" w:after="283"/>
              <w:jc w:val="left"/>
              <w:rPr>
                <w:color w:val="000000"/>
              </w:rPr>
            </w:pPr>
            <w:r>
              <w:rPr>
                <w:color w:val="000000"/>
              </w:rPr>
              <w:t> </w:t>
            </w:r>
          </w:p>
        </w:tc>
        <w:tc>
          <w:tcPr>
            <w:tcW w:w="121" w:type="dxa"/>
            <w:tcBorders/>
            <w:shd w:fill="FFFFFF" w:val="clear"/>
            <w:vAlign w:val="center"/>
          </w:tcPr>
          <w:p>
            <w:pPr>
              <w:pStyle w:val="TableContents"/>
              <w:bidi w:val="0"/>
              <w:spacing w:before="0" w:after="283"/>
              <w:jc w:val="left"/>
              <w:rPr>
                <w:color w:val="000000"/>
              </w:rPr>
            </w:pPr>
            <w:r>
              <w:rPr>
                <w:color w:val="000000"/>
              </w:rPr>
              <w:t> </w:t>
            </w:r>
          </w:p>
        </w:tc>
        <w:tc>
          <w:tcPr>
            <w:tcW w:w="284"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018"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2022</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6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36"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2023</w:t>
            </w:r>
          </w:p>
        </w:tc>
        <w:tc>
          <w:tcPr>
            <w:tcW w:w="111" w:type="dxa"/>
            <w:tcBorders/>
            <w:shd w:fill="FFFFFF" w:val="clear"/>
            <w:vAlign w:val="center"/>
          </w:tcPr>
          <w:p>
            <w:pPr>
              <w:pStyle w:val="TableContents"/>
              <w:bidi w:val="0"/>
              <w:spacing w:before="0" w:after="283"/>
              <w:jc w:val="left"/>
              <w:rPr>
                <w:color w:val="000000"/>
              </w:rPr>
            </w:pPr>
            <w:r>
              <w:rPr>
                <w:color w:val="000000"/>
              </w:rPr>
              <w:t> </w:t>
            </w:r>
          </w:p>
        </w:tc>
        <w:tc>
          <w:tcPr>
            <w:tcW w:w="111" w:type="dxa"/>
            <w:tcBorders/>
            <w:shd w:fill="FFFFFF" w:val="clear"/>
            <w:vAlign w:val="center"/>
          </w:tcPr>
          <w:p>
            <w:pPr>
              <w:pStyle w:val="TableContents"/>
              <w:bidi w:val="0"/>
              <w:spacing w:before="0" w:after="283"/>
              <w:jc w:val="left"/>
              <w:rPr>
                <w:color w:val="000000"/>
              </w:rPr>
            </w:pPr>
            <w:r>
              <w:rPr>
                <w:color w:val="000000"/>
              </w:rPr>
              <w:t> </w:t>
            </w:r>
          </w:p>
        </w:tc>
        <w:tc>
          <w:tcPr>
            <w:tcW w:w="26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36"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2022</w:t>
            </w:r>
          </w:p>
        </w:tc>
        <w:tc>
          <w:tcPr>
            <w:tcW w:w="83" w:type="dxa"/>
            <w:tcBorders/>
            <w:shd w:fill="FFFFFF" w:val="clear"/>
            <w:vAlign w:val="center"/>
          </w:tcPr>
          <w:p>
            <w:pPr>
              <w:pStyle w:val="TableContents"/>
              <w:bidi w:val="0"/>
              <w:spacing w:before="0" w:after="283"/>
              <w:jc w:val="left"/>
              <w:rPr>
                <w:color w:val="000000"/>
              </w:rPr>
            </w:pPr>
            <w:r>
              <w:rPr>
                <w:color w:val="000000"/>
              </w:rPr>
              <w:t> </w:t>
            </w:r>
          </w:p>
        </w:tc>
      </w:tr>
      <w:tr>
        <w:trPr/>
        <w:tc>
          <w:tcPr>
            <w:tcW w:w="190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Operating lease cost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2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Cost of goods sold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84"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01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348</w:t>
            </w:r>
          </w:p>
        </w:tc>
        <w:tc>
          <w:tcPr>
            <w:tcW w:w="121" w:type="dxa"/>
            <w:tcBorders/>
            <w:shd w:fill="CCEEFF" w:val="clear"/>
            <w:vAlign w:val="center"/>
          </w:tcPr>
          <w:p>
            <w:pPr>
              <w:pStyle w:val="TableContents"/>
              <w:bidi w:val="0"/>
              <w:spacing w:before="0" w:after="283"/>
              <w:jc w:val="left"/>
              <w:rPr>
                <w:color w:val="000000"/>
              </w:rPr>
            </w:pPr>
            <w:r>
              <w:rPr>
                <w:color w:val="000000"/>
              </w:rPr>
              <w:t> </w:t>
            </w:r>
          </w:p>
        </w:tc>
        <w:tc>
          <w:tcPr>
            <w:tcW w:w="121" w:type="dxa"/>
            <w:tcBorders/>
            <w:shd w:fill="CCEEFF" w:val="clear"/>
            <w:vAlign w:val="center"/>
          </w:tcPr>
          <w:p>
            <w:pPr>
              <w:pStyle w:val="TableContents"/>
              <w:bidi w:val="0"/>
              <w:spacing w:before="0" w:after="283"/>
              <w:jc w:val="left"/>
              <w:rPr>
                <w:color w:val="000000"/>
              </w:rPr>
            </w:pPr>
            <w:r>
              <w:rPr>
                <w:color w:val="000000"/>
              </w:rPr>
              <w:t> </w:t>
            </w:r>
          </w:p>
        </w:tc>
        <w:tc>
          <w:tcPr>
            <w:tcW w:w="284"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01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355</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61"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3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695</w:t>
            </w:r>
          </w:p>
        </w:tc>
        <w:tc>
          <w:tcPr>
            <w:tcW w:w="111" w:type="dxa"/>
            <w:tcBorders/>
            <w:shd w:fill="CCEEFF" w:val="clear"/>
            <w:vAlign w:val="center"/>
          </w:tcPr>
          <w:p>
            <w:pPr>
              <w:pStyle w:val="TableContents"/>
              <w:bidi w:val="0"/>
              <w:spacing w:before="0" w:after="283"/>
              <w:jc w:val="left"/>
              <w:rPr>
                <w:color w:val="000000"/>
              </w:rPr>
            </w:pPr>
            <w:r>
              <w:rPr>
                <w:color w:val="000000"/>
              </w:rPr>
              <w:t> </w:t>
            </w:r>
          </w:p>
        </w:tc>
        <w:tc>
          <w:tcPr>
            <w:tcW w:w="111" w:type="dxa"/>
            <w:tcBorders/>
            <w:shd w:fill="CCEEFF" w:val="clear"/>
            <w:vAlign w:val="center"/>
          </w:tcPr>
          <w:p>
            <w:pPr>
              <w:pStyle w:val="TableContents"/>
              <w:bidi w:val="0"/>
              <w:spacing w:before="0" w:after="283"/>
              <w:jc w:val="left"/>
              <w:rPr>
                <w:color w:val="000000"/>
              </w:rPr>
            </w:pPr>
            <w:r>
              <w:rPr>
                <w:color w:val="000000"/>
              </w:rPr>
              <w:t> </w:t>
            </w:r>
          </w:p>
        </w:tc>
        <w:tc>
          <w:tcPr>
            <w:tcW w:w="261"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3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527</w:t>
            </w:r>
          </w:p>
        </w:tc>
        <w:tc>
          <w:tcPr>
            <w:tcW w:w="83" w:type="dxa"/>
            <w:tcBorders/>
            <w:shd w:fill="CCEEFF" w:val="clear"/>
            <w:vAlign w:val="center"/>
          </w:tcPr>
          <w:p>
            <w:pPr>
              <w:pStyle w:val="TableContents"/>
              <w:bidi w:val="0"/>
              <w:spacing w:before="0" w:after="283"/>
              <w:jc w:val="left"/>
              <w:rPr>
                <w:color w:val="000000"/>
              </w:rPr>
            </w:pPr>
            <w:r>
              <w:rPr>
                <w:color w:val="000000"/>
              </w:rPr>
              <w:t> </w:t>
            </w:r>
          </w:p>
        </w:tc>
      </w:tr>
      <w:tr>
        <w:trPr/>
        <w:tc>
          <w:tcPr>
            <w:tcW w:w="190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Operating lease cost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52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Research and development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84" w:type="dxa"/>
            <w:tcBorders/>
            <w:shd w:fill="FFFFFF" w:val="clear"/>
            <w:vAlign w:val="center"/>
          </w:tcPr>
          <w:p>
            <w:pPr>
              <w:pStyle w:val="TableContents"/>
              <w:bidi w:val="0"/>
              <w:spacing w:before="0" w:after="283"/>
              <w:jc w:val="left"/>
              <w:rPr>
                <w:color w:val="000000"/>
              </w:rPr>
            </w:pPr>
            <w:r>
              <w:rPr>
                <w:color w:val="000000"/>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w:t>
            </w:r>
          </w:p>
        </w:tc>
        <w:tc>
          <w:tcPr>
            <w:tcW w:w="121" w:type="dxa"/>
            <w:tcBorders/>
            <w:shd w:fill="FFFFFF" w:val="clear"/>
            <w:vAlign w:val="center"/>
          </w:tcPr>
          <w:p>
            <w:pPr>
              <w:pStyle w:val="TableContents"/>
              <w:bidi w:val="0"/>
              <w:spacing w:before="0" w:after="283"/>
              <w:jc w:val="left"/>
              <w:rPr>
                <w:color w:val="000000"/>
              </w:rPr>
            </w:pPr>
            <w:r>
              <w:rPr>
                <w:color w:val="000000"/>
              </w:rPr>
              <w:t> </w:t>
            </w:r>
          </w:p>
        </w:tc>
        <w:tc>
          <w:tcPr>
            <w:tcW w:w="121" w:type="dxa"/>
            <w:tcBorders/>
            <w:shd w:fill="FFFFFF" w:val="clear"/>
            <w:vAlign w:val="center"/>
          </w:tcPr>
          <w:p>
            <w:pPr>
              <w:pStyle w:val="TableContents"/>
              <w:bidi w:val="0"/>
              <w:spacing w:before="0" w:after="283"/>
              <w:jc w:val="left"/>
              <w:rPr>
                <w:color w:val="000000"/>
              </w:rPr>
            </w:pPr>
            <w:r>
              <w:rPr>
                <w:color w:val="000000"/>
              </w:rPr>
              <w:t> </w:t>
            </w:r>
          </w:p>
        </w:tc>
        <w:tc>
          <w:tcPr>
            <w:tcW w:w="284" w:type="dxa"/>
            <w:tcBorders/>
            <w:shd w:fill="FFFFFF" w:val="clear"/>
            <w:vAlign w:val="center"/>
          </w:tcPr>
          <w:p>
            <w:pPr>
              <w:pStyle w:val="TableContents"/>
              <w:bidi w:val="0"/>
              <w:spacing w:before="0" w:after="283"/>
              <w:jc w:val="left"/>
              <w:rPr>
                <w:color w:val="000000"/>
              </w:rPr>
            </w:pPr>
            <w:r>
              <w:rPr>
                <w:color w:val="000000"/>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61" w:type="dxa"/>
            <w:tcBorders/>
            <w:shd w:fill="FFFFFF" w:val="clear"/>
            <w:vAlign w:val="center"/>
          </w:tcPr>
          <w:p>
            <w:pPr>
              <w:pStyle w:val="TableContents"/>
              <w:bidi w:val="0"/>
              <w:spacing w:before="0" w:after="283"/>
              <w:jc w:val="left"/>
              <w:rPr>
                <w:color w:val="000000"/>
              </w:rPr>
            </w:pPr>
            <w:r>
              <w:rPr>
                <w:color w:val="000000"/>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45</w:t>
            </w:r>
          </w:p>
        </w:tc>
        <w:tc>
          <w:tcPr>
            <w:tcW w:w="111" w:type="dxa"/>
            <w:tcBorders/>
            <w:shd w:fill="FFFFFF" w:val="clear"/>
            <w:vAlign w:val="center"/>
          </w:tcPr>
          <w:p>
            <w:pPr>
              <w:pStyle w:val="TableContents"/>
              <w:bidi w:val="0"/>
              <w:spacing w:before="0" w:after="283"/>
              <w:jc w:val="left"/>
              <w:rPr>
                <w:color w:val="000000"/>
              </w:rPr>
            </w:pPr>
            <w:r>
              <w:rPr>
                <w:color w:val="000000"/>
              </w:rPr>
              <w:t> </w:t>
            </w:r>
          </w:p>
        </w:tc>
        <w:tc>
          <w:tcPr>
            <w:tcW w:w="111" w:type="dxa"/>
            <w:tcBorders/>
            <w:shd w:fill="FFFFFF" w:val="clear"/>
            <w:vAlign w:val="center"/>
          </w:tcPr>
          <w:p>
            <w:pPr>
              <w:pStyle w:val="TableContents"/>
              <w:bidi w:val="0"/>
              <w:spacing w:before="0" w:after="283"/>
              <w:jc w:val="left"/>
              <w:rPr>
                <w:color w:val="000000"/>
              </w:rPr>
            </w:pPr>
            <w:r>
              <w:rPr>
                <w:color w:val="000000"/>
              </w:rPr>
              <w:t> </w:t>
            </w:r>
          </w:p>
        </w:tc>
        <w:tc>
          <w:tcPr>
            <w:tcW w:w="261" w:type="dxa"/>
            <w:tcBorders/>
            <w:shd w:fill="FFFFFF" w:val="clear"/>
            <w:vAlign w:val="center"/>
          </w:tcPr>
          <w:p>
            <w:pPr>
              <w:pStyle w:val="TableContents"/>
              <w:bidi w:val="0"/>
              <w:spacing w:before="0" w:after="283"/>
              <w:jc w:val="left"/>
              <w:rPr>
                <w:color w:val="000000"/>
              </w:rPr>
            </w:pPr>
            <w:r>
              <w:rPr>
                <w:color w:val="000000"/>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59</w:t>
            </w:r>
          </w:p>
        </w:tc>
        <w:tc>
          <w:tcPr>
            <w:tcW w:w="83" w:type="dxa"/>
            <w:tcBorders/>
            <w:shd w:fill="FFFFFF" w:val="clear"/>
            <w:vAlign w:val="center"/>
          </w:tcPr>
          <w:p>
            <w:pPr>
              <w:pStyle w:val="TableContents"/>
              <w:bidi w:val="0"/>
              <w:spacing w:before="0" w:after="283"/>
              <w:jc w:val="left"/>
              <w:rPr>
                <w:color w:val="000000"/>
              </w:rPr>
            </w:pPr>
            <w:r>
              <w:rPr>
                <w:color w:val="000000"/>
              </w:rPr>
              <w:t> </w:t>
            </w:r>
          </w:p>
        </w:tc>
      </w:tr>
      <w:tr>
        <w:trPr/>
        <w:tc>
          <w:tcPr>
            <w:tcW w:w="190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Operating lease cost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2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General and administration</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84" w:type="dxa"/>
            <w:tcBorders/>
            <w:shd w:fill="CCEEFF" w:val="clear"/>
            <w:vAlign w:val="center"/>
          </w:tcPr>
          <w:p>
            <w:pPr>
              <w:pStyle w:val="TableContents"/>
              <w:bidi w:val="0"/>
              <w:spacing w:before="0" w:after="283"/>
              <w:jc w:val="left"/>
              <w:rPr>
                <w:color w:val="000000"/>
              </w:rPr>
            </w:pPr>
            <w:r>
              <w:rPr>
                <w:color w:val="000000"/>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w:t>
            </w:r>
          </w:p>
        </w:tc>
        <w:tc>
          <w:tcPr>
            <w:tcW w:w="121" w:type="dxa"/>
            <w:tcBorders/>
            <w:shd w:fill="CCEEFF" w:val="clear"/>
            <w:vAlign w:val="center"/>
          </w:tcPr>
          <w:p>
            <w:pPr>
              <w:pStyle w:val="TableContents"/>
              <w:bidi w:val="0"/>
              <w:spacing w:before="0" w:after="283"/>
              <w:jc w:val="left"/>
              <w:rPr>
                <w:color w:val="000000"/>
              </w:rPr>
            </w:pPr>
            <w:r>
              <w:rPr>
                <w:color w:val="000000"/>
              </w:rPr>
              <w:t> </w:t>
            </w:r>
          </w:p>
        </w:tc>
        <w:tc>
          <w:tcPr>
            <w:tcW w:w="121" w:type="dxa"/>
            <w:tcBorders/>
            <w:shd w:fill="CCEEFF" w:val="clear"/>
            <w:vAlign w:val="center"/>
          </w:tcPr>
          <w:p>
            <w:pPr>
              <w:pStyle w:val="TableContents"/>
              <w:bidi w:val="0"/>
              <w:spacing w:before="0" w:after="283"/>
              <w:jc w:val="left"/>
              <w:rPr>
                <w:color w:val="000000"/>
              </w:rPr>
            </w:pPr>
            <w:r>
              <w:rPr>
                <w:color w:val="000000"/>
              </w:rPr>
              <w:t> </w:t>
            </w:r>
          </w:p>
        </w:tc>
        <w:tc>
          <w:tcPr>
            <w:tcW w:w="284" w:type="dxa"/>
            <w:tcBorders/>
            <w:shd w:fill="CCEEFF" w:val="clear"/>
            <w:vAlign w:val="center"/>
          </w:tcPr>
          <w:p>
            <w:pPr>
              <w:pStyle w:val="TableContents"/>
              <w:bidi w:val="0"/>
              <w:spacing w:before="0" w:after="283"/>
              <w:jc w:val="left"/>
              <w:rPr>
                <w:color w:val="000000"/>
              </w:rPr>
            </w:pPr>
            <w:r>
              <w:rPr>
                <w:color w:val="000000"/>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61" w:type="dxa"/>
            <w:tcBorders/>
            <w:shd w:fill="CCEEFF" w:val="clear"/>
            <w:vAlign w:val="center"/>
          </w:tcPr>
          <w:p>
            <w:pPr>
              <w:pStyle w:val="TableContents"/>
              <w:bidi w:val="0"/>
              <w:spacing w:before="0" w:after="283"/>
              <w:jc w:val="left"/>
              <w:rPr>
                <w:color w:val="000000"/>
              </w:rPr>
            </w:pPr>
            <w:r>
              <w:rPr>
                <w:color w:val="000000"/>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24</w:t>
            </w:r>
          </w:p>
        </w:tc>
        <w:tc>
          <w:tcPr>
            <w:tcW w:w="111" w:type="dxa"/>
            <w:tcBorders/>
            <w:shd w:fill="CCEEFF" w:val="clear"/>
            <w:vAlign w:val="center"/>
          </w:tcPr>
          <w:p>
            <w:pPr>
              <w:pStyle w:val="TableContents"/>
              <w:bidi w:val="0"/>
              <w:spacing w:before="0" w:after="283"/>
              <w:jc w:val="left"/>
              <w:rPr>
                <w:color w:val="000000"/>
              </w:rPr>
            </w:pPr>
            <w:r>
              <w:rPr>
                <w:color w:val="000000"/>
              </w:rPr>
              <w:t> </w:t>
            </w:r>
          </w:p>
        </w:tc>
        <w:tc>
          <w:tcPr>
            <w:tcW w:w="111" w:type="dxa"/>
            <w:tcBorders/>
            <w:shd w:fill="CCEEFF" w:val="clear"/>
            <w:vAlign w:val="center"/>
          </w:tcPr>
          <w:p>
            <w:pPr>
              <w:pStyle w:val="TableContents"/>
              <w:bidi w:val="0"/>
              <w:spacing w:before="0" w:after="283"/>
              <w:jc w:val="left"/>
              <w:rPr>
                <w:color w:val="000000"/>
              </w:rPr>
            </w:pPr>
            <w:r>
              <w:rPr>
                <w:color w:val="000000"/>
              </w:rPr>
              <w:t> </w:t>
            </w:r>
          </w:p>
        </w:tc>
        <w:tc>
          <w:tcPr>
            <w:tcW w:w="261" w:type="dxa"/>
            <w:tcBorders/>
            <w:shd w:fill="CCEEFF" w:val="clear"/>
            <w:vAlign w:val="center"/>
          </w:tcPr>
          <w:p>
            <w:pPr>
              <w:pStyle w:val="TableContents"/>
              <w:bidi w:val="0"/>
              <w:spacing w:before="0" w:after="283"/>
              <w:jc w:val="left"/>
              <w:rPr>
                <w:color w:val="000000"/>
              </w:rPr>
            </w:pPr>
            <w:r>
              <w:rPr>
                <w:color w:val="000000"/>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30</w:t>
            </w:r>
          </w:p>
        </w:tc>
        <w:tc>
          <w:tcPr>
            <w:tcW w:w="83" w:type="dxa"/>
            <w:tcBorders/>
            <w:shd w:fill="CCEEFF" w:val="clear"/>
            <w:vAlign w:val="center"/>
          </w:tcPr>
          <w:p>
            <w:pPr>
              <w:pStyle w:val="TableContents"/>
              <w:bidi w:val="0"/>
              <w:spacing w:before="0" w:after="283"/>
              <w:jc w:val="left"/>
              <w:rPr>
                <w:color w:val="000000"/>
              </w:rPr>
            </w:pPr>
            <w:r>
              <w:rPr>
                <w:color w:val="000000"/>
              </w:rPr>
              <w:t> </w:t>
            </w:r>
          </w:p>
        </w:tc>
      </w:tr>
      <w:tr>
        <w:trPr/>
        <w:tc>
          <w:tcPr>
            <w:tcW w:w="190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Operating lease cost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52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Selling and marketing</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0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w:t>
            </w:r>
          </w:p>
        </w:tc>
        <w:tc>
          <w:tcPr>
            <w:tcW w:w="121" w:type="dxa"/>
            <w:tcBorders/>
            <w:shd w:fill="FFFFFF" w:val="clear"/>
            <w:vAlign w:val="center"/>
          </w:tcPr>
          <w:p>
            <w:pPr>
              <w:pStyle w:val="TableContents"/>
              <w:bidi w:val="0"/>
              <w:spacing w:before="0" w:after="283"/>
              <w:jc w:val="left"/>
              <w:rPr>
                <w:color w:val="000000"/>
              </w:rPr>
            </w:pPr>
            <w:r>
              <w:rPr>
                <w:color w:val="000000"/>
              </w:rPr>
              <w:t> </w:t>
            </w:r>
          </w:p>
        </w:tc>
        <w:tc>
          <w:tcPr>
            <w:tcW w:w="121" w:type="dxa"/>
            <w:tcBorders/>
            <w:shd w:fill="FFFFFF" w:val="clear"/>
            <w:vAlign w:val="center"/>
          </w:tcPr>
          <w:p>
            <w:pPr>
              <w:pStyle w:val="TableContents"/>
              <w:bidi w:val="0"/>
              <w:spacing w:before="0" w:after="283"/>
              <w:jc w:val="left"/>
              <w:rPr>
                <w:color w:val="000000"/>
              </w:rPr>
            </w:pPr>
            <w:r>
              <w:rPr>
                <w:color w:val="000000"/>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0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61"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24</w:t>
            </w:r>
          </w:p>
        </w:tc>
        <w:tc>
          <w:tcPr>
            <w:tcW w:w="111" w:type="dxa"/>
            <w:tcBorders/>
            <w:shd w:fill="FFFFFF" w:val="clear"/>
            <w:vAlign w:val="center"/>
          </w:tcPr>
          <w:p>
            <w:pPr>
              <w:pStyle w:val="TableContents"/>
              <w:bidi w:val="0"/>
              <w:spacing w:before="0" w:after="283"/>
              <w:jc w:val="left"/>
              <w:rPr>
                <w:color w:val="000000"/>
              </w:rPr>
            </w:pPr>
            <w:r>
              <w:rPr>
                <w:color w:val="000000"/>
              </w:rPr>
              <w:t> </w:t>
            </w:r>
          </w:p>
        </w:tc>
        <w:tc>
          <w:tcPr>
            <w:tcW w:w="111" w:type="dxa"/>
            <w:tcBorders/>
            <w:shd w:fill="FFFFFF" w:val="clear"/>
            <w:vAlign w:val="center"/>
          </w:tcPr>
          <w:p>
            <w:pPr>
              <w:pStyle w:val="TableContents"/>
              <w:bidi w:val="0"/>
              <w:spacing w:before="0" w:after="283"/>
              <w:jc w:val="left"/>
              <w:rPr>
                <w:color w:val="000000"/>
              </w:rPr>
            </w:pPr>
            <w:r>
              <w:rPr>
                <w:color w:val="000000"/>
              </w:rPr>
              <w:t> </w:t>
            </w:r>
          </w:p>
        </w:tc>
        <w:tc>
          <w:tcPr>
            <w:tcW w:w="261"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30</w:t>
            </w:r>
          </w:p>
        </w:tc>
        <w:tc>
          <w:tcPr>
            <w:tcW w:w="83" w:type="dxa"/>
            <w:tcBorders/>
            <w:shd w:fill="FFFFFF" w:val="clear"/>
            <w:vAlign w:val="center"/>
          </w:tcPr>
          <w:p>
            <w:pPr>
              <w:pStyle w:val="TableContents"/>
              <w:bidi w:val="0"/>
              <w:spacing w:before="0" w:after="283"/>
              <w:jc w:val="left"/>
              <w:rPr>
                <w:color w:val="000000"/>
              </w:rPr>
            </w:pPr>
            <w:r>
              <w:rPr>
                <w:color w:val="000000"/>
              </w:rPr>
              <w:t> </w:t>
            </w:r>
          </w:p>
        </w:tc>
      </w:tr>
      <w:tr>
        <w:trPr/>
        <w:tc>
          <w:tcPr>
            <w:tcW w:w="190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 lease cost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2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0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395</w:t>
            </w:r>
          </w:p>
        </w:tc>
        <w:tc>
          <w:tcPr>
            <w:tcW w:w="121" w:type="dxa"/>
            <w:tcBorders/>
            <w:shd w:fill="CCEEFF" w:val="clear"/>
            <w:vAlign w:val="center"/>
          </w:tcPr>
          <w:p>
            <w:pPr>
              <w:pStyle w:val="TableContents"/>
              <w:bidi w:val="0"/>
              <w:spacing w:before="0" w:after="283"/>
              <w:jc w:val="left"/>
              <w:rPr>
                <w:color w:val="000000"/>
              </w:rPr>
            </w:pPr>
            <w:r>
              <w:rPr>
                <w:color w:val="000000"/>
              </w:rPr>
              <w:t> </w:t>
            </w:r>
          </w:p>
        </w:tc>
        <w:tc>
          <w:tcPr>
            <w:tcW w:w="121" w:type="dxa"/>
            <w:tcBorders/>
            <w:shd w:fill="CCEEFF" w:val="clear"/>
            <w:vAlign w:val="center"/>
          </w:tcPr>
          <w:p>
            <w:pPr>
              <w:pStyle w:val="TableContents"/>
              <w:bidi w:val="0"/>
              <w:spacing w:before="0" w:after="283"/>
              <w:jc w:val="left"/>
              <w:rPr>
                <w:color w:val="000000"/>
              </w:rPr>
            </w:pPr>
            <w:r>
              <w:rPr>
                <w:color w:val="000000"/>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0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435</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788</w:t>
            </w:r>
          </w:p>
        </w:tc>
        <w:tc>
          <w:tcPr>
            <w:tcW w:w="111" w:type="dxa"/>
            <w:tcBorders/>
            <w:shd w:fill="CCEEFF" w:val="clear"/>
            <w:vAlign w:val="center"/>
          </w:tcPr>
          <w:p>
            <w:pPr>
              <w:pStyle w:val="TableContents"/>
              <w:bidi w:val="0"/>
              <w:spacing w:before="0" w:after="283"/>
              <w:jc w:val="left"/>
              <w:rPr>
                <w:color w:val="000000"/>
              </w:rPr>
            </w:pPr>
            <w:r>
              <w:rPr>
                <w:color w:val="000000"/>
              </w:rPr>
              <w:t> </w:t>
            </w:r>
          </w:p>
        </w:tc>
        <w:tc>
          <w:tcPr>
            <w:tcW w:w="111" w:type="dxa"/>
            <w:tcBorders/>
            <w:shd w:fill="CCEEFF" w:val="clear"/>
            <w:vAlign w:val="center"/>
          </w:tcPr>
          <w:p>
            <w:pPr>
              <w:pStyle w:val="TableContents"/>
              <w:bidi w:val="0"/>
              <w:spacing w:before="0" w:after="283"/>
              <w:jc w:val="left"/>
              <w:rPr>
                <w:color w:val="000000"/>
              </w:rPr>
            </w:pPr>
            <w:r>
              <w:rPr>
                <w:color w:val="000000"/>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646</w:t>
            </w:r>
          </w:p>
        </w:tc>
        <w:tc>
          <w:tcPr>
            <w:tcW w:w="83"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Earnout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“Earnout Shares”).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Other Contingencies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See Note 7 for further discussion regarding contingent consideration arising from the April 2022 asset purchase agreement with Thomason Jones Company, LLC.</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120" w:after="283"/>
        <w:jc w:val="left"/>
        <w:rPr/>
      </w:pPr>
      <w:r>
        <w:rPr/>
        <w:t> </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center"/>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i w:val="false"/>
          <w:smallCaps/>
          <w:color w:val="000000"/>
          <w:sz w:val="20"/>
        </w:rPr>
      </w:pPr>
      <w:r>
        <w:rPr>
          <w:rFonts w:ascii="Times New Roman;Times;Serif" w:hAnsi="Times New Roman;Times;Serif"/>
          <w:b/>
          <w:i w:val="false"/>
          <w:smallCaps/>
          <w:color w:val="000000"/>
          <w:sz w:val="20"/>
        </w:rPr>
        <w:t>Note 6 - DEBT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Financing Trust Indenture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connection with the merger on October 7, 2022 (the “Closing Date”), the Company entered into a Term Loan, Guarantee and Security Agreement (see “Term Loan Agreement” below) and the outstanding principal balance for the Series 2021-6 Notes underlying the Trust Indenture was paid in full. A loss on extinguishment of $4,824 was recognized upon settlement. During the six months ended June 30, 2022, a total of $1,254 of interest expense was incurred under the debt. Amortization of the debt issuance costs amounted to $1,197 during the six months ended June 30, 2022. During the three months ended June 30, 2022, a total of $635 of interest expense was incurred under the debt. Amortization of the debt issuance costs amounted to $584 during the three months ended June 30, 2022.</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120" w:after="283"/>
        <w:jc w:val="left"/>
        <w:rPr/>
      </w:pPr>
      <w:r>
        <w:rPr/>
        <w:t> </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both"/>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6 - Debt (continued)</w:t>
      </w:r>
    </w:p>
    <w:p>
      <w:pPr>
        <w:pStyle w:val="TextBody"/>
        <w:bidi w:val="0"/>
        <w:spacing w:before="0" w:after="0"/>
        <w:ind w:left="0" w:right="0" w:hanging="0"/>
        <w:jc w:val="both"/>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October 7, 2022, in connection with the merger, CNTQ, Legacy Dragonfly and CCM Investments 5 LLC, an affiliate of CCM LLC (“CCM 5”, and in connection with the Term Loan, the “Chardan Lender”), and EICF Agent LLC (“EIP” and, collectively with the Chardan Lender, the “Initial Term Loan Lenders”) entered into the Term Loan Agreement setting forth the terms of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5% per annum (or $937.5 on the first day of each calendar quarter)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 kind, (ii) thereafter until October 1, 2024, at a per annum rate equal to adjusted SOFR plus 7% payable in cash plus an amount ranging from 4.5% to 6.5%, depending on the senior leverage ratio of the consolidated company, which will be paid in 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Unless the obligations under the Term Loan are accelerated under the terms of the agreement, the maturity date will be October 7, 2026.</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Term Loan Lenders have been granted a first priority lien, and security interest in, the mortgaged properties underlying the Company’s mortgages.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120" w:after="283"/>
        <w:jc w:val="left"/>
        <w:rPr/>
      </w:pPr>
      <w:r>
        <w:rPr/>
        <w:t> </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both"/>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6 - Debt (continued)</w:t>
      </w:r>
    </w:p>
    <w:p>
      <w:pPr>
        <w:pStyle w:val="TextBody"/>
        <w:bidi w:val="0"/>
        <w:spacing w:before="0" w:after="0"/>
        <w:ind w:left="0" w:right="0" w:hanging="0"/>
        <w:jc w:val="both"/>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Term Loan Agreement (Continued)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three and six months ended June 30, 2023, a total of $3,651 and $7,147, respectively, of interest expense was incurred under the debt. Amortization of the debt issuance costs amounted to $401 and $620, respectively, during the three and six months ended June 30, 2023.</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carrying balance of $22,372 on June 30, 2023 consisted of $75,000 in principal, plus $3,702 Paid-in-Kind (PIK) interest, less $56,330 in unamortized debt discount related to the debt issuance costs.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Financial Covenants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u w:val="single"/>
        </w:rPr>
      </w:pPr>
      <w:r>
        <w:rPr>
          <w:rFonts w:ascii="Times New Roman;Times;Serif" w:hAnsi="Times New Roman;Times;Serif"/>
          <w:b w:val="false"/>
          <w:i w:val="false"/>
          <w:caps w:val="false"/>
          <w:smallCaps w:val="false"/>
          <w:color w:val="000000"/>
          <w:sz w:val="20"/>
          <w:u w:val="single"/>
        </w:rPr>
        <w:t>Maximum Senior Leverage Ratio</w:t>
      </w:r>
    </w:p>
    <w:p>
      <w:pPr>
        <w:pStyle w:val="TextBody"/>
        <w:bidi w:val="0"/>
        <w:spacing w:before="0" w:after="0"/>
        <w:ind w:left="0" w:right="0" w:hanging="0"/>
        <w:jc w:val="both"/>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Senior Leverage Ratio is the ratio of (a) consolidated indebtedness, as defined, on such date minus 100% of the unrestricted cash and cash equivalents held (subject to adjustment) to (b) Consolidated earnings before interest, tax and amortization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SCHEDULE OF LEVERAGE RATIO</w:t>
      </w:r>
    </w:p>
    <w:tbl>
      <w:tblPr>
        <w:tblW w:w="4705" w:type="dxa"/>
        <w:jc w:val="left"/>
        <w:tblInd w:w="0" w:type="dxa"/>
        <w:tblLayout w:type="fixed"/>
        <w:tblCellMar>
          <w:top w:w="0" w:type="dxa"/>
          <w:left w:w="0" w:type="dxa"/>
          <w:bottom w:w="28" w:type="dxa"/>
          <w:right w:w="0" w:type="dxa"/>
        </w:tblCellMar>
      </w:tblPr>
      <w:tblGrid>
        <w:gridCol w:w="3050"/>
        <w:gridCol w:w="60"/>
        <w:gridCol w:w="1595"/>
      </w:tblGrid>
      <w:tr>
        <w:trPr/>
        <w:tc>
          <w:tcPr>
            <w:tcW w:w="3050" w:type="dxa"/>
            <w:tcBorders>
              <w:bottom w:val="single" w:sz="12" w:space="0" w:color="000000"/>
            </w:tcBorders>
            <w:shd w:fill="FFFFFF" w:val="clear"/>
            <w:vAlign w:val="center"/>
          </w:tcPr>
          <w:p>
            <w:pPr>
              <w:pStyle w:val="TableContents"/>
              <w:bidi w:val="0"/>
              <w:spacing w:before="0" w:after="283"/>
              <w:jc w:val="both"/>
              <w:rPr>
                <w:rFonts w:ascii="Times New Roman;Times;Serif" w:hAnsi="Times New Roman;Times;Serif"/>
                <w:b/>
                <w:color w:val="000000"/>
                <w:sz w:val="20"/>
              </w:rPr>
            </w:pPr>
            <w:r>
              <w:rPr>
                <w:rFonts w:ascii="Times New Roman;Times;Serif" w:hAnsi="Times New Roman;Times;Serif"/>
                <w:b/>
                <w:color w:val="000000"/>
                <w:sz w:val="20"/>
              </w:rPr>
              <w:t xml:space="preserve">Test Period Ending </w:t>
            </w:r>
          </w:p>
        </w:tc>
        <w:tc>
          <w:tcPr>
            <w:tcW w:w="60"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159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Leverage Ratio</w:t>
            </w:r>
          </w:p>
        </w:tc>
      </w:tr>
      <w:tr>
        <w:trPr/>
        <w:tc>
          <w:tcPr>
            <w:tcW w:w="3050" w:type="dxa"/>
            <w:tcBorders/>
            <w:shd w:fill="CCEEFF" w:val="clear"/>
            <w:tcMar>
              <w:bottom w:w="0" w:type="dxa"/>
            </w:tcMar>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December 31, 2022 - March 31, 2023</w:t>
            </w:r>
          </w:p>
        </w:tc>
        <w:tc>
          <w:tcPr>
            <w:tcW w:w="6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595" w:type="dxa"/>
            <w:tcBorders/>
            <w:shd w:fill="CCEEFF" w:val="clear"/>
            <w:tcMar>
              <w:bottom w:w="0"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6.75 to 1.00</w:t>
            </w:r>
          </w:p>
        </w:tc>
      </w:tr>
      <w:tr>
        <w:trPr/>
        <w:tc>
          <w:tcPr>
            <w:tcW w:w="3050" w:type="dxa"/>
            <w:tcBorders/>
            <w:shd w:fill="FFFFFF" w:val="clear"/>
            <w:tcMar>
              <w:bottom w:w="0" w:type="dxa"/>
            </w:tcMar>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June 30, 2023 - September 30, 2023</w:t>
            </w:r>
          </w:p>
        </w:tc>
        <w:tc>
          <w:tcPr>
            <w:tcW w:w="60"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1595" w:type="dxa"/>
            <w:tcBorders/>
            <w:shd w:fill="FFFFFF" w:val="clear"/>
            <w:tcMar>
              <w:bottom w:w="0"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6.00 to 1.00</w:t>
            </w:r>
          </w:p>
        </w:tc>
      </w:tr>
      <w:tr>
        <w:trPr/>
        <w:tc>
          <w:tcPr>
            <w:tcW w:w="3050" w:type="dxa"/>
            <w:tcBorders/>
            <w:shd w:fill="CCEEFF" w:val="clear"/>
            <w:tcMar>
              <w:bottom w:w="0" w:type="dxa"/>
            </w:tcMar>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December 31, 2023 - March 31, 2024</w:t>
            </w:r>
          </w:p>
        </w:tc>
        <w:tc>
          <w:tcPr>
            <w:tcW w:w="6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595" w:type="dxa"/>
            <w:tcBorders/>
            <w:shd w:fill="CCEEFF" w:val="clear"/>
            <w:tcMar>
              <w:bottom w:w="0"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5.00 to 1.00</w:t>
            </w:r>
          </w:p>
        </w:tc>
      </w:tr>
      <w:tr>
        <w:trPr/>
        <w:tc>
          <w:tcPr>
            <w:tcW w:w="3050" w:type="dxa"/>
            <w:tcBorders/>
            <w:shd w:fill="FFFFFF" w:val="clear"/>
            <w:tcMar>
              <w:bottom w:w="0" w:type="dxa"/>
            </w:tcMar>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June 30, 2024 - September 30, 2024</w:t>
            </w:r>
          </w:p>
        </w:tc>
        <w:tc>
          <w:tcPr>
            <w:tcW w:w="60"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1595" w:type="dxa"/>
            <w:tcBorders/>
            <w:shd w:fill="FFFFFF" w:val="clear"/>
            <w:tcMar>
              <w:bottom w:w="0"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4.00 to 1.00</w:t>
            </w:r>
          </w:p>
        </w:tc>
      </w:tr>
      <w:tr>
        <w:trPr/>
        <w:tc>
          <w:tcPr>
            <w:tcW w:w="3050" w:type="dxa"/>
            <w:tcBorders/>
            <w:shd w:fill="CCEEFF" w:val="clear"/>
            <w:tcMar>
              <w:bottom w:w="0" w:type="dxa"/>
            </w:tcMar>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December 31, 2024 - March 31, 2025</w:t>
            </w:r>
          </w:p>
        </w:tc>
        <w:tc>
          <w:tcPr>
            <w:tcW w:w="6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1595" w:type="dxa"/>
            <w:tcBorders/>
            <w:shd w:fill="CCEEFF" w:val="clear"/>
            <w:tcMar>
              <w:bottom w:w="0"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3.25 to 1.00</w:t>
            </w:r>
          </w:p>
        </w:tc>
      </w:tr>
      <w:tr>
        <w:trPr/>
        <w:tc>
          <w:tcPr>
            <w:tcW w:w="3050" w:type="dxa"/>
            <w:tcBorders/>
            <w:shd w:fill="FFFFFF" w:val="clear"/>
            <w:tcMar>
              <w:bottom w:w="0" w:type="dxa"/>
            </w:tcMar>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June 30, 2025 and thereafter</w:t>
            </w:r>
          </w:p>
        </w:tc>
        <w:tc>
          <w:tcPr>
            <w:tcW w:w="60"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1595" w:type="dxa"/>
            <w:tcBorders/>
            <w:shd w:fill="FFFFFF" w:val="clear"/>
            <w:tcMar>
              <w:bottom w:w="0"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3.00 to 1.00</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u w:val="single"/>
        </w:rPr>
      </w:pPr>
      <w:r>
        <w:rPr>
          <w:rFonts w:ascii="Times New Roman;Times;Serif" w:hAnsi="Times New Roman;Times;Serif"/>
          <w:b w:val="false"/>
          <w:i w:val="false"/>
          <w:caps w:val="false"/>
          <w:smallCaps w:val="false"/>
          <w:color w:val="000000"/>
          <w:sz w:val="20"/>
          <w:u w:val="single"/>
        </w:rPr>
        <w:t>Liquidity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shall not permit their Liquidity (determined on a consolidated basis) to be less than $10,000 as of the last day of each fiscal month (commencing with month ending December 31, 2022).</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u w:val="single"/>
        </w:rPr>
      </w:pPr>
      <w:r>
        <w:rPr>
          <w:rFonts w:ascii="Times New Roman;Times;Serif" w:hAnsi="Times New Roman;Times;Serif"/>
          <w:b w:val="false"/>
          <w:i w:val="false"/>
          <w:caps w:val="false"/>
          <w:smallCaps w:val="false"/>
          <w:color w:val="000000"/>
          <w:sz w:val="20"/>
          <w:u w:val="single"/>
        </w:rPr>
        <w:t>Fixed Charge Coverage Ratio</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Fixed Charge Coverage Ratio is the ratio of consolidated EBITDA (less capital expenditures and certain other adjustments) to consolidated fixed charges, as defined in the agreement. If Liquidity is less than $17,500 as of the last day of any fiscal quarter (commencing with the quarter ending December 31, 2022), then the Company shall not permit the Fixed Charge Coverage Ratio for the trailing four quarterly periods ending on the last day of any such quarter to be less than 1.15 to 1.00.</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u w:val="single"/>
        </w:rPr>
      </w:pPr>
      <w:r>
        <w:rPr>
          <w:rFonts w:ascii="Times New Roman;Times;Serif" w:hAnsi="Times New Roman;Times;Serif"/>
          <w:b w:val="false"/>
          <w:i w:val="false"/>
          <w:caps w:val="false"/>
          <w:smallCaps w:val="false"/>
          <w:color w:val="000000"/>
          <w:sz w:val="20"/>
          <w:u w:val="single"/>
        </w:rPr>
        <w:t>Capital Expenditures</w:t>
      </w:r>
    </w:p>
    <w:p>
      <w:pPr>
        <w:pStyle w:val="TextBody"/>
        <w:bidi w:val="0"/>
        <w:spacing w:before="0" w:after="0"/>
        <w:ind w:left="0" w:right="0" w:hanging="0"/>
        <w:jc w:val="both"/>
        <w:rPr>
          <w:caps w:val="false"/>
          <w:smallCaps w:val="false"/>
          <w:color w:val="000000"/>
          <w:u w:val="single"/>
        </w:rPr>
      </w:pPr>
      <w:r>
        <w:rPr>
          <w:caps w:val="false"/>
          <w:smallCaps w:val="false"/>
          <w:color w:val="000000"/>
          <w:u w:val="singl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consolidated EBITDA for the trailing twelve-month period ending on the most recently completed fiscal quarter is less than $15,000, then the level of capital expenditures is limited.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was in compliance with its covenants as of June 30, 2023 and December 31, 2022. During the three months ended March 31, 2023, the Company determined it would fail to satisfy the fixed charge coverage ratio and maximum senior leverage ratio for the quarter. 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 As a result of the uncertainty of maintaining compliance with financial covenants the Company has continued to classify the entire term loan balance within current liabilities on the balance sheet.</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120" w:after="283"/>
        <w:jc w:val="left"/>
        <w:rPr/>
      </w:pPr>
      <w:r>
        <w:rPr/>
        <w:t> </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both"/>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6 - Debt (continued)</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Future Debt Maturities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At June 30, 2023, the future debt maturities are as follows:</w:t>
      </w:r>
    </w:p>
    <w:p>
      <w:pPr>
        <w:pStyle w:val="TextBody"/>
        <w:bidi w:val="0"/>
        <w:spacing w:before="0" w:after="0"/>
        <w:ind w:left="0" w:right="0" w:hanging="0"/>
        <w:jc w:val="both"/>
        <w:rPr>
          <w:caps w:val="false"/>
          <w:smallCaps w:val="false"/>
        </w:rPr>
      </w:pPr>
      <w:r>
        <w:rPr>
          <w:caps w:val="false"/>
          <w:smallCaps w:val="false"/>
          <w:color w:val="000000"/>
        </w:rPr>
        <w:t> </w:t>
      </w:r>
      <w:r>
        <w:rPr>
          <w:rFonts w:ascii="Times New Roman;Times;Serif" w:hAnsi="Times New Roman;Times;Serif"/>
          <w:b w:val="false"/>
          <w:i w:val="false"/>
          <w:caps w:val="false"/>
          <w:smallCaps w:val="false"/>
          <w:sz w:val="20"/>
        </w:rPr>
        <w:t>SCHEDULE OF FUTURE DEBT MATURITIES</w:t>
      </w:r>
    </w:p>
    <w:tbl>
      <w:tblPr>
        <w:tblW w:w="5870" w:type="dxa"/>
        <w:jc w:val="left"/>
        <w:tblInd w:w="0" w:type="dxa"/>
        <w:tblLayout w:type="fixed"/>
        <w:tblCellMar>
          <w:top w:w="0" w:type="dxa"/>
          <w:left w:w="0" w:type="dxa"/>
          <w:bottom w:w="0" w:type="dxa"/>
          <w:right w:w="0" w:type="dxa"/>
        </w:tblCellMar>
      </w:tblPr>
      <w:tblGrid>
        <w:gridCol w:w="4805"/>
        <w:gridCol w:w="60"/>
        <w:gridCol w:w="140"/>
        <w:gridCol w:w="755"/>
        <w:gridCol w:w="110"/>
      </w:tblGrid>
      <w:tr>
        <w:trPr/>
        <w:tc>
          <w:tcPr>
            <w:tcW w:w="4805" w:type="dxa"/>
            <w:tcBorders/>
            <w:vAlign w:val="center"/>
          </w:tcPr>
          <w:p>
            <w:pPr>
              <w:pStyle w:val="TableContents"/>
              <w:bidi w:val="0"/>
              <w:spacing w:before="0" w:after="283"/>
              <w:jc w:val="both"/>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895" w:type="dxa"/>
            <w:gridSpan w:val="2"/>
            <w:tcBorders/>
            <w:vAlign w:val="center"/>
          </w:tcPr>
          <w:p>
            <w:pPr>
              <w:pStyle w:val="TableContents"/>
              <w:bidi w:val="0"/>
              <w:spacing w:before="0" w:after="283"/>
              <w:jc w:val="left"/>
              <w:rPr>
                <w:color w:val="000000"/>
              </w:rPr>
            </w:pPr>
            <w:r>
              <w:rPr>
                <w:color w:val="000000"/>
              </w:rPr>
              <w:t> </w:t>
            </w:r>
          </w:p>
        </w:tc>
        <w:tc>
          <w:tcPr>
            <w:tcW w:w="110" w:type="dxa"/>
            <w:tcBorders/>
            <w:vAlign w:val="center"/>
          </w:tcPr>
          <w:p>
            <w:pPr>
              <w:pStyle w:val="TableContents"/>
              <w:bidi w:val="0"/>
              <w:spacing w:before="0" w:after="283"/>
              <w:jc w:val="left"/>
              <w:rPr>
                <w:color w:val="000000"/>
              </w:rPr>
            </w:pPr>
            <w:r>
              <w:rPr>
                <w:color w:val="000000"/>
              </w:rPr>
              <w:t> </w:t>
            </w:r>
          </w:p>
        </w:tc>
      </w:tr>
      <w:tr>
        <w:trPr/>
        <w:tc>
          <w:tcPr>
            <w:tcW w:w="4805"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For Year Ended December 31,</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95" w:type="dxa"/>
            <w:gridSpan w:val="2"/>
            <w:tcBorders/>
            <w:shd w:fill="CCEEFF" w:val="clear"/>
            <w:vAlign w:val="center"/>
          </w:tcPr>
          <w:p>
            <w:pPr>
              <w:pStyle w:val="TableContents"/>
              <w:bidi w:val="0"/>
              <w:spacing w:before="0" w:after="283"/>
              <w:jc w:val="left"/>
              <w:rPr>
                <w:color w:val="000000"/>
              </w:rPr>
            </w:pPr>
            <w:r>
              <w:rPr>
                <w:color w:val="000000"/>
              </w:rPr>
              <w:t> </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805" w:type="dxa"/>
            <w:tcBorders/>
            <w:shd w:fill="FFFFFF" w:val="clear"/>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 xml:space="preserve">2023 </w:t>
            </w:r>
            <w:r>
              <w:rPr>
                <w:rFonts w:ascii="Times New Roman;Times;Serif" w:hAnsi="Times New Roman;Times;Serif"/>
                <w:color w:val="000000"/>
                <w:position w:val="7"/>
                <w:sz w:val="16"/>
                <w:sz w:val="20"/>
              </w:rPr>
              <w:t>(1)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805"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2024</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938</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805" w:type="dxa"/>
            <w:tcBorders/>
            <w:shd w:fill="FFFF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2025</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3,750</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805"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2026</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80,620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4805" w:type="dxa"/>
            <w:tcBorders/>
            <w:shd w:fill="FFFF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Total</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85,308</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805"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Less: Estimated interest paid-in-kind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(6,606</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805" w:type="dxa"/>
            <w:tcBorders/>
            <w:shd w:fill="FFFF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Total debt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78,702</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805"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Less: Unamortized debt issuance costs, noncurrent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(56,330</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805" w:type="dxa"/>
            <w:tcBorders/>
            <w:shd w:fill="FFFF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Total carrying amount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22,372</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4805"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Less: Current portion of debt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(22,372</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4805" w:type="dxa"/>
            <w:tcBorders/>
            <w:shd w:fill="FFFF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Total long-term debt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7998" w:type="dxa"/>
        <w:jc w:val="left"/>
        <w:tblInd w:w="0" w:type="dxa"/>
        <w:tblLayout w:type="fixed"/>
        <w:tblCellMar>
          <w:top w:w="0" w:type="dxa"/>
          <w:left w:w="0" w:type="dxa"/>
          <w:bottom w:w="0" w:type="dxa"/>
          <w:right w:w="0" w:type="dxa"/>
        </w:tblCellMar>
      </w:tblPr>
      <w:tblGrid>
        <w:gridCol w:w="245"/>
        <w:gridCol w:w="23"/>
        <w:gridCol w:w="7730"/>
      </w:tblGrid>
      <w:tr>
        <w:trPr/>
        <w:tc>
          <w:tcPr>
            <w:tcW w:w="245" w:type="dxa"/>
            <w:tcBorders/>
            <w:vAlign w:val="center"/>
          </w:tcPr>
          <w:p>
            <w:pPr>
              <w:pStyle w:val="TableContents"/>
              <w:bidi w:val="0"/>
              <w:spacing w:before="0" w:after="283"/>
              <w:jc w:val="right"/>
              <w:rPr>
                <w:rFonts w:ascii="Times New Roman;Times;Serif" w:hAnsi="Times New Roman;Times;Serif"/>
                <w:color w:val="000000"/>
                <w:position w:val="7"/>
                <w:sz w:val="16"/>
                <w:sz w:val="20"/>
              </w:rPr>
            </w:pPr>
            <w:r>
              <w:rPr>
                <w:rFonts w:ascii="Times New Roman;Times;Serif" w:hAnsi="Times New Roman;Times;Serif"/>
                <w:color w:val="000000"/>
                <w:position w:val="7"/>
                <w:sz w:val="16"/>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7730" w:type="dxa"/>
            <w:tcBorders/>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Represents scheduled payments for the remaining six-month period ending December 31, 2023</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7 - ASSET PURCHASE AGREEMENT</w:t>
      </w:r>
    </w:p>
    <w:p>
      <w:pPr>
        <w:pStyle w:val="TextBody"/>
        <w:bidi w:val="0"/>
        <w:spacing w:before="0" w:after="0"/>
        <w:ind w:left="0" w:right="0" w:hanging="0"/>
        <w:jc w:val="both"/>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i/>
          <w:caps w:val="false"/>
          <w:smallCaps w:val="false"/>
          <w:color w:val="000000"/>
          <w:sz w:val="20"/>
          <w:u w:val="single"/>
        </w:rPr>
      </w:pPr>
      <w:r>
        <w:rPr>
          <w:rFonts w:ascii="Times New Roman;Times;Serif" w:hAnsi="Times New Roman;Times;Serif"/>
          <w:b/>
          <w:i/>
          <w:caps w:val="false"/>
          <w:smallCaps w:val="false"/>
          <w:color w:val="000000"/>
          <w:sz w:val="20"/>
          <w:u w:val="single"/>
        </w:rPr>
        <w:t>Bourns Production, Inc</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January 1, 2022, the Company entered into an asset purchase agreement (the “APA”) with Bourns Productions, Inc., a Nevada corporation (“Bourns Productions”) pursuant to which the Company acquired machinery, equipment and a lease for a podcast studio from Bourns Productions as set forth in the APA for a purchase price of $197 which approximated fair market value.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caps w:val="false"/>
          <w:smallCaps w:val="false"/>
          <w:color w:val="000000"/>
          <w:sz w:val="20"/>
          <w:u w:val="single"/>
        </w:rPr>
      </w:pPr>
      <w:r>
        <w:rPr>
          <w:rFonts w:ascii="Times New Roman;Times;Serif" w:hAnsi="Times New Roman;Times;Serif"/>
          <w:b/>
          <w:i/>
          <w:caps w:val="false"/>
          <w:smallCaps w:val="false"/>
          <w:color w:val="000000"/>
          <w:sz w:val="20"/>
          <w:u w:val="single"/>
        </w:rPr>
        <w:t>Thomason Jones Company, LLC</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April 2022, the Company entered into an Asset Purchase Agreement (the “April 2022 Asset Purchase Agreement”) with William Thomason, Richard Jones, and Thomason Jones Company, LLC (“Thomason Jones”) whereby the Company acquired inventory and intellectual property assets for up to $700 cash plus contingent payments of $1,000 each to William Thomason and Richard Jones (the “Earn Out”). The Company determined the contingent consideration to be recognized as contingent compensation to Mr. Thomason and Mr. Jones. The Company concluded the purchase price to be $444 and was allocated in its entirety to inventory.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Contingent Compensation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within twenty-four months of the Agreement the Company realizes $3,000 in gross sales of product either (a) sold under the Wakespeed brand and/or (b) which incorporates any portion of Purchased IP as listed within the agreement, then the Company will pay to Thomason and Jones each the amount of $1,000 as soon as reasonably practicable. This payment may be made in cash or common stock, in the sole discretion of the Company. As a result, the Company determined that a liability should be recorded ratably over the 24-month period. The Company recognized immediate compensation expense within sales and marketing of $417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18-month period from the date of acquisition. As a result, the Company recorded an accrual related to the Earn Out in the amount of $1,909 and $782 as of June 30, 2023 and December 31, 2022,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120" w:after="283"/>
        <w:jc w:val="left"/>
        <w:rPr/>
      </w:pPr>
      <w:r>
        <w:rPr/>
        <w:t> </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8 - RELATED PARTY</w:t>
      </w:r>
    </w:p>
    <w:p>
      <w:pPr>
        <w:pStyle w:val="TextBody"/>
        <w:bidi w:val="0"/>
        <w:spacing w:before="0" w:after="0"/>
        <w:ind w:left="0" w:right="0" w:hanging="0"/>
        <w:jc w:val="both"/>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October 25, 2022, the Company entered into a separation and release of claims agreement with its Chief Operating Officer (“COO”).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February 2023, the Company entered into an agreement with its former COO in which the COO waived their rights to a transaction bonus resulting from the merger transaction (Note 1) in lieu of a Company van. The Company accounted for the cost of the van as an employee bonus, resulting in $116 of general and administrative expense for the current period.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March 5, 2023, the Company entered into a convertible promissory note (the “Note”) with a board member in the amount of $1,000, or the Principal Amount. Upon execution of the Note and funding of the original principal sum, a payment of $100 (the “Loan Fee”) was fully earned as of the date of the Note and was due and payable in full in cash on April 4, 2023. The Company paid the Principal Amount and the Loan Fee on April 1, 2023 and April 4, 2023, respectively.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April 26, 2023, the Company entered into a separation and release of claims agreement with its Chief Legal Officer (“CLO”). As consideration for the CLO’s execution of the agreement, the Company agreed to pay the employee payments equivalent to $720 for wages and benefits divided into 24 monthly payments commencing on June 1, 2023, and all outstanding equity-based compensation awards to become fully vested and exercisable resulting in an expense of $76. The CLO shall have 3 months from the termination date to exercise outstanding options. The three-month period ended on July 26, 2023 in which the options were not exercised and the options were forfeited as a result.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9 - WARRANTS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Common Stock Warrants classified as Equity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Public Warrants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9,487,500 Public Warrants issued and outstanding. The Public Warrants are not precluded from equity classification and are accounted for as such on the date of issuance, and each balance sheet date thereafter.</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six months ended June 30, 2023, the Company received proceeds from public warrant exercises of $747 in exchange for 64,971 common shares. The Company did not receive any proceeds from public warrants during the three months ended June 30, 2023.</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underwriting agreement as further described in Note 10 of the financial statements, (the “June 2023 Offering”) the Company issued (i) underwriters warrants to purchase up to an aggregate of 570,250 shares of Common Stock (the “Underwriters’ Warrants”) which are exercisable upon issuance and will expire on June 20, 2028. The initial exercise price of the Underwriters’ Warrants is $2.50 per share, which equals 125% of the per share public offering price in the June 2023 Offering and (ii) warrants to purchase up to 10,000,000 shares of Common Stock to the investors in the offering together with shares of Common Stock (the “Investor Warrants”), at the combined public offering price of $2.00 per share of Common Stock and accompanying Warrant, less underwriting discounts and commissions . The Company also granted the underwriters a 45-day over-allotment option to purchase up to an additional 1,500,000 shares of Common Stock and/or Investor Warrants to purchase up to 1,500,000 shares of Common Stock at the public offering price per security, less underwriting discounts and commissions. The underwriters exercised its over-allotment option to purchase an additional 1,405,000 shares of Common Stock and Investor Warrants to purchase up to 1,405,000 shares of Common Stock. The Company accounts for the Investor Warrants issued in connection with the Offering in accordance with the guidance contained in ASC 815-40. Such guidance provides that because the Investor Warrants do not meet the criteria for equity treatment thereunder, each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It was determined that the Underwriters’ Warrants were not precluded from equity treatment and have been accounted for as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UNDERWRITER WARRANTS</w:t>
      </w:r>
    </w:p>
    <w:tbl>
      <w:tblPr>
        <w:tblW w:w="6294" w:type="dxa"/>
        <w:jc w:val="left"/>
        <w:tblInd w:w="0" w:type="dxa"/>
        <w:tblLayout w:type="fixed"/>
        <w:tblCellMar>
          <w:top w:w="0" w:type="dxa"/>
          <w:left w:w="0" w:type="dxa"/>
          <w:bottom w:w="0" w:type="dxa"/>
          <w:right w:w="0" w:type="dxa"/>
        </w:tblCellMar>
      </w:tblPr>
      <w:tblGrid>
        <w:gridCol w:w="3740"/>
        <w:gridCol w:w="60"/>
        <w:gridCol w:w="168"/>
        <w:gridCol w:w="2251"/>
        <w:gridCol w:w="75"/>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19" w:type="dxa"/>
            <w:gridSpan w:val="2"/>
            <w:tcBorders>
              <w:bottom w:val="single" w:sz="12" w:space="0" w:color="000000"/>
            </w:tcBorders>
            <w:tcMar>
              <w:bottom w:w="28" w:type="dxa"/>
            </w:tcMar>
            <w:vAlign w:val="center"/>
          </w:tcPr>
          <w:p>
            <w:pPr>
              <w:pStyle w:val="TableContents"/>
              <w:bidi w:val="0"/>
              <w:spacing w:before="0" w:after="283"/>
              <w:jc w:val="center"/>
              <w:rPr/>
            </w:pPr>
            <w:r>
              <w:rPr/>
              <w:t>Common Stock Warrants</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Warrants Outstanding, January 1, 2023</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225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both"/>
              <w:rPr/>
            </w:pPr>
            <w:r>
              <w:rPr/>
              <w:t>Warrants issued</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251" w:type="dxa"/>
            <w:tcBorders>
              <w:bottom w:val="single" w:sz="12" w:space="0" w:color="000000"/>
            </w:tcBorders>
            <w:shd w:fill="FFFFFF" w:val="clear"/>
            <w:tcMar>
              <w:bottom w:w="28" w:type="dxa"/>
            </w:tcMar>
            <w:vAlign w:val="center"/>
          </w:tcPr>
          <w:p>
            <w:pPr>
              <w:pStyle w:val="TableContents"/>
              <w:bidi w:val="0"/>
              <w:spacing w:before="0" w:after="283"/>
              <w:jc w:val="right"/>
              <w:rPr/>
            </w:pPr>
            <w:r>
              <w:rPr/>
              <w:t>570,250</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pPr>
            <w:r>
              <w:rPr/>
              <w:t>Warrants Outstanding, June 30, 2023</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251" w:type="dxa"/>
            <w:tcBorders>
              <w:bottom w:val="double" w:sz="6" w:space="0" w:color="000000"/>
            </w:tcBorders>
            <w:shd w:fill="CCEEFF" w:val="clear"/>
            <w:tcMar>
              <w:bottom w:w="28" w:type="dxa"/>
            </w:tcMar>
            <w:vAlign w:val="center"/>
          </w:tcPr>
          <w:p>
            <w:pPr>
              <w:pStyle w:val="TableContents"/>
              <w:bidi w:val="0"/>
              <w:spacing w:before="0" w:after="283"/>
              <w:jc w:val="right"/>
              <w:rPr/>
            </w:pPr>
            <w:r>
              <w:rPr/>
              <w:t>570,250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underwriter warrants issued, exercised and outstanding from the period January 1, 2022 through June 30, 2022.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120" w:after="283"/>
        <w:jc w:val="left"/>
        <w:rPr/>
      </w:pPr>
      <w:r>
        <w:rPr/>
        <w:t> </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9 - Warrants (continued)</w:t>
      </w:r>
    </w:p>
    <w:p>
      <w:pPr>
        <w:pStyle w:val="TextBody"/>
        <w:bidi w:val="0"/>
        <w:spacing w:before="0" w:after="0"/>
        <w:ind w:left="0" w:right="0" w:hanging="0"/>
        <w:jc w:val="both"/>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Common Stock Warrants classified as Liability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Private Placement Warrants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six months ended June 30, 2023, private placement warrant holders exercised 3,126,472 warrants on a cashless basis, with the Company agreeing to issue 1,100,000 shares of common stock in connection with such exercise. There were 1,501,386 and 4,627,858 private warrants issued and outstanding as of June 30, 2023 and December 31, 2022,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Term Loan Warrants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connection with the entry into the Term Loan Agreement, and as a required term and condition thereof, the Company issued (i) the penny warrants to the Term Loan Lenders exercisable to purchase an aggregate of 2,593,056 shares (the “Penny Warrants”) and (ii) the $10 warrants to issue warrants to the Term Loan Lenders exercisable to purchase an aggregate of 1,600,000 shares of common stock at $10 per share (the “$10 Warrants” and, together with the Penny Warrants, the “Term Loan Warrants”). The $10 Warrants were exercised on a cashless basis on October 10, 2022, with the Company issuing 457,142 shares of Common Stock in connection with such exercise. During the three months ended June 30, 2023, penny warrant holders exercised 750,000 warrants on a cashless basis, with the Company agreeing to issue 748,029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120" w:after="283"/>
        <w:jc w:val="left"/>
        <w:rPr/>
      </w:pPr>
      <w:r>
        <w:rPr/>
        <w:t> </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both"/>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9 - Warrants (continued)</w:t>
      </w:r>
    </w:p>
    <w:p>
      <w:pPr>
        <w:pStyle w:val="TextBody"/>
        <w:bidi w:val="0"/>
        <w:spacing w:before="0" w:after="0"/>
        <w:ind w:left="0" w:right="0" w:hanging="0"/>
        <w:jc w:val="both"/>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Common Stock Warrants classified as Liability (Continued)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table provides the significant inputs to the Black-Scholes method for the fair value of the Penny Warrants:</w:t>
      </w:r>
    </w:p>
    <w:p>
      <w:pPr>
        <w:pStyle w:val="TextBody"/>
        <w:bidi w:val="0"/>
        <w:spacing w:before="0" w:after="0"/>
        <w:ind w:left="0" w:right="0" w:hanging="0"/>
        <w:jc w:val="both"/>
        <w:rPr>
          <w:caps w:val="false"/>
          <w:smallCaps w:val="false"/>
          <w:color w:val="000000"/>
        </w:rPr>
      </w:pPr>
      <w:r>
        <w:rPr>
          <w:caps w:val="false"/>
          <w:smallCaps w:val="false"/>
          <w:color w:val="000000"/>
        </w:rPr>
        <w:t> </w:t>
      </w:r>
      <w:r>
        <w:rPr>
          <w:rFonts w:ascii="Times New Roman;Times;Serif" w:hAnsi="Times New Roman;Times;Serif"/>
          <w:b w:val="false"/>
          <w:i w:val="false"/>
          <w:caps w:val="false"/>
          <w:smallCaps w:val="false"/>
          <w:color w:val="000000"/>
          <w:sz w:val="20"/>
        </w:rPr>
        <w:t>SCHEDULE FAIR VALUE WARRANTS</w:t>
      </w:r>
    </w:p>
    <w:tbl>
      <w:tblPr>
        <w:tblW w:w="6059" w:type="dxa"/>
        <w:jc w:val="left"/>
        <w:tblInd w:w="0" w:type="dxa"/>
        <w:tblLayout w:type="fixed"/>
        <w:tblCellMar>
          <w:top w:w="0" w:type="dxa"/>
          <w:left w:w="0" w:type="dxa"/>
          <w:bottom w:w="0" w:type="dxa"/>
          <w:right w:w="0" w:type="dxa"/>
        </w:tblCellMar>
      </w:tblPr>
      <w:tblGrid>
        <w:gridCol w:w="2000"/>
        <w:gridCol w:w="60"/>
        <w:gridCol w:w="231"/>
        <w:gridCol w:w="1123"/>
        <w:gridCol w:w="215"/>
        <w:gridCol w:w="60"/>
        <w:gridCol w:w="140"/>
        <w:gridCol w:w="2000"/>
        <w:gridCol w:w="230"/>
      </w:tblGrid>
      <w:tr>
        <w:trPr/>
        <w:tc>
          <w:tcPr>
            <w:tcW w:w="200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 xml:space="preserve">As of </w:t>
              <w:br/>
              <w:t>June 30, 2023</w:t>
            </w:r>
          </w:p>
        </w:tc>
        <w:tc>
          <w:tcPr>
            <w:tcW w:w="2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1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 xml:space="preserve">As of </w:t>
              <w:br/>
              <w:t>December 31, 2022</w:t>
            </w:r>
          </w:p>
        </w:tc>
        <w:tc>
          <w:tcPr>
            <w:tcW w:w="230" w:type="dxa"/>
            <w:tcBorders/>
            <w:vAlign w:val="center"/>
          </w:tcPr>
          <w:p>
            <w:pPr>
              <w:pStyle w:val="TableContents"/>
              <w:bidi w:val="0"/>
              <w:spacing w:before="0" w:after="283"/>
              <w:jc w:val="left"/>
              <w:rPr>
                <w:color w:val="000000"/>
              </w:rPr>
            </w:pPr>
            <w:r>
              <w:rPr>
                <w:color w:val="000000"/>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Common stock price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2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1.48</w:t>
            </w:r>
          </w:p>
        </w:tc>
        <w:tc>
          <w:tcPr>
            <w:tcW w:w="21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2000" w:type="dxa"/>
            <w:tcBorders/>
            <w:shd w:fill="CCEEFF" w:val="clear"/>
            <w:vAlign w:val="center"/>
          </w:tcPr>
          <w:p>
            <w:pPr>
              <w:pStyle w:val="TableContents"/>
              <w:bidi w:val="0"/>
              <w:spacing w:before="0" w:after="283"/>
              <w:jc w:val="right"/>
              <w:rPr>
                <w:color w:val="000000"/>
              </w:rPr>
            </w:pPr>
            <w:r>
              <w:rPr>
                <w:color w:val="000000"/>
              </w:rPr>
              <w:t>                        </w:t>
            </w:r>
            <w:r>
              <w:rPr>
                <w:rFonts w:ascii="Times New Roman;Times;Serif" w:hAnsi="Times New Roman;Times;Serif"/>
                <w:color w:val="000000"/>
              </w:rPr>
              <w:t>11.09</w:t>
            </w:r>
          </w:p>
        </w:tc>
        <w:tc>
          <w:tcPr>
            <w:tcW w:w="230" w:type="dxa"/>
            <w:tcBorders/>
            <w:shd w:fill="CCEEFF" w:val="clear"/>
            <w:vAlign w:val="center"/>
          </w:tcPr>
          <w:p>
            <w:pPr>
              <w:pStyle w:val="TableContents"/>
              <w:bidi w:val="0"/>
              <w:spacing w:before="0" w:after="283"/>
              <w:jc w:val="left"/>
              <w:rPr>
                <w:color w:val="000000"/>
              </w:rPr>
            </w:pPr>
            <w:r>
              <w:rPr>
                <w:color w:val="000000"/>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Exercise price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31" w:type="dxa"/>
            <w:tcBorders/>
            <w:shd w:fill="FFFFFF" w:val="clear"/>
            <w:vAlign w:val="center"/>
          </w:tcPr>
          <w:p>
            <w:pPr>
              <w:pStyle w:val="TableContents"/>
              <w:bidi w:val="0"/>
              <w:spacing w:before="0" w:after="283"/>
              <w:jc w:val="left"/>
              <w:rPr>
                <w:color w:val="000000"/>
              </w:rPr>
            </w:pPr>
            <w:r>
              <w:rPr>
                <w:color w:val="000000"/>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0.01</w:t>
            </w:r>
          </w:p>
        </w:tc>
        <w:tc>
          <w:tcPr>
            <w:tcW w:w="2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20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0.01</w:t>
            </w:r>
          </w:p>
        </w:tc>
        <w:tc>
          <w:tcPr>
            <w:tcW w:w="230" w:type="dxa"/>
            <w:tcBorders/>
            <w:shd w:fill="FFFFFF" w:val="clear"/>
            <w:vAlign w:val="center"/>
          </w:tcPr>
          <w:p>
            <w:pPr>
              <w:pStyle w:val="TableContents"/>
              <w:bidi w:val="0"/>
              <w:spacing w:before="0" w:after="283"/>
              <w:jc w:val="left"/>
              <w:rPr>
                <w:color w:val="000000"/>
              </w:rPr>
            </w:pPr>
            <w:r>
              <w:rPr>
                <w:color w:val="000000"/>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Dividend yield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1" w:type="dxa"/>
            <w:tcBorders/>
            <w:shd w:fill="CCEEFF" w:val="clear"/>
            <w:vAlign w:val="center"/>
          </w:tcPr>
          <w:p>
            <w:pPr>
              <w:pStyle w:val="TableContents"/>
              <w:bidi w:val="0"/>
              <w:spacing w:before="0" w:after="283"/>
              <w:jc w:val="left"/>
              <w:rPr>
                <w:color w:val="000000"/>
              </w:rPr>
            </w:pPr>
            <w:r>
              <w:rPr>
                <w:color w:val="000000"/>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0</w:t>
            </w:r>
          </w:p>
        </w:tc>
        <w:tc>
          <w:tcPr>
            <w:tcW w:w="21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20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0</w:t>
            </w:r>
          </w:p>
        </w:tc>
        <w:tc>
          <w:tcPr>
            <w:tcW w:w="23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Term (in years)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31" w:type="dxa"/>
            <w:tcBorders/>
            <w:shd w:fill="FFFFFF" w:val="clear"/>
            <w:vAlign w:val="center"/>
          </w:tcPr>
          <w:p>
            <w:pPr>
              <w:pStyle w:val="TableContents"/>
              <w:bidi w:val="0"/>
              <w:spacing w:before="0" w:after="283"/>
              <w:jc w:val="left"/>
              <w:rPr>
                <w:color w:val="000000"/>
              </w:rPr>
            </w:pPr>
            <w:r>
              <w:rPr>
                <w:color w:val="000000"/>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9.27</w:t>
            </w:r>
          </w:p>
        </w:tc>
        <w:tc>
          <w:tcPr>
            <w:tcW w:w="2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20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9.77</w:t>
            </w:r>
          </w:p>
        </w:tc>
        <w:tc>
          <w:tcPr>
            <w:tcW w:w="230" w:type="dxa"/>
            <w:tcBorders/>
            <w:shd w:fill="FFFFFF" w:val="clear"/>
            <w:vAlign w:val="center"/>
          </w:tcPr>
          <w:p>
            <w:pPr>
              <w:pStyle w:val="TableContents"/>
              <w:bidi w:val="0"/>
              <w:spacing w:before="0" w:after="283"/>
              <w:jc w:val="left"/>
              <w:rPr>
                <w:color w:val="000000"/>
              </w:rPr>
            </w:pPr>
            <w:r>
              <w:rPr>
                <w:color w:val="000000"/>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Volatility</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1" w:type="dxa"/>
            <w:tcBorders/>
            <w:shd w:fill="CCEEFF" w:val="clear"/>
            <w:vAlign w:val="center"/>
          </w:tcPr>
          <w:p>
            <w:pPr>
              <w:pStyle w:val="TableContents"/>
              <w:bidi w:val="0"/>
              <w:spacing w:before="0" w:after="283"/>
              <w:jc w:val="left"/>
              <w:rPr>
                <w:color w:val="000000"/>
              </w:rPr>
            </w:pPr>
            <w:r>
              <w:rPr>
                <w:color w:val="000000"/>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119.00</w:t>
            </w:r>
          </w:p>
        </w:tc>
        <w:tc>
          <w:tcPr>
            <w:tcW w:w="21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color w:val="000000"/>
              </w:rPr>
            </w:pPr>
            <w:r>
              <w:rPr>
                <w:color w:val="000000"/>
              </w:rPr>
              <w:t> </w:t>
            </w:r>
          </w:p>
        </w:tc>
        <w:tc>
          <w:tcPr>
            <w:tcW w:w="20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90.00</w:t>
            </w:r>
          </w:p>
        </w:tc>
        <w:tc>
          <w:tcPr>
            <w:tcW w:w="23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Risk-free rate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31" w:type="dxa"/>
            <w:tcBorders/>
            <w:shd w:fill="FFFFFF" w:val="clear"/>
            <w:vAlign w:val="center"/>
          </w:tcPr>
          <w:p>
            <w:pPr>
              <w:pStyle w:val="TableContents"/>
              <w:bidi w:val="0"/>
              <w:spacing w:before="0" w:after="283"/>
              <w:jc w:val="left"/>
              <w:rPr>
                <w:color w:val="000000"/>
              </w:rPr>
            </w:pPr>
            <w:r>
              <w:rPr>
                <w:color w:val="000000"/>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3.80</w:t>
            </w:r>
          </w:p>
        </w:tc>
        <w:tc>
          <w:tcPr>
            <w:tcW w:w="21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40" w:type="dxa"/>
            <w:tcBorders/>
            <w:shd w:fill="FFFFFF" w:val="clear"/>
            <w:vAlign w:val="center"/>
          </w:tcPr>
          <w:p>
            <w:pPr>
              <w:pStyle w:val="TableContents"/>
              <w:bidi w:val="0"/>
              <w:spacing w:before="0" w:after="283"/>
              <w:jc w:val="left"/>
              <w:rPr>
                <w:color w:val="000000"/>
              </w:rPr>
            </w:pPr>
            <w:r>
              <w:rPr>
                <w:color w:val="000000"/>
              </w:rPr>
              <w:t> </w:t>
            </w:r>
          </w:p>
        </w:tc>
        <w:tc>
          <w:tcPr>
            <w:tcW w:w="20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3.90</w:t>
            </w:r>
          </w:p>
        </w:tc>
        <w:tc>
          <w:tcPr>
            <w:tcW w:w="23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Fair value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2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1.48</w:t>
            </w:r>
          </w:p>
        </w:tc>
        <w:tc>
          <w:tcPr>
            <w:tcW w:w="21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20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11.89</w:t>
            </w:r>
          </w:p>
        </w:tc>
        <w:tc>
          <w:tcPr>
            <w:tcW w:w="23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table provides the significant inputs to the Black-Scholes method for the fair value of the June Offering Warrants: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693" w:type="dxa"/>
        <w:jc w:val="left"/>
        <w:tblInd w:w="0" w:type="dxa"/>
        <w:tblLayout w:type="fixed"/>
        <w:tblCellMar>
          <w:top w:w="0" w:type="dxa"/>
          <w:left w:w="0" w:type="dxa"/>
          <w:bottom w:w="0" w:type="dxa"/>
          <w:right w:w="0" w:type="dxa"/>
        </w:tblCellMar>
      </w:tblPr>
      <w:tblGrid>
        <w:gridCol w:w="2000"/>
        <w:gridCol w:w="60"/>
        <w:gridCol w:w="231"/>
        <w:gridCol w:w="1123"/>
        <w:gridCol w:w="215"/>
        <w:gridCol w:w="60"/>
        <w:gridCol w:w="302"/>
        <w:gridCol w:w="1472"/>
        <w:gridCol w:w="230"/>
      </w:tblGrid>
      <w:tr>
        <w:trPr/>
        <w:tc>
          <w:tcPr>
            <w:tcW w:w="200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 xml:space="preserve">As of </w:t>
              <w:br/>
              <w:t>June 30, 2023</w:t>
            </w:r>
          </w:p>
        </w:tc>
        <w:tc>
          <w:tcPr>
            <w:tcW w:w="2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774" w:type="dxa"/>
            <w:gridSpan w:val="2"/>
            <w:tcBorders>
              <w:bottom w:val="single" w:sz="12" w:space="0" w:color="000000"/>
            </w:tcBorders>
            <w:tcMar>
              <w:bottom w:w="28" w:type="dxa"/>
            </w:tcMar>
            <w:vAlign w:val="center"/>
          </w:tcPr>
          <w:p>
            <w:pPr>
              <w:pStyle w:val="TableContents"/>
              <w:bidi w:val="0"/>
              <w:jc w:val="center"/>
              <w:rPr>
                <w:color w:val="000000"/>
              </w:rPr>
            </w:pPr>
            <w:r>
              <w:rPr>
                <w:rFonts w:ascii="Times New Roman;Times;Serif" w:hAnsi="Times New Roman;Times;Serif"/>
                <w:color w:val="000000"/>
              </w:rPr>
              <w:t xml:space="preserve">As of </w:t>
              <w:br/>
              <w:t>June 20, 2023</w:t>
            </w:r>
            <w:r>
              <w:rPr>
                <w:color w:val="000000"/>
              </w:rPr>
              <w:t xml:space="preserve"> </w:t>
            </w:r>
          </w:p>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(Initial Measurement)</w:t>
            </w:r>
          </w:p>
        </w:tc>
        <w:tc>
          <w:tcPr>
            <w:tcW w:w="230" w:type="dxa"/>
            <w:tcBorders/>
            <w:vAlign w:val="center"/>
          </w:tcPr>
          <w:p>
            <w:pPr>
              <w:pStyle w:val="TableContents"/>
              <w:bidi w:val="0"/>
              <w:spacing w:before="0" w:after="283"/>
              <w:jc w:val="left"/>
              <w:rPr>
                <w:color w:val="000000"/>
              </w:rPr>
            </w:pPr>
            <w:r>
              <w:rPr>
                <w:color w:val="000000"/>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Common stock price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2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1.48</w:t>
            </w:r>
          </w:p>
        </w:tc>
        <w:tc>
          <w:tcPr>
            <w:tcW w:w="21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0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47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1.50</w:t>
            </w:r>
          </w:p>
        </w:tc>
        <w:tc>
          <w:tcPr>
            <w:tcW w:w="230" w:type="dxa"/>
            <w:tcBorders/>
            <w:shd w:fill="CCEEFF" w:val="clear"/>
            <w:vAlign w:val="center"/>
          </w:tcPr>
          <w:p>
            <w:pPr>
              <w:pStyle w:val="TableContents"/>
              <w:bidi w:val="0"/>
              <w:spacing w:before="0" w:after="283"/>
              <w:jc w:val="left"/>
              <w:rPr>
                <w:color w:val="000000"/>
              </w:rPr>
            </w:pPr>
            <w:r>
              <w:rPr>
                <w:color w:val="000000"/>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Exercise price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31"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2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2.00</w:t>
            </w:r>
          </w:p>
        </w:tc>
        <w:tc>
          <w:tcPr>
            <w:tcW w:w="2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30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472"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2.00</w:t>
            </w:r>
          </w:p>
        </w:tc>
        <w:tc>
          <w:tcPr>
            <w:tcW w:w="230" w:type="dxa"/>
            <w:tcBorders/>
            <w:shd w:fill="FFFFFF" w:val="clear"/>
            <w:vAlign w:val="center"/>
          </w:tcPr>
          <w:p>
            <w:pPr>
              <w:pStyle w:val="TableContents"/>
              <w:bidi w:val="0"/>
              <w:spacing w:before="0" w:after="283"/>
              <w:jc w:val="left"/>
              <w:rPr>
                <w:color w:val="000000"/>
              </w:rPr>
            </w:pPr>
            <w:r>
              <w:rPr>
                <w:color w:val="000000"/>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Dividend yield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1" w:type="dxa"/>
            <w:tcBorders/>
            <w:shd w:fill="CCEEFF" w:val="clear"/>
            <w:vAlign w:val="center"/>
          </w:tcPr>
          <w:p>
            <w:pPr>
              <w:pStyle w:val="TableContents"/>
              <w:bidi w:val="0"/>
              <w:spacing w:before="0" w:after="283"/>
              <w:jc w:val="left"/>
              <w:rPr>
                <w:color w:val="000000"/>
              </w:rPr>
            </w:pPr>
            <w:r>
              <w:rPr>
                <w:color w:val="000000"/>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0</w:t>
            </w:r>
          </w:p>
        </w:tc>
        <w:tc>
          <w:tcPr>
            <w:tcW w:w="21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02" w:type="dxa"/>
            <w:tcBorders/>
            <w:shd w:fill="CCEEFF" w:val="clear"/>
            <w:vAlign w:val="center"/>
          </w:tcPr>
          <w:p>
            <w:pPr>
              <w:pStyle w:val="TableContents"/>
              <w:bidi w:val="0"/>
              <w:spacing w:before="0" w:after="283"/>
              <w:jc w:val="left"/>
              <w:rPr>
                <w:color w:val="000000"/>
              </w:rPr>
            </w:pPr>
            <w:r>
              <w:rPr>
                <w:color w:val="000000"/>
              </w:rPr>
              <w:t> </w:t>
            </w:r>
          </w:p>
        </w:tc>
        <w:tc>
          <w:tcPr>
            <w:tcW w:w="147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0</w:t>
            </w:r>
          </w:p>
        </w:tc>
        <w:tc>
          <w:tcPr>
            <w:tcW w:w="23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Term (in years)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31" w:type="dxa"/>
            <w:tcBorders/>
            <w:shd w:fill="FFFFFF" w:val="clear"/>
            <w:vAlign w:val="center"/>
          </w:tcPr>
          <w:p>
            <w:pPr>
              <w:pStyle w:val="TableContents"/>
              <w:bidi w:val="0"/>
              <w:spacing w:before="0" w:after="283"/>
              <w:jc w:val="left"/>
              <w:rPr>
                <w:color w:val="000000"/>
              </w:rPr>
            </w:pPr>
            <w:r>
              <w:rPr>
                <w:color w:val="000000"/>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4.98</w:t>
            </w:r>
          </w:p>
        </w:tc>
        <w:tc>
          <w:tcPr>
            <w:tcW w:w="21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302" w:type="dxa"/>
            <w:tcBorders/>
            <w:shd w:fill="FFFFFF" w:val="clear"/>
            <w:vAlign w:val="center"/>
          </w:tcPr>
          <w:p>
            <w:pPr>
              <w:pStyle w:val="TableContents"/>
              <w:bidi w:val="0"/>
              <w:spacing w:before="0" w:after="283"/>
              <w:jc w:val="left"/>
              <w:rPr>
                <w:color w:val="000000"/>
              </w:rPr>
            </w:pPr>
            <w:r>
              <w:rPr>
                <w:color w:val="000000"/>
              </w:rPr>
              <w:t> </w:t>
            </w:r>
          </w:p>
        </w:tc>
        <w:tc>
          <w:tcPr>
            <w:tcW w:w="1472"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w:t>
            </w:r>
          </w:p>
        </w:tc>
        <w:tc>
          <w:tcPr>
            <w:tcW w:w="230" w:type="dxa"/>
            <w:tcBorders/>
            <w:shd w:fill="FFFFFF" w:val="clear"/>
            <w:vAlign w:val="center"/>
          </w:tcPr>
          <w:p>
            <w:pPr>
              <w:pStyle w:val="TableContents"/>
              <w:bidi w:val="0"/>
              <w:spacing w:before="0" w:after="283"/>
              <w:jc w:val="left"/>
              <w:rPr>
                <w:color w:val="000000"/>
              </w:rPr>
            </w:pPr>
            <w:r>
              <w:rPr>
                <w:color w:val="000000"/>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Volatility</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1" w:type="dxa"/>
            <w:tcBorders/>
            <w:shd w:fill="CCEEFF" w:val="clear"/>
            <w:vAlign w:val="center"/>
          </w:tcPr>
          <w:p>
            <w:pPr>
              <w:pStyle w:val="TableContents"/>
              <w:bidi w:val="0"/>
              <w:spacing w:before="0" w:after="283"/>
              <w:jc w:val="left"/>
              <w:rPr>
                <w:color w:val="000000"/>
              </w:rPr>
            </w:pPr>
            <w:r>
              <w:rPr>
                <w:color w:val="000000"/>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119.00</w:t>
            </w:r>
          </w:p>
        </w:tc>
        <w:tc>
          <w:tcPr>
            <w:tcW w:w="21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02" w:type="dxa"/>
            <w:tcBorders/>
            <w:shd w:fill="CCEEFF" w:val="clear"/>
            <w:vAlign w:val="center"/>
          </w:tcPr>
          <w:p>
            <w:pPr>
              <w:pStyle w:val="TableContents"/>
              <w:bidi w:val="0"/>
              <w:spacing w:before="0" w:after="283"/>
              <w:jc w:val="left"/>
              <w:rPr>
                <w:color w:val="000000"/>
              </w:rPr>
            </w:pPr>
            <w:r>
              <w:rPr>
                <w:color w:val="000000"/>
              </w:rPr>
              <w:t> </w:t>
            </w:r>
          </w:p>
        </w:tc>
        <w:tc>
          <w:tcPr>
            <w:tcW w:w="147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118.00</w:t>
            </w:r>
          </w:p>
        </w:tc>
        <w:tc>
          <w:tcPr>
            <w:tcW w:w="23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Risk-free rate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31" w:type="dxa"/>
            <w:tcBorders/>
            <w:shd w:fill="FFFFFF" w:val="clear"/>
            <w:vAlign w:val="center"/>
          </w:tcPr>
          <w:p>
            <w:pPr>
              <w:pStyle w:val="TableContents"/>
              <w:bidi w:val="0"/>
              <w:spacing w:before="0" w:after="283"/>
              <w:jc w:val="left"/>
              <w:rPr>
                <w:color w:val="000000"/>
              </w:rPr>
            </w:pPr>
            <w:r>
              <w:rPr>
                <w:color w:val="000000"/>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4.10</w:t>
            </w:r>
          </w:p>
        </w:tc>
        <w:tc>
          <w:tcPr>
            <w:tcW w:w="21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302" w:type="dxa"/>
            <w:tcBorders/>
            <w:shd w:fill="FFFFFF" w:val="clear"/>
            <w:vAlign w:val="center"/>
          </w:tcPr>
          <w:p>
            <w:pPr>
              <w:pStyle w:val="TableContents"/>
              <w:bidi w:val="0"/>
              <w:spacing w:before="0" w:after="283"/>
              <w:jc w:val="left"/>
              <w:rPr>
                <w:color w:val="000000"/>
              </w:rPr>
            </w:pPr>
            <w:r>
              <w:rPr>
                <w:color w:val="000000"/>
              </w:rPr>
              <w:t> </w:t>
            </w:r>
          </w:p>
        </w:tc>
        <w:tc>
          <w:tcPr>
            <w:tcW w:w="1472"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4.00</w:t>
            </w:r>
          </w:p>
        </w:tc>
        <w:tc>
          <w:tcPr>
            <w:tcW w:w="23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Fair value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12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1.19</w:t>
            </w:r>
          </w:p>
        </w:tc>
        <w:tc>
          <w:tcPr>
            <w:tcW w:w="21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30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472"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1.21</w:t>
            </w:r>
          </w:p>
        </w:tc>
        <w:tc>
          <w:tcPr>
            <w:tcW w:w="23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table presents a roll-forward of the Company’s warrants from January 1, 2023 to June 30, 2023:</w:t>
      </w:r>
    </w:p>
    <w:p>
      <w:pPr>
        <w:pStyle w:val="TextBody"/>
        <w:bidi w:val="0"/>
        <w:spacing w:before="0" w:after="0"/>
        <w:ind w:left="0" w:right="0" w:hanging="0"/>
        <w:jc w:val="both"/>
        <w:rPr>
          <w:caps w:val="false"/>
          <w:smallCaps w:val="false"/>
        </w:rPr>
      </w:pPr>
      <w:r>
        <w:rPr>
          <w:caps w:val="false"/>
          <w:smallCaps w:val="false"/>
          <w:color w:val="000000"/>
        </w:rPr>
        <w:t> </w:t>
      </w:r>
      <w:r>
        <w:rPr>
          <w:rFonts w:ascii="Times New Roman;Times;Serif" w:hAnsi="Times New Roman;Times;Serif"/>
          <w:b w:val="false"/>
          <w:i w:val="false"/>
          <w:caps w:val="false"/>
          <w:smallCaps w:val="false"/>
          <w:color w:val="000000"/>
          <w:sz w:val="20"/>
        </w:rPr>
        <w:t>SCHEDULE OF ROLL FORWARD IN WARRANTS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Private Warrants: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774" w:type="dxa"/>
        <w:jc w:val="left"/>
        <w:tblInd w:w="0" w:type="dxa"/>
        <w:tblLayout w:type="fixed"/>
        <w:tblCellMar>
          <w:top w:w="0" w:type="dxa"/>
          <w:left w:w="0" w:type="dxa"/>
          <w:bottom w:w="0" w:type="dxa"/>
          <w:right w:w="0" w:type="dxa"/>
        </w:tblCellMar>
      </w:tblPr>
      <w:tblGrid>
        <w:gridCol w:w="3185"/>
        <w:gridCol w:w="60"/>
        <w:gridCol w:w="130"/>
        <w:gridCol w:w="2289"/>
        <w:gridCol w:w="110"/>
      </w:tblGrid>
      <w:tr>
        <w:trPr/>
        <w:tc>
          <w:tcPr>
            <w:tcW w:w="3185" w:type="dxa"/>
            <w:tcBorders/>
            <w:vAlign w:val="center"/>
          </w:tcPr>
          <w:p>
            <w:pPr>
              <w:pStyle w:val="TableContents"/>
              <w:bidi w:val="0"/>
              <w:spacing w:before="0" w:after="283"/>
              <w:jc w:val="both"/>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4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Common Stock Warrants</w:t>
            </w:r>
          </w:p>
        </w:tc>
        <w:tc>
          <w:tcPr>
            <w:tcW w:w="110" w:type="dxa"/>
            <w:tcBorders/>
            <w:vAlign w:val="center"/>
          </w:tcPr>
          <w:p>
            <w:pPr>
              <w:pStyle w:val="TableContents"/>
              <w:bidi w:val="0"/>
              <w:spacing w:before="0" w:after="283"/>
              <w:jc w:val="left"/>
              <w:rPr>
                <w:color w:val="000000"/>
              </w:rPr>
            </w:pPr>
            <w:r>
              <w:rPr>
                <w:color w:val="000000"/>
              </w:rPr>
              <w:t> </w:t>
            </w:r>
          </w:p>
        </w:tc>
      </w:tr>
      <w:tr>
        <w:trPr/>
        <w:tc>
          <w:tcPr>
            <w:tcW w:w="3185" w:type="dxa"/>
            <w:tcBorders/>
            <w:shd w:fill="CCEEFF" w:val="clear"/>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Warrants Outstanding, January 1,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30" w:type="dxa"/>
            <w:tcBorders/>
            <w:shd w:fill="CCEEFF" w:val="clear"/>
            <w:vAlign w:val="center"/>
          </w:tcPr>
          <w:p>
            <w:pPr>
              <w:pStyle w:val="TableContents"/>
              <w:bidi w:val="0"/>
              <w:spacing w:before="0" w:after="283"/>
              <w:jc w:val="left"/>
              <w:rPr>
                <w:color w:val="000000"/>
              </w:rPr>
            </w:pPr>
            <w:r>
              <w:rPr>
                <w:color w:val="000000"/>
              </w:rPr>
              <w:t> </w:t>
            </w:r>
          </w:p>
        </w:tc>
        <w:tc>
          <w:tcPr>
            <w:tcW w:w="2289"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4,627,858</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3185" w:type="dxa"/>
            <w:tcBorders/>
            <w:shd w:fill="FFFFFF" w:val="clear"/>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Exercise of warrants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22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(3,126,472</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3185" w:type="dxa"/>
            <w:tcBorders/>
            <w:shd w:fill="CCEEFF" w:val="clear"/>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Warrants Outstanding, June 30,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22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1,501,386</w:t>
            </w:r>
          </w:p>
        </w:tc>
        <w:tc>
          <w:tcPr>
            <w:tcW w:w="11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There were no private warrants issued, exercised and outstanding from the period January 1, 2022 through June 30, 2022.</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Public Warrants: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774" w:type="dxa"/>
        <w:jc w:val="left"/>
        <w:tblInd w:w="0" w:type="dxa"/>
        <w:tblLayout w:type="fixed"/>
        <w:tblCellMar>
          <w:top w:w="0" w:type="dxa"/>
          <w:left w:w="0" w:type="dxa"/>
          <w:bottom w:w="0" w:type="dxa"/>
          <w:right w:w="0" w:type="dxa"/>
        </w:tblCellMar>
      </w:tblPr>
      <w:tblGrid>
        <w:gridCol w:w="3185"/>
        <w:gridCol w:w="60"/>
        <w:gridCol w:w="139"/>
        <w:gridCol w:w="2280"/>
        <w:gridCol w:w="110"/>
      </w:tblGrid>
      <w:tr>
        <w:trPr/>
        <w:tc>
          <w:tcPr>
            <w:tcW w:w="3185" w:type="dxa"/>
            <w:tcBorders/>
            <w:vAlign w:val="center"/>
          </w:tcPr>
          <w:p>
            <w:pPr>
              <w:pStyle w:val="TableContents"/>
              <w:bidi w:val="0"/>
              <w:spacing w:before="0" w:after="283"/>
              <w:jc w:val="both"/>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4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Common Stock Warrants</w:t>
            </w:r>
          </w:p>
        </w:tc>
        <w:tc>
          <w:tcPr>
            <w:tcW w:w="110" w:type="dxa"/>
            <w:tcBorders/>
            <w:vAlign w:val="center"/>
          </w:tcPr>
          <w:p>
            <w:pPr>
              <w:pStyle w:val="TableContents"/>
              <w:bidi w:val="0"/>
              <w:spacing w:before="0" w:after="283"/>
              <w:jc w:val="left"/>
              <w:rPr>
                <w:color w:val="000000"/>
              </w:rPr>
            </w:pPr>
            <w:r>
              <w:rPr>
                <w:color w:val="000000"/>
              </w:rPr>
              <w:t> </w:t>
            </w:r>
          </w:p>
        </w:tc>
      </w:tr>
      <w:tr>
        <w:trPr/>
        <w:tc>
          <w:tcPr>
            <w:tcW w:w="3185" w:type="dxa"/>
            <w:tcBorders/>
            <w:shd w:fill="CCEEFF" w:val="clear"/>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Warrants Outstanding, January 1,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39" w:type="dxa"/>
            <w:tcBorders/>
            <w:shd w:fill="CCEEFF" w:val="clear"/>
            <w:vAlign w:val="center"/>
          </w:tcPr>
          <w:p>
            <w:pPr>
              <w:pStyle w:val="TableContents"/>
              <w:bidi w:val="0"/>
              <w:spacing w:before="0" w:after="283"/>
              <w:jc w:val="left"/>
              <w:rPr>
                <w:color w:val="000000"/>
              </w:rPr>
            </w:pPr>
            <w:r>
              <w:rPr>
                <w:color w:val="000000"/>
              </w:rPr>
              <w:t> </w:t>
            </w:r>
          </w:p>
        </w:tc>
        <w:tc>
          <w:tcPr>
            <w:tcW w:w="22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9,487,500</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3185" w:type="dxa"/>
            <w:tcBorders/>
            <w:shd w:fill="FFFFFF" w:val="clear"/>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Exercise of warrants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39"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22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(64,971</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3185" w:type="dxa"/>
            <w:tcBorders/>
            <w:shd w:fill="CCEEFF" w:val="clear"/>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Warrants Outstanding, June 30,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22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9,422,529</w:t>
            </w:r>
          </w:p>
        </w:tc>
        <w:tc>
          <w:tcPr>
            <w:tcW w:w="11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There were no public warrants issued, exercised and outstanding from the period January 1, 2022 through June 30, 2022.</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Term Loan Warrants:</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774" w:type="dxa"/>
        <w:jc w:val="left"/>
        <w:tblInd w:w="0" w:type="dxa"/>
        <w:tblLayout w:type="fixed"/>
        <w:tblCellMar>
          <w:top w:w="0" w:type="dxa"/>
          <w:left w:w="0" w:type="dxa"/>
          <w:bottom w:w="0" w:type="dxa"/>
          <w:right w:w="0" w:type="dxa"/>
        </w:tblCellMar>
      </w:tblPr>
      <w:tblGrid>
        <w:gridCol w:w="3185"/>
        <w:gridCol w:w="60"/>
        <w:gridCol w:w="130"/>
        <w:gridCol w:w="2289"/>
        <w:gridCol w:w="110"/>
      </w:tblGrid>
      <w:tr>
        <w:trPr/>
        <w:tc>
          <w:tcPr>
            <w:tcW w:w="3185" w:type="dxa"/>
            <w:tcBorders/>
            <w:vAlign w:val="center"/>
          </w:tcPr>
          <w:p>
            <w:pPr>
              <w:pStyle w:val="TableContents"/>
              <w:bidi w:val="0"/>
              <w:spacing w:before="0" w:after="283"/>
              <w:jc w:val="both"/>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4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Common Stock Warrants</w:t>
            </w:r>
          </w:p>
        </w:tc>
        <w:tc>
          <w:tcPr>
            <w:tcW w:w="110" w:type="dxa"/>
            <w:tcBorders/>
            <w:vAlign w:val="center"/>
          </w:tcPr>
          <w:p>
            <w:pPr>
              <w:pStyle w:val="TableContents"/>
              <w:bidi w:val="0"/>
              <w:spacing w:before="0" w:after="283"/>
              <w:jc w:val="left"/>
              <w:rPr>
                <w:color w:val="000000"/>
              </w:rPr>
            </w:pPr>
            <w:r>
              <w:rPr>
                <w:color w:val="000000"/>
              </w:rPr>
              <w:t> </w:t>
            </w:r>
          </w:p>
        </w:tc>
      </w:tr>
      <w:tr>
        <w:trPr/>
        <w:tc>
          <w:tcPr>
            <w:tcW w:w="3185" w:type="dxa"/>
            <w:tcBorders/>
            <w:shd w:fill="CCEEFF" w:val="clear"/>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Warrants Outstanding, January 1,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30" w:type="dxa"/>
            <w:tcBorders/>
            <w:shd w:fill="CCEEFF" w:val="clear"/>
            <w:vAlign w:val="center"/>
          </w:tcPr>
          <w:p>
            <w:pPr>
              <w:pStyle w:val="TableContents"/>
              <w:bidi w:val="0"/>
              <w:spacing w:before="0" w:after="283"/>
              <w:jc w:val="left"/>
              <w:rPr>
                <w:color w:val="000000"/>
              </w:rPr>
            </w:pPr>
            <w:r>
              <w:rPr>
                <w:color w:val="000000"/>
              </w:rPr>
              <w:t> </w:t>
            </w:r>
          </w:p>
        </w:tc>
        <w:tc>
          <w:tcPr>
            <w:tcW w:w="2289"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2,593,056</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3185" w:type="dxa"/>
            <w:tcBorders/>
            <w:shd w:fill="FFFFFF" w:val="clear"/>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Exercise of warrants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22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(2,000,000</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3185" w:type="dxa"/>
            <w:tcBorders/>
            <w:shd w:fill="CCEEFF" w:val="clear"/>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Warrants Outstanding, June 30,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22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593,056</w:t>
            </w:r>
          </w:p>
        </w:tc>
        <w:tc>
          <w:tcPr>
            <w:tcW w:w="11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There were no term loan warrants issued, exercised and outstanding from the period January 1, 2022 through June 30, 2022.</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Warrants:</w:t>
      </w:r>
    </w:p>
    <w:p>
      <w:pPr>
        <w:pStyle w:val="TextBody"/>
        <w:bidi w:val="0"/>
        <w:jc w:val="both"/>
        <w:rPr>
          <w:caps w:val="false"/>
          <w:smallCaps w:val="false"/>
        </w:rPr>
      </w:pPr>
      <w:r>
        <w:rPr>
          <w:caps w:val="false"/>
          <w:smallCaps w:val="false"/>
        </w:rPr>
        <w:t> </w:t>
      </w:r>
    </w:p>
    <w:tbl>
      <w:tblPr>
        <w:tblW w:w="6294" w:type="dxa"/>
        <w:jc w:val="left"/>
        <w:tblInd w:w="0" w:type="dxa"/>
        <w:tblLayout w:type="fixed"/>
        <w:tblCellMar>
          <w:top w:w="0" w:type="dxa"/>
          <w:left w:w="0" w:type="dxa"/>
          <w:bottom w:w="0" w:type="dxa"/>
          <w:right w:w="0" w:type="dxa"/>
        </w:tblCellMar>
      </w:tblPr>
      <w:tblGrid>
        <w:gridCol w:w="3740"/>
        <w:gridCol w:w="60"/>
        <w:gridCol w:w="125"/>
        <w:gridCol w:w="2294"/>
        <w:gridCol w:w="75"/>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19" w:type="dxa"/>
            <w:gridSpan w:val="2"/>
            <w:tcBorders>
              <w:bottom w:val="single" w:sz="12" w:space="0" w:color="000000"/>
            </w:tcBorders>
            <w:tcMar>
              <w:bottom w:w="28" w:type="dxa"/>
            </w:tcMar>
            <w:vAlign w:val="center"/>
          </w:tcPr>
          <w:p>
            <w:pPr>
              <w:pStyle w:val="TableContents"/>
              <w:bidi w:val="0"/>
              <w:spacing w:before="0" w:after="283"/>
              <w:jc w:val="center"/>
              <w:rPr/>
            </w:pPr>
            <w:r>
              <w:rPr/>
              <w:t>Common Stock Warrants</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Warrants Outstanding, January 1, 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both"/>
              <w:rPr/>
            </w:pPr>
            <w:r>
              <w:rPr/>
              <w:t>Warrants issued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294" w:type="dxa"/>
            <w:tcBorders>
              <w:bottom w:val="single" w:sz="12" w:space="0" w:color="000000"/>
            </w:tcBorders>
            <w:shd w:fill="FFFFFF" w:val="clear"/>
            <w:tcMar>
              <w:bottom w:w="28" w:type="dxa"/>
            </w:tcMar>
            <w:vAlign w:val="center"/>
          </w:tcPr>
          <w:p>
            <w:pPr>
              <w:pStyle w:val="TableContents"/>
              <w:bidi w:val="0"/>
              <w:spacing w:before="0" w:after="283"/>
              <w:jc w:val="right"/>
              <w:rPr/>
            </w:pPr>
            <w:r>
              <w:rPr/>
              <w:t>11,405,000</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pPr>
            <w:r>
              <w:rPr/>
              <w:t>Warrants Outstanding, June 30, 2023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294" w:type="dxa"/>
            <w:tcBorders>
              <w:bottom w:val="double" w:sz="6" w:space="0" w:color="000000"/>
            </w:tcBorders>
            <w:shd w:fill="CCEEFF" w:val="clear"/>
            <w:tcMar>
              <w:bottom w:w="28" w:type="dxa"/>
            </w:tcMar>
            <w:vAlign w:val="center"/>
          </w:tcPr>
          <w:p>
            <w:pPr>
              <w:pStyle w:val="TableContents"/>
              <w:bidi w:val="0"/>
              <w:spacing w:before="0" w:after="283"/>
              <w:jc w:val="right"/>
              <w:rPr/>
            </w:pPr>
            <w:r>
              <w:rPr/>
              <w:t>11,405,000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investor warrants issued, exercised and outstanding from the period January 1, 2022 through June 30, 2022.</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table presents a roll forward of the aggregate fair values of the Company’s warrant liabilities for which fair value is determined by Level 3 Inputs. The only class of warrants that were determined to be Level 3 are the term loan warrants.</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4889" w:type="dxa"/>
        <w:jc w:val="left"/>
        <w:tblInd w:w="0" w:type="dxa"/>
        <w:tblLayout w:type="fixed"/>
        <w:tblCellMar>
          <w:top w:w="0" w:type="dxa"/>
          <w:left w:w="0" w:type="dxa"/>
          <w:bottom w:w="0" w:type="dxa"/>
          <w:right w:w="0" w:type="dxa"/>
        </w:tblCellMar>
      </w:tblPr>
      <w:tblGrid>
        <w:gridCol w:w="3080"/>
        <w:gridCol w:w="60"/>
        <w:gridCol w:w="256"/>
        <w:gridCol w:w="1383"/>
        <w:gridCol w:w="110"/>
      </w:tblGrid>
      <w:tr>
        <w:trPr/>
        <w:tc>
          <w:tcPr>
            <w:tcW w:w="3080" w:type="dxa"/>
            <w:tcBorders/>
            <w:vAlign w:val="center"/>
          </w:tcPr>
          <w:p>
            <w:pPr>
              <w:pStyle w:val="TableContents"/>
              <w:bidi w:val="0"/>
              <w:spacing w:before="0" w:after="283"/>
              <w:jc w:val="both"/>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6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Warrant Liability</w:t>
            </w:r>
          </w:p>
        </w:tc>
        <w:tc>
          <w:tcPr>
            <w:tcW w:w="110" w:type="dxa"/>
            <w:tcBorders/>
            <w:vAlign w:val="center"/>
          </w:tcPr>
          <w:p>
            <w:pPr>
              <w:pStyle w:val="TableContents"/>
              <w:bidi w:val="0"/>
              <w:spacing w:before="0" w:after="283"/>
              <w:jc w:val="left"/>
              <w:rPr>
                <w:color w:val="000000"/>
              </w:rPr>
            </w:pPr>
            <w:r>
              <w:rPr>
                <w:color w:val="000000"/>
              </w:rPr>
              <w:t> </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Balances, January 1,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38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30,841</w:t>
            </w:r>
          </w:p>
        </w:tc>
        <w:tc>
          <w:tcPr>
            <w:tcW w:w="110" w:type="dxa"/>
            <w:tcBorders/>
            <w:shd w:fill="CCEEFF" w:val="clear"/>
            <w:vAlign w:val="center"/>
          </w:tcPr>
          <w:p>
            <w:pPr>
              <w:pStyle w:val="TableContents"/>
              <w:bidi w:val="0"/>
              <w:spacing w:before="0" w:after="283"/>
              <w:jc w:val="left"/>
              <w:rPr>
                <w:color w:val="000000"/>
              </w:rPr>
            </w:pPr>
            <w:r>
              <w:rPr>
                <w:color w:val="000000"/>
              </w:rPr>
              <w:t> </w:t>
            </w:r>
          </w:p>
        </w:tc>
      </w:tr>
      <w:tr>
        <w:trPr/>
        <w:tc>
          <w:tcPr>
            <w:tcW w:w="3080" w:type="dxa"/>
            <w:tcBorders/>
            <w:shd w:fill="FFFF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Issuance of warrants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56" w:type="dxa"/>
            <w:tcBorders/>
            <w:shd w:fill="FFFFFF" w:val="clear"/>
            <w:vAlign w:val="center"/>
          </w:tcPr>
          <w:p>
            <w:pPr>
              <w:pStyle w:val="TableContents"/>
              <w:bidi w:val="0"/>
              <w:spacing w:before="0" w:after="283"/>
              <w:jc w:val="left"/>
              <w:rPr>
                <w:color w:val="000000"/>
              </w:rPr>
            </w:pPr>
            <w:r>
              <w:rPr>
                <w:color w:val="000000"/>
              </w:rPr>
              <w:t> </w:t>
            </w:r>
          </w:p>
        </w:tc>
        <w:tc>
          <w:tcPr>
            <w:tcW w:w="138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13,762</w:t>
            </w:r>
          </w:p>
        </w:tc>
        <w:tc>
          <w:tcPr>
            <w:tcW w:w="110" w:type="dxa"/>
            <w:tcBorders/>
            <w:shd w:fill="FFFFFF" w:val="clear"/>
            <w:vAlign w:val="center"/>
          </w:tcPr>
          <w:p>
            <w:pPr>
              <w:pStyle w:val="TableContents"/>
              <w:bidi w:val="0"/>
              <w:spacing w:before="0" w:after="283"/>
              <w:jc w:val="left"/>
              <w:rPr>
                <w:color w:val="000000"/>
              </w:rPr>
            </w:pPr>
            <w:r>
              <w:rPr>
                <w:color w:val="000000"/>
              </w:rPr>
              <w:t> </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Exercise of warrants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6" w:type="dxa"/>
            <w:tcBorders/>
            <w:shd w:fill="CCEEFF" w:val="clear"/>
            <w:vAlign w:val="center"/>
          </w:tcPr>
          <w:p>
            <w:pPr>
              <w:pStyle w:val="TableContents"/>
              <w:bidi w:val="0"/>
              <w:spacing w:before="0" w:after="283"/>
              <w:jc w:val="left"/>
              <w:rPr>
                <w:color w:val="000000"/>
              </w:rPr>
            </w:pPr>
            <w:r>
              <w:rPr>
                <w:color w:val="000000"/>
              </w:rPr>
              <w:t> </w:t>
            </w:r>
          </w:p>
        </w:tc>
        <w:tc>
          <w:tcPr>
            <w:tcW w:w="138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(11,284</w:t>
            </w:r>
          </w:p>
        </w:tc>
        <w:tc>
          <w:tcPr>
            <w:tcW w:w="110"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3080" w:type="dxa"/>
            <w:tcBorders/>
            <w:shd w:fill="FFFF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Change in fair value of warrants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56"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38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(18,832</w:t>
            </w:r>
          </w:p>
        </w:tc>
        <w:tc>
          <w:tcPr>
            <w:tcW w:w="110"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Balances, June 30,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14,487</w:t>
            </w:r>
          </w:p>
        </w:tc>
        <w:tc>
          <w:tcPr>
            <w:tcW w:w="11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p>
      <w:pPr>
        <w:pStyle w:val="TextBody"/>
        <w:bidi w:val="0"/>
        <w:spacing w:before="120" w:after="283"/>
        <w:jc w:val="left"/>
        <w:rPr/>
      </w:pPr>
      <w:r>
        <w:rPr/>
        <w:t> </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10 - COMMON STOCK</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is authorized to issue up to 170,000,000 shares of common stock with $0.0001 par value. Common stockholders are entitled to dividends if and when declared by the Board of Directors subject to the rights of the preferred stockholders. As of June 30, 2023 and December 31, 2022, there were 58,504,541 and 43,272,728 shares issued and outstanding. No dividends on common stock had been declared by the Company.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the six months ended June 30, 2023 and 2022, the Company had reserved shares of common stock for issuance as follows:</w:t>
      </w:r>
    </w:p>
    <w:p>
      <w:pPr>
        <w:pStyle w:val="TextBody"/>
        <w:bidi w:val="0"/>
        <w:spacing w:before="0" w:after="0"/>
        <w:ind w:left="0" w:right="0" w:hanging="0"/>
        <w:jc w:val="both"/>
        <w:rPr>
          <w:caps w:val="false"/>
          <w:smallCaps w:val="false"/>
        </w:rPr>
      </w:pPr>
      <w:r>
        <w:rPr>
          <w:caps w:val="false"/>
          <w:smallCaps w:val="false"/>
          <w:color w:val="000000"/>
        </w:rPr>
        <w:t> </w:t>
      </w:r>
      <w:r>
        <w:rPr>
          <w:rFonts w:ascii="Times New Roman;Times;Serif" w:hAnsi="Times New Roman;Times;Serif"/>
          <w:b w:val="false"/>
          <w:i w:val="false"/>
          <w:caps w:val="false"/>
          <w:smallCaps w:val="false"/>
          <w:color w:val="000000"/>
          <w:sz w:val="20"/>
        </w:rPr>
        <w:t>SUMMARY OF RESERVED SHARES OF COMMON STOCK FOR ISSUANCE</w:t>
      </w:r>
      <w:r>
        <w:rPr>
          <w:rFonts w:ascii="Times New Roman;Times;Serif" w:hAnsi="Times New Roman;Times;Serif"/>
          <w:b w:val="false"/>
          <w:i w:val="false"/>
          <w:caps w:val="false"/>
          <w:smallCaps w:val="false"/>
          <w:sz w:val="20"/>
        </w:rPr>
        <w:t> </w:t>
      </w:r>
    </w:p>
    <w:tbl>
      <w:tblPr>
        <w:tblW w:w="6060" w:type="dxa"/>
        <w:jc w:val="left"/>
        <w:tblInd w:w="0" w:type="dxa"/>
        <w:tblLayout w:type="fixed"/>
        <w:tblCellMar>
          <w:top w:w="0" w:type="dxa"/>
          <w:left w:w="0" w:type="dxa"/>
          <w:bottom w:w="0" w:type="dxa"/>
          <w:right w:w="0" w:type="dxa"/>
        </w:tblCellMar>
      </w:tblPr>
      <w:tblGrid>
        <w:gridCol w:w="3365"/>
        <w:gridCol w:w="60"/>
        <w:gridCol w:w="60"/>
        <w:gridCol w:w="1220"/>
        <w:gridCol w:w="60"/>
        <w:gridCol w:w="60"/>
        <w:gridCol w:w="60"/>
        <w:gridCol w:w="1100"/>
        <w:gridCol w:w="75"/>
      </w:tblGrid>
      <w:tr>
        <w:trPr/>
        <w:tc>
          <w:tcPr>
            <w:tcW w:w="336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 xml:space="preserve">June 30, </w:t>
              <w:br/>
              <w:t>2023</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 xml:space="preserve">June 30, </w:t>
              <w:br/>
              <w:t>2022</w:t>
            </w:r>
          </w:p>
        </w:tc>
        <w:tc>
          <w:tcPr>
            <w:tcW w:w="75" w:type="dxa"/>
            <w:tcBorders/>
            <w:vAlign w:val="center"/>
          </w:tcPr>
          <w:p>
            <w:pPr>
              <w:pStyle w:val="TableContents"/>
              <w:bidi w:val="0"/>
              <w:spacing w:before="0" w:after="283"/>
              <w:jc w:val="left"/>
              <w:rPr>
                <w:color w:val="000000"/>
              </w:rPr>
            </w:pPr>
            <w:r>
              <w:rPr>
                <w:color w:val="000000"/>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Options issued and outstanding</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3,443,099</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4,008,139</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Common stock outstanding</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58,504,541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36,749,738</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Warrants outstanding</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23,492,221</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Earnout shares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40,000,000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Shares available for future issuance</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4,434,916</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622,491</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Total</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129,874,777</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41,380,368</w:t>
            </w:r>
          </w:p>
        </w:tc>
        <w:tc>
          <w:tcPr>
            <w:tcW w:w="75"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ChEF Equity Facility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and Chardan Capital Markets LLC, a New York limited liability company (“CCM LLC”) entered into a purchase agreement (the “Purchase Agreement”) and a Registration Rights Agreement (the “ChEF RRA”) in connection with the merger. Pursuant to the Purchase Agreement, the Company has the right to sell to CCM LLC an amount of shares of Common Stock, up to a maximum aggregate purchase price of $150 million, pursuant to the terms of the Purchase Agreement. In addition, the Company appointed LifeSci Capital, LLC as “qualified independent underwriter” with respect to the transactions contemplated by the Purchase Agreement. Under the terms of the Purchase Agreement, the Company issued 98,500 shares pursuant to the Purchase Agreement with CCM LLC for aggregate net proceeds to the Company of $671 from the period January 1, 2023 through June 30, 2023.</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June 2023 Offering</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the June 2023 Offering, the Company sold an aggregate of (i) 10,000,000 shares of its Common Stock and, (ii) accompanying Investor Warrants to purchase up to 10,000,000 shares of Common Stock, at the combined public offering price of $2.00 per share and accompanying Investor Warrant, less underwriting discounts and commissions, and (iii) the Underwriters’ Warrants. In addition, the Company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b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at an exercise price of $2.50 per share and will expire on June 20, 2028.</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granted the underwriters a 45-day over-allotment option to purchase up to an additional 1,500,000 shares of Common Stock and/or Warrants to purchase up to an aggregate of 1,500,000 shares of Common Stock at the public offering price per security, less underwriting discounts and commissions, of which the underwriters exercised for 1,405,000 shares of Common Stock and Investor Warrants to purchase up to 1,405,000 shares of Common Stock and the remaining was not exercised within the 45-day window.</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gross proceeds of $22,810 and incurred $2,074 of offering related costs. The gross proceeds were first allocated to the liability classified warrants based upon the transaction date fair value and then to the equity classified warrants with the residual allocated to the common shares. The offering related costs were allocated based on the relative fair value of all instruments, of which $1,169 was accounted for as a reduction of additional-paid-in-capital and $905 was recorded within general and administrative expenses. The Company accounted for the investor warrants issued in connection with the Public Offering and the exercise of the underwriters’ over-allotment option in accordance with the guidance contained in ASC 815-40. Such guidance provides that the warrants described above are precluded from equity classification. The fair value of the warrants were recorded as a liability in the amount of $13,762 on issuance and are being fair valued at each reporting period.</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p>
      <w:pPr>
        <w:pStyle w:val="TextBody"/>
        <w:bidi w:val="0"/>
        <w:spacing w:before="120" w:after="283"/>
        <w:jc w:val="left"/>
        <w:rPr/>
      </w:pPr>
      <w:r>
        <w:rPr/>
        <w:t> </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both"/>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11 - STOCK-BASED COMPENSATION</w:t>
      </w:r>
    </w:p>
    <w:p>
      <w:pPr>
        <w:pStyle w:val="TextBody"/>
        <w:bidi w:val="0"/>
        <w:spacing w:before="0" w:after="0"/>
        <w:ind w:left="0" w:right="0" w:hanging="0"/>
        <w:jc w:val="both"/>
        <w:rPr>
          <w:caps/>
          <w:color w:val="000000"/>
        </w:rPr>
      </w:pPr>
      <w:r>
        <w:rPr>
          <w:caps/>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Share-based compensation expense for options and RSUs totaling $5,441 and $719 was recognized in the Company’s consolidated statements of operations for the six months ended June 30, 2023 and 2022, respectively. Share-based compensation expense for options and RSUs totaling $954 and $431 was recognized in the Company’s consolidated statements of operations for the three months ended June 30, 2023 and 2022, respectively.</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for the six months ended June 30, 2023 and 2022 was allocated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OF STOCK BASED COMPENSATION </w:t>
      </w:r>
    </w:p>
    <w:tbl>
      <w:tblPr>
        <w:tblW w:w="4870" w:type="dxa"/>
        <w:jc w:val="left"/>
        <w:tblInd w:w="0" w:type="dxa"/>
        <w:tblLayout w:type="fixed"/>
        <w:tblCellMar>
          <w:top w:w="0" w:type="dxa"/>
          <w:left w:w="0" w:type="dxa"/>
          <w:bottom w:w="0" w:type="dxa"/>
          <w:right w:w="0" w:type="dxa"/>
        </w:tblCellMar>
      </w:tblPr>
      <w:tblGrid>
        <w:gridCol w:w="3395"/>
        <w:gridCol w:w="60"/>
        <w:gridCol w:w="140"/>
        <w:gridCol w:w="560"/>
        <w:gridCol w:w="60"/>
        <w:gridCol w:w="60"/>
        <w:gridCol w:w="140"/>
        <w:gridCol w:w="380"/>
        <w:gridCol w:w="75"/>
      </w:tblGrid>
      <w:tr>
        <w:trPr/>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center"/>
              <w:rPr/>
            </w:pPr>
            <w:r>
              <w:rPr/>
              <w:t> </w:t>
            </w:r>
          </w:p>
        </w:tc>
      </w:tr>
      <w:tr>
        <w:trPr/>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center"/>
              <w:rPr/>
            </w:pPr>
            <w:r>
              <w:rPr/>
              <w:t> </w:t>
            </w:r>
          </w:p>
        </w:tc>
      </w:tr>
      <w:tr>
        <w:trPr/>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center"/>
              <w:rPr/>
            </w:pPr>
            <w:r>
              <w:rPr/>
              <w:t> </w:t>
            </w:r>
          </w:p>
        </w:tc>
      </w:tr>
      <w:tr>
        <w:trPr/>
        <w:tc>
          <w:tcPr>
            <w:tcW w:w="3395"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143</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171</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192</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4,346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213</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719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for the three months ended June 30, 2023 and 2022 was allocated as follows:</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3395"/>
        <w:gridCol w:w="60"/>
        <w:gridCol w:w="140"/>
        <w:gridCol w:w="380"/>
        <w:gridCol w:w="60"/>
        <w:gridCol w:w="60"/>
        <w:gridCol w:w="140"/>
        <w:gridCol w:w="380"/>
        <w:gridCol w:w="75"/>
      </w:tblGrid>
      <w:tr>
        <w:trPr/>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center"/>
              <w:rPr/>
            </w:pPr>
            <w:r>
              <w:rPr/>
              <w:t> </w:t>
            </w:r>
          </w:p>
        </w:tc>
      </w:tr>
      <w:tr>
        <w:trPr/>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center"/>
              <w:rPr/>
            </w:pPr>
            <w:r>
              <w:rPr/>
              <w:t> </w:t>
            </w:r>
          </w:p>
        </w:tc>
      </w:tr>
      <w:tr>
        <w:trPr/>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center"/>
              <w:rPr/>
            </w:pPr>
            <w:r>
              <w:rPr/>
              <w:t> </w:t>
            </w:r>
          </w:p>
        </w:tc>
      </w:tr>
      <w:tr>
        <w:trPr/>
        <w:tc>
          <w:tcPr>
            <w:tcW w:w="3395"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46</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134</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132</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119</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431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summary of the Company’s option activity and related information follows:</w:t>
      </w:r>
    </w:p>
    <w:p>
      <w:pPr>
        <w:pStyle w:val="TextBody"/>
        <w:bidi w:val="0"/>
        <w:spacing w:before="0" w:after="0"/>
        <w:ind w:left="0" w:right="0" w:hanging="0"/>
        <w:jc w:val="both"/>
        <w:rPr>
          <w:caps w:val="false"/>
          <w:smallCaps w:val="false"/>
        </w:rPr>
      </w:pPr>
      <w:r>
        <w:rPr>
          <w:caps w:val="false"/>
          <w:smallCaps w:val="false"/>
          <w:color w:val="000000"/>
        </w:rPr>
        <w:t> </w:t>
      </w:r>
      <w:r>
        <w:rPr>
          <w:rFonts w:ascii="Times New Roman;Times;Serif" w:hAnsi="Times New Roman;Times;Serif"/>
          <w:b w:val="false"/>
          <w:i w:val="false"/>
          <w:caps w:val="false"/>
          <w:smallCaps w:val="false"/>
          <w:color w:val="000000"/>
          <w:sz w:val="20"/>
        </w:rPr>
        <w:t>SCHEDULE OF OPTION ACTIVITY AND RELATED INFORMATION</w:t>
      </w:r>
      <w:r>
        <w:rPr>
          <w:rFonts w:ascii="Times New Roman;Times;Serif" w:hAnsi="Times New Roman;Times;Serif"/>
          <w:b w:val="false"/>
          <w:i w:val="false"/>
          <w:caps w:val="false"/>
          <w:smallCaps w:val="false"/>
          <w:sz w:val="20"/>
        </w:rPr>
        <w:t> </w:t>
      </w:r>
    </w:p>
    <w:tbl>
      <w:tblPr>
        <w:tblW w:w="10205" w:type="dxa"/>
        <w:jc w:val="left"/>
        <w:tblInd w:w="0" w:type="dxa"/>
        <w:tblLayout w:type="fixed"/>
        <w:tblCellMar>
          <w:top w:w="0" w:type="dxa"/>
          <w:left w:w="0" w:type="dxa"/>
          <w:bottom w:w="0" w:type="dxa"/>
          <w:right w:w="0" w:type="dxa"/>
        </w:tblCellMar>
      </w:tblPr>
      <w:tblGrid>
        <w:gridCol w:w="1283"/>
        <w:gridCol w:w="60"/>
        <w:gridCol w:w="60"/>
        <w:gridCol w:w="980"/>
        <w:gridCol w:w="95"/>
        <w:gridCol w:w="60"/>
        <w:gridCol w:w="472"/>
        <w:gridCol w:w="1487"/>
        <w:gridCol w:w="60"/>
        <w:gridCol w:w="60"/>
        <w:gridCol w:w="491"/>
        <w:gridCol w:w="1544"/>
        <w:gridCol w:w="60"/>
        <w:gridCol w:w="60"/>
        <w:gridCol w:w="250"/>
        <w:gridCol w:w="1838"/>
        <w:gridCol w:w="60"/>
        <w:gridCol w:w="60"/>
        <w:gridCol w:w="195"/>
        <w:gridCol w:w="951"/>
        <w:gridCol w:w="79"/>
      </w:tblGrid>
      <w:tr>
        <w:trPr/>
        <w:tc>
          <w:tcPr>
            <w:tcW w:w="1283"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caps w:val="false"/>
                <w:smallCaps w:val="false"/>
                <w:color w:val="000000"/>
              </w:rPr>
            </w:pPr>
            <w:r>
              <w:rPr>
                <w:caps w:val="false"/>
                <w:smallCaps w:val="false"/>
                <w:color w:val="000000"/>
              </w:rPr>
              <w:t> </w:t>
            </w:r>
          </w:p>
          <w:p>
            <w:pPr>
              <w:pStyle w:val="TableContents"/>
              <w:bidi w:val="0"/>
              <w:spacing w:before="0" w:after="0"/>
              <w:ind w:left="0" w:right="0" w:hanging="0"/>
              <w:jc w:val="center"/>
              <w:rPr>
                <w:caps w:val="false"/>
                <w:smallCaps w:val="false"/>
                <w:color w:val="000000"/>
              </w:rPr>
            </w:pPr>
            <w:r>
              <w:rPr>
                <w:caps w:val="false"/>
                <w:smallCaps w:val="false"/>
                <w:color w:val="000000"/>
              </w:rPr>
              <w:t> </w:t>
            </w:r>
          </w:p>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Options </w:t>
            </w:r>
            <w:r>
              <w:rPr>
                <w:rFonts w:ascii="Times New Roman;Times;Serif" w:hAnsi="Times New Roman;Times;Serif"/>
                <w:b w:val="false"/>
                <w:i w:val="false"/>
                <w:caps w:val="false"/>
                <w:smallCaps w:val="false"/>
                <w:color w:val="000000"/>
                <w:position w:val="7"/>
                <w:sz w:val="16"/>
                <w:sz w:val="20"/>
              </w:rPr>
              <w:t>(1)</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9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Weighted-Average Exercise Price</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0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Weighted-Average Grant Date Fair Value</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2088"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color w:val="000000"/>
              </w:rPr>
            </w:pPr>
            <w:r>
              <w:rPr>
                <w:rFonts w:ascii="Times New Roman;Times;Serif" w:hAnsi="Times New Roman;Times;Serif"/>
                <w:color w:val="000000"/>
              </w:rPr>
              <w:t>Weighted-Average Remaining Contractual Life</w:t>
            </w:r>
          </w:p>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(in years)</w:t>
            </w:r>
          </w:p>
        </w:tc>
        <w:tc>
          <w:tcPr>
            <w:tcW w:w="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4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Aggregate intrinsic value</w:t>
            </w:r>
          </w:p>
        </w:tc>
        <w:tc>
          <w:tcPr>
            <w:tcW w:w="79" w:type="dxa"/>
            <w:tcBorders/>
            <w:vAlign w:val="center"/>
          </w:tcPr>
          <w:p>
            <w:pPr>
              <w:pStyle w:val="TableContents"/>
              <w:bidi w:val="0"/>
              <w:spacing w:before="0" w:after="283"/>
              <w:jc w:val="left"/>
              <w:rPr>
                <w:color w:val="000000"/>
              </w:rPr>
            </w:pPr>
            <w:r>
              <w:rPr>
                <w:color w:val="000000"/>
              </w:rPr>
              <w:t> </w:t>
            </w:r>
          </w:p>
        </w:tc>
      </w:tr>
      <w:tr>
        <w:trPr/>
        <w:tc>
          <w:tcPr>
            <w:tcW w:w="1283"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Balances, January 1, 2022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3,690,955</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487"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1.98</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91"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54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1.38</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0" w:type="dxa"/>
            <w:tcBorders/>
            <w:shd w:fill="CCEEFF" w:val="clear"/>
            <w:vAlign w:val="center"/>
          </w:tcPr>
          <w:p>
            <w:pPr>
              <w:pStyle w:val="TableContents"/>
              <w:bidi w:val="0"/>
              <w:spacing w:before="0" w:after="283"/>
              <w:jc w:val="left"/>
              <w:rPr>
                <w:color w:val="000000"/>
              </w:rPr>
            </w:pPr>
            <w:r>
              <w:rPr>
                <w:color w:val="000000"/>
              </w:rPr>
              <w:t> </w:t>
            </w:r>
          </w:p>
        </w:tc>
        <w:tc>
          <w:tcPr>
            <w:tcW w:w="183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8.52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5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6,550</w:t>
            </w:r>
          </w:p>
        </w:tc>
        <w:tc>
          <w:tcPr>
            <w:tcW w:w="79" w:type="dxa"/>
            <w:tcBorders/>
            <w:shd w:fill="CCEEFF" w:val="clear"/>
            <w:vAlign w:val="center"/>
          </w:tcPr>
          <w:p>
            <w:pPr>
              <w:pStyle w:val="TableContents"/>
              <w:bidi w:val="0"/>
              <w:spacing w:before="0" w:after="283"/>
              <w:jc w:val="left"/>
              <w:rPr>
                <w:color w:val="000000"/>
              </w:rPr>
            </w:pPr>
            <w:r>
              <w:rPr>
                <w:color w:val="000000"/>
              </w:rPr>
              <w:t> </w:t>
            </w:r>
          </w:p>
        </w:tc>
      </w:tr>
      <w:tr>
        <w:trPr/>
        <w:tc>
          <w:tcPr>
            <w:tcW w:w="1283" w:type="dxa"/>
            <w:tcBorders/>
            <w:shd w:fill="FFFF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Options granted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602,275</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2" w:type="dxa"/>
            <w:tcBorders/>
            <w:shd w:fill="FFFFFF" w:val="clear"/>
            <w:vAlign w:val="center"/>
          </w:tcPr>
          <w:p>
            <w:pPr>
              <w:pStyle w:val="TableContents"/>
              <w:bidi w:val="0"/>
              <w:spacing w:before="0" w:after="283"/>
              <w:jc w:val="left"/>
              <w:rPr>
                <w:color w:val="000000"/>
              </w:rPr>
            </w:pPr>
            <w:r>
              <w:rPr>
                <w:color w:val="000000"/>
              </w:rPr>
              <w:t> </w:t>
            </w:r>
          </w:p>
        </w:tc>
        <w:tc>
          <w:tcPr>
            <w:tcW w:w="1487"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4.08</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91" w:type="dxa"/>
            <w:tcBorders/>
            <w:shd w:fill="FFFFFF" w:val="clear"/>
            <w:vAlign w:val="center"/>
          </w:tcPr>
          <w:p>
            <w:pPr>
              <w:pStyle w:val="TableContents"/>
              <w:bidi w:val="0"/>
              <w:spacing w:before="0" w:after="283"/>
              <w:jc w:val="left"/>
              <w:rPr>
                <w:color w:val="000000"/>
              </w:rPr>
            </w:pPr>
            <w:r>
              <w:rPr>
                <w:color w:val="000000"/>
              </w:rPr>
              <w:t> </w:t>
            </w:r>
          </w:p>
        </w:tc>
        <w:tc>
          <w:tcPr>
            <w:tcW w:w="1544"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1.81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50" w:type="dxa"/>
            <w:tcBorders/>
            <w:shd w:fill="FFFFFF" w:val="clear"/>
            <w:vAlign w:val="center"/>
          </w:tcPr>
          <w:p>
            <w:pPr>
              <w:pStyle w:val="TableContents"/>
              <w:bidi w:val="0"/>
              <w:spacing w:before="0" w:after="283"/>
              <w:jc w:val="left"/>
              <w:rPr>
                <w:color w:val="000000"/>
              </w:rPr>
            </w:pPr>
            <w:r>
              <w:rPr>
                <w:color w:val="000000"/>
              </w:rPr>
              <w:t> </w:t>
            </w:r>
          </w:p>
        </w:tc>
        <w:tc>
          <w:tcPr>
            <w:tcW w:w="1838"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95" w:type="dxa"/>
            <w:tcBorders/>
            <w:shd w:fill="FFFFFF" w:val="clear"/>
            <w:vAlign w:val="center"/>
          </w:tcPr>
          <w:p>
            <w:pPr>
              <w:pStyle w:val="TableContents"/>
              <w:bidi w:val="0"/>
              <w:spacing w:before="0" w:after="283"/>
              <w:jc w:val="left"/>
              <w:rPr>
                <w:color w:val="000000"/>
              </w:rPr>
            </w:pPr>
            <w:r>
              <w:rPr>
                <w:color w:val="000000"/>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79" w:type="dxa"/>
            <w:tcBorders/>
            <w:shd w:fill="FFFFFF" w:val="clear"/>
            <w:vAlign w:val="center"/>
          </w:tcPr>
          <w:p>
            <w:pPr>
              <w:pStyle w:val="TableContents"/>
              <w:bidi w:val="0"/>
              <w:spacing w:before="0" w:after="283"/>
              <w:jc w:val="left"/>
              <w:rPr>
                <w:color w:val="000000"/>
              </w:rPr>
            </w:pPr>
            <w:r>
              <w:rPr>
                <w:color w:val="000000"/>
              </w:rPr>
              <w:t> </w:t>
            </w:r>
          </w:p>
        </w:tc>
      </w:tr>
      <w:tr>
        <w:trPr/>
        <w:tc>
          <w:tcPr>
            <w:tcW w:w="1283"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Options forfeited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(30,468</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2" w:type="dxa"/>
            <w:tcBorders/>
            <w:shd w:fill="CCEEFF" w:val="clear"/>
            <w:vAlign w:val="center"/>
          </w:tcPr>
          <w:p>
            <w:pPr>
              <w:pStyle w:val="TableContents"/>
              <w:bidi w:val="0"/>
              <w:spacing w:before="0" w:after="283"/>
              <w:jc w:val="left"/>
              <w:rPr>
                <w:color w:val="000000"/>
              </w:rPr>
            </w:pPr>
            <w:r>
              <w:rPr>
                <w:color w:val="000000"/>
              </w:rPr>
              <w:t> </w:t>
            </w:r>
          </w:p>
        </w:tc>
        <w:tc>
          <w:tcPr>
            <w:tcW w:w="1487"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2.93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91" w:type="dxa"/>
            <w:tcBorders/>
            <w:shd w:fill="CCEEFF" w:val="clear"/>
            <w:vAlign w:val="center"/>
          </w:tcPr>
          <w:p>
            <w:pPr>
              <w:pStyle w:val="TableContents"/>
              <w:bidi w:val="0"/>
              <w:spacing w:before="0" w:after="283"/>
              <w:jc w:val="left"/>
              <w:rPr>
                <w:color w:val="000000"/>
              </w:rPr>
            </w:pPr>
            <w:r>
              <w:rPr>
                <w:color w:val="000000"/>
              </w:rPr>
              <w:t> </w:t>
            </w:r>
          </w:p>
        </w:tc>
        <w:tc>
          <w:tcPr>
            <w:tcW w:w="154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0" w:type="dxa"/>
            <w:tcBorders/>
            <w:shd w:fill="CCEEFF" w:val="clear"/>
            <w:vAlign w:val="center"/>
          </w:tcPr>
          <w:p>
            <w:pPr>
              <w:pStyle w:val="TableContents"/>
              <w:bidi w:val="0"/>
              <w:spacing w:before="0" w:after="283"/>
              <w:jc w:val="left"/>
              <w:rPr>
                <w:color w:val="000000"/>
              </w:rPr>
            </w:pPr>
            <w:r>
              <w:rPr>
                <w:color w:val="000000"/>
              </w:rPr>
              <w:t> </w:t>
            </w:r>
          </w:p>
        </w:tc>
        <w:tc>
          <w:tcPr>
            <w:tcW w:w="1838"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95" w:type="dxa"/>
            <w:tcBorders/>
            <w:shd w:fill="CCEEFF" w:val="clear"/>
            <w:vAlign w:val="center"/>
          </w:tcPr>
          <w:p>
            <w:pPr>
              <w:pStyle w:val="TableContents"/>
              <w:bidi w:val="0"/>
              <w:spacing w:before="0" w:after="283"/>
              <w:jc w:val="left"/>
              <w:rPr>
                <w:color w:val="000000"/>
              </w:rPr>
            </w:pPr>
            <w:r>
              <w:rPr>
                <w:color w:val="000000"/>
              </w:rPr>
              <w:t> </w:t>
            </w:r>
          </w:p>
        </w:tc>
        <w:tc>
          <w:tcPr>
            <w:tcW w:w="95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79" w:type="dxa"/>
            <w:tcBorders/>
            <w:shd w:fill="CCEEFF" w:val="clear"/>
            <w:vAlign w:val="center"/>
          </w:tcPr>
          <w:p>
            <w:pPr>
              <w:pStyle w:val="TableContents"/>
              <w:bidi w:val="0"/>
              <w:spacing w:before="0" w:after="283"/>
              <w:jc w:val="left"/>
              <w:rPr>
                <w:color w:val="000000"/>
              </w:rPr>
            </w:pPr>
            <w:r>
              <w:rPr>
                <w:color w:val="000000"/>
              </w:rPr>
              <w:t> </w:t>
            </w:r>
          </w:p>
        </w:tc>
      </w:tr>
      <w:tr>
        <w:trPr/>
        <w:tc>
          <w:tcPr>
            <w:tcW w:w="1283" w:type="dxa"/>
            <w:tcBorders/>
            <w:shd w:fill="FFFF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Options exercised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(254,623</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4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0.94</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9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5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2.39</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5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838"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79" w:type="dxa"/>
            <w:tcBorders/>
            <w:shd w:fill="FFFFFF" w:val="clear"/>
            <w:vAlign w:val="center"/>
          </w:tcPr>
          <w:p>
            <w:pPr>
              <w:pStyle w:val="TableContents"/>
              <w:bidi w:val="0"/>
              <w:spacing w:before="0" w:after="283"/>
              <w:jc w:val="left"/>
              <w:rPr>
                <w:color w:val="000000"/>
              </w:rPr>
            </w:pPr>
            <w:r>
              <w:rPr>
                <w:color w:val="000000"/>
              </w:rPr>
              <w:t> </w:t>
            </w:r>
          </w:p>
        </w:tc>
      </w:tr>
      <w:tr>
        <w:trPr/>
        <w:tc>
          <w:tcPr>
            <w:tcW w:w="1283"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Balances, June 30, 2022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4,008,139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487"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2.36</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91"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54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1.72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0" w:type="dxa"/>
            <w:tcBorders/>
            <w:shd w:fill="CCEEFF" w:val="clear"/>
            <w:vAlign w:val="center"/>
          </w:tcPr>
          <w:p>
            <w:pPr>
              <w:pStyle w:val="TableContents"/>
              <w:bidi w:val="0"/>
              <w:spacing w:before="0" w:after="283"/>
              <w:jc w:val="left"/>
              <w:rPr>
                <w:color w:val="000000"/>
              </w:rPr>
            </w:pPr>
            <w:r>
              <w:rPr>
                <w:color w:val="000000"/>
              </w:rPr>
              <w:t> </w:t>
            </w:r>
          </w:p>
        </w:tc>
        <w:tc>
          <w:tcPr>
            <w:tcW w:w="183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8.43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5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5,845</w:t>
            </w:r>
          </w:p>
        </w:tc>
        <w:tc>
          <w:tcPr>
            <w:tcW w:w="79" w:type="dxa"/>
            <w:tcBorders/>
            <w:shd w:fill="CCEEFF" w:val="clear"/>
            <w:vAlign w:val="center"/>
          </w:tcPr>
          <w:p>
            <w:pPr>
              <w:pStyle w:val="TableContents"/>
              <w:bidi w:val="0"/>
              <w:spacing w:before="0" w:after="283"/>
              <w:jc w:val="left"/>
              <w:rPr>
                <w:color w:val="000000"/>
              </w:rPr>
            </w:pPr>
            <w:r>
              <w:rPr>
                <w:color w:val="000000"/>
              </w:rPr>
              <w:t> </w:t>
            </w:r>
          </w:p>
        </w:tc>
      </w:tr>
      <w:tr>
        <w:trPr/>
        <w:tc>
          <w:tcPr>
            <w:tcW w:w="1283"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2" w:type="dxa"/>
            <w:tcBorders/>
            <w:shd w:fill="FFFFFF" w:val="clear"/>
            <w:vAlign w:val="center"/>
          </w:tcPr>
          <w:p>
            <w:pPr>
              <w:pStyle w:val="TableContents"/>
              <w:bidi w:val="0"/>
              <w:spacing w:before="0" w:after="283"/>
              <w:jc w:val="left"/>
              <w:rPr>
                <w:color w:val="000000"/>
              </w:rPr>
            </w:pPr>
            <w:r>
              <w:rPr>
                <w:color w:val="000000"/>
              </w:rPr>
              <w:t> </w:t>
            </w:r>
          </w:p>
        </w:tc>
        <w:tc>
          <w:tcPr>
            <w:tcW w:w="1487"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91" w:type="dxa"/>
            <w:tcBorders/>
            <w:shd w:fill="FFFFFF" w:val="clear"/>
            <w:vAlign w:val="center"/>
          </w:tcPr>
          <w:p>
            <w:pPr>
              <w:pStyle w:val="TableContents"/>
              <w:bidi w:val="0"/>
              <w:spacing w:before="0" w:after="283"/>
              <w:jc w:val="left"/>
              <w:rPr>
                <w:color w:val="000000"/>
              </w:rPr>
            </w:pPr>
            <w:r>
              <w:rPr>
                <w:color w:val="000000"/>
              </w:rPr>
              <w:t> </w:t>
            </w:r>
          </w:p>
        </w:tc>
        <w:tc>
          <w:tcPr>
            <w:tcW w:w="1544"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50" w:type="dxa"/>
            <w:tcBorders/>
            <w:shd w:fill="FFFFFF" w:val="clear"/>
            <w:vAlign w:val="center"/>
          </w:tcPr>
          <w:p>
            <w:pPr>
              <w:pStyle w:val="TableContents"/>
              <w:bidi w:val="0"/>
              <w:spacing w:before="0" w:after="283"/>
              <w:jc w:val="left"/>
              <w:rPr>
                <w:color w:val="000000"/>
              </w:rPr>
            </w:pPr>
            <w:r>
              <w:rPr>
                <w:color w:val="000000"/>
              </w:rPr>
              <w:t> </w:t>
            </w:r>
          </w:p>
        </w:tc>
        <w:tc>
          <w:tcPr>
            <w:tcW w:w="1838"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95" w:type="dxa"/>
            <w:tcBorders/>
            <w:shd w:fill="FFFFFF" w:val="clear"/>
            <w:vAlign w:val="center"/>
          </w:tcPr>
          <w:p>
            <w:pPr>
              <w:pStyle w:val="TableContents"/>
              <w:bidi w:val="0"/>
              <w:spacing w:before="0" w:after="283"/>
              <w:jc w:val="left"/>
              <w:rPr>
                <w:color w:val="000000"/>
              </w:rPr>
            </w:pPr>
            <w:r>
              <w:rPr>
                <w:color w:val="000000"/>
              </w:rPr>
              <w:t> </w:t>
            </w:r>
          </w:p>
        </w:tc>
        <w:tc>
          <w:tcPr>
            <w:tcW w:w="951" w:type="dxa"/>
            <w:tcBorders/>
            <w:shd w:fill="FFFFFF" w:val="clear"/>
            <w:vAlign w:val="center"/>
          </w:tcPr>
          <w:p>
            <w:pPr>
              <w:pStyle w:val="TableContents"/>
              <w:bidi w:val="0"/>
              <w:spacing w:before="0" w:after="283"/>
              <w:jc w:val="right"/>
              <w:rPr>
                <w:color w:val="000000"/>
              </w:rPr>
            </w:pPr>
            <w:r>
              <w:rPr>
                <w:color w:val="000000"/>
              </w:rPr>
              <w:t> </w:t>
            </w:r>
          </w:p>
        </w:tc>
        <w:tc>
          <w:tcPr>
            <w:tcW w:w="79" w:type="dxa"/>
            <w:tcBorders/>
            <w:shd w:fill="FFFFFF" w:val="clear"/>
            <w:vAlign w:val="center"/>
          </w:tcPr>
          <w:p>
            <w:pPr>
              <w:pStyle w:val="TableContents"/>
              <w:bidi w:val="0"/>
              <w:spacing w:before="0" w:after="283"/>
              <w:jc w:val="left"/>
              <w:rPr>
                <w:color w:val="000000"/>
              </w:rPr>
            </w:pPr>
            <w:r>
              <w:rPr>
                <w:color w:val="000000"/>
              </w:rPr>
              <w:t> </w:t>
            </w:r>
          </w:p>
        </w:tc>
      </w:tr>
      <w:tr>
        <w:trPr/>
        <w:tc>
          <w:tcPr>
            <w:tcW w:w="1283"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Balances, January 1,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3,642,958</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487"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91"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54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1.21</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0" w:type="dxa"/>
            <w:tcBorders/>
            <w:shd w:fill="CCEEFF" w:val="clear"/>
            <w:vAlign w:val="center"/>
          </w:tcPr>
          <w:p>
            <w:pPr>
              <w:pStyle w:val="TableContents"/>
              <w:bidi w:val="0"/>
              <w:spacing w:before="0" w:after="283"/>
              <w:jc w:val="left"/>
              <w:rPr>
                <w:color w:val="000000"/>
              </w:rPr>
            </w:pPr>
            <w:r>
              <w:rPr>
                <w:color w:val="000000"/>
              </w:rPr>
              <w:t> </w:t>
            </w:r>
          </w:p>
        </w:tc>
        <w:tc>
          <w:tcPr>
            <w:tcW w:w="183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7.90</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5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35,989</w:t>
            </w:r>
          </w:p>
        </w:tc>
        <w:tc>
          <w:tcPr>
            <w:tcW w:w="79" w:type="dxa"/>
            <w:tcBorders/>
            <w:shd w:fill="CCEEFF" w:val="clear"/>
            <w:vAlign w:val="center"/>
          </w:tcPr>
          <w:p>
            <w:pPr>
              <w:pStyle w:val="TableContents"/>
              <w:bidi w:val="0"/>
              <w:spacing w:before="0" w:after="283"/>
              <w:jc w:val="left"/>
              <w:rPr>
                <w:color w:val="000000"/>
              </w:rPr>
            </w:pPr>
            <w:r>
              <w:rPr>
                <w:color w:val="000000"/>
              </w:rPr>
              <w:t> </w:t>
            </w:r>
          </w:p>
        </w:tc>
      </w:tr>
      <w:tr>
        <w:trPr/>
        <w:tc>
          <w:tcPr>
            <w:tcW w:w="1283" w:type="dxa"/>
            <w:tcBorders/>
            <w:shd w:fill="FFFF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Options granted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143,607</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2" w:type="dxa"/>
            <w:tcBorders/>
            <w:shd w:fill="FFFFFF" w:val="clear"/>
            <w:vAlign w:val="center"/>
          </w:tcPr>
          <w:p>
            <w:pPr>
              <w:pStyle w:val="TableContents"/>
              <w:bidi w:val="0"/>
              <w:spacing w:before="0" w:after="283"/>
              <w:jc w:val="left"/>
              <w:rPr>
                <w:color w:val="000000"/>
              </w:rPr>
            </w:pPr>
            <w:r>
              <w:rPr>
                <w:color w:val="000000"/>
              </w:rPr>
              <w:t> </w:t>
            </w:r>
          </w:p>
        </w:tc>
        <w:tc>
          <w:tcPr>
            <w:tcW w:w="1487"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7.50</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91" w:type="dxa"/>
            <w:tcBorders/>
            <w:shd w:fill="FFFFFF" w:val="clear"/>
            <w:vAlign w:val="center"/>
          </w:tcPr>
          <w:p>
            <w:pPr>
              <w:pStyle w:val="TableContents"/>
              <w:bidi w:val="0"/>
              <w:spacing w:before="0" w:after="283"/>
              <w:jc w:val="left"/>
              <w:rPr>
                <w:color w:val="000000"/>
              </w:rPr>
            </w:pPr>
            <w:r>
              <w:rPr>
                <w:color w:val="000000"/>
              </w:rPr>
              <w:t> </w:t>
            </w:r>
          </w:p>
        </w:tc>
        <w:tc>
          <w:tcPr>
            <w:tcW w:w="1544"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3.82</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50" w:type="dxa"/>
            <w:tcBorders/>
            <w:shd w:fill="FFFFFF" w:val="clear"/>
            <w:vAlign w:val="center"/>
          </w:tcPr>
          <w:p>
            <w:pPr>
              <w:pStyle w:val="TableContents"/>
              <w:bidi w:val="0"/>
              <w:spacing w:before="0" w:after="283"/>
              <w:jc w:val="left"/>
              <w:rPr>
                <w:color w:val="000000"/>
              </w:rPr>
            </w:pPr>
            <w:r>
              <w:rPr>
                <w:color w:val="000000"/>
              </w:rPr>
              <w:t> </w:t>
            </w:r>
          </w:p>
        </w:tc>
        <w:tc>
          <w:tcPr>
            <w:tcW w:w="1838"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95" w:type="dxa"/>
            <w:tcBorders/>
            <w:shd w:fill="FFFFFF" w:val="clear"/>
            <w:vAlign w:val="center"/>
          </w:tcPr>
          <w:p>
            <w:pPr>
              <w:pStyle w:val="TableContents"/>
              <w:bidi w:val="0"/>
              <w:spacing w:before="0" w:after="283"/>
              <w:jc w:val="left"/>
              <w:rPr>
                <w:color w:val="000000"/>
              </w:rPr>
            </w:pPr>
            <w:r>
              <w:rPr>
                <w:color w:val="000000"/>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632</w:t>
            </w:r>
          </w:p>
        </w:tc>
        <w:tc>
          <w:tcPr>
            <w:tcW w:w="79" w:type="dxa"/>
            <w:tcBorders/>
            <w:shd w:fill="FFFFFF" w:val="clear"/>
            <w:vAlign w:val="center"/>
          </w:tcPr>
          <w:p>
            <w:pPr>
              <w:pStyle w:val="TableContents"/>
              <w:bidi w:val="0"/>
              <w:spacing w:before="0" w:after="283"/>
              <w:jc w:val="left"/>
              <w:rPr>
                <w:color w:val="000000"/>
              </w:rPr>
            </w:pPr>
            <w:r>
              <w:rPr>
                <w:color w:val="000000"/>
              </w:rPr>
              <w:t> </w:t>
            </w:r>
          </w:p>
        </w:tc>
      </w:tr>
      <w:tr>
        <w:trPr/>
        <w:tc>
          <w:tcPr>
            <w:tcW w:w="1283"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Options forfeited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(238,345</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2" w:type="dxa"/>
            <w:tcBorders/>
            <w:shd w:fill="CCEEFF" w:val="clear"/>
            <w:vAlign w:val="center"/>
          </w:tcPr>
          <w:p>
            <w:pPr>
              <w:pStyle w:val="TableContents"/>
              <w:bidi w:val="0"/>
              <w:spacing w:before="0" w:after="283"/>
              <w:jc w:val="left"/>
              <w:rPr>
                <w:color w:val="000000"/>
              </w:rPr>
            </w:pPr>
            <w:r>
              <w:rPr>
                <w:color w:val="000000"/>
              </w:rPr>
              <w:t> </w:t>
            </w:r>
          </w:p>
        </w:tc>
        <w:tc>
          <w:tcPr>
            <w:tcW w:w="1487"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3.53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91" w:type="dxa"/>
            <w:tcBorders/>
            <w:shd w:fill="CCEEFF" w:val="clear"/>
            <w:vAlign w:val="center"/>
          </w:tcPr>
          <w:p>
            <w:pPr>
              <w:pStyle w:val="TableContents"/>
              <w:bidi w:val="0"/>
              <w:spacing w:before="0" w:after="283"/>
              <w:jc w:val="left"/>
              <w:rPr>
                <w:color w:val="000000"/>
              </w:rPr>
            </w:pPr>
            <w:r>
              <w:rPr>
                <w:color w:val="000000"/>
              </w:rPr>
              <w:t> </w:t>
            </w:r>
          </w:p>
        </w:tc>
        <w:tc>
          <w:tcPr>
            <w:tcW w:w="1544"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1.62</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0" w:type="dxa"/>
            <w:tcBorders/>
            <w:shd w:fill="CCEEFF" w:val="clear"/>
            <w:vAlign w:val="center"/>
          </w:tcPr>
          <w:p>
            <w:pPr>
              <w:pStyle w:val="TableContents"/>
              <w:bidi w:val="0"/>
              <w:spacing w:before="0" w:after="283"/>
              <w:jc w:val="left"/>
              <w:rPr>
                <w:color w:val="000000"/>
              </w:rPr>
            </w:pPr>
            <w:r>
              <w:rPr>
                <w:color w:val="000000"/>
              </w:rPr>
              <w:t> </w:t>
            </w:r>
          </w:p>
        </w:tc>
        <w:tc>
          <w:tcPr>
            <w:tcW w:w="1838"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95" w:type="dxa"/>
            <w:tcBorders/>
            <w:shd w:fill="CCEEFF" w:val="clear"/>
            <w:vAlign w:val="center"/>
          </w:tcPr>
          <w:p>
            <w:pPr>
              <w:pStyle w:val="TableContents"/>
              <w:bidi w:val="0"/>
              <w:spacing w:before="0" w:after="283"/>
              <w:jc w:val="left"/>
              <w:rPr>
                <w:color w:val="000000"/>
              </w:rPr>
            </w:pPr>
            <w:r>
              <w:rPr>
                <w:color w:val="000000"/>
              </w:rPr>
              <w:t> </w:t>
            </w:r>
          </w:p>
        </w:tc>
        <w:tc>
          <w:tcPr>
            <w:tcW w:w="95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369</w:t>
            </w:r>
          </w:p>
        </w:tc>
        <w:tc>
          <w:tcPr>
            <w:tcW w:w="79" w:type="dxa"/>
            <w:tcBorders/>
            <w:shd w:fill="CCEEFF" w:val="clear"/>
            <w:vAlign w:val="center"/>
          </w:tcPr>
          <w:p>
            <w:pPr>
              <w:pStyle w:val="TableContents"/>
              <w:bidi w:val="0"/>
              <w:spacing w:before="0" w:after="283"/>
              <w:jc w:val="left"/>
              <w:rPr>
                <w:color w:val="000000"/>
              </w:rPr>
            </w:pPr>
            <w:r>
              <w:rPr>
                <w:color w:val="000000"/>
              </w:rPr>
              <w:t> </w:t>
            </w:r>
          </w:p>
        </w:tc>
      </w:tr>
      <w:tr>
        <w:trPr/>
        <w:tc>
          <w:tcPr>
            <w:tcW w:w="1283" w:type="dxa"/>
            <w:tcBorders/>
            <w:shd w:fill="FFFF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Options exercised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(105,121</w:t>
            </w:r>
          </w:p>
        </w:tc>
        <w:tc>
          <w:tcPr>
            <w:tcW w:w="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2"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4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3.07</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91"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5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5.91</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50"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838" w:type="dxa"/>
            <w:tcBorders>
              <w:bottom w:val="single" w:sz="12" w:space="0" w:color="000000"/>
            </w:tcBorders>
            <w:shd w:fill="FFFFFF" w:val="clear"/>
            <w:tcMar>
              <w:bottom w:w="28" w:type="dxa"/>
            </w:tcM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298</w:t>
            </w:r>
          </w:p>
        </w:tc>
        <w:tc>
          <w:tcPr>
            <w:tcW w:w="79" w:type="dxa"/>
            <w:tcBorders/>
            <w:shd w:fill="FFFFFF" w:val="clear"/>
            <w:vAlign w:val="center"/>
          </w:tcPr>
          <w:p>
            <w:pPr>
              <w:pStyle w:val="TableContents"/>
              <w:bidi w:val="0"/>
              <w:spacing w:before="0" w:after="283"/>
              <w:jc w:val="left"/>
              <w:rPr>
                <w:color w:val="000000"/>
              </w:rPr>
            </w:pPr>
            <w:r>
              <w:rPr>
                <w:color w:val="000000"/>
              </w:rPr>
              <w:t> </w:t>
            </w:r>
          </w:p>
        </w:tc>
      </w:tr>
      <w:tr>
        <w:trPr/>
        <w:tc>
          <w:tcPr>
            <w:tcW w:w="1283"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Balances, June 30,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3,443,099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4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2.11</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5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1.27</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8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6.16</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1,520</w:t>
            </w:r>
          </w:p>
        </w:tc>
        <w:tc>
          <w:tcPr>
            <w:tcW w:w="79" w:type="dxa"/>
            <w:tcBorders/>
            <w:shd w:fill="CCEEFF" w:val="clear"/>
            <w:vAlign w:val="center"/>
          </w:tcPr>
          <w:p>
            <w:pPr>
              <w:pStyle w:val="TableContents"/>
              <w:bidi w:val="0"/>
              <w:spacing w:before="0" w:after="283"/>
              <w:jc w:val="left"/>
              <w:rPr>
                <w:color w:val="000000"/>
              </w:rPr>
            </w:pPr>
            <w:r>
              <w:rPr>
                <w:color w:val="000000"/>
              </w:rPr>
              <w:t> </w:t>
            </w:r>
          </w:p>
        </w:tc>
      </w:tr>
      <w:tr>
        <w:trPr/>
        <w:tc>
          <w:tcPr>
            <w:tcW w:w="1283" w:type="dxa"/>
            <w:tcBorders/>
            <w:shd w:fill="FFFFFF" w:val="clear"/>
            <w:vAlign w:val="center"/>
          </w:tcPr>
          <w:p>
            <w:pPr>
              <w:pStyle w:val="TableContents"/>
              <w:bidi w:val="0"/>
              <w:spacing w:before="0" w:after="283"/>
              <w:jc w:val="both"/>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color w:val="000000"/>
              </w:rPr>
            </w:pPr>
            <w:r>
              <w:rPr>
                <w:color w:val="000000"/>
              </w:rPr>
              <w:t> </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2" w:type="dxa"/>
            <w:tcBorders/>
            <w:shd w:fill="FFFFFF" w:val="clear"/>
            <w:vAlign w:val="center"/>
          </w:tcPr>
          <w:p>
            <w:pPr>
              <w:pStyle w:val="TableContents"/>
              <w:bidi w:val="0"/>
              <w:spacing w:before="0" w:after="283"/>
              <w:jc w:val="left"/>
              <w:rPr>
                <w:color w:val="000000"/>
              </w:rPr>
            </w:pPr>
            <w:r>
              <w:rPr>
                <w:color w:val="000000"/>
              </w:rPr>
              <w:t> </w:t>
            </w:r>
          </w:p>
        </w:tc>
        <w:tc>
          <w:tcPr>
            <w:tcW w:w="1487"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91" w:type="dxa"/>
            <w:tcBorders/>
            <w:shd w:fill="FFFFFF" w:val="clear"/>
            <w:vAlign w:val="center"/>
          </w:tcPr>
          <w:p>
            <w:pPr>
              <w:pStyle w:val="TableContents"/>
              <w:bidi w:val="0"/>
              <w:spacing w:before="0" w:after="283"/>
              <w:jc w:val="left"/>
              <w:rPr>
                <w:color w:val="000000"/>
              </w:rPr>
            </w:pPr>
            <w:r>
              <w:rPr>
                <w:color w:val="000000"/>
              </w:rPr>
              <w:t> </w:t>
            </w:r>
          </w:p>
        </w:tc>
        <w:tc>
          <w:tcPr>
            <w:tcW w:w="1544"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50" w:type="dxa"/>
            <w:tcBorders/>
            <w:shd w:fill="FFFFFF" w:val="clear"/>
            <w:vAlign w:val="center"/>
          </w:tcPr>
          <w:p>
            <w:pPr>
              <w:pStyle w:val="TableContents"/>
              <w:bidi w:val="0"/>
              <w:spacing w:before="0" w:after="283"/>
              <w:jc w:val="left"/>
              <w:rPr>
                <w:color w:val="000000"/>
              </w:rPr>
            </w:pPr>
            <w:r>
              <w:rPr>
                <w:color w:val="000000"/>
              </w:rPr>
              <w:t> </w:t>
            </w:r>
          </w:p>
        </w:tc>
        <w:tc>
          <w:tcPr>
            <w:tcW w:w="1838"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95" w:type="dxa"/>
            <w:tcBorders/>
            <w:shd w:fill="FFFFFF" w:val="clear"/>
            <w:vAlign w:val="center"/>
          </w:tcPr>
          <w:p>
            <w:pPr>
              <w:pStyle w:val="TableContents"/>
              <w:bidi w:val="0"/>
              <w:spacing w:before="0" w:after="283"/>
              <w:jc w:val="left"/>
              <w:rPr>
                <w:color w:val="000000"/>
              </w:rPr>
            </w:pPr>
            <w:r>
              <w:rPr>
                <w:color w:val="000000"/>
              </w:rPr>
              <w:t> </w:t>
            </w:r>
          </w:p>
        </w:tc>
        <w:tc>
          <w:tcPr>
            <w:tcW w:w="951" w:type="dxa"/>
            <w:tcBorders/>
            <w:shd w:fill="FFFFFF" w:val="clear"/>
            <w:vAlign w:val="center"/>
          </w:tcPr>
          <w:p>
            <w:pPr>
              <w:pStyle w:val="TableContents"/>
              <w:bidi w:val="0"/>
              <w:spacing w:before="0" w:after="283"/>
              <w:jc w:val="right"/>
              <w:rPr>
                <w:color w:val="000000"/>
              </w:rPr>
            </w:pPr>
            <w:r>
              <w:rPr>
                <w:color w:val="000000"/>
              </w:rPr>
              <w:t> </w:t>
            </w:r>
          </w:p>
        </w:tc>
        <w:tc>
          <w:tcPr>
            <w:tcW w:w="79" w:type="dxa"/>
            <w:tcBorders/>
            <w:shd w:fill="FFFFFF" w:val="clear"/>
            <w:vAlign w:val="center"/>
          </w:tcPr>
          <w:p>
            <w:pPr>
              <w:pStyle w:val="TableContents"/>
              <w:bidi w:val="0"/>
              <w:spacing w:before="0" w:after="283"/>
              <w:jc w:val="left"/>
              <w:rPr>
                <w:color w:val="000000"/>
              </w:rPr>
            </w:pPr>
            <w:r>
              <w:rPr>
                <w:color w:val="000000"/>
              </w:rPr>
              <w:t> </w:t>
            </w:r>
          </w:p>
        </w:tc>
      </w:tr>
      <w:tr>
        <w:trPr/>
        <w:tc>
          <w:tcPr>
            <w:tcW w:w="1283"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At June 30,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2" w:type="dxa"/>
            <w:tcBorders/>
            <w:shd w:fill="CCEEFF" w:val="clear"/>
            <w:vAlign w:val="center"/>
          </w:tcPr>
          <w:p>
            <w:pPr>
              <w:pStyle w:val="TableContents"/>
              <w:bidi w:val="0"/>
              <w:spacing w:before="0" w:after="283"/>
              <w:jc w:val="left"/>
              <w:rPr>
                <w:color w:val="000000"/>
              </w:rPr>
            </w:pPr>
            <w:r>
              <w:rPr>
                <w:color w:val="000000"/>
              </w:rPr>
              <w:t> </w:t>
            </w:r>
          </w:p>
        </w:tc>
        <w:tc>
          <w:tcPr>
            <w:tcW w:w="1487"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91" w:type="dxa"/>
            <w:tcBorders/>
            <w:shd w:fill="CCEEFF" w:val="clear"/>
            <w:vAlign w:val="center"/>
          </w:tcPr>
          <w:p>
            <w:pPr>
              <w:pStyle w:val="TableContents"/>
              <w:bidi w:val="0"/>
              <w:spacing w:before="0" w:after="283"/>
              <w:jc w:val="left"/>
              <w:rPr>
                <w:color w:val="000000"/>
              </w:rPr>
            </w:pPr>
            <w:r>
              <w:rPr>
                <w:color w:val="000000"/>
              </w:rPr>
              <w:t> </w:t>
            </w:r>
          </w:p>
        </w:tc>
        <w:tc>
          <w:tcPr>
            <w:tcW w:w="1544"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0" w:type="dxa"/>
            <w:tcBorders/>
            <w:shd w:fill="CCEEFF" w:val="clear"/>
            <w:vAlign w:val="center"/>
          </w:tcPr>
          <w:p>
            <w:pPr>
              <w:pStyle w:val="TableContents"/>
              <w:bidi w:val="0"/>
              <w:spacing w:before="0" w:after="283"/>
              <w:jc w:val="left"/>
              <w:rPr>
                <w:color w:val="000000"/>
              </w:rPr>
            </w:pPr>
            <w:r>
              <w:rPr>
                <w:color w:val="000000"/>
              </w:rPr>
              <w:t> </w:t>
            </w:r>
          </w:p>
        </w:tc>
        <w:tc>
          <w:tcPr>
            <w:tcW w:w="1838"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95" w:type="dxa"/>
            <w:tcBorders/>
            <w:shd w:fill="CCEEFF" w:val="clear"/>
            <w:vAlign w:val="center"/>
          </w:tcPr>
          <w:p>
            <w:pPr>
              <w:pStyle w:val="TableContents"/>
              <w:bidi w:val="0"/>
              <w:spacing w:before="0" w:after="283"/>
              <w:jc w:val="left"/>
              <w:rPr>
                <w:color w:val="000000"/>
              </w:rPr>
            </w:pPr>
            <w:r>
              <w:rPr>
                <w:color w:val="000000"/>
              </w:rPr>
              <w:t> </w:t>
            </w:r>
          </w:p>
        </w:tc>
        <w:tc>
          <w:tcPr>
            <w:tcW w:w="951" w:type="dxa"/>
            <w:tcBorders/>
            <w:shd w:fill="CCEEFF" w:val="clear"/>
            <w:vAlign w:val="center"/>
          </w:tcPr>
          <w:p>
            <w:pPr>
              <w:pStyle w:val="TableContents"/>
              <w:bidi w:val="0"/>
              <w:spacing w:before="0" w:after="283"/>
              <w:jc w:val="right"/>
              <w:rPr>
                <w:color w:val="000000"/>
              </w:rPr>
            </w:pPr>
            <w:r>
              <w:rPr>
                <w:color w:val="000000"/>
              </w:rPr>
              <w:t> </w:t>
            </w:r>
          </w:p>
        </w:tc>
        <w:tc>
          <w:tcPr>
            <w:tcW w:w="79" w:type="dxa"/>
            <w:tcBorders/>
            <w:shd w:fill="CCEEFF" w:val="clear"/>
            <w:vAlign w:val="center"/>
          </w:tcPr>
          <w:p>
            <w:pPr>
              <w:pStyle w:val="TableContents"/>
              <w:bidi w:val="0"/>
              <w:spacing w:before="0" w:after="283"/>
              <w:jc w:val="left"/>
              <w:rPr>
                <w:color w:val="000000"/>
              </w:rPr>
            </w:pPr>
            <w:r>
              <w:rPr>
                <w:color w:val="000000"/>
              </w:rPr>
              <w:t> </w:t>
            </w:r>
          </w:p>
        </w:tc>
      </w:tr>
      <w:tr>
        <w:trPr/>
        <w:tc>
          <w:tcPr>
            <w:tcW w:w="1283" w:type="dxa"/>
            <w:tcBorders/>
            <w:shd w:fill="FFFF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Vested and Exercisable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2,164,874</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72"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487"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1.55</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491" w:type="dxa"/>
            <w:tcBorders/>
            <w:shd w:fill="FFFFFF" w:val="clear"/>
            <w:vAlign w:val="center"/>
          </w:tcPr>
          <w:p>
            <w:pPr>
              <w:pStyle w:val="TableContents"/>
              <w:bidi w:val="0"/>
              <w:spacing w:before="0" w:after="283"/>
              <w:jc w:val="left"/>
              <w:rPr>
                <w:color w:val="000000"/>
              </w:rPr>
            </w:pPr>
            <w:r>
              <w:rPr>
                <w:color w:val="000000"/>
              </w:rPr>
              <w:t> </w:t>
            </w:r>
          </w:p>
        </w:tc>
        <w:tc>
          <w:tcPr>
            <w:tcW w:w="1544" w:type="dxa"/>
            <w:tcBorders/>
            <w:shd w:fill="FFFFFF" w:val="clear"/>
            <w:vAlign w:val="center"/>
          </w:tcPr>
          <w:p>
            <w:pPr>
              <w:pStyle w:val="TableContents"/>
              <w:bidi w:val="0"/>
              <w:spacing w:before="0" w:after="283"/>
              <w:jc w:val="righ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250" w:type="dxa"/>
            <w:tcBorders/>
            <w:shd w:fill="FFFFFF" w:val="clear"/>
            <w:vAlign w:val="center"/>
          </w:tcPr>
          <w:p>
            <w:pPr>
              <w:pStyle w:val="TableContents"/>
              <w:bidi w:val="0"/>
              <w:spacing w:before="0" w:after="283"/>
              <w:jc w:val="left"/>
              <w:rPr>
                <w:color w:val="000000"/>
              </w:rPr>
            </w:pPr>
            <w:r>
              <w:rPr>
                <w:color w:val="000000"/>
              </w:rPr>
              <w:t> </w:t>
            </w:r>
          </w:p>
        </w:tc>
        <w:tc>
          <w:tcPr>
            <w:tcW w:w="1838"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4.89</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195"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51"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1,389</w:t>
            </w:r>
          </w:p>
        </w:tc>
        <w:tc>
          <w:tcPr>
            <w:tcW w:w="79" w:type="dxa"/>
            <w:tcBorders/>
            <w:shd w:fill="FFFFFF" w:val="clear"/>
            <w:vAlign w:val="center"/>
          </w:tcPr>
          <w:p>
            <w:pPr>
              <w:pStyle w:val="TableContents"/>
              <w:bidi w:val="0"/>
              <w:spacing w:before="0" w:after="283"/>
              <w:jc w:val="left"/>
              <w:rPr>
                <w:color w:val="000000"/>
              </w:rPr>
            </w:pPr>
            <w:r>
              <w:rPr>
                <w:color w:val="000000"/>
              </w:rPr>
              <w:t> </w:t>
            </w:r>
          </w:p>
        </w:tc>
      </w:tr>
      <w:tr>
        <w:trPr/>
        <w:tc>
          <w:tcPr>
            <w:tcW w:w="1283"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Vested and expected to vest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3,443,099</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72"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1487"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2.11</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491" w:type="dxa"/>
            <w:tcBorders/>
            <w:shd w:fill="CCEEFF" w:val="clear"/>
            <w:vAlign w:val="center"/>
          </w:tcPr>
          <w:p>
            <w:pPr>
              <w:pStyle w:val="TableContents"/>
              <w:bidi w:val="0"/>
              <w:spacing w:before="0" w:after="283"/>
              <w:jc w:val="left"/>
              <w:rPr>
                <w:color w:val="000000"/>
              </w:rPr>
            </w:pPr>
            <w:r>
              <w:rPr>
                <w:color w:val="000000"/>
              </w:rPr>
              <w:t> </w:t>
            </w:r>
          </w:p>
        </w:tc>
        <w:tc>
          <w:tcPr>
            <w:tcW w:w="1544"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250" w:type="dxa"/>
            <w:tcBorders/>
            <w:shd w:fill="CCEEFF" w:val="clear"/>
            <w:vAlign w:val="center"/>
          </w:tcPr>
          <w:p>
            <w:pPr>
              <w:pStyle w:val="TableContents"/>
              <w:bidi w:val="0"/>
              <w:spacing w:before="0" w:after="283"/>
              <w:jc w:val="left"/>
              <w:rPr>
                <w:color w:val="000000"/>
              </w:rPr>
            </w:pPr>
            <w:r>
              <w:rPr>
                <w:color w:val="000000"/>
              </w:rPr>
              <w:t> </w:t>
            </w:r>
          </w:p>
        </w:tc>
        <w:tc>
          <w:tcPr>
            <w:tcW w:w="1838"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6.16</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951"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1,520</w:t>
            </w:r>
          </w:p>
        </w:tc>
        <w:tc>
          <w:tcPr>
            <w:tcW w:w="79"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224"/>
        <w:gridCol w:w="23"/>
        <w:gridCol w:w="9958"/>
      </w:tblGrid>
      <w:tr>
        <w:trPr/>
        <w:tc>
          <w:tcPr>
            <w:tcW w:w="224"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9958" w:type="dxa"/>
            <w:tcBorders/>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Number of options and weighted average exercise price has been adjusted to reflect the exchange of Legacy Dragonfly’s stock options for New Dragonfly stock options at an exchange ratio of approximately 1.182 as a result of the merger. See Note 1 for additional information.</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Restricted Stock Units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October 7, 2022, the Company granted 180,000 restricted stock units under the 2022 plan which vest one year from the grant date. The fair value of the restricted stock units on the date of grant was $2,520, which is recognized as compensation expense over the requisite service period based on the value of the underlying shares on the date of grant. On February 10, 2023, the Company granted 461,998 restricted stock units under the 2022 plan which vested immediately. The fair value of the restricted stock units on the date of grant was $3,464 and was recorded as compensation expense during the six months ended June 30, 2023. During the first six months of 2023, the Company granted an additional 28,000 restricted stock units which have not vested. The fair value of the 28,000 unvested restricted stock units was $105 and an expense of $7 was recorded during the six months ended June 30, 2023.</w:t>
      </w:r>
    </w:p>
    <w:p>
      <w:pPr>
        <w:pStyle w:val="TextBody"/>
        <w:bidi w:val="0"/>
        <w:spacing w:before="0" w:after="0"/>
        <w:ind w:left="0" w:right="0" w:hanging="0"/>
        <w:jc w:val="center"/>
        <w:rPr>
          <w:caps/>
          <w:color w:val="000000"/>
        </w:rPr>
      </w:pPr>
      <w:r>
        <w:rPr>
          <w:caps/>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p>
      <w:pPr>
        <w:pStyle w:val="TextBody"/>
        <w:bidi w:val="0"/>
        <w:spacing w:before="120" w:after="283"/>
        <w:jc w:val="left"/>
        <w:rPr/>
      </w:pPr>
      <w:r>
        <w:rPr/>
        <w:t> </w:t>
      </w:r>
    </w:p>
    <w:p>
      <w:pPr>
        <w:pStyle w:val="TextBody"/>
        <w:bidi w:val="0"/>
        <w:spacing w:before="0" w:after="0"/>
        <w:ind w:left="0" w:right="0" w:hanging="0"/>
        <w:jc w:val="left"/>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11 - Stock-Based Compensation (Continued)</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Restricted Stock Units (Continued)</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There were no grants of restricted stock units prior to October 7, 2022. The following table presents the restricted stock units activity for the six months ended June 30, 2023:</w:t>
      </w:r>
    </w:p>
    <w:p>
      <w:pPr>
        <w:pStyle w:val="TextBody"/>
        <w:bidi w:val="0"/>
        <w:spacing w:before="0" w:after="0"/>
        <w:ind w:left="0" w:right="0" w:hanging="0"/>
        <w:jc w:val="left"/>
        <w:rPr>
          <w:caps w:val="false"/>
          <w:smallCaps w:val="false"/>
          <w:color w:val="000000"/>
        </w:rPr>
      </w:pPr>
      <w:r>
        <w:rPr>
          <w:caps w:val="false"/>
          <w:smallCaps w:val="false"/>
          <w:color w:val="000000"/>
        </w:rPr>
        <w:t> </w:t>
      </w:r>
      <w:r>
        <w:rPr>
          <w:rFonts w:ascii="Times New Roman;Times;Serif" w:hAnsi="Times New Roman;Times;Serif"/>
          <w:b w:val="false"/>
          <w:i w:val="false"/>
          <w:caps w:val="false"/>
          <w:smallCaps w:val="false"/>
          <w:color w:val="000000"/>
          <w:sz w:val="20"/>
        </w:rPr>
        <w:t>SCHEDULE OF RESTRICTED STOCK UNITS ACTIVITY</w:t>
      </w:r>
    </w:p>
    <w:tbl>
      <w:tblPr>
        <w:tblW w:w="9139" w:type="dxa"/>
        <w:jc w:val="left"/>
        <w:tblInd w:w="0" w:type="dxa"/>
        <w:tblLayout w:type="fixed"/>
        <w:tblCellMar>
          <w:top w:w="0" w:type="dxa"/>
          <w:left w:w="0" w:type="dxa"/>
          <w:bottom w:w="0" w:type="dxa"/>
          <w:right w:w="0" w:type="dxa"/>
        </w:tblCellMar>
      </w:tblPr>
      <w:tblGrid>
        <w:gridCol w:w="4115"/>
        <w:gridCol w:w="60"/>
        <w:gridCol w:w="71"/>
        <w:gridCol w:w="1043"/>
        <w:gridCol w:w="95"/>
        <w:gridCol w:w="60"/>
        <w:gridCol w:w="724"/>
        <w:gridCol w:w="2896"/>
        <w:gridCol w:w="75"/>
      </w:tblGrid>
      <w:tr>
        <w:trPr/>
        <w:tc>
          <w:tcPr>
            <w:tcW w:w="41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 xml:space="preserve">Number of </w:t>
              <w:br/>
              <w:t>Shares</w:t>
            </w:r>
          </w:p>
        </w:tc>
        <w:tc>
          <w:tcPr>
            <w:tcW w:w="9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36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color w:val="000000"/>
              </w:rPr>
            </w:pPr>
            <w:r>
              <w:rPr>
                <w:rFonts w:ascii="Times New Roman;Times;Serif" w:hAnsi="Times New Roman;Times;Serif"/>
                <w:color w:val="000000"/>
              </w:rPr>
              <w:t>Weighted-Average Fair Market Value</w:t>
            </w:r>
          </w:p>
        </w:tc>
        <w:tc>
          <w:tcPr>
            <w:tcW w:w="75" w:type="dxa"/>
            <w:tcBorders/>
            <w:vAlign w:val="center"/>
          </w:tcPr>
          <w:p>
            <w:pPr>
              <w:pStyle w:val="TableContents"/>
              <w:bidi w:val="0"/>
              <w:spacing w:before="0" w:after="283"/>
              <w:jc w:val="left"/>
              <w:rPr>
                <w:color w:val="000000"/>
              </w:rPr>
            </w:pPr>
            <w:r>
              <w:rPr>
                <w:color w:val="000000"/>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Unvested shares at January 1, 2023</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1" w:type="dxa"/>
            <w:tcBorders/>
            <w:shd w:fill="CCEEFF" w:val="clear"/>
            <w:vAlign w:val="center"/>
          </w:tcPr>
          <w:p>
            <w:pPr>
              <w:pStyle w:val="TableContents"/>
              <w:bidi w:val="0"/>
              <w:spacing w:before="0" w:after="283"/>
              <w:jc w:val="left"/>
              <w:rPr>
                <w:color w:val="000000"/>
              </w:rPr>
            </w:pPr>
            <w:r>
              <w:rPr>
                <w:color w:val="000000"/>
              </w:rPr>
              <w:t> </w:t>
            </w:r>
          </w:p>
        </w:tc>
        <w:tc>
          <w:tcPr>
            <w:tcW w:w="1043"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180,000</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24"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289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14.00</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Granted and unvested</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71" w:type="dxa"/>
            <w:tcBorders/>
            <w:shd w:fill="FFFFFF" w:val="clear"/>
            <w:vAlign w:val="center"/>
          </w:tcPr>
          <w:p>
            <w:pPr>
              <w:pStyle w:val="TableContents"/>
              <w:bidi w:val="0"/>
              <w:spacing w:before="0" w:after="283"/>
              <w:jc w:val="left"/>
              <w:rPr>
                <w:color w:val="000000"/>
              </w:rPr>
            </w:pPr>
            <w:r>
              <w:rPr>
                <w:color w:val="000000"/>
              </w:rPr>
              <w:t> </w:t>
            </w:r>
          </w:p>
        </w:tc>
        <w:tc>
          <w:tcPr>
            <w:tcW w:w="104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489,998</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724" w:type="dxa"/>
            <w:tcBorders/>
            <w:shd w:fill="FFFFFF" w:val="clear"/>
            <w:vAlign w:val="center"/>
          </w:tcPr>
          <w:p>
            <w:pPr>
              <w:pStyle w:val="TableContents"/>
              <w:bidi w:val="0"/>
              <w:spacing w:before="0" w:after="283"/>
              <w:jc w:val="left"/>
              <w:rPr>
                <w:color w:val="000000"/>
              </w:rPr>
            </w:pPr>
            <w:r>
              <w:rPr>
                <w:color w:val="000000"/>
              </w:rPr>
              <w:t> </w:t>
            </w:r>
          </w:p>
        </w:tc>
        <w:tc>
          <w:tcPr>
            <w:tcW w:w="289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7.29</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Vested</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104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(461,998</w:t>
            </w:r>
          </w:p>
        </w:tc>
        <w:tc>
          <w:tcPr>
            <w:tcW w:w="95" w:type="dxa"/>
            <w:tcBorders/>
            <w:shd w:fill="CCEE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24" w:type="dxa"/>
            <w:tcBorders/>
            <w:shd w:fill="CCEEFF" w:val="clear"/>
            <w:vAlign w:val="center"/>
          </w:tcPr>
          <w:p>
            <w:pPr>
              <w:pStyle w:val="TableContents"/>
              <w:bidi w:val="0"/>
              <w:spacing w:before="0" w:after="283"/>
              <w:jc w:val="left"/>
              <w:rPr>
                <w:color w:val="000000"/>
              </w:rPr>
            </w:pPr>
            <w:r>
              <w:rPr>
                <w:color w:val="000000"/>
              </w:rPr>
              <w:t> </w:t>
            </w:r>
          </w:p>
        </w:tc>
        <w:tc>
          <w:tcPr>
            <w:tcW w:w="2896" w:type="dxa"/>
            <w:tcBorders/>
            <w:shd w:fill="CCEE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7.50</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Unvested shares, June 30, 2023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0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208,000</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724"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2896"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14.00</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4115" w:type="dxa"/>
            <w:tcBorders/>
            <w:shd w:fill="CCEEFF" w:val="clear"/>
            <w:vAlign w:val="center"/>
          </w:tcPr>
          <w:p>
            <w:pPr>
              <w:pStyle w:val="TableContents"/>
              <w:bidi w:val="0"/>
              <w:spacing w:before="0" w:after="283"/>
              <w:jc w:val="both"/>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1" w:type="dxa"/>
            <w:tcBorders/>
            <w:shd w:fill="CCEEFF" w:val="clear"/>
            <w:vAlign w:val="center"/>
          </w:tcPr>
          <w:p>
            <w:pPr>
              <w:pStyle w:val="TableContents"/>
              <w:bidi w:val="0"/>
              <w:spacing w:before="0" w:after="283"/>
              <w:jc w:val="left"/>
              <w:rPr>
                <w:color w:val="000000"/>
              </w:rPr>
            </w:pPr>
            <w:r>
              <w:rPr>
                <w:color w:val="000000"/>
              </w:rPr>
              <w:t> </w:t>
            </w:r>
          </w:p>
        </w:tc>
        <w:tc>
          <w:tcPr>
            <w:tcW w:w="1043" w:type="dxa"/>
            <w:tcBorders/>
            <w:shd w:fill="CCEEFF" w:val="clear"/>
            <w:vAlign w:val="center"/>
          </w:tcPr>
          <w:p>
            <w:pPr>
              <w:pStyle w:val="TableContents"/>
              <w:bidi w:val="0"/>
              <w:spacing w:before="0" w:after="283"/>
              <w:jc w:val="right"/>
              <w:rPr>
                <w:color w:val="000000"/>
              </w:rPr>
            </w:pPr>
            <w:r>
              <w:rPr>
                <w:color w:val="000000"/>
              </w:rPr>
              <w:t> </w:t>
            </w:r>
          </w:p>
        </w:tc>
        <w:tc>
          <w:tcPr>
            <w:tcW w:w="9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724" w:type="dxa"/>
            <w:tcBorders/>
            <w:shd w:fill="CCEEFF" w:val="clear"/>
            <w:vAlign w:val="center"/>
          </w:tcPr>
          <w:p>
            <w:pPr>
              <w:pStyle w:val="TableContents"/>
              <w:bidi w:val="0"/>
              <w:spacing w:before="0" w:after="283"/>
              <w:jc w:val="left"/>
              <w:rPr>
                <w:color w:val="000000"/>
              </w:rPr>
            </w:pPr>
            <w:r>
              <w:rPr>
                <w:color w:val="000000"/>
              </w:rPr>
              <w:t> </w:t>
            </w:r>
          </w:p>
        </w:tc>
        <w:tc>
          <w:tcPr>
            <w:tcW w:w="2896" w:type="dxa"/>
            <w:tcBorders/>
            <w:shd w:fill="CCEEFF" w:val="clear"/>
            <w:vAlign w:val="center"/>
          </w:tcPr>
          <w:p>
            <w:pPr>
              <w:pStyle w:val="TableContents"/>
              <w:bidi w:val="0"/>
              <w:spacing w:before="0" w:after="283"/>
              <w:jc w:val="right"/>
              <w:rPr>
                <w:color w:val="000000"/>
              </w:rPr>
            </w:pPr>
            <w:r>
              <w:rPr>
                <w:color w:val="000000"/>
              </w:rPr>
              <w:t> </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Vested and exercisable as of June 30, 2023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71" w:type="dxa"/>
            <w:tcBorders/>
            <w:shd w:fill="FFFFFF" w:val="clear"/>
            <w:vAlign w:val="center"/>
          </w:tcPr>
          <w:p>
            <w:pPr>
              <w:pStyle w:val="TableContents"/>
              <w:bidi w:val="0"/>
              <w:spacing w:before="0" w:after="283"/>
              <w:jc w:val="left"/>
              <w:rPr>
                <w:color w:val="000000"/>
              </w:rPr>
            </w:pPr>
            <w:r>
              <w:rPr>
                <w:color w:val="000000"/>
              </w:rPr>
              <w:t> </w:t>
            </w:r>
          </w:p>
        </w:tc>
        <w:tc>
          <w:tcPr>
            <w:tcW w:w="1043" w:type="dxa"/>
            <w:tcBorders/>
            <w:shd w:fill="FFFFFF" w:val="clear"/>
            <w:vAlign w:val="center"/>
          </w:tcPr>
          <w:p>
            <w:pPr>
              <w:pStyle w:val="TableContents"/>
              <w:bidi w:val="0"/>
              <w:spacing w:before="0" w:after="283"/>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724" w:type="dxa"/>
            <w:tcBorders/>
            <w:shd w:fill="FFFFFF" w:val="clear"/>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t>
            </w:r>
          </w:p>
        </w:tc>
        <w:tc>
          <w:tcPr>
            <w:tcW w:w="2896" w:type="dxa"/>
            <w:tcBorders/>
            <w:shd w:fill="FFFFFF" w:val="clear"/>
            <w:vAlign w:val="center"/>
          </w:tcPr>
          <w:p>
            <w:pPr>
              <w:pStyle w:val="TableContents"/>
              <w:bidi w:val="0"/>
              <w:spacing w:before="0" w:after="283"/>
              <w:jc w:val="right"/>
              <w:rPr>
                <w:color w:val="000000"/>
              </w:rPr>
            </w:pPr>
            <w:r>
              <w:rPr>
                <w:color w:val="000000"/>
              </w:rPr>
              <w:t>-</w:t>
            </w:r>
          </w:p>
        </w:tc>
        <w:tc>
          <w:tcPr>
            <w:tcW w:w="75" w:type="dxa"/>
            <w:tcBorders/>
            <w:shd w:fill="FFFF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 of June 30, 2023, there were 4,434,916 shares of unissued authorized and available for future awards under the 2022 Equity Incentive Plan and Employee Stock Purchase Plan.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12 – SUPPLIER AGREEMENT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May 9, 2023, Ioneer Rhyolite Ridge LLC (“Seller”), an emerging lithium-boron producer, and the Company announced a commercial offtake agreement partnership whereby the Seller is developing the Rhyolite Ridge Project which, once completed, is expected to produce lithium carbonate, and boric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 13 - LOSS PER SHARE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w:t>
      </w:r>
      <w:r>
        <w:rPr>
          <w:rFonts w:ascii="Times New Roman;Times;Serif" w:hAnsi="Times New Roman;Times;Serif"/>
          <w:b w:val="false"/>
          <w:i/>
          <w:caps w:val="false"/>
          <w:smallCaps w:val="false"/>
          <w:sz w:val="20"/>
        </w:rPr>
        <w:t>two</w:t>
      </w:r>
      <w:r>
        <w:rPr>
          <w:rFonts w:ascii="Times New Roman;Times;Serif" w:hAnsi="Times New Roman;Times;Serif"/>
          <w:b w:val="false"/>
          <w:i w:val="false"/>
          <w:caps w:val="false"/>
          <w:smallCaps w:val="false"/>
          <w:sz w:val="20"/>
        </w:rPr>
        <w:t xml:space="preserve">-class method when computing net loss per share as the Company has issued warrants that meet the definition of participating securities. The </w:t>
      </w:r>
      <w:r>
        <w:rPr>
          <w:rFonts w:ascii="Times New Roman;Times;Serif" w:hAnsi="Times New Roman;Times;Serif"/>
          <w:b w:val="false"/>
          <w:i/>
          <w:caps w:val="false"/>
          <w:smallCaps w:val="false"/>
          <w:sz w:val="20"/>
        </w:rPr>
        <w:t>two</w:t>
      </w:r>
      <w:r>
        <w:rPr>
          <w:rFonts w:ascii="Times New Roman;Times;Serif" w:hAnsi="Times New Roman;Times;Serif"/>
          <w:b w:val="false"/>
          <w:i w:val="false"/>
          <w:caps w:val="false"/>
          <w:smallCaps w:val="false"/>
          <w:sz w:val="20"/>
        </w:rPr>
        <w:t xml:space="preserve">-class method determines net loss per share for each class of common and participating securities according to dividends declared or accumulated and participation rights in undistributed earnings. The </w:t>
      </w:r>
      <w:r>
        <w:rPr>
          <w:rFonts w:ascii="Times New Roman;Times;Serif" w:hAnsi="Times New Roman;Times;Serif"/>
          <w:b w:val="false"/>
          <w:i/>
          <w:caps w:val="false"/>
          <w:smallCaps w:val="false"/>
          <w:sz w:val="20"/>
        </w:rPr>
        <w:t>two</w:t>
      </w:r>
      <w:r>
        <w:rPr>
          <w:rFonts w:ascii="Times New Roman;Times;Serif" w:hAnsi="Times New Roman;Times;Serif"/>
          <w:b w:val="false"/>
          <w:i w:val="false"/>
          <w:caps w:val="false"/>
          <w:smallCaps w:val="false"/>
          <w:sz w:val="20"/>
        </w:rPr>
        <w:t>-class method requires income available to common stockholders for the period to be allocated between common and participating securities based upon their respective rights to receive dividends as if all income for the period had been distributed.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common share is computed by dividing net loss attributable to common stockholders by the weighted average number of common shares outstanding. In addition, in computing the dilutive effect of convertible securities, the numerator is adjusted to add back any convertible preferred dividends. Diluted net loss per common share is computed by dividing net loss attributable to common stockholders by the weighted average number of common shares that would have been outstanding during the period assuming the issuance of common shares for all potential dilutive common shares outstanding. Potential common shares consist of potential future exercises of outstanding stock options and common stock warrants. Because the inclusion of potential common shares would be anti-dilutive for all periods presented, they have been excluded from the calculation.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warrants contractually entitle the holders of such securities to participate in dividends but do </w:t>
      </w:r>
      <w:r>
        <w:rPr>
          <w:rFonts w:ascii="Times New Roman;Times;Serif" w:hAnsi="Times New Roman;Times;Serif"/>
          <w:b w:val="false"/>
          <w:i/>
          <w:caps w:val="false"/>
          <w:smallCaps w:val="false"/>
          <w:sz w:val="20"/>
        </w:rPr>
        <w:t>not</w:t>
      </w:r>
      <w:r>
        <w:rPr>
          <w:rFonts w:ascii="Times New Roman;Times;Serif" w:hAnsi="Times New Roman;Times;Serif"/>
          <w:b w:val="false"/>
          <w:i w:val="false"/>
          <w:caps w:val="false"/>
          <w:smallCaps w:val="false"/>
          <w:sz w:val="20"/>
        </w:rPr>
        <w:t> contractually require the holders of such securities to participate in losses of the Company. Accordingly, in periods in which the Company reports a net loss, such losses are </w:t>
      </w:r>
      <w:r>
        <w:rPr>
          <w:rFonts w:ascii="Times New Roman;Times;Serif" w:hAnsi="Times New Roman;Times;Serif"/>
          <w:b w:val="false"/>
          <w:i/>
          <w:caps w:val="false"/>
          <w:smallCaps w:val="false"/>
          <w:sz w:val="20"/>
        </w:rPr>
        <w:t>not</w:t>
      </w:r>
      <w:r>
        <w:rPr>
          <w:rFonts w:ascii="Times New Roman;Times;Serif" w:hAnsi="Times New Roman;Times;Serif"/>
          <w:b w:val="false"/>
          <w:i w:val="false"/>
          <w:caps w:val="false"/>
          <w:smallCaps w:val="false"/>
          <w:sz w:val="20"/>
        </w:rPr>
        <w: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w:t>
      </w:r>
      <w:r>
        <w:rPr>
          <w:rFonts w:ascii="Times New Roman;Times;Serif" w:hAnsi="Times New Roman;Times;Serif"/>
          <w:b w:val="false"/>
          <w:i/>
          <w:caps w:val="false"/>
          <w:smallCaps w:val="false"/>
          <w:sz w:val="20"/>
        </w:rPr>
        <w:t>not</w:t>
      </w:r>
      <w:r>
        <w:rPr>
          <w:rFonts w:ascii="Times New Roman;Times;Serif" w:hAnsi="Times New Roman;Times;Serif"/>
          <w:b w:val="false"/>
          <w:i w:val="false"/>
          <w:caps w:val="false"/>
          <w:smallCaps w:val="false"/>
          <w:sz w:val="20"/>
        </w:rPr>
        <w:t> assumed to have been issued if their effect is anti-dilutive. The Company reported a net loss attributable to common stockholders for the three and six months ended June 30, 2023 and 2022.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information needed to compute basic and diluted loss per share for the three and six months ended June 30, 2023 and 2022: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caps w:val="false"/>
          <w:smallCaps w:val="false"/>
          <w:sz w:val="20"/>
        </w:rPr>
        <w:t>SCHEDULE OF INFORMATION NEEDED TO COMPUTE BASIC AND DILUTED EARNINGS PER SHARE</w:t>
      </w:r>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pPr>
            <w:r>
              <w:rPr/>
              <w:t>For The Three Months</w:t>
              <w:br/>
              <w:t>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pPr>
            <w:r>
              <w:rPr/>
              <w:t>For The Six Months</w:t>
              <w:br/>
              <w:t>Ended June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24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0"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(11,700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(1,469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(6,808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(3,767</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b/>
              </w:rPr>
            </w:pPr>
            <w:r>
              <w:rPr>
                <w:b/>
              </w:rPr>
              <w:t>Denominator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Weighted average common shares outstanding used to compute 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47,418,269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36,616,430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46,263,591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36,579,990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xml:space="preserve">Weighted average common shares outstanding,basic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47,418,269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36,616,430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46,263,591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36,579,990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b/>
              </w:rPr>
            </w:pPr>
            <w:r>
              <w:rPr>
                <w:b/>
              </w:rPr>
              <w:t>Net loss per share of common stock,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(0.10</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b/>
              </w:rPr>
            </w:pPr>
            <w:r>
              <w:rPr>
                <w:b/>
              </w:rPr>
              <w:t>Net loss per share of common stock,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Dragonfly Energy Holdings Corp.</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(in thousands, except share and per share data)</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table sets forth the number of potential shares of common stock that have been excluded from diluted net loss per share because their effect was anti-dilutive:</w:t>
      </w:r>
    </w:p>
    <w:p>
      <w:pPr>
        <w:pStyle w:val="TextBody"/>
        <w:bidi w:val="0"/>
        <w:spacing w:before="0" w:after="0"/>
        <w:ind w:left="0" w:right="0" w:hanging="0"/>
        <w:jc w:val="both"/>
        <w:rPr>
          <w:caps w:val="false"/>
          <w:smallCaps w:val="false"/>
        </w:rPr>
      </w:pPr>
      <w:r>
        <w:rPr>
          <w:caps w:val="false"/>
          <w:smallCaps w:val="false"/>
          <w:color w:val="000000"/>
        </w:rPr>
        <w:t> </w:t>
      </w:r>
      <w:r>
        <w:rPr>
          <w:rFonts w:ascii="Times New Roman;Times;Serif" w:hAnsi="Times New Roman;Times;Serif"/>
          <w:b w:val="false"/>
          <w:i w:val="false"/>
          <w:caps w:val="false"/>
          <w:smallCaps w:val="false"/>
          <w:color w:val="000000"/>
          <w:sz w:val="20"/>
        </w:rPr>
        <w:t>SCHEDULE OF POTENTIAL SHARES OF COMMON STOCK EXCLUDED FROM DILUTED NET (LOSS) INCOME PER SHARE</w:t>
      </w:r>
      <w:r>
        <w:rPr>
          <w:rFonts w:ascii="Times New Roman;Times;Serif" w:hAnsi="Times New Roman;Times;Serif"/>
          <w:b w:val="false"/>
          <w:i w:val="false"/>
          <w:caps w:val="false"/>
          <w:smallCaps w:val="false"/>
          <w:sz w:val="20"/>
        </w:rPr>
        <w:t>  </w:t>
      </w:r>
    </w:p>
    <w:tbl>
      <w:tblPr>
        <w:tblW w:w="6718" w:type="dxa"/>
        <w:jc w:val="left"/>
        <w:tblInd w:w="0" w:type="dxa"/>
        <w:tblLayout w:type="fixed"/>
        <w:tblCellMar>
          <w:top w:w="0" w:type="dxa"/>
          <w:left w:w="0" w:type="dxa"/>
          <w:bottom w:w="0" w:type="dxa"/>
          <w:right w:w="0" w:type="dxa"/>
        </w:tblCellMar>
      </w:tblPr>
      <w:tblGrid>
        <w:gridCol w:w="4145"/>
        <w:gridCol w:w="60"/>
        <w:gridCol w:w="68"/>
        <w:gridCol w:w="1091"/>
        <w:gridCol w:w="60"/>
        <w:gridCol w:w="60"/>
        <w:gridCol w:w="76"/>
        <w:gridCol w:w="1083"/>
        <w:gridCol w:w="75"/>
      </w:tblGrid>
      <w:tr>
        <w:trPr/>
        <w:tc>
          <w:tcPr>
            <w:tcW w:w="4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23,492,221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3,443,099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4,008,139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27,143,320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4,008,139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NOTE 14 – INCOME TAXES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Company’s tax provision and the resulting effective tax rate for interim periods is determined based upon its estimated annual effective tax rate adjusted for the effect of discrete items arising in that quarter. The Company recorded an income tax expense (benefit) of $0 and ($814) during the six months ended June 30, 2023 and 2022, respectively. The effective tax rate differs from the U.S. statutory tax rate primarily due to the valuation allowances on the Company’s deferred tax assets as it is more likely than not that some or all the Company’s deferred tax assets will not be realized. The Company’s policy is to recognize interest and penalties associated with uncertain tax benefits as part of the income tax provision and include accrued interest and penalties with the related income tax liability on the Company’s condensed consolidated balance sheets. The Company has not recognized any interest and penalties in its condensed consolidated statements of operations, nor has it accrued for or made payments for interest and penalties.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NOTE 15 – SUBSEQUENT EVENTS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Subsequent to the period ending June 30, 2023, and through August 8, 2023, 273,100 investor warrants were exercised for net proceeds of $546.</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July 2023, upon a request from the Company’s lenders under the term loan agreement, the Company repaid $5,275 of principal to satisfy a portion of its outstanding principal under the term loan agreement.</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July 6, 2023, the Company opened a 12-month time deposit account at Wells Fargo Commercial Banking amounting to $315 with fixed interest rate of 2%, payable on a monthly basis. The time deposit account has a current maturity date of July 6, 2024 and is subject to automatic annual renewal.</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of 2023, the Company was notified by its largest RV OEM customer that, due to weaker demand for its products and their subsequent focus on reducing costs, it would no longer install the Company’s storage solutions as standard equipment, but rather return to offering those solutions as an option to dealers and consumers. While this customer is not moving to a different solution or competitor, the Company expects this change in strategy to have a material limiting effect on the Company’s revenue throughout the remainder of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2023, upon mutual agreement between the Company and Mr. Marchetti, Mr. Marchetti resigned from his position as the Company’s Chief Financial Officer. Mr. Marchetti will continue in the role of Senior Vice President, Operations. In connection with Mr. Marchetti’s resignation, on August 20, 2023, the Board appointed Denis Phares, the Company’s President, Chief Executive Officer, and Chairman of the Board, to succeed Mr. Marchetti as the Company’s interim Chief Financial Officer. Dr. Phares will continue his duties as President, Chief Executive Officer, and Chairman of the Board. The Company intends to commence a search for a full time Chief Financial Officer.</w:t>
      </w:r>
    </w:p>
    <w:p>
      <w:pPr>
        <w:pStyle w:val="TextBody"/>
        <w:bidi w:val="0"/>
        <w:spacing w:before="0" w:after="0"/>
        <w:ind w:left="0" w:right="0" w:hanging="0"/>
        <w:jc w:val="both"/>
        <w:rPr>
          <w:caps w:val="false"/>
          <w:smallCaps w:val="false"/>
          <w:color w:val="000000"/>
        </w:rPr>
      </w:pPr>
      <w:r>
        <w:rPr>
          <w:caps w:val="false"/>
          <w:smallCaps w:val="false"/>
          <w:color w:val="00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71625" cy="1057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71625" cy="10572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21,512,027 Shares of Common Stock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27, 2023</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110277</Words>
  <Characters>589703</Characters>
  <CharactersWithSpaces>703792</CharactersWithSpaces>
  <Paragraphs>15616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