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197485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220345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August 10, 2022 (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36" w:right="299" w:bottom="1440" w:gutter="0" w:footer="0" w:header="0"/>
        </w:sectPr>
      </w:pPr>
    </w:p>
    <w:p>
      <w:pPr>
        <w:spacing w:after="0" w:line="23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18"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001-40730</w:t>
      </w:r>
    </w:p>
    <w:p>
      <w:pPr>
        <w:spacing w:after="0" w:line="2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85-1873463</w:t>
      </w:r>
    </w:p>
    <w:p>
      <w:pPr>
        <w:spacing w:after="0" w:line="2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01" w:lineRule="exact"/>
        <w:rPr>
          <w:sz w:val="24"/>
          <w:szCs w:val="24"/>
          <w:color w:val="auto"/>
        </w:rPr>
      </w:pPr>
    </w:p>
    <w:p>
      <w:pPr>
        <w:sectPr>
          <w:pgSz w:w="11900" w:h="16838" w:orient="portrait"/>
          <w:cols w:equalWidth="0" w:num="3">
            <w:col w:w="4580" w:space="720"/>
            <w:col w:w="2940" w:space="720"/>
            <w:col w:w="2340"/>
          </w:cols>
          <w:pgMar w:left="300" w:top="436" w:right="299" w:bottom="1440" w:gutter="0" w:footer="0" w:header="0"/>
          <w:type w:val="continuous"/>
        </w:sectPr>
      </w:pPr>
    </w:p>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17 State Street, 21st Floor</w:t>
      </w:r>
    </w:p>
    <w:p>
      <w:pPr>
        <w:spacing w:after="0" w:line="2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2"/>
          <w:szCs w:val="12"/>
          <w:b w:val="1"/>
          <w:bCs w:val="1"/>
          <w:color w:val="auto"/>
        </w:rPr>
        <w:t>10004</w:t>
      </w:r>
    </w:p>
    <w:p>
      <w:pPr>
        <w:spacing w:after="0" w:line="21"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02" w:lineRule="exact"/>
        <w:rPr>
          <w:sz w:val="24"/>
          <w:szCs w:val="24"/>
          <w:color w:val="auto"/>
        </w:rPr>
      </w:pPr>
    </w:p>
    <w:p>
      <w:pPr>
        <w:sectPr>
          <w:pgSz w:w="11900" w:h="16838" w:orient="portrait"/>
          <w:cols w:equalWidth="0" w:num="2">
            <w:col w:w="7480" w:space="720"/>
            <w:col w:w="3100"/>
          </w:cols>
          <w:pgMar w:left="300" w:top="436"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(646) 465-9000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36" w:right="29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644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Written communications pursuant to Rule 425 under the Securities Act (17 CFR 230.425)</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Soliciting material pursuant to Rule 14a-12 under the Exchange Act (17 CFR 240.14a-12)</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14d-2(b) under the Exchange Act (17 CFR 240.14d-2(b))</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13e-4(c) under the Exchange Act (17 CFR 240.13e-4(c))</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6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Securities Exchange Act of 1934:</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c>
          <w:tcPr>
            <w:tcW w:w="0" w:type="dxa"/>
            <w:vAlign w:val="bottom"/>
          </w:tcPr>
          <w:p>
            <w:pPr>
              <w:spacing w:after="0"/>
              <w:rPr>
                <w:sz w:val="1"/>
                <w:szCs w:val="1"/>
                <w:color w:val="auto"/>
              </w:rPr>
            </w:pPr>
          </w:p>
        </w:tc>
      </w:tr>
      <w:tr>
        <w:trPr>
          <w:trHeight w:val="159"/>
        </w:trPr>
        <w:tc>
          <w:tcPr>
            <w:tcW w:w="6440" w:type="dxa"/>
            <w:vAlign w:val="bottom"/>
            <w:gridSpan w:val="2"/>
            <w:vMerge w:val="continue"/>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c>
          <w:tcPr>
            <w:tcW w:w="0" w:type="dxa"/>
            <w:vAlign w:val="bottom"/>
          </w:tcPr>
          <w:p>
            <w:pPr>
              <w:spacing w:after="0"/>
              <w:rPr>
                <w:sz w:val="1"/>
                <w:szCs w:val="1"/>
                <w:color w:val="auto"/>
              </w:rPr>
            </w:pPr>
          </w:p>
        </w:tc>
      </w:tr>
      <w:tr>
        <w:trPr>
          <w:trHeight w:val="118"/>
        </w:trPr>
        <w:tc>
          <w:tcPr>
            <w:tcW w:w="63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Units, consisting of one share of Common Stock, $0.0001 par value per share, and three-quarters of one Redeemable</w:t>
            </w: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Warrant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CNTQU</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c>
          <w:tcPr>
            <w:tcW w:w="0" w:type="dxa"/>
            <w:vAlign w:val="bottom"/>
          </w:tcPr>
          <w:p>
            <w:pPr>
              <w:spacing w:after="0"/>
              <w:rPr>
                <w:sz w:val="1"/>
                <w:szCs w:val="1"/>
                <w:color w:val="auto"/>
              </w:rPr>
            </w:pPr>
          </w:p>
        </w:tc>
      </w:tr>
      <w:tr>
        <w:trPr>
          <w:trHeight w:val="144"/>
        </w:trPr>
        <w:tc>
          <w:tcPr>
            <w:tcW w:w="6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 included as part of the Units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CNTQ</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c>
          <w:tcPr>
            <w:tcW w:w="0" w:type="dxa"/>
            <w:vAlign w:val="bottom"/>
          </w:tcPr>
          <w:p>
            <w:pPr>
              <w:spacing w:after="0"/>
              <w:rPr>
                <w:sz w:val="1"/>
                <w:szCs w:val="1"/>
                <w:color w:val="auto"/>
              </w:rPr>
            </w:pPr>
          </w:p>
        </w:tc>
      </w:tr>
      <w:tr>
        <w:trPr>
          <w:trHeight w:val="159"/>
        </w:trPr>
        <w:tc>
          <w:tcPr>
            <w:tcW w:w="6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Redeemable Warrants included as part of the Units, each exercisable for one share of Common Stock for $11.50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CNTQW</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25" w:lineRule="exact"/>
        <w:rPr>
          <w:sz w:val="24"/>
          <w:szCs w:val="24"/>
          <w:color w:val="auto"/>
        </w:rPr>
      </w:pPr>
    </w:p>
    <w:p>
      <w:pPr>
        <w:jc w:val="both"/>
        <w:ind w:right="2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369570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36"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previously disclosed, on May 15, 2022, Chardan NexTech Acquisition 2 Corp., a Delaware corporation (“</w:t>
      </w:r>
      <w:r>
        <w:rPr>
          <w:rFonts w:ascii="Times New Roman" w:cs="Times New Roman" w:eastAsia="Times New Roman" w:hAnsi="Times New Roman"/>
          <w:sz w:val="12"/>
          <w:szCs w:val="12"/>
          <w:u w:val="single" w:color="auto"/>
          <w:color w:val="auto"/>
        </w:rPr>
        <w:t>Chardan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CNTQ</w:t>
      </w:r>
      <w:r>
        <w:rPr>
          <w:rFonts w:ascii="Times New Roman" w:cs="Times New Roman" w:eastAsia="Times New Roman" w:hAnsi="Times New Roman"/>
          <w:sz w:val="12"/>
          <w:szCs w:val="12"/>
          <w:color w:val="auto"/>
        </w:rPr>
        <w:t>”), entered into an Agreement and Plan of Merger, as amended on July 12, 2022, with Dragonfly Energy Corp., a Nevada corporation (“</w:t>
      </w:r>
      <w:r>
        <w:rPr>
          <w:rFonts w:ascii="Times New Roman" w:cs="Times New Roman" w:eastAsia="Times New Roman" w:hAnsi="Times New Roman"/>
          <w:sz w:val="12"/>
          <w:szCs w:val="12"/>
          <w:u w:val="single" w:color="auto"/>
          <w:color w:val="auto"/>
        </w:rPr>
        <w:t>Dragonfly</w:t>
      </w:r>
      <w:r>
        <w:rPr>
          <w:rFonts w:ascii="Times New Roman" w:cs="Times New Roman" w:eastAsia="Times New Roman" w:hAnsi="Times New Roman"/>
          <w:sz w:val="12"/>
          <w:szCs w:val="12"/>
          <w:color w:val="auto"/>
        </w:rPr>
        <w:t>”), and Bronco Merger Sub, Inc., a Nevada corporation and a direct, wholly owned subsidiary of Chardan.</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Attached as Exhibit 99.1, and incorporated herein by reference, is the revised investor presentation, dated August 10, 2022, for use by Chardan in meetings with certain of its stockholders as well as other persons with respect to Chardan’s proposed transaction with Dragonfly, as described in this Current Report on Form 8-K. This revised investor presentation amends the investor presentation, filed as Exhibit 99.1 to the Form 8-K filed by Chardan on July 12, 2022, to detail the reconciliation of non-GAAP figures disclosed in the investor presentation.</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liabilities under that section, and shall not be deemed to be incorporated by reference into the filings of Chardan under the Securities Act or the Exchange Act, regardless of any general incorporation language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2"/>
          <w:szCs w:val="12"/>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w:t>
      </w:r>
    </w:p>
    <w:p>
      <w:pPr>
        <w:spacing w:after="0" w:line="4" w:lineRule="exact"/>
        <w:rPr>
          <w:sz w:val="20"/>
          <w:szCs w:val="20"/>
          <w:color w:val="auto"/>
        </w:rPr>
      </w:pPr>
    </w:p>
    <w:p>
      <w:pPr>
        <w:jc w:val="both"/>
        <w:ind w:left="8" w:hanging="8"/>
        <w:spacing w:after="0" w:line="251" w:lineRule="auto"/>
        <w:tabs>
          <w:tab w:leader="none" w:pos="203"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Current Report on Form 8-K relates to a proposed transaction between CNTQ and Dragonfly. CNTQ has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documents filed by CNTQ with the SEC also may be obtained by contacting Chardan NexTech Acquisition 2 Corp. at 17 State Street, 21st Floor, New York, New York 10004, or by calling (646) 465-9001.</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gridSpan w:val="4"/>
          </w:tcPr>
          <w:p>
            <w:pPr>
              <w:ind w:left="420"/>
              <w:spacing w:after="0"/>
              <w:rPr>
                <w:sz w:val="20"/>
                <w:szCs w:val="20"/>
                <w:color w:val="auto"/>
              </w:rPr>
            </w:pPr>
            <w:r>
              <w:rPr>
                <w:rFonts w:ascii="Times New Roman" w:cs="Times New Roman" w:eastAsia="Times New Roman" w:hAnsi="Times New Roman"/>
                <w:sz w:val="12"/>
                <w:szCs w:val="12"/>
                <w:color w:val="auto"/>
              </w:rPr>
              <w:t>(d) Exhibits.</w:t>
            </w: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920" w:type="dxa"/>
            <w:vAlign w:val="bottom"/>
          </w:tcPr>
          <w:p>
            <w:pPr>
              <w:spacing w:after="0"/>
              <w:rPr>
                <w:sz w:val="13"/>
                <w:szCs w:val="13"/>
                <w:color w:val="auto"/>
              </w:rPr>
            </w:pPr>
          </w:p>
        </w:tc>
      </w:tr>
      <w:tr>
        <w:trPr>
          <w:trHeight w:val="279"/>
        </w:trPr>
        <w:tc>
          <w:tcPr>
            <w:tcW w:w="66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700" w:type="dxa"/>
            <w:vAlign w:val="bottom"/>
          </w:tcPr>
          <w:p>
            <w:pPr>
              <w:spacing w:after="0"/>
              <w:rPr>
                <w:sz w:val="24"/>
                <w:szCs w:val="24"/>
                <w:color w:val="auto"/>
              </w:rPr>
            </w:pPr>
          </w:p>
        </w:tc>
        <w:tc>
          <w:tcPr>
            <w:tcW w:w="9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60"/>
        </w:trPr>
        <w:tc>
          <w:tcPr>
            <w:tcW w:w="660" w:type="dxa"/>
            <w:vAlign w:val="bottom"/>
          </w:tcPr>
          <w:p>
            <w:pPr>
              <w:spacing w:after="0"/>
              <w:rPr>
                <w:sz w:val="13"/>
                <w:szCs w:val="13"/>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700" w:type="dxa"/>
            <w:vAlign w:val="bottom"/>
          </w:tcPr>
          <w:p>
            <w:pPr>
              <w:spacing w:after="0"/>
              <w:rPr>
                <w:sz w:val="13"/>
                <w:szCs w:val="13"/>
                <w:color w:val="auto"/>
              </w:rPr>
            </w:pPr>
          </w:p>
        </w:tc>
        <w:tc>
          <w:tcPr>
            <w:tcW w:w="936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Investor Presentation, dated as of August 10, 2022.</w:t>
            </w: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87"/>
        </w:trPr>
        <w:tc>
          <w:tcPr>
            <w:tcW w:w="860" w:type="dxa"/>
            <w:vAlign w:val="bottom"/>
            <w:gridSpan w:val="2"/>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104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68"/>
        </w:trPr>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60" w:type="dxa"/>
            <w:vAlign w:val="bottom"/>
          </w:tcPr>
          <w:p>
            <w:pPr>
              <w:spacing w:after="0"/>
              <w:rPr>
                <w:sz w:val="13"/>
                <w:szCs w:val="13"/>
                <w:color w:val="auto"/>
              </w:rPr>
            </w:pPr>
          </w:p>
        </w:tc>
        <w:tc>
          <w:tcPr>
            <w:tcW w:w="794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CHARDAN NEXTECH ACQUISITION 2 CORP.</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 August 10, 2022</w:t>
            </w:r>
          </w:p>
        </w:tc>
        <w:tc>
          <w:tcPr>
            <w:tcW w:w="7940" w:type="dxa"/>
            <w:vAlign w:val="bottom"/>
            <w:gridSpan w:val="3"/>
          </w:tcPr>
          <w:p>
            <w:pPr>
              <w:ind w:left="2300"/>
              <w:spacing w:after="0"/>
              <w:rPr>
                <w:sz w:val="20"/>
                <w:szCs w:val="20"/>
                <w:color w:val="auto"/>
              </w:rPr>
            </w:pPr>
            <w:r>
              <w:rPr>
                <w:rFonts w:ascii="Times New Roman" w:cs="Times New Roman" w:eastAsia="Times New Roman" w:hAnsi="Times New Roman"/>
                <w:sz w:val="12"/>
                <w:szCs w:val="12"/>
                <w:color w:val="auto"/>
              </w:rPr>
              <w:t>By:   /s/ Jonas Grossman</w:t>
            </w:r>
          </w:p>
        </w:tc>
      </w:tr>
      <w:tr>
        <w:trPr>
          <w:trHeight w:val="122"/>
        </w:trPr>
        <w:tc>
          <w:tcPr>
            <w:tcW w:w="33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Jonas Grossman</w:t>
            </w:r>
          </w:p>
        </w:tc>
      </w:tr>
      <w:tr>
        <w:trPr>
          <w:trHeight w:val="155"/>
        </w:trPr>
        <w:tc>
          <w:tcPr>
            <w:tcW w:w="33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3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12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2022-08-13T10:25:10Z</dcterms:created>
  <dcterms:modified xsi:type="dcterms:W3CDTF">2022-08-13T10:25:10Z</dcterms:modified>
</cp:coreProperties>
</file>