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CURRENT REPORT</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November 22, 2024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DRAGONFLY ENERGY HOLDINGS CORP.</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120" w:type="dxa"/>
            <w:vAlign w:val="bottom"/>
            <w:gridSpan w:val="3"/>
          </w:tcPr>
          <w:p>
            <w:pPr>
              <w:jc w:val="center"/>
              <w:ind w:right="1500"/>
              <w:spacing w:after="0"/>
              <w:rPr>
                <w:sz w:val="20"/>
                <w:szCs w:val="20"/>
                <w:color w:val="auto"/>
              </w:rPr>
            </w:pPr>
            <w:r>
              <w:rPr>
                <w:rFonts w:ascii="Times New Roman" w:cs="Times New Roman" w:eastAsia="Times New Roman" w:hAnsi="Times New Roman"/>
                <w:sz w:val="17"/>
                <w:szCs w:val="17"/>
                <w:b w:val="1"/>
                <w:bCs w:val="1"/>
                <w:color w:val="auto"/>
                <w:w w:val="98"/>
              </w:rPr>
              <w:t>Nevada</w:t>
            </w:r>
          </w:p>
        </w:tc>
        <w:tc>
          <w:tcPr>
            <w:tcW w:w="2300" w:type="dxa"/>
            <w:vAlign w:val="bottom"/>
          </w:tcPr>
          <w:p>
            <w:pPr>
              <w:jc w:val="center"/>
              <w:ind w:right="1176"/>
              <w:spacing w:after="0"/>
              <w:rPr>
                <w:sz w:val="20"/>
                <w:szCs w:val="20"/>
                <w:color w:val="auto"/>
              </w:rPr>
            </w:pPr>
            <w:r>
              <w:rPr>
                <w:rFonts w:ascii="Times New Roman" w:cs="Times New Roman" w:eastAsia="Times New Roman" w:hAnsi="Times New Roman"/>
                <w:sz w:val="17"/>
                <w:szCs w:val="17"/>
                <w:b w:val="1"/>
                <w:bCs w:val="1"/>
                <w:color w:val="auto"/>
                <w:w w:val="97"/>
              </w:rPr>
              <w:t>001-40730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80" w:type="dxa"/>
            <w:vAlign w:val="bottom"/>
          </w:tcPr>
          <w:p>
            <w:pPr>
              <w:jc w:val="right"/>
              <w:ind w:right="1296"/>
              <w:spacing w:after="0"/>
              <w:rPr>
                <w:sz w:val="20"/>
                <w:szCs w:val="20"/>
                <w:color w:val="auto"/>
              </w:rPr>
            </w:pPr>
            <w:r>
              <w:rPr>
                <w:rFonts w:ascii="Times New Roman" w:cs="Times New Roman" w:eastAsia="Times New Roman" w:hAnsi="Times New Roman"/>
                <w:sz w:val="17"/>
                <w:szCs w:val="17"/>
                <w:b w:val="1"/>
                <w:bCs w:val="1"/>
                <w:color w:val="auto"/>
              </w:rPr>
              <w:t>85-1873463</w:t>
            </w:r>
          </w:p>
        </w:tc>
      </w:tr>
      <w:tr>
        <w:trPr>
          <w:trHeight w:val="178"/>
        </w:trPr>
        <w:tc>
          <w:tcPr>
            <w:tcW w:w="360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(State or other jurisdiction</w:t>
            </w:r>
          </w:p>
        </w:tc>
        <w:tc>
          <w:tcPr>
            <w:tcW w:w="24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gridSpan w:val="2"/>
          </w:tcPr>
          <w:p>
            <w:pPr>
              <w:jc w:val="center"/>
              <w:ind w:right="1300"/>
              <w:spacing w:after="0" w:line="178" w:lineRule="exact"/>
              <w:rPr>
                <w:sz w:val="20"/>
                <w:szCs w:val="20"/>
                <w:color w:val="auto"/>
              </w:rPr>
            </w:pPr>
            <w:r>
              <w:rPr>
                <w:rFonts w:ascii="Times New Roman" w:cs="Times New Roman" w:eastAsia="Times New Roman" w:hAnsi="Times New Roman"/>
                <w:sz w:val="17"/>
                <w:szCs w:val="17"/>
                <w:color w:val="auto"/>
                <w:w w:val="98"/>
              </w:rPr>
              <w:t>(Commission</w:t>
            </w:r>
          </w:p>
        </w:tc>
        <w:tc>
          <w:tcPr>
            <w:tcW w:w="220" w:type="dxa"/>
            <w:vAlign w:val="bottom"/>
          </w:tcPr>
          <w:p>
            <w:pPr>
              <w:spacing w:after="0"/>
              <w:rPr>
                <w:sz w:val="15"/>
                <w:szCs w:val="15"/>
                <w:color w:val="auto"/>
              </w:rPr>
            </w:pPr>
          </w:p>
        </w:tc>
        <w:tc>
          <w:tcPr>
            <w:tcW w:w="358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(IRS Employer</w:t>
            </w:r>
          </w:p>
        </w:tc>
      </w:tr>
      <w:tr>
        <w:trPr>
          <w:trHeight w:val="218"/>
        </w:trPr>
        <w:tc>
          <w:tcPr>
            <w:tcW w:w="5120" w:type="dxa"/>
            <w:vAlign w:val="bottom"/>
            <w:gridSpan w:val="3"/>
          </w:tcPr>
          <w:p>
            <w:pPr>
              <w:jc w:val="center"/>
              <w:ind w:right="1500"/>
              <w:spacing w:after="0"/>
              <w:rPr>
                <w:sz w:val="20"/>
                <w:szCs w:val="20"/>
                <w:color w:val="auto"/>
              </w:rPr>
            </w:pPr>
            <w:r>
              <w:rPr>
                <w:rFonts w:ascii="Times New Roman" w:cs="Times New Roman" w:eastAsia="Times New Roman" w:hAnsi="Times New Roman"/>
                <w:sz w:val="17"/>
                <w:szCs w:val="17"/>
                <w:color w:val="auto"/>
                <w:w w:val="98"/>
              </w:rPr>
              <w:t>of incorporation)</w:t>
            </w:r>
          </w:p>
        </w:tc>
        <w:tc>
          <w:tcPr>
            <w:tcW w:w="2540" w:type="dxa"/>
            <w:vAlign w:val="bottom"/>
            <w:gridSpan w:val="3"/>
          </w:tcPr>
          <w:p>
            <w:pPr>
              <w:jc w:val="center"/>
              <w:ind w:right="1500"/>
              <w:spacing w:after="0"/>
              <w:rPr>
                <w:sz w:val="20"/>
                <w:szCs w:val="20"/>
                <w:color w:val="auto"/>
              </w:rPr>
            </w:pPr>
            <w:r>
              <w:rPr>
                <w:rFonts w:ascii="Times New Roman" w:cs="Times New Roman" w:eastAsia="Times New Roman" w:hAnsi="Times New Roman"/>
                <w:sz w:val="17"/>
                <w:szCs w:val="17"/>
                <w:color w:val="auto"/>
                <w:w w:val="99"/>
              </w:rPr>
              <w:t>File Number)</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Identification No.)</w:t>
            </w:r>
          </w:p>
        </w:tc>
      </w:tr>
      <w:tr>
        <w:trPr>
          <w:trHeight w:val="383"/>
        </w:trPr>
        <w:tc>
          <w:tcPr>
            <w:tcW w:w="5120" w:type="dxa"/>
            <w:vAlign w:val="bottom"/>
            <w:gridSpan w:val="3"/>
          </w:tcPr>
          <w:p>
            <w:pPr>
              <w:jc w:val="center"/>
              <w:ind w:left="2236"/>
              <w:spacing w:after="0"/>
              <w:rPr>
                <w:sz w:val="20"/>
                <w:szCs w:val="20"/>
                <w:color w:val="auto"/>
              </w:rPr>
            </w:pPr>
            <w:r>
              <w:rPr>
                <w:rFonts w:ascii="Times New Roman" w:cs="Times New Roman" w:eastAsia="Times New Roman" w:hAnsi="Times New Roman"/>
                <w:sz w:val="17"/>
                <w:szCs w:val="17"/>
                <w:b w:val="1"/>
                <w:bCs w:val="1"/>
                <w:color w:val="auto"/>
                <w:w w:val="97"/>
              </w:rPr>
              <w:t>1190 Trademark Drive, #108</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22"/>
        </w:trPr>
        <w:tc>
          <w:tcPr>
            <w:tcW w:w="5120" w:type="dxa"/>
            <w:vAlign w:val="bottom"/>
            <w:tcBorders>
              <w:bottom w:val="single" w:sz="8" w:color="auto"/>
            </w:tcBorders>
            <w:gridSpan w:val="3"/>
          </w:tcPr>
          <w:p>
            <w:pPr>
              <w:jc w:val="center"/>
              <w:ind w:left="2236"/>
              <w:spacing w:after="0"/>
              <w:rPr>
                <w:sz w:val="20"/>
                <w:szCs w:val="20"/>
                <w:color w:val="auto"/>
              </w:rPr>
            </w:pPr>
            <w:r>
              <w:rPr>
                <w:rFonts w:ascii="Times New Roman" w:cs="Times New Roman" w:eastAsia="Times New Roman" w:hAnsi="Times New Roman"/>
                <w:sz w:val="17"/>
                <w:szCs w:val="17"/>
                <w:b w:val="1"/>
                <w:bCs w:val="1"/>
                <w:color w:val="auto"/>
                <w:w w:val="98"/>
              </w:rPr>
              <w:t>Reno, Nevada</w:t>
            </w:r>
          </w:p>
        </w:tc>
        <w:tc>
          <w:tcPr>
            <w:tcW w:w="23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80" w:type="dxa"/>
            <w:vAlign w:val="bottom"/>
            <w:tcBorders>
              <w:bottom w:val="single" w:sz="8" w:color="auto"/>
            </w:tcBorders>
          </w:tcPr>
          <w:p>
            <w:pPr>
              <w:jc w:val="right"/>
              <w:ind w:right="1496"/>
              <w:spacing w:after="0"/>
              <w:rPr>
                <w:sz w:val="20"/>
                <w:szCs w:val="20"/>
                <w:color w:val="auto"/>
              </w:rPr>
            </w:pPr>
            <w:r>
              <w:rPr>
                <w:rFonts w:ascii="Times New Roman" w:cs="Times New Roman" w:eastAsia="Times New Roman" w:hAnsi="Times New Roman"/>
                <w:sz w:val="17"/>
                <w:szCs w:val="17"/>
                <w:b w:val="1"/>
                <w:bCs w:val="1"/>
                <w:color w:val="auto"/>
              </w:rPr>
              <w:t>89521</w:t>
            </w:r>
          </w:p>
        </w:tc>
      </w:tr>
      <w:tr>
        <w:trPr>
          <w:trHeight w:val="211"/>
        </w:trPr>
        <w:tc>
          <w:tcPr>
            <w:tcW w:w="5120" w:type="dxa"/>
            <w:vAlign w:val="bottom"/>
            <w:gridSpan w:val="3"/>
          </w:tcPr>
          <w:p>
            <w:pPr>
              <w:jc w:val="center"/>
              <w:ind w:left="2216"/>
              <w:spacing w:after="0"/>
              <w:rPr>
                <w:sz w:val="20"/>
                <w:szCs w:val="20"/>
                <w:color w:val="auto"/>
              </w:rPr>
            </w:pPr>
            <w:r>
              <w:rPr>
                <w:rFonts w:ascii="Times New Roman" w:cs="Times New Roman" w:eastAsia="Times New Roman" w:hAnsi="Times New Roman"/>
                <w:sz w:val="17"/>
                <w:szCs w:val="17"/>
                <w:color w:val="auto"/>
                <w:w w:val="98"/>
              </w:rPr>
              <w:t>(Address of principal executive offices)</w:t>
            </w: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(Zip Code)</w:t>
            </w:r>
          </w:p>
        </w:tc>
      </w:tr>
    </w:tbl>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(775) 622-3448</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N/A</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192"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07" w:lineRule="exact"/>
        <w:rPr>
          <w:rFonts w:ascii="MS PGothic" w:cs="MS PGothic" w:eastAsia="MS PGothic" w:hAnsi="MS PGothic"/>
          <w:sz w:val="17"/>
          <w:szCs w:val="17"/>
          <w:color w:val="auto"/>
        </w:rPr>
      </w:pPr>
    </w:p>
    <w:p>
      <w:pPr>
        <w:ind w:right="3420" w:firstLine="1"/>
        <w:spacing w:after="0" w:line="503" w:lineRule="auto"/>
        <w:tabs>
          <w:tab w:leader="none" w:pos="303"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18"/>
        </w:trPr>
        <w:tc>
          <w:tcPr>
            <w:tcW w:w="45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7"/>
              </w:rPr>
              <w:t>Title of each class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7"/>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Name of each exchange on which registered</w:t>
            </w:r>
          </w:p>
        </w:tc>
      </w:tr>
      <w:tr>
        <w:trPr>
          <w:trHeight w:val="178"/>
        </w:trPr>
        <w:tc>
          <w:tcPr>
            <w:tcW w:w="428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Common stock, par value $0.0001 per share</w:t>
            </w:r>
          </w:p>
        </w:tc>
        <w:tc>
          <w:tcPr>
            <w:tcW w:w="220" w:type="dxa"/>
            <w:vAlign w:val="bottom"/>
          </w:tcPr>
          <w:p>
            <w:pPr>
              <w:spacing w:after="0"/>
              <w:rPr>
                <w:sz w:val="15"/>
                <w:szCs w:val="15"/>
                <w:color w:val="auto"/>
              </w:rPr>
            </w:pPr>
          </w:p>
        </w:tc>
        <w:tc>
          <w:tcPr>
            <w:tcW w:w="226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rPr>
              <w:t>DFLI</w:t>
            </w:r>
          </w:p>
        </w:tc>
        <w:tc>
          <w:tcPr>
            <w:tcW w:w="220" w:type="dxa"/>
            <w:vAlign w:val="bottom"/>
          </w:tcPr>
          <w:p>
            <w:pPr>
              <w:spacing w:after="0"/>
              <w:rPr>
                <w:sz w:val="15"/>
                <w:szCs w:val="15"/>
                <w:color w:val="auto"/>
              </w:rPr>
            </w:pPr>
          </w:p>
        </w:tc>
        <w:tc>
          <w:tcPr>
            <w:tcW w:w="426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The Nasdaq Capital Market</w:t>
            </w:r>
          </w:p>
        </w:tc>
      </w:tr>
      <w:tr>
        <w:trPr>
          <w:trHeight w:val="218"/>
        </w:trPr>
        <w:tc>
          <w:tcPr>
            <w:tcW w:w="45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Redeemable warrants, exercisable for common stock</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DFLIW</w:t>
            </w:r>
          </w:p>
        </w:tc>
        <w:tc>
          <w:tcPr>
            <w:tcW w:w="4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The Nasdaq Capital Market</w:t>
            </w:r>
          </w:p>
        </w:tc>
      </w:tr>
    </w:tbl>
    <w:p>
      <w:pPr>
        <w:spacing w:after="0" w:line="186"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46"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112395</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128270</wp:posOffset>
            </wp:positionV>
            <wp:extent cx="71412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432435</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3.03. Material Modification to Rights of Security 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contained in Item 5.03 below is incorporated by reference into this Item 3.03.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5.03. Amendments to Articles of Incorporation or Bylaws; Change in Fiscal Year.</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November 12, 2024, Dragonfly Energy Holdings Corp.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filed a Certificate of Amendment to the Company’s Articles of Incorporation with the Secretary of State of the State of Nevada (the “</w:t>
      </w:r>
      <w:r>
        <w:rPr>
          <w:rFonts w:ascii="Times New Roman" w:cs="Times New Roman" w:eastAsia="Times New Roman" w:hAnsi="Times New Roman"/>
          <w:sz w:val="17"/>
          <w:szCs w:val="17"/>
          <w:b w:val="1"/>
          <w:bCs w:val="1"/>
          <w:color w:val="auto"/>
        </w:rPr>
        <w:t>Certificate of Amendment</w:t>
      </w:r>
      <w:r>
        <w:rPr>
          <w:rFonts w:ascii="Times New Roman" w:cs="Times New Roman" w:eastAsia="Times New Roman" w:hAnsi="Times New Roman"/>
          <w:sz w:val="17"/>
          <w:szCs w:val="17"/>
          <w:color w:val="auto"/>
        </w:rPr>
        <w:t>”) to be effected at 6:00 a.m. Eastern Time on November 22, 2024, a one-for-nine reverse stock split (the “</w:t>
      </w:r>
      <w:r>
        <w:rPr>
          <w:rFonts w:ascii="Times New Roman" w:cs="Times New Roman" w:eastAsia="Times New Roman" w:hAnsi="Times New Roman"/>
          <w:sz w:val="17"/>
          <w:szCs w:val="17"/>
          <w:b w:val="1"/>
          <w:bCs w:val="1"/>
          <w:color w:val="auto"/>
        </w:rPr>
        <w:t>Reverse Stock Split</w:t>
      </w:r>
      <w:r>
        <w:rPr>
          <w:rFonts w:ascii="Times New Roman" w:cs="Times New Roman" w:eastAsia="Times New Roman" w:hAnsi="Times New Roman"/>
          <w:sz w:val="17"/>
          <w:szCs w:val="17"/>
          <w:color w:val="auto"/>
        </w:rPr>
        <w:t>”) of the Company’s issued and outstanding shares of common stock, par value $0.0001 per share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In connection with the Reverse Stock Split, the CUSIP number for the Common Stock changed to 26145B 304. The Common Stock will begin trading on a Reverse Stock Split-adjusted basis when the market opens on November 22, 2024. The Common Stock will continue to be quoted on The Nasdaq Capital Market, under the existing ticker symbol “DFLI”.</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a result of the Reverse Stock Split, every nine shares of the Company’s issued and outstanding Common Stock was converted into one share of Common Stock. The Reverse Stock Split affected all stockholders uniformly and did not alter any stockholder’s percentage interest in the Company’s equity, except to the extent that the Reverse Split would have resulted in some stockholders owning a fractional share. No fractional shares were issued in connection with the Reverse Stock Split. Any fractional shares resulting from the Reverse Stock Split were rounded up to the nearest whole number.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Reverse Stock Split did not change the par value of the Common Stock or the authorized number of shares of Common Stock. All outstanding securities entitling their holders to purchase shares of Common Stock or acquire shares of Common Stock, including stock options and warrants, were adjusted as a result of the Reverse Stock Split, as required by the terms of those securities.</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November 11, 2024, the Board of Directors of the Company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approved the Reverse Stock Split at a ratio of one-for-nine (1:9) and the filing of the Certificate of Amendment, subject to stockholder approval of the Reverse Stock Split Proposal (as defined below). On November 12, 2024, at the Company’s Annual Meeting of Stockholders, the Company’s stockholders approved the proposal to authorize the Board, in its discretion at any time within one year after stockholder approval is obtained, to effect a reverse stock split of only the then-outstanding shares of Common Stock (with no change to the authorized capital stock of the Company), at a ratio of not less than one-for-five (1:5) and not greater than one-for-twenty (1:20), with the exact ratio to be determined by the Board and included in a public announcement.</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foregoing description of the Certificate of Amendment is a summary of the material terms thereof, does not purport to be complete and is qualified in its entirety by reference to the full text of the Certificate of Amendment, which is filed with this Current Report as Exhibit 3.1 and is incorporated herein by reference.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 Exhibits.</w:t>
            </w:r>
          </w:p>
        </w:tc>
        <w:tc>
          <w:tcPr>
            <w:tcW w:w="2380" w:type="dxa"/>
            <w:vAlign w:val="bottom"/>
          </w:tcPr>
          <w:p>
            <w:pPr>
              <w:spacing w:after="0"/>
              <w:rPr>
                <w:sz w:val="18"/>
                <w:szCs w:val="18"/>
                <w:color w:val="auto"/>
              </w:rPr>
            </w:pPr>
          </w:p>
        </w:tc>
        <w:tc>
          <w:tcPr>
            <w:tcW w:w="7840" w:type="dxa"/>
            <w:vAlign w:val="bottom"/>
          </w:tcPr>
          <w:p>
            <w:pPr>
              <w:spacing w:after="0"/>
              <w:rPr>
                <w:sz w:val="18"/>
                <w:szCs w:val="18"/>
                <w:color w:val="auto"/>
              </w:rPr>
            </w:pPr>
          </w:p>
        </w:tc>
      </w:tr>
      <w:tr>
        <w:trPr>
          <w:trHeight w:val="403"/>
        </w:trPr>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No.</w:t>
            </w:r>
          </w:p>
        </w:tc>
        <w:tc>
          <w:tcPr>
            <w:tcW w:w="10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157"/>
        </w:trPr>
        <w:tc>
          <w:tcPr>
            <w:tcW w:w="20" w:type="dxa"/>
            <w:vAlign w:val="bottom"/>
          </w:tcPr>
          <w:p>
            <w:pPr>
              <w:spacing w:after="0"/>
              <w:rPr>
                <w:sz w:val="13"/>
                <w:szCs w:val="13"/>
                <w:color w:val="auto"/>
              </w:rPr>
            </w:pPr>
          </w:p>
        </w:tc>
        <w:tc>
          <w:tcPr>
            <w:tcW w:w="88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3"/>
                <w:szCs w:val="13"/>
                <w:color w:val="auto"/>
              </w:rPr>
            </w:pPr>
          </w:p>
        </w:tc>
        <w:tc>
          <w:tcPr>
            <w:tcW w:w="10220" w:type="dxa"/>
            <w:vAlign w:val="bottom"/>
            <w:tcBorders>
              <w:top w:val="single" w:sz="8" w:color="auto"/>
              <w:bottom w:val="single" w:sz="8" w:color="0000EE"/>
            </w:tcBorders>
            <w:gridSpan w:val="2"/>
          </w:tcPr>
          <w:p>
            <w:pPr>
              <w:spacing w:after="0" w:line="157" w:lineRule="exact"/>
              <w:rPr>
                <w:sz w:val="20"/>
                <w:szCs w:val="20"/>
                <w:color w:val="auto"/>
              </w:rPr>
            </w:pPr>
            <w:r>
              <w:rPr>
                <w:rFonts w:ascii="Times New Roman" w:cs="Times New Roman" w:eastAsia="Times New Roman" w:hAnsi="Times New Roman"/>
                <w:sz w:val="17"/>
                <w:szCs w:val="17"/>
                <w:color w:val="0000EE"/>
              </w:rPr>
              <w:t>Certificate of Amendment to the Articles of Incorporation of Dragonfly Energy Holdings Corp., as filed with the Secretary of State of the State of</w:t>
            </w:r>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0000EE"/>
              </w:rPr>
              <w:t>Nevada, dated November 19, 2024.</w:t>
            </w:r>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219"/>
        </w:trPr>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606"/>
        </w:trPr>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40" w:type="dxa"/>
            <w:vAlign w:val="bottom"/>
          </w:tcPr>
          <w:p>
            <w:pPr>
              <w:spacing w:after="0"/>
              <w:rPr>
                <w:sz w:val="19"/>
                <w:szCs w:val="19"/>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tc>
      </w:tr>
      <w:tr>
        <w:trPr>
          <w:trHeight w:val="403"/>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Dated: November 22, 2024</w:t>
            </w:r>
          </w:p>
        </w:tc>
        <w:tc>
          <w:tcPr>
            <w:tcW w:w="2460" w:type="dxa"/>
            <w:vAlign w:val="bottom"/>
          </w:tcPr>
          <w:p>
            <w:pPr>
              <w:ind w:left="190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Denis Phares</w:t>
            </w:r>
          </w:p>
        </w:tc>
      </w:tr>
      <w:tr>
        <w:trPr>
          <w:trHeight w:val="178"/>
        </w:trPr>
        <w:tc>
          <w:tcPr>
            <w:tcW w:w="3740" w:type="dxa"/>
            <w:vAlign w:val="bottom"/>
          </w:tcPr>
          <w:p>
            <w:pPr>
              <w:spacing w:after="0"/>
              <w:rPr>
                <w:sz w:val="15"/>
                <w:szCs w:val="15"/>
                <w:color w:val="auto"/>
              </w:rPr>
            </w:pPr>
          </w:p>
        </w:tc>
        <w:tc>
          <w:tcPr>
            <w:tcW w:w="2460" w:type="dxa"/>
            <w:vAlign w:val="bottom"/>
          </w:tcPr>
          <w:p>
            <w:pPr>
              <w:ind w:left="1900"/>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Denis Phares</w:t>
            </w:r>
          </w:p>
        </w:tc>
      </w:tr>
      <w:tr>
        <w:trPr>
          <w:trHeight w:val="218"/>
        </w:trPr>
        <w:tc>
          <w:tcPr>
            <w:tcW w:w="3740" w:type="dxa"/>
            <w:vAlign w:val="bottom"/>
          </w:tcPr>
          <w:p>
            <w:pPr>
              <w:spacing w:after="0"/>
              <w:rPr>
                <w:sz w:val="18"/>
                <w:szCs w:val="18"/>
                <w:color w:val="auto"/>
              </w:rPr>
            </w:pPr>
          </w:p>
        </w:tc>
        <w:tc>
          <w:tcPr>
            <w:tcW w:w="2460" w:type="dxa"/>
            <w:vAlign w:val="bottom"/>
          </w:tcPr>
          <w:p>
            <w:pPr>
              <w:ind w:left="190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 Interim Chief Financial Officer and President</w:t>
            </w:r>
          </w:p>
        </w:tc>
      </w:tr>
      <w:tr>
        <w:trPr>
          <w:trHeight w:val="404"/>
        </w:trPr>
        <w:tc>
          <w:tcPr>
            <w:tcW w:w="37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3" w:name="page4"/>
    <w:bookmarkEnd w:id="3"/>
    <w:p>
      <w:pPr>
        <w:ind w:left="9180"/>
        <w:spacing w:after="0"/>
        <w:rPr>
          <w:sz w:val="20"/>
          <w:szCs w:val="20"/>
          <w:color w:val="auto"/>
        </w:rPr>
      </w:pPr>
      <w:r>
        <w:rPr>
          <w:rFonts w:ascii="Times New Roman" w:cs="Times New Roman" w:eastAsia="Times New Roman" w:hAnsi="Times New Roman"/>
          <w:sz w:val="20"/>
          <w:szCs w:val="20"/>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160655</wp:posOffset>
            </wp:positionV>
            <wp:extent cx="7200265" cy="9607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75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75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75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2024-11-22T07:04:11Z</dcterms:created>
  <dcterms:modified xsi:type="dcterms:W3CDTF">2024-11-22T07:04:11Z</dcterms:modified>
</cp:coreProperties>
</file>