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April 8,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85-1873463</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 Classification Code</w:t>
            </w:r>
          </w:p>
        </w:tc>
        <w:tc>
          <w:tcPr>
            <w:tcW w:w="100" w:type="dxa"/>
            <w:vAlign w:val="bottom"/>
            <w:vMerge w:val="continue"/>
          </w:tcPr>
          <w:p>
            <w:pPr>
              <w:spacing w:after="0"/>
              <w:rPr>
                <w:sz w:val="16"/>
                <w:szCs w:val="16"/>
                <w:color w:val="auto"/>
              </w:rPr>
            </w:pPr>
          </w:p>
        </w:tc>
        <w:tc>
          <w:tcPr>
            <w:tcW w:w="370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080" w:type="dxa"/>
            <w:vAlign w:val="bottom"/>
          </w:tcPr>
          <w:p>
            <w:pPr>
              <w:ind w:left="720"/>
              <w:spacing w:after="0"/>
              <w:rPr>
                <w:sz w:val="20"/>
                <w:szCs w:val="20"/>
                <w:color w:val="auto"/>
              </w:rPr>
            </w:pPr>
            <w:r>
              <w:rPr>
                <w:rFonts w:ascii="Arial" w:cs="Arial" w:eastAsia="Arial" w:hAnsi="Arial"/>
                <w:sz w:val="18"/>
                <w:szCs w:val="18"/>
                <w:i w:val="1"/>
                <w:iCs w:val="1"/>
                <w:color w:val="auto"/>
              </w:rPr>
              <w:t>Copies to:</w:t>
            </w:r>
          </w:p>
        </w:tc>
      </w:tr>
      <w:tr>
        <w:trPr>
          <w:trHeight w:val="414"/>
        </w:trPr>
        <w:tc>
          <w:tcPr>
            <w:tcW w:w="2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Ari Edelman, Esq.</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Alan I. Annex,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C. Craig Lilly, Esq.</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Jason T. Simon,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Reed Smith LLP</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599 Lexington Avenue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1750 Tysons Blvd., Suite 1000</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New York, New York 10022</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McLean, VA 22102</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(212) 521-5400</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749-1300</w:t>
            </w:r>
          </w:p>
        </w:tc>
      </w:tr>
      <w:tr>
        <w:trPr>
          <w:trHeight w:val="234"/>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(212) 521-5450— Facsimile</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749-1301 — 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72" w:right="339" w:bottom="8" w:gutter="0" w:footer="0" w:header="0"/>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2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Being</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Registered</w:t>
            </w:r>
          </w:p>
        </w:tc>
        <w:tc>
          <w:tcPr>
            <w:tcW w:w="140" w:type="dxa"/>
            <w:vAlign w:val="bottom"/>
          </w:tcPr>
          <w:p>
            <w:pPr>
              <w:spacing w:after="0"/>
              <w:rPr>
                <w:sz w:val="23"/>
                <w:szCs w:val="23"/>
                <w:color w:val="auto"/>
              </w:rPr>
            </w:pPr>
          </w:p>
        </w:tc>
        <w:tc>
          <w:tcPr>
            <w:tcW w:w="124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280"/>
              <w:spacing w:after="0" w:line="269" w:lineRule="exact"/>
              <w:rPr>
                <w:sz w:val="20"/>
                <w:szCs w:val="20"/>
                <w:color w:val="auto"/>
              </w:rPr>
            </w:pPr>
            <w:r>
              <w:rPr>
                <w:rFonts w:ascii="Arial" w:cs="Arial" w:eastAsia="Arial" w:hAnsi="Arial"/>
                <w:sz w:val="31"/>
                <w:szCs w:val="31"/>
                <w:b w:val="1"/>
                <w:bCs w:val="1"/>
                <w:color w:val="auto"/>
                <w:w w:val="87"/>
                <w:vertAlign w:val="subscript"/>
              </w:rPr>
              <w:t>Price</w:t>
            </w:r>
            <w:r>
              <w:rPr>
                <w:rFonts w:ascii="Arial" w:cs="Arial" w:eastAsia="Arial" w:hAnsi="Arial"/>
                <w:sz w:val="14"/>
                <w:szCs w:val="14"/>
                <w:b w:val="1"/>
                <w:bCs w:val="1"/>
                <w:color w:val="auto"/>
                <w:w w:val="87"/>
              </w:rPr>
              <w:t>(1)(2)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Units, each consisting of one share of common stock, $0.0001 par</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 and one-third of one redeemable warrant entitling the</w:t>
            </w: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80" w:type="dxa"/>
            <w:vAlign w:val="bottom"/>
            <w:gridSpan w:val="3"/>
            <w:shd w:val="clear" w:color="auto" w:fill="CCEEFF"/>
          </w:tcPr>
          <w:p>
            <w:pPr>
              <w:ind w:left="180"/>
              <w:spacing w:after="0" w:line="267" w:lineRule="exact"/>
              <w:rPr>
                <w:sz w:val="20"/>
                <w:szCs w:val="20"/>
                <w:color w:val="auto"/>
              </w:rPr>
            </w:pPr>
            <w:r>
              <w:rPr>
                <w:rFonts w:ascii="Arial" w:cs="Arial" w:eastAsia="Arial" w:hAnsi="Arial"/>
                <w:sz w:val="18"/>
                <w:szCs w:val="18"/>
                <w:color w:val="auto"/>
              </w:rPr>
              <w:t>holder to purchase one share of common stock</w:t>
            </w:r>
            <w:r>
              <w:rPr>
                <w:rFonts w:ascii="Arial" w:cs="Arial" w:eastAsia="Arial" w:hAnsi="Arial"/>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12,546.50</w:t>
            </w:r>
          </w:p>
        </w:tc>
        <w:tc>
          <w:tcPr>
            <w:tcW w:w="0" w:type="dxa"/>
            <w:vAlign w:val="bottom"/>
          </w:tcPr>
          <w:p>
            <w:pPr>
              <w:spacing w:after="0"/>
              <w:rPr>
                <w:sz w:val="1"/>
                <w:szCs w:val="1"/>
                <w:color w:val="auto"/>
              </w:rPr>
            </w:pPr>
          </w:p>
        </w:tc>
      </w:tr>
      <w:tr>
        <w:trPr>
          <w:trHeight w:val="205"/>
        </w:trPr>
        <w:tc>
          <w:tcPr>
            <w:tcW w:w="5080" w:type="dxa"/>
            <w:vAlign w:val="bottom"/>
            <w:gridSpan w:val="3"/>
          </w:tcPr>
          <w:p>
            <w:pPr>
              <w:spacing w:after="0" w:line="206" w:lineRule="exact"/>
              <w:rPr>
                <w:sz w:val="20"/>
                <w:szCs w:val="20"/>
                <w:color w:val="auto"/>
              </w:rPr>
            </w:pPr>
            <w:r>
              <w:rPr>
                <w:rFonts w:ascii="Arial" w:cs="Arial" w:eastAsia="Arial" w:hAnsi="Arial"/>
                <w:sz w:val="18"/>
                <w:szCs w:val="18"/>
                <w:color w:val="auto"/>
                <w:w w:val="99"/>
              </w:rPr>
              <w:t>Shares of common stock, $0.0001 par value, included as part of</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3"/>
          </w:tcPr>
          <w:p>
            <w:pPr>
              <w:ind w:left="180"/>
              <w:spacing w:after="0" w:line="267" w:lineRule="exact"/>
              <w:rPr>
                <w:sz w:val="20"/>
                <w:szCs w:val="20"/>
                <w:color w:val="auto"/>
              </w:rPr>
            </w:pPr>
            <w:r>
              <w:rPr>
                <w:rFonts w:ascii="Arial" w:cs="Arial" w:eastAsia="Arial" w:hAnsi="Arial"/>
                <w:sz w:val="18"/>
                <w:szCs w:val="18"/>
                <w:color w:val="auto"/>
              </w:rPr>
              <w:t>the units</w:t>
            </w:r>
            <w:r>
              <w:rPr>
                <w:rFonts w:ascii="Arial" w:cs="Arial" w:eastAsia="Arial" w:hAnsi="Arial"/>
                <w:sz w:val="29"/>
                <w:szCs w:val="29"/>
                <w:color w:val="auto"/>
                <w:vertAlign w:val="superscript"/>
              </w:rPr>
              <w:t>(3)</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3,833,333</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5080" w:type="dxa"/>
            <w:vAlign w:val="bottom"/>
            <w:gridSpan w:val="3"/>
          </w:tcPr>
          <w:p>
            <w:pPr>
              <w:spacing w:after="0" w:line="201" w:lineRule="exact"/>
              <w:rPr>
                <w:sz w:val="20"/>
                <w:szCs w:val="20"/>
                <w:color w:val="auto"/>
              </w:rPr>
            </w:pPr>
            <w:r>
              <w:rPr>
                <w:rFonts w:ascii="Arial" w:cs="Arial" w:eastAsia="Arial" w:hAnsi="Arial"/>
                <w:sz w:val="18"/>
                <w:szCs w:val="18"/>
                <w:color w:val="auto"/>
              </w:rPr>
              <w:t>Shares of common stock underlying the redeemable warrants</w:t>
            </w: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3,833,333</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44,083,333.33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4,809.49</w:t>
            </w:r>
          </w:p>
        </w:tc>
        <w:tc>
          <w:tcPr>
            <w:tcW w:w="0" w:type="dxa"/>
            <w:vAlign w:val="bottom"/>
          </w:tcPr>
          <w:p>
            <w:pPr>
              <w:spacing w:after="0"/>
              <w:rPr>
                <w:sz w:val="1"/>
                <w:szCs w:val="1"/>
                <w:color w:val="auto"/>
              </w:rPr>
            </w:pPr>
          </w:p>
        </w:tc>
      </w:tr>
      <w:tr>
        <w:trPr>
          <w:trHeight w:val="29"/>
        </w:trPr>
        <w:tc>
          <w:tcPr>
            <w:tcW w:w="5080" w:type="dxa"/>
            <w:vAlign w:val="bottom"/>
            <w:gridSpan w:val="3"/>
          </w:tcPr>
          <w:p>
            <w:pPr>
              <w:ind w:left="180"/>
              <w:spacing w:after="0" w:line="30" w:lineRule="exact"/>
              <w:rPr>
                <w:sz w:val="20"/>
                <w:szCs w:val="20"/>
                <w:color w:val="auto"/>
              </w:rPr>
            </w:pPr>
            <w:r>
              <w:rPr>
                <w:rFonts w:ascii="Arial" w:cs="Arial" w:eastAsia="Arial" w:hAnsi="Arial"/>
                <w:sz w:val="3"/>
                <w:szCs w:val="3"/>
                <w:color w:val="auto"/>
              </w:rPr>
              <w:t>included as part of the units</w:t>
            </w:r>
          </w:p>
        </w:tc>
        <w:tc>
          <w:tcPr>
            <w:tcW w:w="16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159,083,333.33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17,355.99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457(g), based on the exercise price of the warrants.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34"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708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 xml:space="preserve">SUBJECT TO COMPLETION, DATED </w:t>
      </w:r>
      <w:r>
        <w:rPr>
          <w:rFonts w:ascii="Arial" w:cs="Arial" w:eastAsia="Arial" w:hAnsi="Arial"/>
          <w:sz w:val="17"/>
          <w:szCs w:val="17"/>
          <w:b w:val="1"/>
          <w:bCs w:val="1"/>
          <w:color w:val="C00000"/>
        </w:rPr>
        <w:t>April 8,</w:t>
      </w:r>
      <w:r>
        <w:rPr>
          <w:rFonts w:ascii="Arial" w:cs="Arial" w:eastAsia="Arial" w:hAnsi="Arial"/>
          <w:sz w:val="17"/>
          <w:szCs w:val="17"/>
          <w:b w:val="1"/>
          <w:bCs w:val="1"/>
          <w:color w:val="D2232A"/>
        </w:rPr>
        <w:t xml:space="preserve">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2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one-third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 Our sponsor, Chardan NexTech Investments 2 LLC, and certain of our officers and directors are affiliated with the representative of the underwriters. We have engaged B. Riley Securities, Inc. to act as a “qualified independent underwriter” for this offering.</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Chardan NexTech 2 Warrant Holdings LLC, an affiliate of our sponsor, has committed to purchase from us an aggregate of 3,700,000 warrants, or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are referred to herein as “founder shares,” which includes an aggregate of up to 375,000 shares that are subject to forfeiture to the extent that the underwriters’ over-allotment option is not exercised in full or in part.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presently no public market for our units, common stock, or warrants. We have applied to have our units listed on the Nasdaq Capital Market, or the Nasdaq, under the symbol “CNTQU” on or promptly after the date of this prospectus.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28 of this prospectus for a discussion of information that should be considered in connection with an investment in our securities.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Underwriting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Proceeds,</w:t>
            </w: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 to</w:t>
            </w:r>
          </w:p>
        </w:tc>
        <w:tc>
          <w:tcPr>
            <w:tcW w:w="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Discount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Before</w:t>
            </w:r>
          </w:p>
        </w:tc>
      </w:tr>
      <w:tr>
        <w:trPr>
          <w:trHeight w:val="270"/>
        </w:trPr>
        <w:tc>
          <w:tcPr>
            <w:tcW w:w="6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Public</w:t>
            </w:r>
          </w:p>
        </w:tc>
        <w:tc>
          <w:tcPr>
            <w:tcW w:w="138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5"/>
              </w:rPr>
              <w:t>Commissions</w:t>
            </w:r>
            <w:r>
              <w:rPr>
                <w:rFonts w:ascii="Arial" w:cs="Arial" w:eastAsia="Arial" w:hAnsi="Arial"/>
                <w:sz w:val="29"/>
                <w:szCs w:val="29"/>
                <w:b w:val="1"/>
                <w:bCs w:val="1"/>
                <w:color w:val="auto"/>
                <w:w w:val="95"/>
                <w:vertAlign w:val="superscript"/>
              </w:rPr>
              <w:t>(1)</w:t>
            </w:r>
          </w:p>
        </w:tc>
        <w:tc>
          <w:tcPr>
            <w:tcW w:w="16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Expenses, to us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40" w:right="2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$100,000 payable to B. Riley Securities, Inc.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consummation of the offering, $10.00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are offering the units on a firm commitment basis. Chardan, acting as the representative of the underwriters, expects to deliver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9"/>
              </w:rPr>
              <w:t>units to purchasers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Chardan</w:t>
      </w: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20" w:type="dxa"/>
            <w:vAlign w:val="bottom"/>
            <w:gridSpan w:val="7"/>
          </w:tcPr>
          <w:p>
            <w:pPr>
              <w:jc w:val="center"/>
              <w:ind w:right="2560"/>
              <w:spacing w:after="0"/>
              <w:rPr>
                <w:sz w:val="20"/>
                <w:szCs w:val="20"/>
                <w:color w:val="auto"/>
              </w:rPr>
            </w:pPr>
            <w:r>
              <w:rPr>
                <w:rFonts w:ascii="Arial" w:cs="Arial" w:eastAsia="Arial" w:hAnsi="Arial"/>
                <w:sz w:val="18"/>
                <w:szCs w:val="18"/>
                <w:b w:val="1"/>
                <w:bCs w:val="1"/>
                <w:color w:val="auto"/>
              </w:rPr>
              <w:t>CHARDAN NEXTECH ACQUISITION 2 CORP.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4"/>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760" w:type="dxa"/>
            <w:vAlign w:val="bottom"/>
            <w:gridSpan w:val="19"/>
            <w:shd w:val="clear" w:color="auto" w:fill="CCEEFF"/>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340" w:type="dxa"/>
            <w:vAlign w:val="bottom"/>
            <w:gridSpan w:val="6"/>
            <w:shd w:val="clear" w:color="auto" w:fill="CCEEFF"/>
          </w:tcPr>
          <w:p>
            <w:pPr>
              <w:jc w:val="center"/>
              <w:ind w:left="50"/>
              <w:spacing w:after="0" w:line="169"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SUMMARY FINANCIAL DATA</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CAUTIONARY NOTE REGARDING FORWARD-LOOKING STATEMENTS AND RISK FACTOR SUMMARY</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27</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380" w:type="dxa"/>
            <w:vAlign w:val="bottom"/>
            <w:gridSpan w:val="1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2380" w:type="dxa"/>
            <w:vAlign w:val="bottom"/>
            <w:gridSpan w:val="2"/>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USE OF PROCEEDS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64</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DIVIDEND POLICY</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DILUTION</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68</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CAPITALIZATION</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8"/>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PROPOSED BUSINESS</w:t>
              </w:r>
            </w:hyperlink>
          </w:p>
        </w:tc>
        <w:tc>
          <w:tcPr>
            <w:tcW w:w="1840" w:type="dxa"/>
            <w:vAlign w:val="bottom"/>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MANAGEMENT</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104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PRINCIPAL STOCKHOLDERS</w:t>
              </w:r>
            </w:hyperlink>
          </w:p>
        </w:tc>
        <w:tc>
          <w:tcPr>
            <w:tcW w:w="380" w:type="dxa"/>
            <w:vAlign w:val="bottom"/>
            <w:gridSpan w:val="8"/>
          </w:tcPr>
          <w:p>
            <w:pPr>
              <w:jc w:val="center"/>
              <w:ind w:left="30"/>
              <w:spacing w:after="0" w:line="176"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480" w:type="dxa"/>
            <w:vAlign w:val="bottom"/>
            <w:gridSpan w:val="16"/>
            <w:shd w:val="clear" w:color="auto" w:fill="CCEEFF"/>
          </w:tcPr>
          <w:p>
            <w:pPr>
              <w:spacing w:after="0" w:line="176" w:lineRule="exact"/>
              <w:rPr>
                <w:rFonts w:ascii="Arial" w:cs="Arial" w:eastAsia="Arial" w:hAnsi="Arial"/>
                <w:sz w:val="18"/>
                <w:szCs w:val="18"/>
                <w:color w:val="0000EE"/>
                <w:w w:val="95"/>
              </w:rPr>
            </w:pPr>
            <w:hyperlink w:anchor="page123">
              <w:r>
                <w:rPr>
                  <w:rFonts w:ascii="Arial" w:cs="Arial" w:eastAsia="Arial" w:hAnsi="Arial"/>
                  <w:sz w:val="18"/>
                  <w:szCs w:val="18"/>
                  <w:color w:val="0000EE"/>
                  <w:w w:val="95"/>
                </w:rPr>
                <w:t>CERTAIN RELATIONSHIPS AND RELATED PARTY TRANSACTIONS</w:t>
              </w:r>
            </w:hyperlink>
          </w:p>
        </w:tc>
        <w:tc>
          <w:tcPr>
            <w:tcW w:w="5280" w:type="dxa"/>
            <w:vAlign w:val="bottom"/>
            <w:gridSpan w:val="3"/>
            <w:shd w:val="clear" w:color="auto" w:fill="CCEEFF"/>
          </w:tcPr>
          <w:p>
            <w:pPr>
              <w:spacing w:after="0"/>
              <w:rPr>
                <w:sz w:val="15"/>
                <w:szCs w:val="15"/>
                <w:color w:val="auto"/>
              </w:rPr>
            </w:pPr>
          </w:p>
        </w:tc>
        <w:tc>
          <w:tcPr>
            <w:tcW w:w="380" w:type="dxa"/>
            <w:vAlign w:val="bottom"/>
            <w:gridSpan w:val="8"/>
            <w:shd w:val="clear" w:color="auto" w:fill="CCEEFF"/>
          </w:tcPr>
          <w:p>
            <w:pPr>
              <w:jc w:val="center"/>
              <w:ind w:left="30"/>
              <w:spacing w:after="0" w:line="176"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118</w:t>
              </w:r>
            </w:hyperlink>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80" w:type="dxa"/>
            <w:vAlign w:val="bottom"/>
            <w:gridSpan w:val="16"/>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DESCRIPTION OF SECURITIES</w:t>
              </w:r>
            </w:hyperlink>
          </w:p>
        </w:tc>
        <w:tc>
          <w:tcPr>
            <w:tcW w:w="5280" w:type="dxa"/>
            <w:vAlign w:val="bottom"/>
            <w:gridSpan w:val="3"/>
          </w:tcPr>
          <w:p>
            <w:pPr>
              <w:spacing w:after="0"/>
              <w:rPr>
                <w:sz w:val="15"/>
                <w:szCs w:val="15"/>
                <w:color w:val="auto"/>
              </w:rPr>
            </w:pPr>
          </w:p>
        </w:tc>
        <w:tc>
          <w:tcPr>
            <w:tcW w:w="480" w:type="dxa"/>
            <w:vAlign w:val="bottom"/>
            <w:gridSpan w:val="9"/>
          </w:tcPr>
          <w:p>
            <w:pPr>
              <w:jc w:val="center"/>
              <w:spacing w:after="0" w:line="17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121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U.S. FEDERAL INCOME TAX CONSIDERATIONS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134</w:t>
              </w:r>
            </w:hyperlink>
          </w:p>
        </w:tc>
      </w:tr>
      <w:tr>
        <w:trPr>
          <w:trHeight w:val="175"/>
        </w:trPr>
        <w:tc>
          <w:tcPr>
            <w:tcW w:w="39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UNDERWRITING (CONFLICTS OF INTEREST)</w:t>
              </w:r>
            </w:hyperlink>
          </w:p>
        </w:tc>
        <w:tc>
          <w:tcPr>
            <w:tcW w:w="684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143</w:t>
              </w:r>
            </w:hyperlink>
          </w:p>
        </w:tc>
        <w:tc>
          <w:tcPr>
            <w:tcW w:w="10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LEGAL MATTERS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148</w:t>
              </w:r>
            </w:hyperlink>
          </w:p>
        </w:tc>
      </w:tr>
      <w:tr>
        <w:trPr>
          <w:trHeight w:val="176"/>
        </w:trPr>
        <w:tc>
          <w:tcPr>
            <w:tcW w:w="14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EXPERTS</w:t>
              </w:r>
            </w:hyperlink>
          </w:p>
        </w:tc>
        <w:tc>
          <w:tcPr>
            <w:tcW w:w="9300" w:type="dxa"/>
            <w:vAlign w:val="bottom"/>
            <w:tcBorders>
              <w:top w:val="single" w:sz="8" w:color="CCEEFF"/>
            </w:tcBorders>
            <w:gridSpan w:val="13"/>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148</w:t>
              </w:r>
            </w:hyperlink>
          </w:p>
        </w:tc>
        <w:tc>
          <w:tcPr>
            <w:tcW w:w="10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WHERE YOU CAN FIND ADDITIONAL INFORMATION</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148</w:t>
              </w:r>
            </w:hyperlink>
          </w:p>
        </w:tc>
      </w:tr>
      <w:tr>
        <w:trPr>
          <w:trHeight w:val="176"/>
        </w:trPr>
        <w:tc>
          <w:tcPr>
            <w:tcW w:w="44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INDEX TO FINANCIAL STATEMENTS</w:t>
              </w:r>
            </w:hyperlink>
          </w:p>
        </w:tc>
        <w:tc>
          <w:tcPr>
            <w:tcW w:w="6340" w:type="dxa"/>
            <w:vAlign w:val="bottom"/>
            <w:tcBorders>
              <w:top w:val="single" w:sz="8" w:color="CCEEFF"/>
            </w:tcBorders>
            <w:gridSpan w:val="4"/>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gridSpan w:val="6"/>
          </w:tcPr>
          <w:p>
            <w:pPr>
              <w:jc w:val="center"/>
              <w:ind w:right="20"/>
              <w:spacing w:after="0" w:line="17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F-1</w:t>
              </w:r>
            </w:hyperlink>
          </w:p>
        </w:tc>
        <w:tc>
          <w:tcPr>
            <w:tcW w:w="100" w:type="dxa"/>
            <w:vAlign w:val="bottom"/>
            <w:tcBorders>
              <w:top w:val="single" w:sz="8" w:color="CCEEFF"/>
            </w:tcBorders>
          </w:tcPr>
          <w:p>
            <w:pPr>
              <w:spacing w:after="0"/>
              <w:rPr>
                <w:sz w:val="15"/>
                <w:szCs w:val="15"/>
                <w:color w:val="auto"/>
              </w:rPr>
            </w:pPr>
          </w:p>
        </w:tc>
      </w:tr>
      <w:tr>
        <w:trPr>
          <w:trHeight w:val="695"/>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225" w:lineRule="exact"/>
        <w:rPr>
          <w:rFonts w:ascii="Arial" w:cs="Arial" w:eastAsia="Arial" w:hAnsi="Arial"/>
          <w:sz w:val="18"/>
          <w:szCs w:val="18"/>
          <w:color w:val="auto"/>
        </w:rPr>
      </w:pPr>
    </w:p>
    <w:p>
      <w:pPr>
        <w:jc w:val="both"/>
        <w:ind w:left="580" w:hanging="235"/>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183"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officers and directors to the extent they hold founder shares;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225" w:lineRule="exact"/>
        <w:rPr>
          <w:rFonts w:ascii="Arial" w:cs="Arial" w:eastAsia="Arial" w:hAnsi="Arial"/>
          <w:sz w:val="18"/>
          <w:szCs w:val="18"/>
          <w:color w:val="auto"/>
        </w:rPr>
      </w:pPr>
    </w:p>
    <w:p>
      <w:pPr>
        <w:ind w:left="58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170" w:lineRule="exact"/>
        <w:rPr>
          <w:rFonts w:ascii="Arial" w:cs="Arial" w:eastAsia="Arial" w:hAnsi="Arial"/>
          <w:sz w:val="18"/>
          <w:szCs w:val="18"/>
          <w:color w:val="auto"/>
        </w:rPr>
      </w:pPr>
    </w:p>
    <w:p>
      <w:pPr>
        <w:ind w:left="580" w:hanging="235"/>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14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225"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Each unit consists of one share of common stock and one-third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special purpose acquisition company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special purpose acquisition companies as has been demonstrated within the last several months. In the second half of 2020, special purpose acquisition companies accounted for ~56% of all capital raised in the initial public offering market, and have had record issuances in the first month of 2021, raising nearly $24 billion, almost two times U.S. initial public offerings during the same period.</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special purpose acquisition company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340Basics, Credit Sesame, and PierianDx among other boards.</w:t>
      </w:r>
    </w:p>
    <w:p>
      <w:pPr>
        <w:spacing w:after="0" w:line="1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400 transactions, including providing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 Mr. Grossman holds a B.A. in Economics from Cornell University and an M.B.A. from NYU’s Stern School of Business. He has served on the board of directors for UNICEF since December 2016.</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 board of directors upon the effective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88 special purpose acquisition company initial public offerings. Since 2018, Chardan has been a mergers and acquisition advisor to 16 special purpose acquisition companies, helping them close transactions valued at approximately $6.8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twelve special purpose acquisition companies, six of which have closed successful business combinations, one of which has announced a business combination, three of which are seeking acquisitions, and two of which are publicly filed.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will serve as a member of our board of directors upon the effective date of the registration statement of which this prospectus is a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Todd Jacobson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Jacobson has over two decades of corporate, government and nonprofit leadership. Mr. Jacobson currently serves as Senior Vice President, Head of Social Responsibility for the National Basketball Association, where he oversees the NBA, WNBA, NBA G League and NBA 2K League global social responsibility efforts, community partnerships, and public service initiatives. Mr. Jacobson also directs the league’s government affairs, including the White House and State Department relationships managing the league’s communication and engagement. Since joining the NBA in 2000, he has managed the launch and execution of the NBA Cares platform, led the development of the NBA’s international community outreach initiatives, and created the community relations program for the NBA G League. Prior to joining the NBA, Mr. Jacobson served as Acting Director of Central Recreation for the New York City Parks &amp; Recreation Department. In addition to his responsibilities at the NBA, Mr. Jacobson teaches at Columbia University as an adjunct associate professor for the School of International and Public Affairs (SIPA), serves on the Board of Directors for Maccabi USA, the U.S. Fund for UNICEF New York Regional Board, the Beyond Sport Advisory Panel, and on the UJA Sports for Youth Executive Committee. He graduated from Cornell University, where he earned his B.S. in Human Development and Family Studies and was a four-year letter winner in soccer. Mr. Jacobson also holds an M.P.A. in advanced management and finance from Columbia University.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expected to consummate its initial public offering before the consummation of this offering.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324"/>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324"/>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in Connection with the Business Combination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engaged Chardan as an advisor in connection with our business combination, pursuant to the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 Certain individuals who will perform advisory services on behalf of Chardan in connection with the business combination also serve as our officers and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founder shares are identical to the public shares. However, our initial stockholders have agreed (1) 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and our telephone number is (646) 465-9000.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28 of this prospectus.</w:t>
      </w:r>
    </w:p>
    <w:p>
      <w:pPr>
        <w:spacing w:after="0" w:line="153"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10,000,000 units, at $10.00 per unit, each unit consisting of one share of common stock and one-third of</w:t>
      </w:r>
    </w:p>
    <w:p>
      <w:pPr>
        <w:spacing w:after="0" w:line="27" w:lineRule="exact"/>
        <w:rPr>
          <w:sz w:val="20"/>
          <w:szCs w:val="20"/>
          <w:color w:val="auto"/>
        </w:rPr>
      </w:pPr>
    </w:p>
    <w:p>
      <w:pPr>
        <w:ind w:left="3500" w:right="20"/>
        <w:spacing w:after="0" w:line="260" w:lineRule="auto"/>
        <w:rPr>
          <w:sz w:val="20"/>
          <w:szCs w:val="20"/>
          <w:color w:val="auto"/>
        </w:rPr>
      </w:pPr>
      <w:r>
        <w:rPr>
          <w:rFonts w:ascii="Arial" w:cs="Arial" w:eastAsia="Arial" w:hAnsi="Arial"/>
          <w:sz w:val="18"/>
          <w:szCs w:val="18"/>
          <w:color w:val="auto"/>
        </w:rPr>
        <w:t>one warrant. Each whole warrant entitles the holder thereof to purchase one share of common stock at a price of $11.50, subject to adjustment as described in this prospectus.</w:t>
      </w:r>
    </w:p>
    <w:p>
      <w:pPr>
        <w:sectPr>
          <w:pgSz w:w="11900" w:h="16838" w:orient="portrait"/>
          <w:cols w:equalWidth="0" w:num="1">
            <w:col w:w="11240"/>
          </w:cols>
          <w:pgMar w:left="320" w:top="1120" w:right="339" w:bottom="1440" w:gutter="0" w:footer="0" w:header="0"/>
        </w:sectPr>
      </w:pPr>
    </w:p>
    <w:p>
      <w:pPr>
        <w:spacing w:after="0" w:line="22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the units, and the shares of common stock and the warrants, once they begin separate trading, will be listed on the Nasdaq under the symbols “CNTQU,” “CNTQ,” and “CNTQW,” respectively.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Each of the shares of common stock and warrants may 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200" w:lineRule="exact"/>
        <w:rPr>
          <w:sz w:val="20"/>
          <w:szCs w:val="20"/>
          <w:color w:val="auto"/>
        </w:rPr>
      </w:pPr>
    </w:p>
    <w:p>
      <w:pPr>
        <w:sectPr>
          <w:pgSz w:w="11900" w:h="16838" w:orient="portrait"/>
          <w:cols w:equalWidth="0" w:num="2">
            <w:col w:w="2920" w:space="580"/>
            <w:col w:w="7740"/>
          </w:cols>
          <w:pgMar w:left="320" w:top="1120" w:right="33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Shares of common stock:</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82" w:lineRule="auto"/>
        <w:rPr>
          <w:sz w:val="20"/>
          <w:szCs w:val="20"/>
          <w:color w:val="auto"/>
        </w:rPr>
      </w:pPr>
      <w:r>
        <w:rPr>
          <w:rFonts w:ascii="Arial" w:cs="Arial" w:eastAsia="Arial" w:hAnsi="Arial"/>
          <w:sz w:val="18"/>
          <w:szCs w:val="18"/>
          <w:b w:val="1"/>
          <w:bCs w:val="1"/>
          <w:color w:val="auto"/>
        </w:rPr>
        <w:t>Number to be issued and outstanding after this offering</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Redeemable Warrants:</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66"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9"/>
          <w:szCs w:val="29"/>
          <w:color w:val="auto"/>
          <w:vertAlign w:val="superscript"/>
        </w:rPr>
        <w:t>(1)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9"/>
          <w:szCs w:val="29"/>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3,333,333 public warrants and 3,700,000 private warrants</w:t>
      </w:r>
      <w:r>
        <w:rPr>
          <w:rFonts w:ascii="Arial" w:cs="Arial" w:eastAsia="Arial" w:hAnsi="Arial"/>
          <w:sz w:val="26"/>
          <w:szCs w:val="26"/>
          <w:color w:val="auto"/>
          <w:vertAlign w:val="superscript"/>
        </w:rPr>
        <w:t>(3)</w:t>
      </w:r>
    </w:p>
    <w:p>
      <w:pPr>
        <w:spacing w:after="0" w:line="581" w:lineRule="exact"/>
        <w:rPr>
          <w:sz w:val="20"/>
          <w:szCs w:val="20"/>
          <w:color w:val="auto"/>
        </w:rPr>
      </w:pPr>
    </w:p>
    <w:p>
      <w:pPr>
        <w:sectPr>
          <w:pgSz w:w="11900" w:h="16838" w:orient="portrait"/>
          <w:cols w:equalWidth="0" w:num="2">
            <w:col w:w="3340" w:space="160"/>
            <w:col w:w="7740"/>
          </w:cols>
          <w:pgMar w:left="320" w:top="904" w:right="339" w:bottom="1440" w:gutter="0" w:footer="0" w:header="0"/>
        </w:sectPr>
      </w:pPr>
    </w:p>
    <w:p>
      <w:pPr>
        <w:spacing w:after="0" w:line="57" w:lineRule="exact"/>
        <w:rPr>
          <w:sz w:val="20"/>
          <w:szCs w:val="20"/>
          <w:color w:val="auto"/>
        </w:rPr>
      </w:pPr>
    </w:p>
    <w:p>
      <w:pPr>
        <w:ind w:left="260"/>
        <w:spacing w:after="0"/>
        <w:tabs>
          <w:tab w:leader="none" w:pos="3480" w:val="left"/>
        </w:tabs>
        <w:rPr>
          <w:sz w:val="20"/>
          <w:szCs w:val="20"/>
          <w:color w:val="auto"/>
        </w:rPr>
      </w:pPr>
      <w:r>
        <w:rPr>
          <w:rFonts w:ascii="Arial" w:cs="Arial" w:eastAsia="Arial" w:hAnsi="Arial"/>
          <w:sz w:val="17"/>
          <w:szCs w:val="17"/>
          <w:b w:val="1"/>
          <w:bCs w:val="1"/>
          <w:color w:val="auto"/>
        </w:rPr>
        <w:t>Exercisability</w:t>
      </w:r>
      <w:r>
        <w:rPr>
          <w:sz w:val="20"/>
          <w:szCs w:val="20"/>
          <w:color w:val="auto"/>
        </w:rPr>
        <w:tab/>
      </w:r>
      <w:r>
        <w:rPr>
          <w:rFonts w:ascii="Arial" w:cs="Arial" w:eastAsia="Arial" w:hAnsi="Arial"/>
          <w:sz w:val="17"/>
          <w:szCs w:val="17"/>
          <w:color w:val="auto"/>
        </w:rPr>
        <w:t>Each unit contains one-third of one redeemable public warrant. Each whole redeemable public warrant</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entitles the holder thereof to purchase one share of common stock, and each private warrant entitles the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holder thereof to purchase one share of common stock. Only whole warrants are exercisable. No fractional</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warrants will be issued upon separation of the units and only whole warrants will trade. Accordingly,</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unless you purchase a multiple of three units, the number of warrants issuable to you upon separation of</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 units will be rounded down to the nearest whole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7,533,333 warrants issued and outstanding.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8" w:name="page19"/>
    <w:bookmarkEnd w:id="18"/>
    <w:p>
      <w:pPr>
        <w:spacing w:after="0"/>
        <w:tabs>
          <w:tab w:leader="none" w:pos="346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5"/>
          <w:szCs w:val="15"/>
          <w:color w:val="auto"/>
        </w:rPr>
        <w:t>$11.50 per share</w:t>
      </w:r>
    </w:p>
    <w:p>
      <w:pPr>
        <w:spacing w:after="0" w:line="229"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 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74"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No public warrants will be exercisable for cash unless we have an effective and current registration statement covering the shares of common stock issuable upon exercise of the public warrants and a current prospectus relating to such shares of common stock. It is our current intention to have an effective and current registration statement covering the shares of common stock issuable upon exercise of the public warrants and a current prospectus relating to such shares of common stock in effect promptly following consummation of an initial business combination. Notwithstanding the foregoing, if a registration statement covering the shares of common stock issuable upon exercise of the public warrants is not effective within 120 days following the consummation of our initial business combination, public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shall mean the average last reported sale price of the shares of common stock for the 10 trading days ending on the day prior to the date of exercise. For example, if a holder held 300 warrants to purchase 300 shares and the fair market value on the date prior to exercise was $15.00, that holder would receive 70 shares without the payment of any additional cash consideration.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Exercise period</w:t>
            </w: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become exercisable 30 days after the consummation of an initial business combination.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expire at 5:00 p.m., New York City time, on the fifth anniversary of our completion of an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3"/>
              </w:rPr>
              <w:t>initial business combination, or earlier upon redemption. The private warrants purchased by our sponsor</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will not be exercisable more than five years from the effective date of the registration statement, of which</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4"/>
              </w:rPr>
              <w:t>this prospectus forms a part, in accordance with FINRA Rule 5110(g), as long as Chardan or any of its</w:t>
            </w:r>
          </w:p>
        </w:tc>
      </w:tr>
      <w:tr>
        <w:trPr>
          <w:trHeight w:val="230"/>
        </w:trPr>
        <w:tc>
          <w:tcPr>
            <w:tcW w:w="2340" w:type="dxa"/>
            <w:vAlign w:val="bottom"/>
          </w:tcPr>
          <w:p>
            <w:pPr>
              <w:spacing w:after="0"/>
              <w:rPr>
                <w:sz w:val="20"/>
                <w:szCs w:val="20"/>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related persons beneficially own these private warrants.</w:t>
            </w:r>
          </w:p>
        </w:tc>
      </w:tr>
      <w:tr>
        <w:trPr>
          <w:trHeight w:val="688"/>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Redemption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may redeem the outstanding warrants (excluding the private warrants), in whole and not in part, at a price of $0.01 per warrant:</w:t>
      </w:r>
    </w:p>
    <w:p>
      <w:pPr>
        <w:spacing w:after="0" w:line="170"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while the warrants are exercisable;</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upon a minimum of 30 days’ prior written notice of redemption;</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and only if, there is a current registration statement in effect with respect to the offer and sale</w:t>
      </w:r>
    </w:p>
    <w:p>
      <w:pPr>
        <w:spacing w:after="0" w:line="46" w:lineRule="exact"/>
        <w:rPr>
          <w:sz w:val="20"/>
          <w:szCs w:val="20"/>
          <w:color w:val="auto"/>
        </w:rPr>
      </w:pPr>
    </w:p>
    <w:p>
      <w:pPr>
        <w:sectPr>
          <w:pgSz w:w="11900" w:h="16838" w:orient="portrait"/>
          <w:cols w:equalWidth="0" w:num="2">
            <w:col w:w="3860" w:space="320"/>
            <w:col w:w="7040"/>
          </w:cols>
          <w:pgMar w:left="340" w:top="904" w:right="339" w:bottom="1440" w:gutter="0" w:footer="0" w:header="0"/>
          <w:type w:val="continuous"/>
        </w:sectPr>
      </w:pPr>
    </w:p>
    <w:p>
      <w:pPr>
        <w:jc w:val="both"/>
        <w:ind w:left="4120" w:right="20"/>
        <w:spacing w:after="0" w:line="255" w:lineRule="auto"/>
        <w:rPr>
          <w:sz w:val="20"/>
          <w:szCs w:val="20"/>
          <w:color w:val="auto"/>
        </w:rPr>
      </w:pPr>
      <w:r>
        <w:rPr>
          <w:rFonts w:ascii="Arial" w:cs="Arial" w:eastAsia="Arial" w:hAnsi="Arial"/>
          <w:sz w:val="18"/>
          <w:szCs w:val="18"/>
          <w:color w:val="auto"/>
        </w:rPr>
        <w:t>of the shares of common stock underlying such warrants at the time of redemption and for the entire 30-day trading period referred to above and continuing each day thereafter until the date of redemption.</w:t>
      </w:r>
    </w:p>
    <w:p>
      <w:pPr>
        <w:spacing w:after="0" w:line="190" w:lineRule="exact"/>
        <w:rPr>
          <w:sz w:val="20"/>
          <w:szCs w:val="20"/>
          <w:color w:val="auto"/>
        </w:rPr>
      </w:pPr>
    </w:p>
    <w:p>
      <w:pPr>
        <w:jc w:val="both"/>
        <w:ind w:left="3480"/>
        <w:spacing w:after="0" w:line="259" w:lineRule="auto"/>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87" w:lineRule="exact"/>
        <w:rPr>
          <w:sz w:val="20"/>
          <w:szCs w:val="20"/>
          <w:color w:val="auto"/>
        </w:rPr>
      </w:pPr>
    </w:p>
    <w:p>
      <w:pPr>
        <w:jc w:val="both"/>
        <w:ind w:left="3480"/>
        <w:spacing w:after="0" w:line="257" w:lineRule="auto"/>
        <w:rPr>
          <w:sz w:val="20"/>
          <w:szCs w:val="20"/>
          <w:color w:val="auto"/>
        </w:rPr>
      </w:pPr>
      <w:r>
        <w:rPr>
          <w:rFonts w:ascii="Arial" w:cs="Arial" w:eastAsia="Arial" w:hAnsi="Arial"/>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88" w:lineRule="exact"/>
        <w:rPr>
          <w:sz w:val="20"/>
          <w:szCs w:val="20"/>
          <w:color w:val="auto"/>
        </w:rPr>
      </w:pPr>
    </w:p>
    <w:p>
      <w:pPr>
        <w:jc w:val="both"/>
        <w:ind w:left="3480"/>
        <w:spacing w:after="0" w:line="287"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9"/>
              </w:rPr>
              <w:t>Offering proceeds to be held in trust</w:t>
            </w: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$100,000,000 of the net proceeds of this offering and the private placement (or $115,000,000 if the over-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allotment option is exercised in full), will be placed in a trust account at Morgan Stanley, maintained by</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Continental Stock Transfer &amp; Trust Company, acting as trustee pursuant to an agreement to be signed on</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the date of this prospectus.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 earlier of: (1)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completion of an initial business combination within the required time period or (2) the redemption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100% of the outstanding public shares if we have not completed a business combination in the required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time period. Therefore, unless and until our initial business combination is consummated, the proceeds</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held in the trust account will not be available for our use for any expenses related to this offering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expenses that we may incur related to the investigation and selection of a target business and the</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Notwithstanding the foregoing, there can be released to us, from time to time, any interest earned on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funds in the trust account that we may need to pay our tax obligations. Unless and until we complete our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initial business combination, no proceeds held in the trust account will be available for our use.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proceeds held in the trust account will be invested only in U.S. government securities with a maturity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185 days or less or in money market funds meeting certain conditions under Rule 2a-7 under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Investment Company Act which invest only in direct U.S. government treasury obligations. We will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5"/>
              </w:rPr>
              <w:t>disclose in each quarterly and annual report filed with the SEC prior to our initial business combination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0"/>
              </w:rPr>
              <w:t>whether the proceeds deposited in the trust account are invested in U.S. government treasury obligations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6"/>
              </w:rPr>
              <w:t>money market funds or a combination thereof. Based upon current interest rates, we expect the trust</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account to generate approximately $100,000 of interest annually assuming an interest rate of 0.1% per</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year; however, we can provide no assurances regarding this amount.</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Unless and until we complete our initial business combination, expenses incurred by us may be paid prior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to a business combination only from the net proceeds of this offering not held in the trust account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 xml:space="preserve">approximately $955,000;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meet our working capital needs following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consummation of this offering, if the funds not held in the trust account are insufficient, our initial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stockholders, officers and directors or their affiliates may, but are not obligated to, loan us funds, from time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to time or at any time, in whatever amount they deem reasonable in their sole discretion. Each loan would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be evidenced by a promissory note. The notes would be paid upon consummation of our initial business</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combination, without interest.</w:t>
            </w:r>
          </w:p>
        </w:tc>
      </w:tr>
      <w:tr>
        <w:trPr>
          <w:trHeight w:val="68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4" w:right="339" w:bottom="1440" w:gutter="0" w:footer="0" w:header="0"/>
        </w:sectPr>
      </w:pPr>
    </w:p>
    <w:bookmarkStart w:id="22" w:name="page23"/>
    <w:bookmarkEnd w:id="22"/>
    <w:p>
      <w:pPr>
        <w:spacing w:after="0" w:line="347" w:lineRule="auto"/>
        <w:rPr>
          <w:sz w:val="20"/>
          <w:szCs w:val="20"/>
          <w:color w:val="auto"/>
        </w:rPr>
      </w:pPr>
      <w:r>
        <w:rPr>
          <w:rFonts w:ascii="Arial" w:cs="Arial" w:eastAsia="Arial" w:hAnsi="Arial"/>
          <w:sz w:val="16"/>
          <w:szCs w:val="16"/>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 described under “</w:t>
      </w:r>
      <w:r>
        <w:rPr>
          <w:rFonts w:ascii="Arial" w:cs="Arial" w:eastAsia="Arial" w:hAnsi="Arial"/>
          <w:sz w:val="16"/>
          <w:szCs w:val="16"/>
          <w:i w:val="1"/>
          <w:iCs w:val="1"/>
          <w:color w:val="auto"/>
        </w:rPr>
        <w:t>Underwriting (Conflicts of Interest)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which fee we refer to throughout this prospectus as the Marketing Fee. If our initial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300" w:space="180"/>
            <w:col w:w="7740"/>
          </w:cols>
          <w:pgMar w:left="340" w:top="904"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Limited payments to insiders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87"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24"/>
        <w:spacing w:after="0" w:line="277" w:lineRule="auto"/>
        <w:rPr>
          <w:sz w:val="20"/>
          <w:szCs w:val="20"/>
          <w:color w:val="auto"/>
        </w:rPr>
      </w:pPr>
      <w:r>
        <w:rPr>
          <w:rFonts w:ascii="Arial" w:cs="Arial" w:eastAsia="Arial" w:hAnsi="Arial"/>
          <w:sz w:val="18"/>
          <w:szCs w:val="18"/>
          <w:color w:val="auto"/>
        </w:rPr>
        <w:t>repayment of loans of up to $250,000 advanced to us by our sponsor to cover offering-related and organizational expenses;</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payment of $10,000 per month to an affiliate of our sponsor for office space and related services, subject to deferral as described herein;</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16"/>
        <w:spacing w:after="0" w:line="263" w:lineRule="auto"/>
        <w:rPr>
          <w:sz w:val="20"/>
          <w:szCs w:val="20"/>
          <w:color w:val="auto"/>
        </w:rPr>
      </w:pPr>
      <w:r>
        <w:rPr>
          <w:rFonts w:ascii="Arial" w:cs="Arial" w:eastAsia="Arial" w:hAnsi="Arial"/>
          <w:sz w:val="18"/>
          <w:szCs w:val="18"/>
          <w:color w:val="auto"/>
        </w:rPr>
        <w:t>repayment of loans that may be made by our insiders, officers, directors or any of its or their respective affiliates to finance transaction costs in connection with an initial business combination, the terms of which have not been determined;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hanging="13"/>
        <w:spacing w:after="0" w:line="286" w:lineRule="auto"/>
        <w:rPr>
          <w:sz w:val="20"/>
          <w:szCs w:val="20"/>
          <w:color w:val="auto"/>
        </w:rPr>
      </w:pPr>
      <w:r>
        <w:rPr>
          <w:rFonts w:ascii="Arial" w:cs="Arial" w:eastAsia="Arial" w:hAnsi="Arial"/>
          <w:sz w:val="17"/>
          <w:szCs w:val="17"/>
          <w:color w:val="auto"/>
        </w:rPr>
        <w:t>reimbursement of out-of-pocket expenses incurred by our insiders, officers, directors or any of its or their respective affiliates in connection with certain activities on our behalf, such as identifying and investigating possible business targets and business combinations;</w:t>
      </w:r>
    </w:p>
    <w:p>
      <w:pPr>
        <w:spacing w:after="0" w:line="165"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sponsor will transfer up to 20,000 founder shares to each of our independent directors; and</w:t>
      </w:r>
    </w:p>
    <w:p>
      <w:pPr>
        <w:spacing w:after="0" w:line="211" w:lineRule="exact"/>
        <w:rPr>
          <w:sz w:val="20"/>
          <w:szCs w:val="20"/>
          <w:color w:val="auto"/>
        </w:rPr>
      </w:pPr>
    </w:p>
    <w:p>
      <w:pPr>
        <w:sectPr>
          <w:pgSz w:w="11900" w:h="16838" w:orient="portrait"/>
          <w:cols w:equalWidth="0" w:num="2">
            <w:col w:w="3860" w:space="220"/>
            <w:col w:w="714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113"/>
        <w:spacing w:after="0" w:line="257" w:lineRule="auto"/>
        <w:rPr>
          <w:sz w:val="20"/>
          <w:szCs w:val="20"/>
          <w:color w:val="auto"/>
        </w:rPr>
      </w:pPr>
      <w:r>
        <w:rPr>
          <w:rFonts w:ascii="Arial" w:cs="Arial" w:eastAsia="Arial" w:hAnsi="Arial"/>
          <w:sz w:val="18"/>
          <w:szCs w:val="18"/>
          <w:color w:val="auto"/>
        </w:rPr>
        <w:t>payment to Chardan of the underwriting discount and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20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spacing w:after="0" w:line="28" w:lineRule="exact"/>
        <w:rPr>
          <w:sz w:val="20"/>
          <w:szCs w:val="20"/>
          <w:color w:val="auto"/>
        </w:rPr>
      </w:pPr>
    </w:p>
    <w:p>
      <w:pPr>
        <w:jc w:val="both"/>
        <w:ind w:left="3480"/>
        <w:spacing w:after="0" w:line="271" w:lineRule="auto"/>
        <w:rPr>
          <w:sz w:val="20"/>
          <w:szCs w:val="20"/>
          <w:color w:val="auto"/>
        </w:rPr>
      </w:pPr>
      <w:r>
        <w:rPr>
          <w:rFonts w:ascii="Arial" w:cs="Arial" w:eastAsia="Arial" w:hAnsi="Arial"/>
          <w:sz w:val="17"/>
          <w:szCs w:val="17"/>
          <w:color w:val="auto"/>
        </w:rPr>
        <w:t xml:space="preserve">There is no limit on the amount of out-of-pocket expenses reimbursable by 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4" w:name="page25"/>
    <w:bookmarkEnd w:id="24"/>
    <w:p>
      <w:pPr>
        <w:spacing w:after="0" w:line="266"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3260" w:space="220"/>
            <w:col w:w="7740"/>
          </w:cols>
          <w:pgMar w:left="340" w:top="90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5" w:name="page26"/>
    <w:bookmarkEnd w:id="25"/>
    <w:p>
      <w:pPr>
        <w:jc w:val="both"/>
        <w:ind w:left="238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0"/>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Redemption rights</w:t>
            </w: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In connection with any stockholder meeting called to approve a proposed initial business combination,</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each public stockholder will have the right, regardless of whether he, she or it is voting for or against such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 xml:space="preserve">proposed business combination, to demand that we redeem his, her or its public shares into a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share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of the trust account upon consummation of the business combination.</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We may require public stockholders wishing to exercise redemption rights, whether they are a record</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holder or hold their shares in “street name,” to either tender the certificates they are seeking to redeem to</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our transfer agent or to deliver the shares they are seeking to redeem to the transfer agent electronically</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using Depository Trust Company’s Deposit/Withdrawal At Custodian System, or DWAC System, at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holder’s option, at any time at or prior to the vote on the business combination. There is a nominal cost</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associated with this tendering process and the act of certificating the shares or delivering them through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DWAC System. The transfer agent will typically charge the tendering broker $45 and it would be up to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broker whether to pass this cost on to the redeeming holder. However, this fee would be incurred regardless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of whether we require holders to deliver their shares prior to the vote on the business combination in order</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to exercise redemption rights, because a holder would need to deliver shares to exercise redemption rights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regardless of the timing of when such delivery must be effectuated. However, in the event we require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stockholders to deliver their shares prior to the vote on the proposed business combination and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proposed business combination is not consummated, this may result in an increased cost to stockholders.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The redemption rights will include the requirement that a beneficial holder must identify itself in order to</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validly redeem its shares.</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Under Delaware law, we may be required to give a minimum of only 10 days’ notice for each general</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meeting. As a result, if we require public stockholders who wish to redeem their shares of common stock</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 xml:space="preserve">into the right to receive a </w:t>
            </w:r>
            <w:r>
              <w:rPr>
                <w:rFonts w:ascii="Arial" w:cs="Arial" w:eastAsia="Arial" w:hAnsi="Arial"/>
                <w:sz w:val="18"/>
                <w:szCs w:val="18"/>
                <w:i w:val="1"/>
                <w:iCs w:val="1"/>
                <w:color w:val="auto"/>
                <w:w w:val="95"/>
              </w:rPr>
              <w:t>pro rata</w:t>
            </w:r>
            <w:r>
              <w:rPr>
                <w:rFonts w:ascii="Arial" w:cs="Arial" w:eastAsia="Arial" w:hAnsi="Arial"/>
                <w:sz w:val="18"/>
                <w:szCs w:val="18"/>
                <w:color w:val="auto"/>
                <w:w w:val="95"/>
              </w:rPr>
              <w:t xml:space="preserve"> portion of the funds in the trust account to comply with the foregoing</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delivery requirements, holders may not have sufficient time to receive the notice and deliver their shares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for redemption. Accordingly, investors may not be able to exercise their redemption rights and may be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forced to retain our securities when they otherwise would not want to.</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If we require public stockholders who wish to redeem their shares of common stock to comply with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specific delivery requirements for redemption described above and such proposed business combination is</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not consummated, we will promptly return such certificates to the tendering public stockholders.</w:t>
            </w:r>
          </w:p>
        </w:tc>
      </w:tr>
      <w:tr>
        <w:trPr>
          <w:trHeight w:val="688"/>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Liquidation if no business</w:t>
            </w: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If we are unable to complete our initial business combination within 24 months from the closing of this</w:t>
            </w:r>
          </w:p>
        </w:tc>
      </w:tr>
      <w:tr>
        <w:trPr>
          <w:trHeight w:val="220"/>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combination</w:t>
            </w:r>
          </w:p>
        </w:tc>
        <w:tc>
          <w:tcPr>
            <w:tcW w:w="8500" w:type="dxa"/>
            <w:vAlign w:val="bottom"/>
          </w:tcPr>
          <w:p>
            <w:pPr>
              <w:ind w:left="760"/>
              <w:spacing w:after="0"/>
              <w:rPr>
                <w:sz w:val="20"/>
                <w:szCs w:val="20"/>
                <w:color w:val="auto"/>
              </w:rPr>
            </w:pPr>
            <w:r>
              <w:rPr>
                <w:rFonts w:ascii="Arial" w:cs="Arial" w:eastAsia="Arial" w:hAnsi="Arial"/>
                <w:sz w:val="18"/>
                <w:szCs w:val="18"/>
                <w:color w:val="auto"/>
              </w:rPr>
              <w:t>offering, we will (i) cease all operations except for the purpose of winding up, (ii) as promptly as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89"/>
              </w:rPr>
              <w:t>reasonably possible but not more than five business days thereafter, redeem 100% of the outstanding public</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shares (including any public units in this offering or any public units or shares that our initial stockholders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or their affiliates purchased in this offering or later acquired in the open market or in private transactions),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6"/>
              </w:rPr>
              <w:t>which redemption will completely extinguish public stockholders’ rights as stockholders (including the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4"/>
              </w:rPr>
              <w:t>right to receive further liquidation distributions, if any), subject to applicable law, and (iii) as promptly as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6"/>
              </w:rPr>
              <w:t>reasonably practicable following such redemption, subject to the approval of our remaining holders of</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common stock and our board of directors, proceed to commence a voluntary liquidation and thereby a</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formal dissolution of the Company, subject (in the case of (ii) and (iii) above) to our obligations to provide</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for claims of creditors and the requirements of applicable law.</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In connection with our redemption of 100% of our outstanding public shares for a portion of the funds held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in the trust account, each holder will receive a full pro rata portion of the amount then in the trust account,</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plus any pro rata interest earned on the funds held in the trust account and not necessary to pay our taxes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payable on such funds. Holders of warrants will receive no proceeds in connection with the liquidation</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with respect to such warrants, which will expire worthless.</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We may not have funds sufficient to pay or provide for all creditors’ claims. Although we will seek to have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all third parties (including any vendors or other entities we engage after this offering) and any prospective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target businesses enter into valid and enforceable agreements with us waiving any right, title, interest or</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claim of any kind in or to any monies held in the trust account, there is no guarantee that they will execute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such agreements. There is also no guarantee that the third parties would not challenge the enforceability of</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these waivers and bring claims against the trust account for monies owed them.</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The holders of the founder shares and private warrants will not participate in any redemption distribution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4"/>
              </w:rPr>
              <w:t>with respect to their founder shares and private warrants, but may have any public shares held by them</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redeemed upon liquidation.</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If we are unable to conclude our initial business combination and we expend all of the net proceeds of this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offering not deposited in the trust account, without taking into account any interest earned on the trust</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account, we expect that the initial per-share redemption price will be approximately $10.00. The proceeds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8"/>
              </w:rPr>
              <w:t>deposited in the trust account could, however, become subject to claims of our creditors that are in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preference to the claims of our stockholders. Furthermore, our underwriters may seek recourse against the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proceeds in the trust account relating to any future claims they may have against us. In addition, if we are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forced to file a bankruptcy case or an involuntary bankruptcy case is filed against us that is not dismissed,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the proceeds held in the trust account could be subject to applicable bankruptcy law, and may be included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8"/>
              </w:rPr>
              <w:t>in our bankruptcy estate and subject to the claims of third parties with priority over the claims of our</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stockholders. Therefore, the actual per-share redemption price may be less than approximately $10.00. We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will pay the costs of any subsequent liquidation from our remaining assets outside of the trust account. If</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such funds are insufficient, our sponsor has agreed to pay the funds necessary to complete such liquidation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and has agreed not to seek repayment for such expenses. We currently do not anticipate that such funds</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will be insufficient.</w:t>
            </w:r>
          </w:p>
        </w:tc>
      </w:tr>
      <w:tr>
        <w:trPr>
          <w:trHeight w:val="68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320" w:top="904"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Conflict of Interest</w:t>
            </w:r>
          </w:p>
        </w:tc>
        <w:tc>
          <w:tcPr>
            <w:tcW w:w="8740" w:type="dxa"/>
            <w:vAlign w:val="bottom"/>
          </w:tcPr>
          <w:p>
            <w:pPr>
              <w:ind w:left="1060"/>
              <w:spacing w:after="0"/>
              <w:rPr>
                <w:sz w:val="20"/>
                <w:szCs w:val="20"/>
                <w:color w:val="auto"/>
              </w:rPr>
            </w:pPr>
            <w:r>
              <w:rPr>
                <w:rFonts w:ascii="Arial" w:cs="Arial" w:eastAsia="Arial" w:hAnsi="Arial"/>
                <w:sz w:val="18"/>
                <w:szCs w:val="18"/>
                <w:color w:val="auto"/>
                <w:w w:val="92"/>
              </w:rPr>
              <w:t>Both we and our sponsor are affiliates of Chardan, the representative of the underwriters in this offering,</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and certain of our officers and directors are affiliated with Chardan. As a result, Chardan is deemed to have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 “conflict of interest” within the meaning of FINRA Rule 5121(f)(5), or Rule 5121. Accordingly, this</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offering is being made in compliance with the applicable requirements of Rule 5121.</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Rule 5121 requires that a “qualified independent underwriter,” as defined in Rule 5121, participate in the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preparation of the registration statement and prospectus and exercise the usual standards of due diligence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with respect thereto. B. Riley Securities, Inc. has agreed to act as a “qualified independent underwriter” for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this offering. B. Riley Securities, Inc. will receive $100,000 from the total underwriting discount, acting as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a qualified independent underwriter. We have agreed to indemnify B. Riley Securities, Inc. against certain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4"/>
              </w:rPr>
              <w:t>liabilities incurred in connection with acting as a “qualified independent underwriter,” including liabilities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under the Securities Act. In addition, no underwriter with a conflict of interest will confirm sales to any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account over which it exercises discretionary authority without the specific prior written approval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account holder.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All of our officers are employed by Chardan or its affiliates. Chardan is continuously made aware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potential business opportunities, one or more of which we may desire to pursue for an initial business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combination. While Chardan will not have any duty to offer acquisition opportunities to us, Chardan may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become aware of a potential transaction that is an attractive opportunity for us, which Chardan may decide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to share with us. In addition, our officers and directors may have a duty to offer acquisition opportunities to</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other entities to which they owe duties or clients of affiliates of our sponsor.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7"/>
              </w:rPr>
              <w:t>As a result, affiliates of our sponsor and their respective clients may compete with us for acquisition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opportunities in the same industries and sectors as we may target for our initial business combination. If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any of them decide to pursue any such opportunity, we may be precluded from procuring such</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opportunities. In addition, investment ideas generated within Chardan, including by any of our officers and</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other persons who may make decisions for the company, may be suitable both for us and for affiliates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our sponsor or any of their respective clients, and will be directed initially to such persons rather than to us.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None of Chardan nor members of our management team who are also employed by Chardan or any of its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affiliates have any obligation to present us with any opportunity for a potential business combination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which they become aware unless it is offered to them solely in their capacity as a director or officer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and after they have satisfied their contractual and fiduciary obligations to other parties.</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Our sponsor, officers, directors, Chardan and their respective affiliates may participate in the formation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or become an officer or director of, any other blank check company prior to completion of our initial</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business combination. In particular, certain of our executive officers and directors also serve as executive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officers or directors of an Affiliated SPAC, which is focused on searching for businesses that may provide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significant opportunities for attractive investor returns in industries similar to the industries in which our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search is focused. As a result, our sponsor, officers or directors could have conflicts of interest 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determining whether to present business combination opportunities to us or to any other blank check</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with which they may become involved.</w:t>
            </w:r>
          </w:p>
        </w:tc>
      </w:tr>
      <w:tr>
        <w:trPr>
          <w:trHeight w:val="688"/>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29" w:name="page30"/>
    <w:bookmarkEnd w:id="29"/>
    <w:p>
      <w:pPr>
        <w:jc w:val="both"/>
        <w:ind w:left="3500"/>
        <w:spacing w:after="0" w:line="288" w:lineRule="auto"/>
        <w:rPr>
          <w:sz w:val="20"/>
          <w:szCs w:val="20"/>
          <w:color w:val="auto"/>
        </w:rPr>
      </w:pPr>
      <w:r>
        <w:rPr>
          <w:rFonts w:ascii="Arial" w:cs="Arial" w:eastAsia="Arial" w:hAnsi="Arial"/>
          <w:sz w:val="16"/>
          <w:szCs w:val="16"/>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68" w:lineRule="exact"/>
        <w:rPr>
          <w:sz w:val="20"/>
          <w:szCs w:val="20"/>
          <w:color w:val="auto"/>
        </w:rPr>
      </w:pPr>
    </w:p>
    <w:p>
      <w:pPr>
        <w:jc w:val="both"/>
        <w:ind w:left="3500"/>
        <w:spacing w:after="0" w:line="289" w:lineRule="auto"/>
        <w:rPr>
          <w:sz w:val="20"/>
          <w:szCs w:val="20"/>
          <w:color w:val="auto"/>
        </w:rPr>
      </w:pPr>
      <w:r>
        <w:rPr>
          <w:rFonts w:ascii="Arial" w:cs="Arial" w:eastAsia="Arial" w:hAnsi="Arial"/>
          <w:sz w:val="16"/>
          <w:szCs w:val="16"/>
          <w:color w:val="auto"/>
        </w:rPr>
        <w:t>In addition, we may, at our option, pursue an Affiliated Joint Acquisition. We do not expect that we would pursue any such opportunity with an Affiliated SPAC. This would only occur, though,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66" w:lineRule="exact"/>
        <w:rPr>
          <w:sz w:val="20"/>
          <w:szCs w:val="20"/>
          <w:color w:val="auto"/>
        </w:rPr>
      </w:pPr>
    </w:p>
    <w:p>
      <w:pPr>
        <w:jc w:val="both"/>
        <w:ind w:left="350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 companies subject to Rule 419</w:t>
      </w:r>
      <w:r>
        <w:rPr>
          <w:rFonts w:ascii="Arial" w:cs="Arial" w:eastAsia="Arial" w:hAnsi="Arial"/>
          <w:sz w:val="17"/>
          <w:szCs w:val="17"/>
          <w:color w:val="auto"/>
        </w:rPr>
        <w:t>.” You should carefully consider these and the other risks set forth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 2020</w:t>
            </w:r>
          </w:p>
        </w:tc>
      </w:tr>
      <w:tr>
        <w:trPr>
          <w:trHeight w:val="250"/>
        </w:trPr>
        <w:tc>
          <w:tcPr>
            <w:tcW w:w="67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Actual</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Working capital</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100,979,000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100,979,000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Total liabilities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95,978,990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Stockholder’s equity</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$2,405,000 we will receive from the sale of the private warrants.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“as adjusted” working capital and total assets amounts include the $100,000,000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a majority of the outstanding shares of common stock voted are voted in favor of the business combination (if a vote is required or being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17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pool of prospective target businesses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delisting of our securities from the Nasdaq or an inability to have our securities listed on Nasdaq following a business combination;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980" w:hanging="648"/>
        <w:spacing w:after="0" w:line="282"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While we will have access to the proceeds from the $2,405,000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24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continued outbreak of COVID-19 may negatively impact businesses we may seek to acquire. If we have not completed our initial business combination within such 24-month period,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$10.00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$10.00 per share” and other risk factors herein.</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COVID-19 pandemic has negatively impacted the global economy, disrupted global supply chains, lowered equity market valuations, created significant volatility and disruption in financial 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to Offerings of Blank Check Companies Subject to Rule 419.”</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on our redemption of our public shares, or less than such amount in certain circumstances, and our warrants will expire worthless.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24 months, we may be unable to complete our initial business combination, in which case our public stockholders may only receive $10.00 per share, or less than such amount in certain circumstances, and our warrants will expire worthless.</w:t>
      </w:r>
    </w:p>
    <w:p>
      <w:pPr>
        <w:spacing w:after="0" w:line="1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funds available to us outside of the trust account, together with the loan committed by our sponsor for working capital, may not be sufficient to allow us to operate for at least the next 24 months,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private warrants, only approximately $955,000 will be available to us initially outside the trust account to fund our working capital requirements. In the event that our offering expenses exceed our estimate of $950,000,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$950,000,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324"/>
        <w:spacing w:after="0" w:line="28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24th month from the closing of this offering in the event we do not complete our initial business combination and, therefore, we do not intend to comply with the foregoing procedures.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381"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0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 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seek business combination opportunities in industries or sectors which may or may not be outside of our management’s area of expertise.</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6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93" w:lineRule="auto"/>
        <w:rPr>
          <w:sz w:val="20"/>
          <w:szCs w:val="20"/>
          <w:color w:val="auto"/>
        </w:rPr>
      </w:pPr>
      <w:r>
        <w:rPr>
          <w:rFonts w:ascii="Arial" w:cs="Arial" w:eastAsia="Arial" w:hAnsi="Arial"/>
          <w:sz w:val="16"/>
          <w:szCs w:val="16"/>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324"/>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324"/>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net proceeds from this offering and the sale of the private warrants, $100,000,000 (or $115,000,000 if the underwriters’ over-allotment option is exercised in full) will be available to complete our initial business combination and pay related fees and expenses.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980" w:hanging="648"/>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Chardan NexTech 2 Warrant Holdings LLC, an affiliate of our sponsor, has agreed that it or its designees will purchase an aggregate of 3,700,000 private warrants at a price of $0.65 per private warrant, for an aggregate purchase price of $2,405,000 that will also be worthless if we do not consummate our initial business combination. Holders of founder shares and private warrants have agreed (A) 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324"/>
        <w:spacing w:after="0" w:line="284"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4" w:lineRule="exact"/>
        <w:rPr>
          <w:sz w:val="20"/>
          <w:szCs w:val="20"/>
          <w:color w:val="auto"/>
        </w:rPr>
      </w:pPr>
    </w:p>
    <w:p>
      <w:pPr>
        <w:ind w:firstLine="8"/>
        <w:spacing w:after="0" w:line="260" w:lineRule="auto"/>
        <w:tabs>
          <w:tab w:leader="none" w:pos="2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a target business through an Affiliated Joint Acquisition with one or more affiliates of Chardan. This may result in conflicts of interest as well as dilutive issuances of our securities.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980" w:hanging="648"/>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$10.00 per share.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net proceeds of this offering and certain proceeds from the sale of the private placement warrants, in the amount of $100,000,000,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$100,000,000 as a result of negative interest rates, the amount of funds in the trust account available for distribution to our public stockholders may be reduced below $10.00 per share.</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firstLine="324"/>
        <w:spacing w:after="0" w:line="291" w:lineRule="auto"/>
        <w:rPr>
          <w:sz w:val="20"/>
          <w:szCs w:val="20"/>
          <w:color w:val="auto"/>
        </w:rPr>
      </w:pPr>
      <w:r>
        <w:rPr>
          <w:rFonts w:ascii="Arial" w:cs="Arial" w:eastAsia="Arial" w:hAnsi="Arial"/>
          <w:sz w:val="16"/>
          <w:szCs w:val="16"/>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w:t>
      </w:r>
    </w:p>
    <w:p>
      <w:pPr>
        <w:jc w:val="both"/>
        <w:ind w:firstLine="8"/>
        <w:spacing w:after="0" w:line="268" w:lineRule="auto"/>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or (iii) absent an initial business combination within 24 months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jc w:val="both"/>
        <w:ind w:firstLine="324"/>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sponsor paid an aggregate of $25,000, or approximately $0.03 per founder share, and, accordingly, you will experience immediate and substantial dilution from the purchase of the founder shares.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82.8% (or $8.28 per share, assuming no exercise of the underwriters’ over-allotment option), the difference between the pro forma net tangible book value per share of $1.72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50,000,000 shares of common stock, par value $0.0001 per share, and 1,000,000 shares of preferred stock, par value $0.0001 per share. Immediately after this offering, there will be 30,466,667 (assuming, in each case, that the underwriters have not exercised their over-allotment option) authorized but unissued shares of common stock, which amount takes into account the shares of common stock reserved for issuance upon exercise of outstanding warrants. Immediately after the consummation of this offering, there will be no shares of preferred stock issued and outstanding.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324"/>
        <w:spacing w:after="0" w:line="271" w:lineRule="auto"/>
        <w:rPr>
          <w:sz w:val="20"/>
          <w:szCs w:val="20"/>
          <w:color w:val="auto"/>
        </w:rPr>
      </w:pPr>
      <w:r>
        <w:rPr>
          <w:rFonts w:ascii="Arial" w:cs="Arial" w:eastAsia="Arial" w:hAnsi="Arial"/>
          <w:sz w:val="17"/>
          <w:szCs w:val="17"/>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we will use our commercially reasonable best efforts to file with the SEC a registration statement for the registration under the Securities Act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average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54"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In addition, the warrant agreement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or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proves made upon such warrant holder in any such enforcement action by service upon such warrantholder’s counsel in the foreign action as agent for such warrantholder.</w:t>
      </w:r>
    </w:p>
    <w:p>
      <w:pPr>
        <w:spacing w:after="0" w:line="1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choice-of-forum provision may result in increased costs for investors to bring a claim. The choice-of-forum provision may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be issuing warrants to purchase 3,333,333 shares of our common stock (or up to 3,833,333 shares of common stock if the underwriters’ over-allotment option is exercised in full) as part of the units offered by this prospectus and, simultaneously with the closing of this offering, we will be issuing, in a private placement, an aggregate of 3,700,000 private warrants, at $0.65 per private warrant (for a total of $2,405,000), with each warrant exercisable for one share of common stock at an exercise price of $11.50. Our initial stockholders currently own an aggregate of 2,500,000 founder shares.</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each unit contains one-third of one redeemable warrant and only a whole warrant may be exercised, the units may be worth less than units of other blank check companies.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unit contains one-third of one redeemable warrant.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one-third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660" w:hanging="328"/>
        <w:spacing w:after="0" w:line="29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Market Value is below $9.20 per share (as adjusted for stock splits, stock dividends, reorganizations, recapitalizations and the like),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one-third of one warrant to purchase common stock included in each unit 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18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invest in new lines of business that could fail to attract or retain users or generate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324"/>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 (2) 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60"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our initial business combination with a company located outside of the United States.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5540" w:right="3660" w:hanging="4884"/>
        <w:spacing w:after="0" w:line="778" w:lineRule="auto"/>
        <w:tabs>
          <w:tab w:leader="none" w:pos="9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policies may cause a target business’ ability to succeed in the international markets to be diminished.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foreign law could govern our material agreements, we may not be able to enforce our rights within such jurisdiction or elsewhere.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offering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 sale of private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proceeds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Without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Over-Allotment</w:t>
            </w:r>
          </w:p>
        </w:tc>
      </w:tr>
      <w:tr>
        <w:trPr>
          <w:trHeight w:val="216"/>
        </w:trPr>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Over-Allotment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-7620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2" w:lineRule="exact"/>
        <w:rPr>
          <w:sz w:val="20"/>
          <w:szCs w:val="20"/>
          <w:color w:val="auto"/>
        </w:rPr>
      </w:pPr>
    </w:p>
    <w:p>
      <w:pPr>
        <w:ind w:left="340" w:hanging="335"/>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100,000,000   $   115,000,000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2,405,000</w:t>
      </w:r>
      <w:r>
        <w:rPr>
          <w:rFonts w:ascii="Arial" w:cs="Arial" w:eastAsia="Arial" w:hAnsi="Arial"/>
          <w:sz w:val="16"/>
          <w:szCs w:val="16"/>
          <w:color w:val="auto"/>
        </w:rPr>
        <w:t>2,405,000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-130810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spacing w:after="0"/>
        <w:tabs>
          <w:tab w:leader="none" w:pos="320" w:val="left"/>
          <w:tab w:leader="none" w:pos="1420" w:val="left"/>
          <w:tab w:leader="none" w:pos="1760" w:val="left"/>
        </w:tabs>
        <w:rPr>
          <w:sz w:val="20"/>
          <w:szCs w:val="20"/>
          <w:color w:val="auto"/>
        </w:rPr>
      </w:pPr>
      <w:r>
        <w:rPr>
          <w:rFonts w:ascii="Arial" w:cs="Arial" w:eastAsia="Arial" w:hAnsi="Arial"/>
          <w:sz w:val="18"/>
          <w:szCs w:val="18"/>
          <w:color w:val="auto"/>
        </w:rPr>
        <w:t>$</w:t>
        <w:tab/>
        <w:t>102,405,000</w:t>
        <w:tab/>
        <w:t>$</w:t>
      </w:r>
      <w:r>
        <w:rPr>
          <w:sz w:val="20"/>
          <w:szCs w:val="20"/>
          <w:color w:val="auto"/>
        </w:rPr>
        <w:tab/>
      </w:r>
      <w:r>
        <w:rPr>
          <w:rFonts w:ascii="Arial" w:cs="Arial" w:eastAsia="Arial" w:hAnsi="Arial"/>
          <w:sz w:val="16"/>
          <w:szCs w:val="16"/>
          <w:color w:val="auto"/>
        </w:rPr>
        <w:t>117,405,000</w:t>
      </w:r>
    </w:p>
    <w:p>
      <w:pPr>
        <w:spacing w:after="0" w:line="23" w:lineRule="exact"/>
        <w:rPr>
          <w:sz w:val="20"/>
          <w:szCs w:val="20"/>
          <w:color w:val="auto"/>
        </w:rPr>
      </w:pPr>
    </w:p>
    <w:p>
      <w:pPr>
        <w:sectPr>
          <w:pgSz w:w="11900" w:h="16838" w:orient="portrait"/>
          <w:cols w:equalWidth="0" w:num="2">
            <w:col w:w="7680" w:space="720"/>
            <w:col w:w="284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4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57"/>
        </w:trPr>
        <w:tc>
          <w:tcPr>
            <w:tcW w:w="8400" w:type="dxa"/>
            <w:vAlign w:val="bottom"/>
          </w:tcPr>
          <w:p>
            <w:pPr>
              <w:spacing w:after="0" w:line="256" w:lineRule="exact"/>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qualified independent underwriter fees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9"/>
                <w:szCs w:val="19"/>
                <w:color w:val="auto"/>
              </w:rPr>
            </w:pPr>
          </w:p>
        </w:tc>
      </w:tr>
      <w:tr>
        <w:trPr>
          <w:trHeight w:val="209"/>
        </w:trPr>
        <w:tc>
          <w:tcPr>
            <w:tcW w:w="8400" w:type="dxa"/>
            <w:vAlign w:val="bottom"/>
          </w:tcPr>
          <w:p>
            <w:pPr>
              <w:spacing w:after="0"/>
              <w:rPr>
                <w:sz w:val="20"/>
                <w:szCs w:val="20"/>
                <w:color w:val="auto"/>
              </w:rPr>
            </w:pPr>
            <w:r>
              <w:rPr>
                <w:rFonts w:ascii="Arial" w:cs="Arial" w:eastAsia="Arial" w:hAnsi="Arial"/>
                <w:sz w:val="18"/>
                <w:szCs w:val="18"/>
                <w:color w:val="auto"/>
              </w:rPr>
              <w:t>Initial Trustees’ fee</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Company legal fees and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Transfer agent fees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20,000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Director and officer liability insurance premiums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24,362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17,356</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102,282</w:t>
            </w:r>
          </w:p>
        </w:tc>
        <w:tc>
          <w:tcPr>
            <w:tcW w:w="140" w:type="dxa"/>
            <w:vAlign w:val="bottom"/>
            <w:shd w:val="clear" w:color="auto" w:fill="CCEEFF"/>
          </w:tcPr>
          <w:p>
            <w:pPr>
              <w:spacing w:after="0"/>
              <w:rPr>
                <w:sz w:val="19"/>
                <w:szCs w:val="19"/>
                <w:color w:val="auto"/>
              </w:rPr>
            </w:pPr>
          </w:p>
        </w:tc>
      </w:tr>
      <w:tr>
        <w:trPr>
          <w:trHeight w:val="209"/>
        </w:trPr>
        <w:tc>
          <w:tcPr>
            <w:tcW w:w="8400" w:type="dxa"/>
            <w:vAlign w:val="bottom"/>
          </w:tcPr>
          <w:p>
            <w:pPr>
              <w:spacing w:after="0"/>
              <w:rPr>
                <w:sz w:val="20"/>
                <w:szCs w:val="20"/>
                <w:color w:val="auto"/>
              </w:rPr>
            </w:pPr>
            <w:r>
              <w:rPr>
                <w:rFonts w:ascii="Arial" w:cs="Arial" w:eastAsia="Arial" w:hAnsi="Arial"/>
                <w:sz w:val="18"/>
                <w:szCs w:val="18"/>
                <w:color w:val="auto"/>
              </w:rPr>
              <w:t>Total offering expenses (excluding underwriter commissions)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proceeds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6"/>
        </w:trPr>
        <w:tc>
          <w:tcPr>
            <w:tcW w:w="8400" w:type="dxa"/>
            <w:vAlign w:val="bottom"/>
          </w:tcPr>
          <w:p>
            <w:pPr>
              <w:spacing w:after="0" w:line="256" w:lineRule="exact"/>
              <w:rPr>
                <w:sz w:val="20"/>
                <w:szCs w:val="20"/>
                <w:color w:val="auto"/>
              </w:rPr>
            </w:pPr>
            <w:r>
              <w:rPr>
                <w:rFonts w:ascii="Arial" w:cs="Arial" w:eastAsia="Arial" w:hAnsi="Arial"/>
                <w:sz w:val="18"/>
                <w:szCs w:val="18"/>
                <w:color w:val="auto"/>
              </w:rPr>
              <w:t>Held in trust</w:t>
            </w:r>
            <w:r>
              <w:rPr>
                <w:rFonts w:ascii="Arial" w:cs="Arial" w:eastAsia="Arial" w:hAnsi="Arial"/>
                <w:sz w:val="29"/>
                <w:szCs w:val="29"/>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100,000,000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115,000,000</w:t>
            </w:r>
          </w:p>
        </w:tc>
        <w:tc>
          <w:tcPr>
            <w:tcW w:w="140" w:type="dxa"/>
            <w:vAlign w:val="bottom"/>
          </w:tcPr>
          <w:p>
            <w:pPr>
              <w:spacing w:after="0"/>
              <w:rPr>
                <w:sz w:val="22"/>
                <w:szCs w:val="22"/>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955,000</w:t>
            </w:r>
          </w:p>
        </w:tc>
        <w:tc>
          <w:tcPr>
            <w:tcW w:w="140" w:type="dxa"/>
            <w:vAlign w:val="bottom"/>
            <w:shd w:val="clear" w:color="auto" w:fill="CCEEFF"/>
          </w:tcPr>
          <w:p>
            <w:pPr>
              <w:spacing w:after="0"/>
              <w:rPr>
                <w:sz w:val="19"/>
                <w:szCs w:val="19"/>
                <w:color w:val="auto"/>
              </w:rPr>
            </w:pPr>
          </w:p>
        </w:tc>
      </w:tr>
      <w:tr>
        <w:trPr>
          <w:trHeight w:val="263"/>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proceeds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100,955,000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110,955,000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210"/>
        </w:trPr>
        <w:tc>
          <w:tcPr>
            <w:tcW w:w="84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Use of net proceeds not held in the trust account</w:t>
            </w:r>
            <w:r>
              <w:rPr>
                <w:rFonts w:ascii="Arial" w:cs="Arial" w:eastAsia="Arial" w:hAnsi="Arial"/>
                <w:sz w:val="24"/>
                <w:szCs w:val="24"/>
                <w:color w:val="auto"/>
                <w:vertAlign w:val="superscript"/>
              </w:rPr>
              <w:t>(3) (4)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8400" w:type="dxa"/>
            <w:vAlign w:val="bottom"/>
          </w:tcPr>
          <w:p>
            <w:pPr>
              <w:spacing w:after="0" w:line="201" w:lineRule="exact"/>
              <w:rPr>
                <w:sz w:val="20"/>
                <w:szCs w:val="20"/>
                <w:color w:val="auto"/>
              </w:rPr>
            </w:pPr>
            <w:r>
              <w:rPr>
                <w:rFonts w:ascii="Arial" w:cs="Arial" w:eastAsia="Arial" w:hAnsi="Arial"/>
                <w:sz w:val="18"/>
                <w:szCs w:val="18"/>
                <w:color w:val="auto"/>
                <w:w w:val="96"/>
              </w:rPr>
              <w:t>Legal, accounting and other third party expenses attendant to the search for target businesses and to the due</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diligence investigation, structuring and negotiation of a business combination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Nasdaq continued listing fees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r>
        <w:trPr>
          <w:trHeight w:val="202"/>
        </w:trPr>
        <w:tc>
          <w:tcPr>
            <w:tcW w:w="8400" w:type="dxa"/>
            <w:vAlign w:val="bottom"/>
          </w:tcPr>
          <w:p>
            <w:pPr>
              <w:spacing w:after="0" w:line="201" w:lineRule="exact"/>
              <w:rPr>
                <w:sz w:val="20"/>
                <w:szCs w:val="20"/>
                <w:color w:val="auto"/>
              </w:rPr>
            </w:pPr>
            <w:r>
              <w:rPr>
                <w:rFonts w:ascii="Arial" w:cs="Arial" w:eastAsia="Arial" w:hAnsi="Arial"/>
                <w:sz w:val="18"/>
                <w:szCs w:val="18"/>
                <w:color w:val="auto"/>
                <w:w w:val="95"/>
              </w:rPr>
              <w:t>Payment of administrative fee to an affiliate of our sponsor ($10,000 per month for up to 24 months), subject to</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deferral as described herein</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25.1%</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w w:val="91"/>
              </w:rPr>
              <w:t>Working capital to cover miscellaneous expenses, general corporate purposes, liquidation obligations and reserves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jc w:val="both"/>
        <w:ind w:left="66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proceeds not held in trust will remain constant at $955,000 even if the over-allotment is exercised.</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9" w:name="page70"/>
    <w:bookmarkEnd w:id="69"/>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A total of $10.00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7"/>
          <w:szCs w:val="17"/>
          <w:i w:val="1"/>
          <w:iCs w:val="1"/>
          <w:color w:val="auto"/>
        </w:rPr>
        <w:t>however</w:t>
      </w:r>
      <w:r>
        <w:rPr>
          <w:rFonts w:ascii="Arial" w:cs="Arial" w:eastAsia="Arial" w:hAnsi="Arial"/>
          <w:sz w:val="17"/>
          <w:szCs w:val="17"/>
          <w:color w:val="auto"/>
        </w:rPr>
        <w:t>, we can provide no assurance regarding this amount. Except for all interest income that may be released to us to pay our tax obligations,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December 31, 2020, our net tangible book value was $24,000 or approximately $0.01 per share. After giving effect to the sale of 10,000,000 shares of common stock included in the units we are offering by this prospectus and the proceeds received from the sale of the private warrants, the deduction of underwriting discounts and estimated expenses of this offering, our pro forma net tangible book value at December 31, 2020, would have been $5,000,010 or $1.72 per share (or $1.53 per share if the underwriters’ over-allotment if the underwriters’ over-allotment option is exercised in full), representing an immediate increase in net tangible book value of 1.71 per share (or $1.52 per share if the underwriters’ over-allotment if the underwriters’ over-allotment option is exercised in full) to the initial stockholders and an immediate dilution of $8.28 per share or 82.8% (or $8.47 per share or 84.7% if the underwriters’ over-allotment if the underwriters’ over-allotment option is exercised in full) to new investors not exercising their redemption/tender rights. For purposes of presentation, our pro forma net tangible book value after this offering is $95,978,990 (or $110,978,990 if the underwriters’ over-allotment if the underwriters’ over-allotment option is exercised in full) less than it otherwise would have been because, if we effect a business combination, the ability of public stockholders to exercise redemption rights or sell their shares to us in any tender offer may result in the redemption or tender of up to 9,597,899 shares (or 11,097,899 if the underwriters’ over-allotment if the underwriters’ over-allotment option is exercised in full) sold in this offering.</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427"/>
              <w:spacing w:after="0"/>
              <w:rPr>
                <w:sz w:val="20"/>
                <w:szCs w:val="20"/>
                <w:color w:val="auto"/>
              </w:rPr>
            </w:pPr>
            <w:r>
              <w:rPr>
                <w:rFonts w:ascii="Arial" w:cs="Arial" w:eastAsia="Arial" w:hAnsi="Arial"/>
                <w:sz w:val="18"/>
                <w:szCs w:val="18"/>
                <w:b w:val="1"/>
                <w:bCs w:val="1"/>
                <w:color w:val="auto"/>
              </w:rPr>
              <w:t>Without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With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6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attributable to new investors, private sales and capital</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w:t>
            </w: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6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82.8%</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5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EEFF"/>
            </w:tcBorders>
          </w:tcPr>
          <w:p>
            <w:pPr>
              <w:spacing w:after="0"/>
              <w:rPr>
                <w:sz w:val="19"/>
                <w:szCs w:val="19"/>
                <w:color w:val="auto"/>
              </w:rPr>
            </w:pPr>
          </w:p>
        </w:tc>
      </w:tr>
      <w:tr>
        <w:trPr>
          <w:trHeight w:val="236"/>
        </w:trPr>
        <w:tc>
          <w:tcPr>
            <w:tcW w:w="35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New investors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99.98%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8060" w:type="dxa"/>
            <w:vAlign w:val="bottom"/>
          </w:tcPr>
          <w:p>
            <w:pPr>
              <w:ind w:left="340"/>
              <w:spacing w:after="0"/>
              <w:rPr>
                <w:sz w:val="20"/>
                <w:szCs w:val="20"/>
                <w:color w:val="auto"/>
              </w:rPr>
            </w:pPr>
            <w:r>
              <w:rPr>
                <w:rFonts w:ascii="Arial" w:cs="Arial" w:eastAsia="Arial" w:hAnsi="Arial"/>
                <w:sz w:val="18"/>
                <w:szCs w:val="18"/>
                <w:color w:val="auto"/>
              </w:rPr>
              <w:t>The pro forma net tangible book value after the offering is calculated as follows: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vMerge w:val="restart"/>
          </w:tcPr>
          <w:p>
            <w:pPr>
              <w:spacing w:after="0"/>
              <w:rPr>
                <w:sz w:val="20"/>
                <w:szCs w:val="20"/>
                <w:color w:val="auto"/>
              </w:rPr>
            </w:pPr>
            <w:r>
              <w:rPr>
                <w:rFonts w:ascii="Arial" w:cs="Arial" w:eastAsia="Arial" w:hAnsi="Arial"/>
                <w:sz w:val="18"/>
                <w:szCs w:val="18"/>
                <w:color w:val="auto"/>
              </w:rPr>
              <w:t>Numerator:</w:t>
            </w:r>
            <w:r>
              <w:rPr>
                <w:rFonts w:ascii="Arial" w:cs="Arial" w:eastAsia="Arial" w:hAnsi="Arial"/>
                <w:sz w:val="29"/>
                <w:szCs w:val="29"/>
                <w:color w:val="auto"/>
                <w:vertAlign w:val="superscript"/>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Without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8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Over-Allotment</w:t>
            </w:r>
          </w:p>
        </w:tc>
        <w:tc>
          <w:tcPr>
            <w:tcW w:w="6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Over-Allotment</w:t>
            </w:r>
          </w:p>
        </w:tc>
        <w:tc>
          <w:tcPr>
            <w:tcW w:w="0" w:type="dxa"/>
            <w:vAlign w:val="bottom"/>
          </w:tcPr>
          <w:p>
            <w:pPr>
              <w:spacing w:after="0"/>
              <w:rPr>
                <w:sz w:val="1"/>
                <w:szCs w:val="1"/>
                <w:color w:val="auto"/>
              </w:rPr>
            </w:pPr>
          </w:p>
        </w:tc>
      </w:tr>
      <w:tr>
        <w:trPr>
          <w:trHeight w:val="209"/>
        </w:trPr>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tangible book value before this offering</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Net proceeds from this offering and private placement of private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100,955,000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115,955,000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Plus: Offering costs paid in advance; excluding from tangible book value before this offering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tcPr>
          <w:p>
            <w:pPr>
              <w:spacing w:after="0" w:line="270" w:lineRule="exact"/>
              <w:rPr>
                <w:sz w:val="20"/>
                <w:szCs w:val="20"/>
                <w:color w:val="auto"/>
              </w:rPr>
            </w:pPr>
            <w:r>
              <w:rPr>
                <w:rFonts w:ascii="Arial" w:cs="Arial" w:eastAsia="Arial" w:hAnsi="Arial"/>
                <w:sz w:val="18"/>
                <w:szCs w:val="18"/>
                <w:color w:val="auto"/>
              </w:rPr>
              <w:t>Less: Proceeds held in trust subject to redemption to maintain net tangible assets of $5,000,001</w:t>
            </w:r>
            <w:r>
              <w:rPr>
                <w:rFonts w:ascii="Arial" w:cs="Arial" w:eastAsia="Arial" w:hAnsi="Arial"/>
                <w:sz w:val="29"/>
                <w:szCs w:val="29"/>
                <w:color w:val="auto"/>
                <w:vertAlign w:val="superscript"/>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(95,978,990)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(110,978,990)</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r>
              <w:rPr>
                <w:rFonts w:ascii="Arial" w:cs="Arial" w:eastAsia="Arial" w:hAnsi="Arial"/>
                <w:sz w:val="14"/>
                <w:szCs w:val="14"/>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to be sold in this offering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Less: Shares subject to redemption/tender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(9,597,899)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(11,097,899)</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by us as a result thereof.</w:t>
      </w:r>
    </w:p>
    <w:p>
      <w:pPr>
        <w:spacing w:after="0" w:line="170"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6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actual number of shares subject to redemption may exceed this amount so long as we have at least $5,000,001 immediately prior to or upon consummation of our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our capitalization at December 31, 2020, and as adjusted to give effect to the sale of our units and the private warrants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 2020</w:t>
            </w:r>
          </w:p>
        </w:tc>
      </w:tr>
      <w:tr>
        <w:trPr>
          <w:trHeight w:val="250"/>
        </w:trPr>
        <w:tc>
          <w:tcPr>
            <w:tcW w:w="8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Borders>
              <w:bottom w:val="single" w:sz="8" w:color="CCEEFF"/>
            </w:tcBorders>
          </w:tcPr>
          <w:p>
            <w:pPr>
              <w:spacing w:after="0"/>
              <w:rPr>
                <w:sz w:val="21"/>
                <w:szCs w:val="21"/>
                <w:color w:val="auto"/>
              </w:rPr>
            </w:pPr>
          </w:p>
        </w:tc>
      </w:tr>
      <w:tr>
        <w:trPr>
          <w:trHeight w:val="250"/>
        </w:trPr>
        <w:tc>
          <w:tcPr>
            <w:tcW w:w="82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Promissory note – related party</w:t>
            </w:r>
            <w:r>
              <w:rPr>
                <w:rFonts w:ascii="Arial" w:cs="Arial" w:eastAsia="Arial" w:hAnsi="Arial"/>
                <w:sz w:val="28"/>
                <w:szCs w:val="28"/>
                <w:color w:val="auto"/>
                <w:vertAlign w:val="superscript"/>
              </w:rPr>
              <w:t>(2)</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8220" w:type="dxa"/>
            <w:vAlign w:val="bottom"/>
          </w:tcPr>
          <w:p>
            <w:pPr>
              <w:spacing w:after="0" w:line="182" w:lineRule="exact"/>
              <w:rPr>
                <w:sz w:val="20"/>
                <w:szCs w:val="20"/>
                <w:color w:val="auto"/>
              </w:rPr>
            </w:pPr>
            <w:r>
              <w:rPr>
                <w:rFonts w:ascii="Arial" w:cs="Arial" w:eastAsia="Arial" w:hAnsi="Arial"/>
                <w:sz w:val="18"/>
                <w:szCs w:val="18"/>
                <w:color w:val="auto"/>
              </w:rPr>
              <w:t>Shares of common stock, $0.0001 par value, none and 9,597,899 shares are subject to possible</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redemption/tender,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95,978,990</w:t>
            </w:r>
          </w:p>
        </w:tc>
      </w:tr>
      <w:tr>
        <w:trPr>
          <w:trHeight w:val="205"/>
        </w:trPr>
        <w:tc>
          <w:tcPr>
            <w:tcW w:w="8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Shares of common stock, $0.0001 par value, 5,000,000 shares authorized, 2,875,000 shares issued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3"/>
        </w:trPr>
        <w:tc>
          <w:tcPr>
            <w:tcW w:w="8220" w:type="dxa"/>
            <w:vAlign w:val="bottom"/>
            <w:shd w:val="clear" w:color="auto" w:fill="CCEEFF"/>
          </w:tcPr>
          <w:p>
            <w:pPr>
              <w:ind w:left="180"/>
              <w:spacing w:after="0" w:line="252" w:lineRule="exact"/>
              <w:rPr>
                <w:sz w:val="20"/>
                <w:szCs w:val="20"/>
                <w:color w:val="auto"/>
              </w:rPr>
            </w:pPr>
            <w:r>
              <w:rPr>
                <w:rFonts w:ascii="Arial" w:cs="Arial" w:eastAsia="Arial" w:hAnsi="Arial"/>
                <w:sz w:val="18"/>
                <w:szCs w:val="18"/>
                <w:color w:val="auto"/>
                <w:w w:val="88"/>
              </w:rPr>
              <w:t>outstanding, actual; 50,000,000 shares authorized</w:t>
            </w:r>
            <w:r>
              <w:rPr>
                <w:rFonts w:ascii="Arial" w:cs="Arial" w:eastAsia="Arial" w:hAnsi="Arial"/>
                <w:sz w:val="29"/>
                <w:szCs w:val="29"/>
                <w:color w:val="auto"/>
                <w:w w:val="88"/>
                <w:vertAlign w:val="superscript"/>
              </w:rPr>
              <w:t>(5)</w:t>
            </w:r>
            <w:r>
              <w:rPr>
                <w:rFonts w:ascii="Arial" w:cs="Arial" w:eastAsia="Arial" w:hAnsi="Arial"/>
                <w:sz w:val="18"/>
                <w:szCs w:val="18"/>
                <w:color w:val="auto"/>
                <w:w w:val="88"/>
              </w:rPr>
              <w:t>, 2,902,101 shares issued and outstanding</w:t>
            </w:r>
            <w:r>
              <w:rPr>
                <w:rFonts w:ascii="Arial" w:cs="Arial" w:eastAsia="Arial" w:hAnsi="Arial"/>
                <w:sz w:val="29"/>
                <w:szCs w:val="29"/>
                <w:color w:val="auto"/>
                <w:w w:val="88"/>
                <w:vertAlign w:val="superscript"/>
              </w:rPr>
              <w:t>(3) (4)</w:t>
            </w:r>
            <w:r>
              <w:rPr>
                <w:rFonts w:ascii="Arial" w:cs="Arial" w:eastAsia="Arial" w:hAnsi="Arial"/>
                <w:sz w:val="18"/>
                <w:szCs w:val="18"/>
                <w:color w:val="auto"/>
                <w:w w:val="88"/>
              </w:rPr>
              <w:t xml:space="preserve"> (excluding</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9,597,899 shares subject to possible redemption/tender), as adjusted</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5,000,720</w:t>
            </w:r>
          </w:p>
        </w:tc>
      </w:tr>
      <w:tr>
        <w:trPr>
          <w:trHeight w:val="22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00" w:type="dxa"/>
            <w:vAlign w:val="bottom"/>
            <w:tcBorders>
              <w:bottom w:val="single" w:sz="8" w:color="CCEEFF"/>
            </w:tcBorders>
          </w:tcPr>
          <w:p>
            <w:pPr>
              <w:spacing w:after="0"/>
              <w:rPr>
                <w:sz w:val="18"/>
                <w:szCs w:val="18"/>
                <w:color w:val="auto"/>
              </w:rPr>
            </w:pPr>
          </w:p>
        </w:tc>
      </w:tr>
      <w:tr>
        <w:trPr>
          <w:trHeight w:val="22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100,979,000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the $2,405,000 we will receive from the sale of the private warrants (assuming no exercise of the over-allotment option).</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Similarly, if we issue debt securities, or otherwise incur significant debt to bank or other lenders or the owners of a target, it could result in: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additional financing while such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December 31, 2020, we had $25,000 in cash and no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December 31, 2020, we had $25,000 in cash and working capital of $24,000. Further, we have incurred and expect to continue to incur significant costs in pursuit of our financing and acquisition plans. Management’s plans to address this uncertainty through this offering are discussed above.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liquidity needs have been satisfied to date through receipt of $25,000 from the sale of the founder shares and loans from our sponsor in an aggregate amount of $250,000. We estimate that the net proceeds from (1) the sale of the units in this offering, after deducting offering expenses of approximately $950,000 and underwriting discounts and commissions of $500,000 and (2) the sale of the private warrants for a purchase price of $2,405,000 will be $100,955,000 (or $115,955,000 if the over-allotment option is exercised in full). Of this amount, $100,000,000 (or $115,000,000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$955,000 (whether or not the over-allotment option is exercised in full) will not be held in the trust account.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75" w:lineRule="auto"/>
        <w:rPr>
          <w:sz w:val="20"/>
          <w:szCs w:val="20"/>
          <w:color w:val="auto"/>
        </w:rPr>
      </w:pPr>
      <w:r>
        <w:rPr>
          <w:rFonts w:ascii="Arial" w:cs="Arial" w:eastAsia="Arial" w:hAnsi="Arial"/>
          <w:sz w:val="17"/>
          <w:szCs w:val="17"/>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76" w:lineRule="exact"/>
        <w:rPr>
          <w:sz w:val="20"/>
          <w:szCs w:val="20"/>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$250,000 of expenses for the due diligence and investigation of a target business by our officers, directors and initial stockholders;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$240,000 for the payment of the administrative fee to an affiliate of our sponsor (of $10,000 per month for up to 24 months), subject to deferral as described herein;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$435,000 for general working capital that will be used for miscellaneous expenses, including director and officer liability insurance premiums.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that our securities are first listed on the NASDAQ through the earlier of consummation of our initial business combination and our liquidation, we will pay our sponsor a total of $10,000 per month for office space, administrative and shared personnel support services. Upon completion of our initial business combination or our liquidation, we will cease paying these monthly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sponsor has agreed to loan us an aggregate of $250,000 on a non-interest bearing basis, for payment of offering expenses on our behalf.</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 Basics, Credit Sesame, and PierianDx among other boards.</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Alex Weil </w:t>
      </w:r>
      <w:r>
        <w:rPr>
          <w:rFonts w:ascii="Arial" w:cs="Arial" w:eastAsia="Arial" w:hAnsi="Arial"/>
          <w:sz w:val="16"/>
          <w:szCs w:val="16"/>
          <w:color w:val="auto"/>
        </w:rPr>
        <w:t>has served as our Chief Financial Officer since April 2021 and will serve as a member of our board of directors upon the effective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6"/>
          <w:szCs w:val="16"/>
          <w:i w:val="1"/>
          <w:iCs w:val="1"/>
          <w:color w:val="auto"/>
        </w:rPr>
        <w:t>e.g.</w:t>
      </w:r>
      <w:r>
        <w:rPr>
          <w:rFonts w:ascii="Arial" w:cs="Arial" w:eastAsia="Arial" w:hAnsi="Arial"/>
          <w:sz w:val="16"/>
          <w:szCs w:val="16"/>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will serve as a member of our board of directors upon the effective date of the registration statement of which this prospectus is a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Todd Jacobson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Jacobson has over two decades of corporate, government and nonprofit leadership. Mr. Jacobson currently serves as Senior Vice President, Head of Social Responsibility for the National Basketball Association, where he oversees the NBA, WNBA, NBA G League and NBA 2K League global social responsibility efforts, community partnerships, and public service initiatives. Mr. Jacobson also directs the league’s government affairs, including the White House and State Department relationships managing the league’s communication and engagement. Since joining the NBA in 2000, he has managed the launch and execution of the NBA Cares platform, led the development of the NBA’s international community outreach initiatives, and created the community relations program for the NBA G League. Prior to joining the NBA, Mr. Jacobson served as Acting Director of Central Recreation for the New York City Parks &amp; Recreation Department. In addition to his responsibilities at the NBA, Mr. Jacobson teaches at Columbia University as an adjunct associate professor for the School of International and Public Affairs (SIPA), serves on the Board of Directors for Maccabi USA, the U.S. Fund for UNICEF New York Regional Board, the Beyond Sport Advisory Panel, and on the UJA Sports for Youth Executive Committee. He graduated from Cornell University, where he earned his B.S. in Human Development and Family Studies and was a four-year letter winner in soccer. Mr. Jacobson also holds an M.P.A. in advanced management and finance from Columbia University.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NexTech Acquisition Corp., or Chardan NexTech 1, a blank check company that is expected to consummate its initial public offering before the consummation of this offering.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foregoing descriptions, the past performance of Chardan and its affiliates and our management team is not a guarantee either</w:t>
      </w:r>
    </w:p>
    <w:p>
      <w:pPr>
        <w:spacing w:after="0" w:line="46" w:lineRule="exact"/>
        <w:rPr>
          <w:sz w:val="20"/>
          <w:szCs w:val="20"/>
          <w:color w:val="auto"/>
        </w:rPr>
      </w:pPr>
    </w:p>
    <w:p>
      <w:pPr>
        <w:jc w:val="both"/>
        <w:ind w:firstLine="8"/>
        <w:spacing w:after="0" w:line="267" w:lineRule="auto"/>
        <w:tabs>
          <w:tab w:leader="none" w:pos="2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jc w:val="center"/>
        <w:ind w:left="5540" w:right="1320" w:hanging="4884"/>
        <w:spacing w:after="0" w:line="778" w:lineRule="auto"/>
        <w:tabs>
          <w:tab w:leader="none" w:pos="9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980" w:right="36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68"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pro rata share of the trust account.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9"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 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68"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do not complete a business combination within 24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6" w:name="page97"/>
    <w:bookmarkEnd w:id="96"/>
    <w:p>
      <w:pPr>
        <w:jc w:val="both"/>
        <w:ind w:firstLine="648"/>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24th month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70"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$10.00.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980" w:hanging="324"/>
        <w:spacing w:after="0" w:line="255"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left="980" w:hanging="324"/>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consummation of this offering, $100,000,000, or $115,000,000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980" w:hanging="324"/>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requirement to obtain a valuation for any target business affiliated with our insiders, in the event it was too expensive to do so.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funds available for an initial business combination initially in the amount of $96,500,000, after payment of the Marketing Fee of $3,500,000 (or $110,975,000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registered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Redemptions  at  the  time  of  our  initial</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seek stockholder approval of our</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are unable to complete our initial</w:t>
            </w:r>
          </w:p>
        </w:tc>
        <w:tc>
          <w:tcPr>
            <w:tcW w:w="20" w:type="dxa"/>
            <w:vAlign w:val="bottom"/>
          </w:tcPr>
          <w:p>
            <w:pPr>
              <w:spacing w:after="0"/>
              <w:rPr>
                <w:sz w:val="16"/>
                <w:szCs w:val="16"/>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business combination may be made pursuant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initial business combination,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business combination within 24 months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to a tender offer or in connection with a</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from the closing of this offering, we will</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stockholder vote. The redemption price will</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affiliates may purchase shares in privately</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rPr>
              <w:t>redeem all public shares at a per-share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the   same   whether   we   conduct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negotiated  transactions  or  in  the  open</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price,  payable  in  cash,  equal  to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redemptions pursuant to a tender offer or in</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market prior to or following completion of</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aggregate amount, then on deposit in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connection with a stockholder vote. In either</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our initial business combination. There is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trust account (which is initially anticipated</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case, our public stockholders may redeem</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no limit to the prices that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to be $10.00 per public share) including</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rPr>
              <w:t>their public shares for cash equal to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rPr>
              <w:t>interest earned on the funds held in the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aggregate amount then on deposit in the trust</w:t>
            </w:r>
          </w:p>
        </w:tc>
        <w:tc>
          <w:tcPr>
            <w:tcW w:w="3240" w:type="dxa"/>
            <w:vAlign w:val="bottom"/>
            <w:gridSpan w:val="2"/>
          </w:tcPr>
          <w:p>
            <w:pPr>
              <w:spacing w:after="0"/>
              <w:rPr>
                <w:sz w:val="20"/>
                <w:szCs w:val="20"/>
                <w:color w:val="auto"/>
              </w:rPr>
            </w:pPr>
            <w:r>
              <w:rPr>
                <w:rFonts w:ascii="Arial" w:cs="Arial" w:eastAsia="Arial" w:hAnsi="Arial"/>
                <w:sz w:val="18"/>
                <w:szCs w:val="18"/>
                <w:color w:val="auto"/>
              </w:rPr>
              <w:t>affiliates may pay in these transactions.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trust account and not previously released to</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account as of two business days prior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us to pay our taxes (less up to $100,000 of</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consummation  of  the  initial  business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interest  to  pay  dissolution  expenses),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combination (which is initially anticipated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divided by the number of then outstanding</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$10.00  per  public  share),  including</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public shares.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interest earned on the funds held in the trust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account and not previously released to us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pay our taxes divided by the number of then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outstanding  public  shares,  subject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limitation that we may only redeem our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public shares so long as our net tangible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assets  are  at  least  $5,000,001  either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immediately prior to or upon consummation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of our initial business combination and any</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limitations (including but not limited to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requirements) agreed to in connection with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the negotiation of terms of a proposed initial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business combination.</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100" w:space="280"/>
            <w:col w:w="986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color w:val="auto"/>
        </w:rPr>
        <w:t>Impact to remaining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redemptions  in  connection  with  our</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If the permitted purchases described above</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 of our public shares if we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initial business combination will reduce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are made there would be no impact to our</w:t>
            </w:r>
          </w:p>
        </w:tc>
        <w:tc>
          <w:tcPr>
            <w:tcW w:w="3140" w:type="dxa"/>
            <w:vAlign w:val="bottom"/>
          </w:tcPr>
          <w:p>
            <w:pPr>
              <w:jc w:val="center"/>
              <w:spacing w:after="0"/>
              <w:rPr>
                <w:sz w:val="20"/>
                <w:szCs w:val="20"/>
                <w:color w:val="auto"/>
              </w:rPr>
            </w:pPr>
            <w:r>
              <w:rPr>
                <w:rFonts w:ascii="Arial" w:cs="Arial" w:eastAsia="Arial" w:hAnsi="Arial"/>
                <w:sz w:val="18"/>
                <w:szCs w:val="18"/>
                <w:color w:val="auto"/>
              </w:rPr>
              <w:t>fail  to  complete  our  initial  business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book  value  per  share  for  our  remaining</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remaining   stockholders   because   the</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combination will reduce the book value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stockholders, who will bear the burden of the</w:t>
            </w:r>
          </w:p>
        </w:tc>
        <w:tc>
          <w:tcPr>
            <w:tcW w:w="3240" w:type="dxa"/>
            <w:vAlign w:val="bottom"/>
            <w:gridSpan w:val="2"/>
          </w:tcPr>
          <w:p>
            <w:pPr>
              <w:spacing w:after="0"/>
              <w:rPr>
                <w:sz w:val="20"/>
                <w:szCs w:val="20"/>
                <w:color w:val="auto"/>
              </w:rPr>
            </w:pPr>
            <w:r>
              <w:rPr>
                <w:rFonts w:ascii="Arial" w:cs="Arial" w:eastAsia="Arial" w:hAnsi="Arial"/>
                <w:sz w:val="18"/>
                <w:szCs w:val="18"/>
                <w:color w:val="auto"/>
              </w:rPr>
              <w:t>purchase price would not be paid by us.</w:t>
            </w:r>
          </w:p>
        </w:tc>
        <w:tc>
          <w:tcPr>
            <w:tcW w:w="3140" w:type="dxa"/>
            <w:vAlign w:val="bottom"/>
          </w:tcPr>
          <w:p>
            <w:pPr>
              <w:jc w:val="center"/>
              <w:spacing w:after="0"/>
              <w:rPr>
                <w:sz w:val="20"/>
                <w:szCs w:val="20"/>
                <w:color w:val="auto"/>
              </w:rPr>
            </w:pPr>
            <w:r>
              <w:rPr>
                <w:rFonts w:ascii="Arial" w:cs="Arial" w:eastAsia="Arial" w:hAnsi="Arial"/>
                <w:sz w:val="18"/>
                <w:szCs w:val="18"/>
                <w:color w:val="auto"/>
              </w:rPr>
              <w:t>share for the shares held by our initial</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Marketing Fee, taxes payable.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stockholders,  who  will  be  our  only</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remaining   stockholders   after   such</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redemptions.</w:t>
            </w:r>
          </w:p>
        </w:tc>
      </w:tr>
    </w:tbl>
    <w:p>
      <w:pPr>
        <w:spacing w:after="0" w:line="198" w:lineRule="exact"/>
        <w:rPr>
          <w:sz w:val="20"/>
          <w:szCs w:val="20"/>
          <w:color w:val="auto"/>
        </w:rPr>
      </w:pPr>
    </w:p>
    <w:p>
      <w:pPr>
        <w:sectPr>
          <w:pgSz w:w="11900" w:h="16838" w:orient="portrait"/>
          <w:cols w:equalWidth="0" w:num="2">
            <w:col w:w="980" w:space="400"/>
            <w:col w:w="98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11240"/>
          </w:cols>
          <w:pgMar w:left="320" w:top="904" w:right="3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89"/>
              </w:rPr>
              <w:t>$100,000,000 of the net offering proceeds and proceeds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from the sale of the private warrants will be deposited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into a trust account in the United States, maintained by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Continental Stock Transfer &amp; Trust Company, acting as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634"/>
        </w:trPr>
        <w:tc>
          <w:tcPr>
            <w:tcW w:w="306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4040" w:type="dxa"/>
            <w:vAlign w:val="bottom"/>
          </w:tcPr>
          <w:p>
            <w:pPr>
              <w:spacing w:after="0"/>
              <w:rPr>
                <w:sz w:val="20"/>
                <w:szCs w:val="20"/>
                <w:color w:val="auto"/>
              </w:rPr>
            </w:pPr>
            <w:r>
              <w:rPr>
                <w:rFonts w:ascii="Arial" w:cs="Arial" w:eastAsia="Arial" w:hAnsi="Arial"/>
                <w:sz w:val="18"/>
                <w:szCs w:val="18"/>
                <w:color w:val="auto"/>
                <w:w w:val="99"/>
              </w:rPr>
              <w:t>The $100,000,000 of the net offering proceeds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proceeds from the sale of the private warrants held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trust will only be invested in United States government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treasury bills, bonds or notes with a maturity of 185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days or less or in money market funds meeting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applicable conditions under Rule 2a-7 promulgated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under the Investment Company Act and that invest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solely in United States 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$86,400,000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7"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3" w:name="page104"/>
    <w:bookmarkEnd w:id="103"/>
    <w:p>
      <w:pPr>
        <w:spacing w:after="0" w:line="216"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834" w:lineRule="exact"/>
        <w:rPr>
          <w:sz w:val="20"/>
          <w:szCs w:val="20"/>
          <w:color w:val="auto"/>
        </w:rPr>
      </w:pPr>
    </w:p>
    <w:p>
      <w:pPr>
        <w:sectPr>
          <w:pgSz w:w="11900" w:h="16838" w:orient="portrait"/>
          <w:cols w:equalWidth="0" w:num="3">
            <w:col w:w="2380" w:space="680"/>
            <w:col w:w="4040" w:space="220"/>
            <w:col w:w="3920"/>
          </w:cols>
          <w:pgMar w:left="320" w:top="904" w:right="339" w:bottom="1440" w:gutter="0" w:footer="0" w:header="0"/>
        </w:sectPr>
      </w:pPr>
    </w:p>
    <w:p>
      <w:pPr>
        <w:spacing w:after="0"/>
        <w:tabs>
          <w:tab w:leader="none" w:pos="3040" w:val="left"/>
        </w:tabs>
        <w:rPr>
          <w:sz w:val="20"/>
          <w:szCs w:val="20"/>
          <w:color w:val="auto"/>
        </w:rPr>
      </w:pPr>
      <w:r>
        <w:rPr>
          <w:rFonts w:ascii="Arial" w:cs="Arial" w:eastAsia="Arial" w:hAnsi="Arial"/>
          <w:sz w:val="18"/>
          <w:szCs w:val="18"/>
          <w:b w:val="1"/>
          <w:bCs w:val="1"/>
          <w:color w:val="auto"/>
        </w:rPr>
        <w:t>Limitation on fair value or net assets</w:t>
      </w:r>
      <w:r>
        <w:rPr>
          <w:sz w:val="20"/>
          <w:szCs w:val="20"/>
          <w:color w:val="auto"/>
        </w:rPr>
        <w:tab/>
      </w:r>
      <w:r>
        <w:rPr>
          <w:rFonts w:ascii="Arial" w:cs="Arial" w:eastAsia="Arial" w:hAnsi="Arial"/>
          <w:sz w:val="16"/>
          <w:szCs w:val="16"/>
          <w:color w:val="auto"/>
        </w:rPr>
        <w:t>The initial target business that we acquire must have a</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8"/>
          <w:szCs w:val="18"/>
          <w:b w:val="1"/>
          <w:bCs w:val="1"/>
          <w:color w:val="auto"/>
        </w:rPr>
        <w:t>of target business</w:t>
      </w:r>
      <w:r>
        <w:rPr>
          <w:sz w:val="20"/>
          <w:szCs w:val="20"/>
          <w:color w:val="auto"/>
        </w:rPr>
        <w:tab/>
      </w:r>
      <w:r>
        <w:rPr>
          <w:rFonts w:ascii="Arial" w:cs="Arial" w:eastAsia="Arial" w:hAnsi="Arial"/>
          <w:sz w:val="16"/>
          <w:szCs w:val="16"/>
          <w:color w:val="auto"/>
        </w:rPr>
        <w:t>fair market value equal to at least 80% of the balance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our trust account net of taxes payable at the time of the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execution of a definitive agreement for our initial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may commence trading on or promptly after</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date of this prospectus. The shares of common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stock and warrants comprising the units will begin to</w:t>
      </w:r>
    </w:p>
    <w:p>
      <w:pPr>
        <w:ind w:left="3060"/>
        <w:spacing w:after="0" w:line="207" w:lineRule="auto"/>
        <w:rPr>
          <w:sz w:val="20"/>
          <w:szCs w:val="20"/>
          <w:color w:val="auto"/>
        </w:rPr>
      </w:pPr>
      <w:r>
        <w:rPr>
          <w:rFonts w:ascii="Arial" w:cs="Arial" w:eastAsia="Arial" w:hAnsi="Arial"/>
          <w:sz w:val="17"/>
          <w:szCs w:val="17"/>
          <w:color w:val="auto"/>
        </w:rPr>
        <w:t>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unless Chardan informs us of its decision to</w:t>
      </w:r>
    </w:p>
    <w:p>
      <w:pPr>
        <w:spacing w:after="0" w:line="7" w:lineRule="exact"/>
        <w:rPr>
          <w:sz w:val="20"/>
          <w:szCs w:val="20"/>
          <w:color w:val="auto"/>
        </w:rPr>
      </w:pPr>
    </w:p>
    <w:p>
      <w:pPr>
        <w:ind w:left="3060"/>
        <w:spacing w:after="0"/>
        <w:tabs>
          <w:tab w:leader="none" w:pos="3620" w:val="left"/>
          <w:tab w:leader="none" w:pos="4260" w:val="left"/>
          <w:tab w:leader="none" w:pos="5020" w:val="left"/>
          <w:tab w:leader="none" w:pos="5700" w:val="left"/>
          <w:tab w:leader="none" w:pos="6360" w:val="left"/>
          <w:tab w:leader="none" w:pos="6900" w:val="left"/>
        </w:tabs>
        <w:rPr>
          <w:sz w:val="20"/>
          <w:szCs w:val="20"/>
          <w:color w:val="auto"/>
        </w:rPr>
      </w:pPr>
      <w:r>
        <w:rPr>
          <w:rFonts w:ascii="Arial" w:cs="Arial" w:eastAsia="Arial" w:hAnsi="Arial"/>
          <w:sz w:val="18"/>
          <w:szCs w:val="18"/>
          <w:color w:val="auto"/>
        </w:rPr>
        <w:t>allow</w:t>
        <w:tab/>
        <w:t>earlier</w:t>
        <w:tab/>
        <w:t>separate</w:t>
        <w:tab/>
        <w:t>trading</w:t>
        <w:tab/>
        <w:t>(based</w:t>
        <w:tab/>
        <w:t>upon</w:t>
      </w:r>
      <w:r>
        <w:rPr>
          <w:sz w:val="20"/>
          <w:szCs w:val="20"/>
          <w:color w:val="auto"/>
        </w:rPr>
        <w:tab/>
      </w:r>
      <w:r>
        <w:rPr>
          <w:rFonts w:ascii="Arial" w:cs="Arial" w:eastAsia="Arial" w:hAnsi="Arial"/>
          <w:sz w:val="16"/>
          <w:szCs w:val="16"/>
          <w:color w:val="auto"/>
        </w:rPr>
        <w:t>its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assessment of the relative strengths of the securities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markets  and  small  capitalization  and  blank  check</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companies in general, and the trading pattern of, and</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demand for, our securities in particular), provided we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have filed with the SEC a Current Report on Form 8-K,</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which includes an audited balance sheet reflecting our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receipt of the proceeds of this offering.</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trading of the units or the underlying securities would be permitted until the completion of a business combination. During this period, the securities would be held in the escrow or trust account.</w:t>
      </w:r>
    </w:p>
    <w:p>
      <w:pPr>
        <w:spacing w:after="0" w:line="2130"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completion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a business combination and, accordingly, will be</w:t>
      </w:r>
    </w:p>
    <w:p>
      <w:pPr>
        <w:spacing w:after="0" w:line="9" w:lineRule="exact"/>
        <w:rPr>
          <w:sz w:val="20"/>
          <w:szCs w:val="20"/>
          <w:color w:val="auto"/>
        </w:rPr>
      </w:pPr>
    </w:p>
    <w:p>
      <w:pPr>
        <w:ind w:left="3060"/>
        <w:spacing w:after="0"/>
        <w:tabs>
          <w:tab w:leader="none" w:pos="3860" w:val="left"/>
          <w:tab w:leader="none" w:pos="4320" w:val="left"/>
          <w:tab w:leader="none" w:pos="4800" w:val="left"/>
          <w:tab w:leader="none" w:pos="5160" w:val="left"/>
          <w:tab w:leader="none" w:pos="5640" w:val="left"/>
          <w:tab w:leader="none" w:pos="6340" w:val="left"/>
          <w:tab w:leader="none" w:pos="6720" w:val="left"/>
        </w:tabs>
        <w:rPr>
          <w:sz w:val="20"/>
          <w:szCs w:val="20"/>
          <w:color w:val="auto"/>
        </w:rPr>
      </w:pPr>
      <w:r>
        <w:rPr>
          <w:rFonts w:ascii="Arial" w:cs="Arial" w:eastAsia="Arial" w:hAnsi="Arial"/>
          <w:sz w:val="18"/>
          <w:szCs w:val="18"/>
          <w:color w:val="auto"/>
        </w:rPr>
        <w:t>exercised</w:t>
        <w:tab/>
        <w:t>only</w:t>
        <w:tab/>
        <w:t>after</w:t>
        <w:tab/>
        <w:t>the</w:t>
        <w:tab/>
        <w:t>trust</w:t>
        <w:tab/>
        <w:t>account</w:t>
        <w:tab/>
        <w:t>has</w:t>
      </w:r>
      <w:r>
        <w:rPr>
          <w:sz w:val="20"/>
          <w:szCs w:val="20"/>
          <w:color w:val="auto"/>
        </w:rPr>
        <w:tab/>
      </w:r>
      <w:r>
        <w:rPr>
          <w:rFonts w:ascii="Arial" w:cs="Arial" w:eastAsia="Arial" w:hAnsi="Arial"/>
          <w:sz w:val="15"/>
          <w:szCs w:val="15"/>
          <w:color w:val="auto"/>
        </w:rPr>
        <w:t>been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terminated and distributed.</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2">
            <w:col w:w="7080" w:space="240"/>
            <w:col w:w="3920"/>
          </w:cols>
          <w:pgMar w:left="320" w:top="904"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2"/>
              </w:rPr>
              <w:t>We will either (1) give our stockholders the opportunity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to vote on the business combination or (2) provide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public stockholders with the opportunity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public shares to us in a tender offer for cash equal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 xml:space="preserve">their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share of the aggregate amount then 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deposit in the trust account, less taxes. If we hold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meeting to approve a proposed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we  will  send  each  stockholder  a  proxy  statement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containing information required by the SEC. Under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certificate of incorporation, we must provide at least 10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days advance notice of any meeting of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Accordingly, this is the minimum amount of time we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would need to provide holders to determine whether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exercise their rights to redeem their shares into cash at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such  a  meeting  or  to  remain  an  investor  in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company. Alternatively, if we do not hold a meeting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and instead conduct a tender offer, we will conduct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such tender offer in accordance with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rules of the SEC and file tender offer documents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SEC which will contain substantially the same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and  other  information  about  the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business combination as we would have included in a</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The tender offer rules require us to hold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open for at least 20 business days. Accordingly, this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the minimum amount of time we would need to provide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holders to determine whether they want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shares to us in the tender offer or remain an investor in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company.</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4040" w:type="dxa"/>
            <w:vAlign w:val="bottom"/>
          </w:tcPr>
          <w:p>
            <w:pPr>
              <w:spacing w:after="0"/>
              <w:rPr>
                <w:sz w:val="20"/>
                <w:szCs w:val="20"/>
                <w:color w:val="auto"/>
              </w:rPr>
            </w:pPr>
            <w:r>
              <w:rPr>
                <w:rFonts w:ascii="Arial" w:cs="Arial" w:eastAsia="Arial" w:hAnsi="Arial"/>
                <w:sz w:val="18"/>
                <w:szCs w:val="18"/>
                <w:color w:val="auto"/>
                <w:w w:val="92"/>
              </w:rPr>
              <w:t>Pursuant to our certificate of incorporation, if we do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complete an initial business combination within 24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months from the consummation of this offering, it will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trigger  our  automatic  winding  up,  dissolution  and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liquidation.</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notification by the end of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acquisition has not been consummated within 18 months after the effective date of the initial registration statement, funds held in the trust or escrow account would be returned to investors.</w:t>
      </w:r>
    </w:p>
    <w:p>
      <w:pPr>
        <w:sectPr>
          <w:pgSz w:w="11900" w:h="16838" w:orient="portrait"/>
          <w:cols w:equalWidth="0" w:num="2">
            <w:col w:w="7100" w:space="220"/>
            <w:col w:w="3920"/>
          </w:cols>
          <w:pgMar w:left="320" w:top="904" w:right="339" w:bottom="1440" w:gutter="0" w:footer="0" w:header="0"/>
        </w:sectPr>
      </w:pPr>
    </w:p>
    <w:bookmarkStart w:id="105" w:name="page106"/>
    <w:bookmarkEnd w:id="105"/>
    <w:p>
      <w:pPr>
        <w:spacing w:after="0" w:line="216" w:lineRule="exact"/>
        <w:rPr>
          <w:sz w:val="20"/>
          <w:szCs w:val="20"/>
          <w:color w:val="auto"/>
        </w:rPr>
      </w:pPr>
    </w:p>
    <w:p>
      <w:pPr>
        <w:ind w:hanging="161"/>
        <w:spacing w:after="0" w:line="277" w:lineRule="auto"/>
        <w:rPr>
          <w:sz w:val="20"/>
          <w:szCs w:val="20"/>
          <w:color w:val="auto"/>
        </w:rPr>
      </w:pPr>
      <w:r>
        <w:rPr>
          <w:rFonts w:ascii="Arial" w:cs="Arial" w:eastAsia="Arial" w:hAnsi="Arial"/>
          <w:sz w:val="17"/>
          <w:szCs w:val="17"/>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0" w:lineRule="exact"/>
        <w:rPr>
          <w:sz w:val="20"/>
          <w:szCs w:val="20"/>
          <w:color w:val="auto"/>
        </w:rPr>
      </w:pPr>
    </w:p>
    <w:p>
      <w:pPr>
        <w:spacing w:after="0" w:line="20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3">
            <w:col w:w="2500" w:space="380"/>
            <w:col w:w="4040" w:space="220"/>
            <w:col w:w="3900"/>
          </w:cols>
          <w:pgMar w:left="500" w:top="904" w:right="359" w:bottom="1440" w:gutter="0" w:footer="0" w:header="0"/>
        </w:sectPr>
      </w:pPr>
    </w:p>
    <w:bookmarkStart w:id="106" w:name="page107"/>
    <w:bookmarkEnd w:id="106"/>
    <w:p>
      <w:pPr>
        <w:spacing w:after="0" w:line="216" w:lineRule="exact"/>
        <w:rPr>
          <w:sz w:val="20"/>
          <w:szCs w:val="20"/>
          <w:color w:val="auto"/>
        </w:rPr>
      </w:pPr>
    </w:p>
    <w:p>
      <w:pPr>
        <w:ind w:hanging="161"/>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39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ectPr>
          <w:pgSz w:w="11900" w:h="16838" w:orient="portrait"/>
          <w:cols w:equalWidth="0" w:num="3">
            <w:col w:w="2520" w:space="360"/>
            <w:col w:w="4040" w:space="220"/>
            <w:col w:w="3920"/>
          </w:cols>
          <w:pgMar w:left="500" w:top="90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Except for interest earned on the funds held in the trust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 that may be released to us to pay our tax</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obligations, the proceeds from this offering and the 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of the private warrants held in the trust account will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be  released  until  the  earliest  to  occur  of:  (i)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completion of our initial business combination, (ii)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redemption of any public shares properly submitted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connection  with  a  stockholder  vote  to  amend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(A)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modify the substance or timing of our obligation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allow  redemption  in  connection  with  our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business combination or to redeem 100% of our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shares if we do not complete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combination within 24 months from the closing of this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offering or (B) with respect to any other provision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relating  to  stockholders’  rights  or  pre-business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combination activity and (iii) the redemption of 100%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of our public shares if we are unable to complete an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initial business combination within the required time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frame (subject to the requirements of applicable law).</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On the completion of our initial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all amounts held in the trust account will be released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us,  less  amounts  released  to  a  separate  account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controlled by the trustee for disbursal to redeeming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stockholders. We will use these funds to pay amounts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due to any public stockholders who exercise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redemption   rights   as   described   above   under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“Redemption  rights  for  public  stockholders  upon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completion of our initial business combination,” to pay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 or a portion of the consideration payable to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target or owners of the target of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combination and to pay other expenses associated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initial  business  combination,  including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Marketing Fee pursuant to the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Marketing Agreement described under “</w:t>
            </w:r>
            <w:r>
              <w:rPr>
                <w:rFonts w:ascii="Arial" w:cs="Arial" w:eastAsia="Arial" w:hAnsi="Arial"/>
                <w:sz w:val="18"/>
                <w:szCs w:val="18"/>
                <w:i w:val="1"/>
                <w:iCs w:val="1"/>
                <w:color w:val="auto"/>
                <w:w w:val="96"/>
              </w:rPr>
              <w:t>Underwriting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(Conflicts  of  Interest)  —  Business  Combination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Marketing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7100" w:space="220"/>
            <w:col w:w="3920"/>
          </w:cols>
          <w:pgMar w:left="320" w:top="90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820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Kerry Propper</w:t>
            </w:r>
          </w:p>
        </w:tc>
        <w:tc>
          <w:tcPr>
            <w:tcW w:w="10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Co-Founder and Director Nominee (Chairman)</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Jonas Grossman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Co-Founder, Chief Executive Officer, President, Secretary, Treasurer and Director</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Alex Weil</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 and 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Jonathan Biele</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Perry Boyle</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Roderick Hardamon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Todd Jacobson</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Jory Des Jardins</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will serve as our Chairman of the board of directors upon the effectiveness of the registration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Jonas Grossman</w:t>
      </w:r>
      <w:r>
        <w:rPr>
          <w:rFonts w:ascii="Arial" w:cs="Arial" w:eastAsia="Arial" w:hAnsi="Arial"/>
          <w:sz w:val="17"/>
          <w:szCs w:val="17"/>
          <w:color w:val="auto"/>
        </w:rPr>
        <w:t>, 46, is our co-founder and has been our Chief Executive Officer and a member of our board of directors since June 2020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Secretary, and Treasurer since July 2020. Since July 2020, Mr. Grossman has served as chief executive officer and director of Chardan NexTech Acquisition Corp. Since April 2020, Mr. Grossman has been the chief executive officer and president of Chardan Healthcare Acquisition 2 Corp., a special purpose acquisition company.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has served as our Chief Financial Officer since April 2021 and will serve as a member of our board of directors upon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the registration statement of which this prospectus is a part. Since March 2021, Mr. Weil has served as chief financial officer of Chardan NexTech Acquisition Corp., and he has agreed to serve on the board of directors. Mr. Weil has served as managing director and co-head of FinTech investment banking at Chardan, a New York headquartered broker/dealer, since March 2020 and as a director of Ventoux CCM Acquisition Corp., a special purpose acquisition company,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Perry Boyle</w:t>
      </w:r>
      <w:r>
        <w:rPr>
          <w:rFonts w:ascii="Arial" w:cs="Arial" w:eastAsia="Arial" w:hAnsi="Arial"/>
          <w:sz w:val="17"/>
          <w:szCs w:val="17"/>
          <w:color w:val="auto"/>
        </w:rPr>
        <w:t>, 57, 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has agreed to serve on the board of directors of Chardan NexTech Acquisition Corp.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Todd Jacobson, </w:t>
      </w:r>
      <w:r>
        <w:rPr>
          <w:rFonts w:ascii="Arial" w:cs="Arial" w:eastAsia="Arial" w:hAnsi="Arial"/>
          <w:sz w:val="16"/>
          <w:szCs w:val="16"/>
          <w:color w:val="auto"/>
        </w:rPr>
        <w:t>46, will serve as a member of our board of directors upon the effective date of the registration statement of which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 Mr. Jacobson has over two decades of corporate, government and nonprofit leadership. Mr. Jacobson currently serves as Senior Vice President, Head of Social Responsibility for the National Basketball Association, where he oversees the NBA, WNBA, NBA G League and NBA 2K League global social responsibility efforts, community partnerships, and public service initiatives. Mr. Jacobson also directs the league’s government affairs, including the White House and State Department relationships managing the league’s communication and engagement. Since joining the NBA in 2000, he has managed the launch and execution of the NBA Cares platform, led the development of the NBA’s international community outreach initiatives, and created the community relations program for the NBA G League. Prior to joining the NBA, Mr. Jacobson worked at the New York City Parks &amp; Recreation Department from 1997-2000 departing as the Acting Director of Central Recreation. In addition to his responsibilities at the NBA, Mr. Jacobson has taught at Columbia University as an adjunct associate professor for the School of International and Public Affairs (SIPA) since 2016, serves on the Board of Directors for Maccabi USA, the U.S. Fund for UNICEF New York Regional Board, the Beyond Sport Advisory Panel, and on the UJA Sports for Youth Executive Committee. He graduated from Cornell University in 1997, where he earned his B.S. in Human Development and Family Studies. Mr. Jacobson also earned an M.P.A. in advanced management and finance in 2006 from Columbia University.</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 registration statement of which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is a part. Ms. Jardins is the chief marketing officer of The @ 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 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6"/>
          <w:szCs w:val="16"/>
          <w:b w:val="1"/>
          <w:bCs w:val="1"/>
          <w:color w:val="auto"/>
        </w:rPr>
        <w:t>e</w:t>
      </w:r>
      <w:r>
        <w:rPr>
          <w:rFonts w:ascii="Arial" w:cs="Arial" w:eastAsia="Arial" w:hAnsi="Arial"/>
          <w:sz w:val="16"/>
          <w:szCs w:val="16"/>
          <w:color w:val="auto"/>
        </w:rPr>
        <w:t xml:space="preserve"> technology</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Hardamon and Jacobson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and Hardamon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However, our sponsor intends to allocate up to 20,000 founder shares to each of our independent directors.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Messrs. Hardamon, Boyle and Grossman will serve as members of our audit committee, and 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Hardamon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the consummation of this offering, we will establish a compensation committee of the board of directors. Ms. Jardins, Mr. Biele and Mr. Jacobson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Jardins,Mr. Biele and Mr. Jacobson are independent and Ms. Jardins will chair the compensation committee.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who will participate in the consideration and recommendation of director nominees. In accordance with Rule 5605 of the Nasdaq rules, each of Messrs. Biele, Boyle, Hardamon and Jacobson and Ms. Jardins is independent. As there is no standing nominating committee, we do not have a nominating committee charter in place.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225" w:lineRule="exact"/>
        <w:rPr>
          <w:sz w:val="20"/>
          <w:szCs w:val="20"/>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15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left="980" w:hanging="324"/>
        <w:spacing w:after="0" w:line="26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179"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 Such securities will be worthless if we do not complete an initial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18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84"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w:t>
      </w:r>
    </w:p>
    <w:p>
      <w:pPr>
        <w:spacing w:after="0" w:line="4" w:lineRule="exact"/>
        <w:rPr>
          <w:sz w:val="20"/>
          <w:szCs w:val="20"/>
          <w:color w:val="auto"/>
        </w:rPr>
      </w:pPr>
    </w:p>
    <w:p>
      <w:pPr>
        <w:jc w:val="both"/>
        <w:ind w:firstLine="8"/>
        <w:spacing w:after="0" w:line="269" w:lineRule="auto"/>
        <w:tabs>
          <w:tab w:leader="none" w:pos="257" w:val="left"/>
        </w:tabs>
        <w:numPr>
          <w:ilvl w:val="0"/>
          <w:numId w:val="50"/>
        </w:numPr>
        <w:rPr>
          <w:rFonts w:ascii="Arial" w:cs="Arial" w:eastAsia="Arial" w:hAnsi="Arial"/>
          <w:sz w:val="17"/>
          <w:szCs w:val="17"/>
          <w:color w:val="auto"/>
        </w:rPr>
      </w:pPr>
      <w:r>
        <w:rPr>
          <w:rFonts w:ascii="Arial" w:cs="Arial" w:eastAsia="Arial" w:hAnsi="Arial"/>
          <w:sz w:val="17"/>
          <w:szCs w:val="17"/>
          <w:color w:val="auto"/>
        </w:rPr>
        <w:t>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580" w:type="dxa"/>
            <w:vAlign w:val="bottom"/>
          </w:tcPr>
          <w:p>
            <w:pPr>
              <w:ind w:left="1720"/>
              <w:spacing w:after="0"/>
              <w:rPr>
                <w:sz w:val="20"/>
                <w:szCs w:val="20"/>
                <w:color w:val="auto"/>
              </w:rPr>
            </w:pPr>
            <w:r>
              <w:rPr>
                <w:rFonts w:ascii="Arial" w:cs="Arial" w:eastAsia="Arial" w:hAnsi="Arial"/>
                <w:sz w:val="18"/>
                <w:szCs w:val="18"/>
                <w:b w:val="1"/>
                <w:bCs w:val="1"/>
                <w:color w:val="auto"/>
              </w:rPr>
              <w:t>Priority/Preference relative to</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Affiliated Company</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2"/>
              </w:rPr>
              <w:t>Name of Individual</w:t>
            </w:r>
          </w:p>
        </w:tc>
        <w:tc>
          <w:tcPr>
            <w:tcW w:w="55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Chardan NexTech Acquisition 2 Corp.</w:t>
            </w:r>
          </w:p>
        </w:tc>
        <w:tc>
          <w:tcPr>
            <w:tcW w:w="0" w:type="dxa"/>
            <w:vAlign w:val="bottom"/>
          </w:tcPr>
          <w:p>
            <w:pPr>
              <w:spacing w:after="0"/>
              <w:rPr>
                <w:sz w:val="1"/>
                <w:szCs w:val="1"/>
                <w:color w:val="auto"/>
              </w:rPr>
            </w:pPr>
          </w:p>
        </w:tc>
      </w:tr>
      <w:tr>
        <w:trPr>
          <w:trHeight w:val="195"/>
        </w:trPr>
        <w:tc>
          <w:tcPr>
            <w:tcW w:w="3600" w:type="dxa"/>
            <w:vAlign w:val="bottom"/>
          </w:tcPr>
          <w:p>
            <w:pPr>
              <w:spacing w:after="0" w:line="195" w:lineRule="exact"/>
              <w:rPr>
                <w:sz w:val="20"/>
                <w:szCs w:val="20"/>
                <w:color w:val="auto"/>
              </w:rPr>
            </w:pPr>
            <w:r>
              <w:rPr>
                <w:rFonts w:ascii="Arial" w:cs="Arial" w:eastAsia="Arial" w:hAnsi="Arial"/>
                <w:sz w:val="18"/>
                <w:szCs w:val="18"/>
                <w:color w:val="auto"/>
              </w:rPr>
              <w:t>340Basics d/b/a Nuvem</w:t>
            </w:r>
          </w:p>
        </w:tc>
        <w:tc>
          <w:tcPr>
            <w:tcW w:w="20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ATW Partners</w:t>
            </w:r>
          </w:p>
        </w:tc>
        <w:tc>
          <w:tcPr>
            <w:tcW w:w="2060" w:type="dxa"/>
            <w:vAlign w:val="bottom"/>
          </w:tcPr>
          <w:p>
            <w:pPr>
              <w:spacing w:after="0"/>
              <w:rPr>
                <w:sz w:val="18"/>
                <w:szCs w:val="18"/>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5"/>
              </w:rPr>
              <w:t>340Basics d/b/a Nuvem, ATW Partners, and Chardan Capital Markets,</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LLC, Chardan NexTech Acquisition Corp., China Networks International</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Kerry Propper</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6"/>
              </w:rPr>
              <w:t>Holdings Ltd., Credit Sesame, Inc., and PierianDx, Inc. will each have</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China Networks International Holdings Ltd.</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Credit Sesame, Inc.</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PierianDx, Inc.</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Healthcare Acquisition 2 Corp.</w:t>
            </w:r>
          </w:p>
        </w:tc>
        <w:tc>
          <w:tcPr>
            <w:tcW w:w="2060" w:type="dxa"/>
            <w:vAlign w:val="bottom"/>
          </w:tcPr>
          <w:p>
            <w:pPr>
              <w:spacing w:after="0"/>
              <w:rPr>
                <w:sz w:val="18"/>
                <w:szCs w:val="18"/>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Chardan Capital Markets, LLC, Chardan Healthcare Acquisition 2 Corp.,</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1"/>
              </w:rPr>
              <w:t>Chardan NexTech Acquisition Corp., Chardan NexTech Investments LLC,</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Investments LLC</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5"/>
              </w:rPr>
              <w:t>Jonas Grossman</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4"/>
              </w:rPr>
              <w:t>Cornix Advisers, LLC, BiomX, Inc. and Ventoux CCM Acquisition Corp.</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Cornix Advisers, LLC</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BiomX, Inc.</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Chardan Capital Markets, LLC, Chardan NexTech Acquisition Corp. and</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5"/>
              </w:rPr>
              <w:t>Alex Weil</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Ventoux CCM Acquisition Corp.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PREEM Inc.</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0"/>
              </w:rPr>
              <w:t>Jonathan Biele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PREEM Inc. will have priority over us.</w:t>
            </w: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Perry Boyle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Chardan NexTech Acquisition Corp. will have priority over us.</w:t>
            </w: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URGE Development Group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Roderick Hardamon</w:t>
            </w:r>
          </w:p>
        </w:tc>
        <w:tc>
          <w:tcPr>
            <w:tcW w:w="5580" w:type="dxa"/>
            <w:vAlign w:val="bottom"/>
          </w:tcPr>
          <w:p>
            <w:pPr>
              <w:ind w:left="200"/>
              <w:spacing w:after="0"/>
              <w:rPr>
                <w:sz w:val="20"/>
                <w:szCs w:val="20"/>
                <w:color w:val="auto"/>
              </w:rPr>
            </w:pPr>
            <w:r>
              <w:rPr>
                <w:rFonts w:ascii="Arial" w:cs="Arial" w:eastAsia="Arial" w:hAnsi="Arial"/>
                <w:sz w:val="18"/>
                <w:szCs w:val="18"/>
                <w:color w:val="auto"/>
              </w:rPr>
              <w:t>URGE Development Group and URGE Imprint LLC will each have</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URGE Imprint LLC</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National Basketball Association</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7"/>
              </w:rPr>
              <w:t>Todd Jacobson</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The National Basketball Association will have priority over us.</w:t>
            </w: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The @ Company</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Jory Des Jardins</w:t>
            </w: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The @ Company and W Fund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W Fund</w:t>
            </w:r>
          </w:p>
        </w:tc>
        <w:tc>
          <w:tcPr>
            <w:tcW w:w="20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48"/>
        <w:spacing w:after="0" w:line="273" w:lineRule="auto"/>
        <w:rPr>
          <w:sz w:val="20"/>
          <w:szCs w:val="20"/>
          <w:color w:val="auto"/>
        </w:rPr>
      </w:pPr>
      <w:r>
        <w:rPr>
          <w:rFonts w:ascii="Arial" w:cs="Arial" w:eastAsia="Arial" w:hAnsi="Arial"/>
          <w:sz w:val="17"/>
          <w:szCs w:val="17"/>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84"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addition, Chardan NexTech 2 Warrant Holdings LLC, an affiliate of our sponsor, has committed, pursuant to a written agreement, to purchase an aggregate of 3,700,000 private warrants for a purchase price of $0.65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 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Prior to Offering</w:t>
            </w:r>
          </w:p>
        </w:tc>
        <w:tc>
          <w:tcPr>
            <w:tcW w:w="29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Approximate</w:t>
            </w:r>
          </w:p>
        </w:tc>
        <w:tc>
          <w:tcPr>
            <w:tcW w:w="3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0" w:type="dxa"/>
            <w:vAlign w:val="bottom"/>
            <w:gridSpan w:val="2"/>
          </w:tcPr>
          <w:p>
            <w:pPr>
              <w:jc w:val="center"/>
              <w:ind w:right="44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20" w:type="dxa"/>
            <w:vAlign w:val="bottom"/>
            <w:vMerge w:val="restart"/>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Common</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vMerge w:val="continue"/>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Owned</w:t>
            </w:r>
            <w:r>
              <w:rPr>
                <w:rFonts w:ascii="Arial" w:cs="Arial" w:eastAsia="Arial" w:hAnsi="Arial"/>
                <w:sz w:val="29"/>
                <w:szCs w:val="29"/>
                <w:b w:val="1"/>
                <w:bCs w:val="1"/>
                <w:color w:val="auto"/>
                <w:w w:val="88"/>
                <w:vertAlign w:val="superscript"/>
              </w:rPr>
              <w:t>(2)</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3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Chardan NexTech Investments 2 LLC</w:t>
            </w:r>
            <w:r>
              <w:rPr>
                <w:rFonts w:ascii="Arial" w:cs="Arial" w:eastAsia="Arial" w:hAnsi="Arial"/>
                <w:sz w:val="28"/>
                <w:szCs w:val="28"/>
                <w:color w:val="auto"/>
                <w:vertAlign w:val="superscript"/>
              </w:rPr>
              <w:t>(3)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Jonas Grossman</w:t>
            </w:r>
            <w:r>
              <w:rPr>
                <w:rFonts w:ascii="Arial" w:cs="Arial" w:eastAsia="Arial" w:hAnsi="Arial"/>
                <w:sz w:val="29"/>
                <w:szCs w:val="29"/>
                <w:color w:val="auto"/>
                <w:vertAlign w:val="superscript"/>
              </w:rPr>
              <w:t>(3)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Todd Jacobson</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Jory Des Jardins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hanging="332"/>
        <w:spacing w:after="0" w:line="193" w:lineRule="auto"/>
        <w:tabs>
          <w:tab w:leader="none" w:pos="340" w:val="left"/>
        </w:tabs>
        <w:numPr>
          <w:ilvl w:val="0"/>
          <w:numId w:val="52"/>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business address of each of the individuals is c/o Chardan NexTech Acquisition 2 Corp., 17 State Street, 21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Floor, New York, NY 10004.</w:t>
      </w: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9"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sponsor is the record holder of such shares. Jonas Grossman is the sole member of our sponsor. As such, Mr. Grossman may be deemed to have beneficial ownership of the common stock held directly by our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our sponsor, and thus have pecuniary interests in certain of the reported shares.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sponsor, officers and directors is our “promoter,” as that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48"/>
        <w:spacing w:after="0" w:line="269" w:lineRule="auto"/>
        <w:rPr>
          <w:sz w:val="20"/>
          <w:szCs w:val="20"/>
          <w:color w:val="auto"/>
        </w:rPr>
      </w:pPr>
      <w:r>
        <w:rPr>
          <w:rFonts w:ascii="Arial" w:cs="Arial" w:eastAsia="Arial" w:hAnsi="Arial"/>
          <w:sz w:val="17"/>
          <w:szCs w:val="17"/>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 If we do not complete our initial business combination within 24 months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w:t>
      </w:r>
    </w:p>
    <w:p>
      <w:pPr>
        <w:spacing w:after="0" w:line="4" w:lineRule="exact"/>
        <w:rPr>
          <w:sz w:val="20"/>
          <w:szCs w:val="20"/>
          <w:color w:val="auto"/>
        </w:rPr>
      </w:pPr>
    </w:p>
    <w:p>
      <w:pPr>
        <w:jc w:val="both"/>
        <w:ind w:firstLine="8"/>
        <w:spacing w:after="0" w:line="253" w:lineRule="auto"/>
        <w:tabs>
          <w:tab w:leader="none" w:pos="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9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Commencing on the date our securities are first listed on Nasdaq, we will pay an amount equal to $10,000 per month to our sponsor for office space, administrative and shared personnel support services. Upon completion of our initial business combination or our liquidation, we will cease paying these monthly fees. Accordingly, in the event the consummation of our initial business combination takes the maximum 24 months, our sponsor will be paid a total of $240,000 ($10,000 per month) and will be entitled to be reimbursed for any out-of-pocket expenses.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w:t>
      </w:r>
      <w:r>
        <w:rPr>
          <w:rFonts w:ascii="Arial" w:cs="Arial" w:eastAsia="Arial" w:hAnsi="Arial"/>
          <w:sz w:val="17"/>
          <w:szCs w:val="17"/>
          <w:i w:val="1"/>
          <w:iCs w:val="1"/>
          <w:color w:val="auto"/>
        </w:rPr>
        <w:t>Underwriting (Conflicts of Interest) — Business Combination Marketing Agreement</w:t>
      </w:r>
      <w:r>
        <w:rPr>
          <w:rFonts w:ascii="Arial" w:cs="Arial" w:eastAsia="Arial" w:hAnsi="Arial"/>
          <w:sz w:val="17"/>
          <w:szCs w:val="17"/>
          <w:color w:val="auto"/>
        </w:rPr>
        <w: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192" w:lineRule="exact"/>
        <w:rPr>
          <w:sz w:val="20"/>
          <w:szCs w:val="20"/>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Repayment to our sponsor for office space, administrative and shared personnel support services, in an amount equal to $10,000 per month;</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w:t>
      </w:r>
    </w:p>
    <w:p>
      <w:pPr>
        <w:spacing w:after="0" w:line="236" w:lineRule="exact"/>
        <w:rPr>
          <w:rFonts w:ascii="Arial" w:cs="Arial" w:eastAsia="Arial" w:hAnsi="Arial"/>
          <w:sz w:val="17"/>
          <w:szCs w:val="17"/>
          <w:color w:val="auto"/>
        </w:rPr>
      </w:pPr>
    </w:p>
    <w:p>
      <w:pPr>
        <w:jc w:val="both"/>
        <w:ind w:left="980" w:right="20" w:hanging="324"/>
        <w:spacing w:after="0" w:line="259"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unit consists of one share of common stock and one-third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 event will the common stock and warrants be traded separately until we have filed with the SEC a Current Report on Form 8-K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170"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9"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10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24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and holders of founder shares have the same stockholder rights as public stockholders, except that (i) 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24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48"/>
        <w:spacing w:after="0" w:line="254"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are no shares of preferred stock outstanding as of the date of this prospectus. Our amended and restated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286" w:lineRule="auto"/>
        <w:rPr>
          <w:sz w:val="20"/>
          <w:szCs w:val="20"/>
          <w:color w:val="auto"/>
        </w:rPr>
      </w:pPr>
      <w:r>
        <w:rPr>
          <w:rFonts w:ascii="Arial" w:cs="Arial" w:eastAsia="Arial" w:hAnsi="Arial"/>
          <w:sz w:val="16"/>
          <w:szCs w:val="16"/>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85"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w:t>
      </w:r>
    </w:p>
    <w:p>
      <w:pPr>
        <w:spacing w:after="0" w:line="2" w:lineRule="exact"/>
        <w:rPr>
          <w:sz w:val="20"/>
          <w:szCs w:val="20"/>
          <w:color w:val="auto"/>
        </w:rPr>
      </w:pPr>
    </w:p>
    <w:p>
      <w:pPr>
        <w:jc w:val="both"/>
        <w:ind w:firstLine="8"/>
        <w:spacing w:after="0" w:line="286" w:lineRule="auto"/>
        <w:tabs>
          <w:tab w:leader="none" w:pos="26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w:t>
      </w:r>
    </w:p>
    <w:p>
      <w:pPr>
        <w:spacing w:after="0" w:line="4" w:lineRule="exact"/>
        <w:rPr>
          <w:sz w:val="20"/>
          <w:szCs w:val="20"/>
          <w:color w:val="auto"/>
        </w:rPr>
      </w:pPr>
    </w:p>
    <w:p>
      <w:pPr>
        <w:jc w:val="both"/>
        <w:ind w:firstLine="8"/>
        <w:spacing w:after="0" w:line="271" w:lineRule="auto"/>
        <w:tabs>
          <w:tab w:leader="none" w:pos="26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24 months from the closing of this offering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in the Borough of Manhattan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6"/>
          <w:szCs w:val="16"/>
          <w:i w:val="1"/>
          <w:iCs w:val="1"/>
          <w:color w:val="auto"/>
        </w:rPr>
        <w:t>Principal Stockholders — Restrictions on Transfers of Founder Shares and Private Warrants</w:t>
      </w:r>
      <w:r>
        <w:rPr>
          <w:rFonts w:ascii="Arial" w:cs="Arial" w:eastAsia="Arial" w:hAnsi="Arial"/>
          <w:sz w:val="16"/>
          <w:szCs w:val="16"/>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holders of our private warrants are entitled to certain registration rights and any private warrants purchased by our sponsor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87" w:lineRule="auto"/>
        <w:rPr>
          <w:sz w:val="20"/>
          <w:szCs w:val="20"/>
          <w:color w:val="auto"/>
        </w:rPr>
      </w:pPr>
      <w:r>
        <w:rPr>
          <w:rFonts w:ascii="Arial" w:cs="Arial" w:eastAsia="Arial" w:hAnsi="Arial"/>
          <w:sz w:val="16"/>
          <w:szCs w:val="16"/>
          <w:color w:val="auto"/>
        </w:rPr>
        <w:t>Pursuant to the letter agreement,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w:t>
      </w:r>
    </w:p>
    <w:p>
      <w:pPr>
        <w:spacing w:after="0" w:line="2" w:lineRule="exact"/>
        <w:rPr>
          <w:sz w:val="20"/>
          <w:szCs w:val="20"/>
          <w:color w:val="auto"/>
        </w:rPr>
      </w:pPr>
    </w:p>
    <w:p>
      <w:pPr>
        <w:jc w:val="both"/>
        <w:ind w:firstLine="8"/>
        <w:spacing w:after="0" w:line="268" w:lineRule="auto"/>
        <w:tabs>
          <w:tab w:leader="none" w:pos="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Chardan NexTech 2 Warrant Holdings LLC,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92" w:lineRule="exact"/>
        <w:rPr>
          <w:sz w:val="20"/>
          <w:szCs w:val="20"/>
          <w:color w:val="auto"/>
        </w:rPr>
      </w:pPr>
    </w:p>
    <w:p>
      <w:pPr>
        <w:jc w:val="both"/>
        <w:ind w:left="980" w:hanging="324"/>
        <w:spacing w:after="0" w:line="270"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980" w:hanging="324"/>
        <w:spacing w:after="0"/>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10"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left="980" w:hanging="324"/>
        <w:spacing w:after="0" w:line="273"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17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with another blank check company or a similar company with nominal operations;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not effect our initial business combination unless our sponsor approves of such transaction.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 and our Certificate of Incorporation and By-Laws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amended and restated certificate of incorporation will provide that, subject to certain exceptions and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w:t>
      </w:r>
    </w:p>
    <w:p>
      <w:pPr>
        <w:spacing w:after="0" w:line="1" w:lineRule="exact"/>
        <w:rPr>
          <w:sz w:val="20"/>
          <w:szCs w:val="20"/>
          <w:color w:val="auto"/>
        </w:rPr>
      </w:pPr>
    </w:p>
    <w:p>
      <w:pPr>
        <w:jc w:val="both"/>
        <w:ind w:firstLine="8"/>
        <w:spacing w:after="0" w:line="251" w:lineRule="auto"/>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the inclusion of such provision in our amended and restated certificate of incorporation will not be deemed to be a waiver by our stockholders of our obligation to comply with federal securities laws, rules and regulations.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the exclusive forum provision described above, our amended and restated certificate of incorporation will also provide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Section 22 of the Securities Act creates concurrent jurisdiction for state and federal courts over all suits brought to enforce any duty or liability created by the Securities Act or the rules and regulations thereunder. In addition,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192" w:lineRule="exact"/>
        <w:rPr>
          <w:sz w:val="20"/>
          <w:szCs w:val="20"/>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470" w:gutter="0" w:footer="0" w:header="0"/>
        </w:sectPr>
      </w:pPr>
    </w:p>
    <w:bookmarkStart w:id="137" w:name="page138"/>
    <w:bookmarkEnd w:id="137"/>
    <w:p>
      <w:pPr>
        <w:ind w:left="980" w:hanging="324"/>
        <w:spacing w:after="0" w:line="342"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one-third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84" w:lineRule="exact"/>
        <w:rPr>
          <w:sz w:val="20"/>
          <w:szCs w:val="20"/>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both"/>
        <w:ind w:firstLine="648"/>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Holding Company Status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one-third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one-third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one-third of one warrant should be the holder’s initial tax basis in such share or one-third of one warrant, as the case may be. Any disposition of a unit should be treated for U.S. federal income tax purposes as a disposition of the share of common stock and one-third of one warrant comprising the unit, and the amount realized on the disposition should be allocated between the common stock and the one-third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170" w:lineRule="exact"/>
        <w:rPr>
          <w:sz w:val="20"/>
          <w:szCs w:val="20"/>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800" w:hanging="441"/>
        <w:spacing w:after="0" w:line="277"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800" w:hanging="441"/>
        <w:spacing w:after="0" w:line="263"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 the running of the holding period for the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jc w:val="both"/>
        <w:ind w:firstLine="648"/>
        <w:spacing w:after="0" w:line="291" w:lineRule="auto"/>
        <w:rPr>
          <w:sz w:val="20"/>
          <w:szCs w:val="20"/>
          <w:color w:val="auto"/>
        </w:rPr>
      </w:pPr>
      <w:r>
        <w:rPr>
          <w:rFonts w:ascii="Arial" w:cs="Arial" w:eastAsia="Arial" w:hAnsi="Arial"/>
          <w:sz w:val="16"/>
          <w:szCs w:val="16"/>
          <w:color w:val="auto"/>
        </w:rPr>
        <w:t>Generally, the amount of gain or loss recognized by a U.S. holder is equal to the difference between (i) 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one-third of one warrant or, as discussed below, the U.S. holder’s initial basis for common stock received upon exercise of warrants) less, in the case of a share of common stock, any prior distributions treated as a return of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the event that a U.S. holder’s common stock is redeemed pursuant to the redemption provisions described under the section of this prospectus entitled “Description of Securities </w:t>
      </w:r>
      <w:r>
        <w:rPr>
          <w:rFonts w:ascii="Arial" w:cs="Arial" w:eastAsia="Arial" w:hAnsi="Arial"/>
          <w:sz w:val="16"/>
          <w:szCs w:val="16"/>
          <w:i w:val="1"/>
          <w:iCs w:val="1"/>
          <w:color w:val="auto"/>
        </w:rPr>
        <w:t>—</w:t>
      </w:r>
      <w:r>
        <w:rPr>
          <w:rFonts w:ascii="Arial" w:cs="Arial" w:eastAsia="Arial" w:hAnsi="Arial"/>
          <w:sz w:val="16"/>
          <w:szCs w:val="16"/>
          <w:color w:val="auto"/>
        </w:rPr>
        <w:t xml:space="preserve">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 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“Non-U.S. Holders — Possible Constructive Distributions” for potential U.S. federal tax consequences with respect to constructive distributions.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171" w:lineRule="exact"/>
        <w:rPr>
          <w:sz w:val="20"/>
          <w:szCs w:val="20"/>
          <w:color w:val="auto"/>
        </w:rPr>
      </w:pPr>
    </w:p>
    <w:p>
      <w:pPr>
        <w:ind w:left="800" w:hanging="441"/>
        <w:spacing w:after="0" w:line="308" w:lineRule="auto"/>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6" w:lineRule="exact"/>
        <w:rPr>
          <w:rFonts w:ascii="Arial" w:cs="Arial" w:eastAsia="Arial" w:hAnsi="Arial"/>
          <w:sz w:val="17"/>
          <w:szCs w:val="17"/>
          <w:color w:val="auto"/>
        </w:rPr>
      </w:pPr>
    </w:p>
    <w:p>
      <w:pPr>
        <w:jc w:val="both"/>
        <w:ind w:left="800" w:hanging="441"/>
        <w:spacing w:after="0" w:line="273" w:lineRule="auto"/>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 — Redemption of Common Stock” above, and the consequences of the redemption to the Non-U.S. holder will be as described above under “Non-U.S. Holders — Taxation of Distributions” and “Non-U.S. Holders — Gain on Sale, Taxable Exchange or Other Taxable Disposition of Common Stock and Warrants,”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 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ind w:left="4420"/>
              <w:spacing w:after="0"/>
              <w:rPr>
                <w:sz w:val="20"/>
                <w:szCs w:val="20"/>
                <w:color w:val="auto"/>
              </w:rPr>
            </w:pPr>
            <w:r>
              <w:rPr>
                <w:rFonts w:ascii="Arial" w:cs="Arial" w:eastAsia="Arial" w:hAnsi="Arial"/>
                <w:sz w:val="18"/>
                <w:szCs w:val="18"/>
                <w:b w:val="1"/>
                <w:bCs w:val="1"/>
                <w:color w:val="auto"/>
              </w:rPr>
              <w:t>Underwriter</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10,000,000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 even if the over-allotment option is exercised. B. Riley Securities, Inc. will receive $100,000 from the total underwriting discount for acting as a qualified</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independent underwriter. Any units sold by the underwriters to securities dealers may be sold at a discount of up to $ per unit from the public offering price. Any of these securities dealers may resell any units purchased from the underwriters to other brokers or dealers at a discount of up to</w:t>
      </w:r>
    </w:p>
    <w:p>
      <w:pPr>
        <w:jc w:val="both"/>
        <w:ind w:firstLine="8"/>
        <w:spacing w:after="0" w:line="253" w:lineRule="auto"/>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Without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b w:val="1"/>
                <w:bCs w:val="1"/>
                <w:color w:val="auto"/>
              </w:rPr>
              <w:t>Per Unit</w:t>
            </w:r>
          </w:p>
        </w:tc>
        <w:tc>
          <w:tcPr>
            <w:tcW w:w="2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Over-allotment</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Over-allotment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line="149" w:lineRule="exact"/>
              <w:rPr>
                <w:sz w:val="20"/>
                <w:szCs w:val="20"/>
                <w:color w:val="auto"/>
              </w:rPr>
            </w:pPr>
            <w:r>
              <w:rPr>
                <w:rFonts w:ascii="Arial" w:cs="Arial" w:eastAsia="Arial" w:hAnsi="Arial"/>
                <w:sz w:val="17"/>
                <w:szCs w:val="17"/>
                <w:color w:val="auto"/>
              </w:rPr>
              <w:t>Discount and qualified independent underwriter fees</w:t>
            </w:r>
          </w:p>
        </w:tc>
        <w:tc>
          <w:tcPr>
            <w:tcW w:w="200" w:type="dxa"/>
            <w:vAlign w:val="bottom"/>
          </w:tcPr>
          <w:p>
            <w:pPr>
              <w:jc w:val="right"/>
              <w:ind w:right="12"/>
              <w:spacing w:after="0" w:line="149"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49" w:lineRule="exact"/>
              <w:rPr>
                <w:sz w:val="20"/>
                <w:szCs w:val="20"/>
                <w:color w:val="auto"/>
              </w:rPr>
            </w:pPr>
            <w:r>
              <w:rPr>
                <w:rFonts w:ascii="Arial" w:cs="Arial" w:eastAsia="Arial" w:hAnsi="Arial"/>
                <w:sz w:val="17"/>
                <w:szCs w:val="17"/>
                <w:color w:val="auto"/>
              </w:rPr>
              <w:t>0.005</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80" w:type="dxa"/>
            <w:vAlign w:val="bottom"/>
          </w:tcPr>
          <w:p>
            <w:pPr>
              <w:jc w:val="right"/>
              <w:ind w:right="23"/>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7"/>
                <w:szCs w:val="17"/>
                <w:color w:val="auto"/>
              </w:rPr>
              <w:t>500,000</w:t>
            </w:r>
          </w:p>
        </w:tc>
        <w:tc>
          <w:tcPr>
            <w:tcW w:w="320" w:type="dxa"/>
            <w:vAlign w:val="bottom"/>
            <w:gridSpan w:val="2"/>
          </w:tcPr>
          <w:p>
            <w:pPr>
              <w:jc w:val="right"/>
              <w:ind w:right="30"/>
              <w:spacing w:after="0" w:line="14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44"/>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amount of the fee paid to the underwriters (including the amount payable to the qualified independent underwriter) remains constant at $500,000, even if the over-allotment option is exercised.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offering expenses are estimated at $950,000.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84"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Rules of the SEC may limit the ability of the underwriters to bid for or purchase our units before the distribution of the units is completed.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underwriters may engage in the following activities in accordance with the rules:</w:t>
      </w:r>
    </w:p>
    <w:p>
      <w:pPr>
        <w:spacing w:after="0" w:line="207" w:lineRule="exact"/>
        <w:rPr>
          <w:sz w:val="20"/>
          <w:szCs w:val="20"/>
          <w:color w:val="auto"/>
        </w:rPr>
      </w:pPr>
    </w:p>
    <w:p>
      <w:pPr>
        <w:ind w:left="980" w:hanging="324"/>
        <w:spacing w:after="0" w:line="347"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Stabilizing Transactions</w:t>
      </w:r>
      <w:r>
        <w:rPr>
          <w:rFonts w:ascii="Arial" w:cs="Arial" w:eastAsia="Arial" w:hAnsi="Arial"/>
          <w:sz w:val="16"/>
          <w:szCs w:val="16"/>
          <w:color w:val="auto"/>
        </w:rPr>
        <w:t>. The underwriters may make bids or purchases for the purpose of preventing or retarding a decline in the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units, as long as stabilizing bids do not exceed the offering price of $10.00 and the underwriters comply with all other applicable rules.</w:t>
      </w:r>
    </w:p>
    <w:p>
      <w:pPr>
        <w:spacing w:after="0" w:line="11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Over-Allotments and Syndicate Coverage Transactions</w:t>
      </w:r>
      <w:r>
        <w:rPr>
          <w:rFonts w:ascii="Arial" w:cs="Arial" w:eastAsia="Arial" w:hAnsi="Arial"/>
          <w:sz w:val="16"/>
          <w:szCs w:val="16"/>
          <w:color w:val="auto"/>
        </w:rPr>
        <w:t>. The underwriters may create a short position in our units by selling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980" w:hanging="324"/>
        <w:spacing w:after="0" w:line="282"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 the units originally sold by the syndicate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are purchased in a stabilizing or syndicate covering transaction to cover syndicate short positions.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Chardan NexTech 2 Warrant Holdings LLC, an affiliate of our sponsor, has committed, pursuant to a written agreement, to purchase an aggregate of 3,700,000 private warrants, at a price of $0.65 per private warrant ($2,405,000 in the aggregate)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7"/>
          <w:szCs w:val="17"/>
          <w:i w:val="1"/>
          <w:iCs w:val="1"/>
          <w:color w:val="auto"/>
        </w:rPr>
        <w:t>Description of Securities — Redeemable Warrants — Private Warrants</w:t>
      </w:r>
      <w:r>
        <w:rPr>
          <w:rFonts w:ascii="Arial" w:cs="Arial" w:eastAsia="Arial" w:hAnsi="Arial"/>
          <w:sz w:val="17"/>
          <w:szCs w:val="17"/>
          <w:color w:val="auto"/>
        </w:rPr>
        <w:t>.” The private warrants will be considered underwriting compensation in connection with this offering. Such 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7"/>
          <w:szCs w:val="17"/>
          <w:i w:val="1"/>
          <w:iCs w:val="1"/>
          <w:color w:val="auto"/>
        </w:rPr>
        <w:t>Description of our</w:t>
      </w:r>
      <w:r>
        <w:rPr>
          <w:rFonts w:ascii="Arial" w:cs="Arial" w:eastAsia="Arial" w:hAnsi="Arial"/>
          <w:sz w:val="17"/>
          <w:szCs w:val="17"/>
          <w:color w:val="auto"/>
        </w:rPr>
        <w:t xml:space="preserve"> Securities — </w:t>
      </w:r>
      <w:r>
        <w:rPr>
          <w:rFonts w:ascii="Arial" w:cs="Arial" w:eastAsia="Arial" w:hAnsi="Arial"/>
          <w:sz w:val="17"/>
          <w:szCs w:val="17"/>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Rights</w:t>
      </w:r>
      <w:r>
        <w:rPr>
          <w:rFonts w:ascii="Arial" w:cs="Arial" w:eastAsia="Arial" w:hAnsi="Arial"/>
          <w:sz w:val="17"/>
          <w:szCs w:val="17"/>
          <w:color w:val="auto"/>
        </w:rPr>
        <w:t>.” The demand and piggyback registration rights being granted to our sponsor are subject to FINRA Rule 5110(g) and will be in compliance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FINRA Rule 5110.05.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provide Chardan Capital Markets, LLC with a right of first refusal to participate as lead book running manager for any public or private securities offerings for a period of 24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jc w:val="both"/>
        <w:ind w:firstLine="648"/>
        <w:spacing w:after="0" w:line="254" w:lineRule="auto"/>
        <w:rPr>
          <w:sz w:val="20"/>
          <w:szCs w:val="20"/>
          <w:color w:val="auto"/>
        </w:rPr>
      </w:pPr>
      <w:r>
        <w:rPr>
          <w:rFonts w:ascii="Arial" w:cs="Arial" w:eastAsia="Arial" w:hAnsi="Arial"/>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from the total underwriting discount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5" w:lineRule="exact"/>
        <w:rPr>
          <w:sz w:val="20"/>
          <w:szCs w:val="20"/>
          <w:color w:val="auto"/>
        </w:rPr>
      </w:pPr>
    </w:p>
    <w:p>
      <w:pPr>
        <w:ind w:left="980" w:hanging="324"/>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7"/>
            <w:shd w:val="clear" w:color="auto" w:fill="CCEEFF"/>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Report of Independent Registered Public Accounting Firm</w:t>
              </w:r>
            </w:hyperlink>
          </w:p>
        </w:tc>
        <w:tc>
          <w:tcPr>
            <w:tcW w:w="6380" w:type="dxa"/>
            <w:vAlign w:val="bottom"/>
            <w:gridSpan w:val="3"/>
            <w:shd w:val="clear" w:color="auto" w:fill="CCEEFF"/>
          </w:tcPr>
          <w:p>
            <w:pPr>
              <w:ind w:left="5140"/>
              <w:spacing w:after="0"/>
              <w:rPr>
                <w:rFonts w:ascii="Arial" w:cs="Arial" w:eastAsia="Arial" w:hAnsi="Arial"/>
                <w:sz w:val="18"/>
                <w:szCs w:val="18"/>
                <w:color w:val="0000EE"/>
              </w:rPr>
            </w:pPr>
            <w:hyperlink w:anchor="page155">
              <w:r>
                <w:rPr>
                  <w:rFonts w:ascii="Arial" w:cs="Arial" w:eastAsia="Arial" w:hAnsi="Arial"/>
                  <w:sz w:val="18"/>
                  <w:szCs w:val="18"/>
                  <w:color w:val="0000EE"/>
                </w:rPr>
                <w:t>F-2</w:t>
              </w:r>
            </w:hyperlink>
          </w:p>
        </w:tc>
      </w:tr>
      <w:tr>
        <w:trPr>
          <w:trHeight w:val="20"/>
        </w:trPr>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20" w:type="dxa"/>
            <w:vAlign w:val="bottom"/>
            <w:gridSpan w:val="6"/>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Balance Sheet</w:t>
              </w:r>
            </w:hyperlink>
          </w:p>
        </w:tc>
        <w:tc>
          <w:tcPr>
            <w:tcW w:w="640" w:type="dxa"/>
            <w:vAlign w:val="bottom"/>
          </w:tcPr>
          <w:p>
            <w:pPr>
              <w:spacing w:after="0"/>
              <w:rPr>
                <w:sz w:val="15"/>
                <w:szCs w:val="15"/>
                <w:color w:val="auto"/>
              </w:rPr>
            </w:pPr>
          </w:p>
        </w:tc>
        <w:tc>
          <w:tcPr>
            <w:tcW w:w="6380" w:type="dxa"/>
            <w:vAlign w:val="bottom"/>
            <w:gridSpan w:val="3"/>
          </w:tcPr>
          <w:p>
            <w:pPr>
              <w:ind w:left="5140"/>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F-3</w:t>
              </w:r>
            </w:hyperlink>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760" w:type="dxa"/>
            <w:vAlign w:val="bottom"/>
            <w:gridSpan w:val="2"/>
            <w:shd w:val="clear" w:color="auto" w:fill="CCEEFF"/>
          </w:tcPr>
          <w:p>
            <w:pPr>
              <w:spacing w:after="0" w:line="17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Statement of Operations</w:t>
              </w:r>
            </w:hyperlink>
          </w:p>
        </w:tc>
        <w:tc>
          <w:tcPr>
            <w:tcW w:w="3100" w:type="dxa"/>
            <w:vAlign w:val="bottom"/>
            <w:gridSpan w:val="5"/>
            <w:shd w:val="clear" w:color="auto" w:fill="CCEEFF"/>
          </w:tcPr>
          <w:p>
            <w:pPr>
              <w:spacing w:after="0"/>
              <w:rPr>
                <w:sz w:val="15"/>
                <w:szCs w:val="15"/>
                <w:color w:val="auto"/>
              </w:rPr>
            </w:pPr>
          </w:p>
        </w:tc>
        <w:tc>
          <w:tcPr>
            <w:tcW w:w="6380" w:type="dxa"/>
            <w:vAlign w:val="bottom"/>
            <w:gridSpan w:val="3"/>
            <w:shd w:val="clear" w:color="auto" w:fill="CCEEFF"/>
          </w:tcPr>
          <w:p>
            <w:pPr>
              <w:ind w:left="5140"/>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F-4</w:t>
              </w:r>
            </w:hyperlink>
          </w:p>
        </w:tc>
      </w:tr>
      <w:tr>
        <w:trPr>
          <w:trHeight w:val="21"/>
        </w:trPr>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860" w:type="dxa"/>
            <w:vAlign w:val="bottom"/>
            <w:gridSpan w:val="7"/>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Statement of Changes in Stockholder's Equity</w:t>
              </w:r>
            </w:hyperlink>
          </w:p>
        </w:tc>
        <w:tc>
          <w:tcPr>
            <w:tcW w:w="6380" w:type="dxa"/>
            <w:vAlign w:val="bottom"/>
            <w:gridSpan w:val="3"/>
          </w:tcPr>
          <w:p>
            <w:pPr>
              <w:ind w:left="514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F-5</w:t>
              </w:r>
            </w:hyperlink>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820" w:type="dxa"/>
            <w:vAlign w:val="bottom"/>
            <w:gridSpan w:val="3"/>
            <w:shd w:val="clear" w:color="auto" w:fill="CCEEFF"/>
          </w:tcPr>
          <w:p>
            <w:pPr>
              <w:spacing w:after="0" w:line="17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Statement of Cash Flows</w:t>
              </w:r>
            </w:hyperlink>
          </w:p>
        </w:tc>
        <w:tc>
          <w:tcPr>
            <w:tcW w:w="3040" w:type="dxa"/>
            <w:vAlign w:val="bottom"/>
            <w:gridSpan w:val="4"/>
            <w:shd w:val="clear" w:color="auto" w:fill="CCEEFF"/>
          </w:tcPr>
          <w:p>
            <w:pPr>
              <w:spacing w:after="0"/>
              <w:rPr>
                <w:sz w:val="15"/>
                <w:szCs w:val="15"/>
                <w:color w:val="auto"/>
              </w:rPr>
            </w:pPr>
          </w:p>
        </w:tc>
        <w:tc>
          <w:tcPr>
            <w:tcW w:w="6380" w:type="dxa"/>
            <w:vAlign w:val="bottom"/>
            <w:gridSpan w:val="3"/>
            <w:shd w:val="clear" w:color="auto" w:fill="CCEEFF"/>
          </w:tcPr>
          <w:p>
            <w:pPr>
              <w:ind w:left="514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F-6</w:t>
              </w:r>
            </w:hyperlink>
          </w:p>
        </w:tc>
      </w:tr>
      <w:tr>
        <w:trPr>
          <w:trHeight w:val="21"/>
        </w:trPr>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860" w:type="dxa"/>
            <w:vAlign w:val="bottom"/>
            <w:gridSpan w:val="7"/>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Notes to Financial Statements</w:t>
              </w:r>
            </w:hyperlink>
          </w:p>
        </w:tc>
        <w:tc>
          <w:tcPr>
            <w:tcW w:w="6380" w:type="dxa"/>
            <w:vAlign w:val="bottom"/>
            <w:gridSpan w:val="3"/>
          </w:tcPr>
          <w:p>
            <w:pPr>
              <w:ind w:left="514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F-7</w:t>
              </w:r>
            </w:hyperlink>
          </w:p>
        </w:tc>
      </w:tr>
      <w:tr>
        <w:trPr>
          <w:trHeight w:val="668"/>
        </w:trPr>
        <w:tc>
          <w:tcPr>
            <w:tcW w:w="1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4" w:name="page155"/>
    <w:bookmarkEnd w:id="15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9440" w:type="dxa"/>
            <w:vAlign w:val="bottom"/>
          </w:tcPr>
          <w:p>
            <w:pPr>
              <w:ind w:left="3740"/>
              <w:spacing w:after="0"/>
              <w:rPr>
                <w:sz w:val="20"/>
                <w:szCs w:val="20"/>
                <w:color w:val="auto"/>
              </w:rPr>
            </w:pPr>
            <w:r>
              <w:rPr>
                <w:rFonts w:ascii="Arial" w:cs="Arial" w:eastAsia="Arial" w:hAnsi="Arial"/>
                <w:sz w:val="18"/>
                <w:szCs w:val="18"/>
                <w:b w:val="1"/>
                <w:bCs w:val="1"/>
                <w:color w:val="auto"/>
              </w:rPr>
              <w:t>CHARDAN NEXTECH ACQUISITION 2 CORP.</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4860"/>
              <w:spacing w:after="0"/>
              <w:rPr>
                <w:sz w:val="20"/>
                <w:szCs w:val="20"/>
                <w:color w:val="auto"/>
              </w:rPr>
            </w:pPr>
            <w:r>
              <w:rPr>
                <w:rFonts w:ascii="Arial" w:cs="Arial" w:eastAsia="Arial" w:hAnsi="Arial"/>
                <w:sz w:val="18"/>
                <w:szCs w:val="18"/>
                <w:b w:val="1"/>
                <w:bCs w:val="1"/>
                <w:color w:val="auto"/>
              </w:rPr>
              <w:t>BALANCE SHEET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40" w:type="dxa"/>
            <w:vAlign w:val="bottom"/>
          </w:tcPr>
          <w:p>
            <w:pPr>
              <w:ind w:left="476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Current assets - cash</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40" w:type="dxa"/>
            <w:vAlign w:val="bottom"/>
            <w:tcBorders>
              <w:bottom w:val="single" w:sz="8" w:color="CCEEFF"/>
            </w:tcBorders>
            <w:vMerge w:val="continue"/>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367"/>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(Note 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Common stock, $0.0001 par value; 5,000,000 shares authorized; 2,875,000 issued and outstanding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9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8" w:lineRule="auto"/>
        <w:tabs>
          <w:tab w:leader="none" w:pos="221" w:val="left"/>
        </w:tabs>
        <w:numPr>
          <w:ilvl w:val="0"/>
          <w:numId w:val="76"/>
        </w:numPr>
        <w:rPr>
          <w:rFonts w:ascii="Arial" w:cs="Arial" w:eastAsia="Arial" w:hAnsi="Arial"/>
          <w:sz w:val="26"/>
          <w:szCs w:val="26"/>
          <w:color w:val="auto"/>
          <w:vertAlign w:val="superscript"/>
        </w:rPr>
      </w:pPr>
      <w:r>
        <w:rPr>
          <w:rFonts w:ascii="Arial" w:cs="Arial" w:eastAsia="Arial" w:hAnsi="Arial"/>
          <w:sz w:val="16"/>
          <w:szCs w:val="16"/>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center"/>
        <w:ind w:right="-51"/>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PERIOD FROM JUNE 23, 2020 (INCEPTION) THROUGH DECEMBER 31, 2020</w:t>
      </w:r>
    </w:p>
    <w:p>
      <w:pPr>
        <w:spacing w:after="0" w:line="225" w:lineRule="exact"/>
        <w:rPr>
          <w:sz w:val="20"/>
          <w:szCs w:val="20"/>
          <w:color w:val="auto"/>
        </w:rPr>
      </w:pPr>
    </w:p>
    <w:tbl>
      <w:tblPr>
        <w:tblLayout w:type="fixed"/>
        <w:tblInd w:w="29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2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 (1)</w:t>
            </w: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8" w:firstLine="8"/>
        <w:spacing w:after="0" w:line="234" w:lineRule="auto"/>
        <w:tabs>
          <w:tab w:leader="none" w:pos="224" w:val="left"/>
        </w:tabs>
        <w:numPr>
          <w:ilvl w:val="0"/>
          <w:numId w:val="77"/>
        </w:numPr>
        <w:rPr>
          <w:rFonts w:ascii="Arial" w:cs="Arial" w:eastAsia="Arial" w:hAnsi="Arial"/>
          <w:sz w:val="27"/>
          <w:szCs w:val="27"/>
          <w:color w:val="auto"/>
          <w:vertAlign w:val="superscript"/>
        </w:rPr>
      </w:pPr>
      <w:r>
        <w:rPr>
          <w:rFonts w:ascii="Arial" w:cs="Arial" w:eastAsia="Arial" w:hAnsi="Arial"/>
          <w:sz w:val="16"/>
          <w:szCs w:val="16"/>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57" w:name="page158"/>
    <w:bookmarkEnd w:id="157"/>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FOR THE PERIOD FROM JUNE 23, 2020 (INCEPTION) 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48"/>
        </w:trPr>
        <w:tc>
          <w:tcPr>
            <w:tcW w:w="3620" w:type="dxa"/>
            <w:vAlign w:val="bottom"/>
          </w:tcPr>
          <w:p>
            <w:pPr>
              <w:spacing w:after="0"/>
              <w:rPr>
                <w:sz w:val="21"/>
                <w:szCs w:val="21"/>
                <w:color w:val="auto"/>
              </w:rPr>
            </w:pPr>
          </w:p>
        </w:tc>
        <w:tc>
          <w:tcPr>
            <w:tcW w:w="256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3620" w:type="dxa"/>
            <w:vAlign w:val="bottom"/>
          </w:tcPr>
          <w:p>
            <w:pPr>
              <w:spacing w:after="0"/>
              <w:rPr>
                <w:sz w:val="19"/>
                <w:szCs w:val="19"/>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Sponsor </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2,875,000</w:t>
            </w:r>
          </w:p>
        </w:tc>
        <w:tc>
          <w:tcPr>
            <w:tcW w:w="9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24,712</w:t>
            </w:r>
          </w:p>
        </w:tc>
        <w:tc>
          <w:tcPr>
            <w:tcW w:w="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3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2,875,000</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24,712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8" w:lineRule="auto"/>
        <w:tabs>
          <w:tab w:leader="none" w:pos="221" w:val="left"/>
        </w:tabs>
        <w:numPr>
          <w:ilvl w:val="0"/>
          <w:numId w:val="78"/>
        </w:numPr>
        <w:rPr>
          <w:rFonts w:ascii="Arial" w:cs="Arial" w:eastAsia="Arial" w:hAnsi="Arial"/>
          <w:sz w:val="26"/>
          <w:szCs w:val="26"/>
          <w:color w:val="auto"/>
          <w:vertAlign w:val="superscript"/>
        </w:rPr>
      </w:pPr>
      <w:r>
        <w:rPr>
          <w:rFonts w:ascii="Arial" w:cs="Arial" w:eastAsia="Arial" w:hAnsi="Arial"/>
          <w:sz w:val="16"/>
          <w:szCs w:val="16"/>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ind w:left="20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2020"/>
        <w:spacing w:after="0"/>
        <w:rPr>
          <w:sz w:val="20"/>
          <w:szCs w:val="20"/>
          <w:color w:val="auto"/>
        </w:rPr>
      </w:pPr>
      <w:r>
        <w:rPr>
          <w:rFonts w:ascii="Arial" w:cs="Arial" w:eastAsia="Arial" w:hAnsi="Arial"/>
          <w:sz w:val="17"/>
          <w:szCs w:val="17"/>
          <w:b w:val="1"/>
          <w:bCs w:val="1"/>
          <w:color w:val="auto"/>
        </w:rPr>
        <w:t>FOR THE PERIOD FROM JUNE 23, 2020 (INCEPTION) THROUGH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hanging="757"/>
        <w:spacing w:after="0"/>
        <w:tabs>
          <w:tab w:leader="none" w:pos="7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(1,000)</w:t>
      </w:r>
    </w:p>
    <w:p>
      <w:pPr>
        <w:spacing w:after="0" w:line="2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797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25,000</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31" w:lineRule="exact"/>
        <w:rPr>
          <w:sz w:val="20"/>
          <w:szCs w:val="20"/>
          <w:color w:val="auto"/>
        </w:rPr>
      </w:pPr>
    </w:p>
    <w:p>
      <w:pPr>
        <w:ind w:left="740" w:hanging="737"/>
        <w:spacing w:after="0"/>
        <w:tabs>
          <w:tab w:leader="none" w:pos="7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ectPr>
          <w:pgSz w:w="11900" w:h="16838" w:orient="portrait"/>
          <w:cols w:equalWidth="0" w:num="2">
            <w:col w:w="9280" w:space="620"/>
            <w:col w:w="1300"/>
          </w:cols>
          <w:pgMar w:left="320" w:top="688" w:right="379" w:bottom="1440" w:gutter="0" w:footer="0" w:header="0"/>
        </w:sectPr>
      </w:pPr>
    </w:p>
    <w:bookmarkStart w:id="159" w:name="page160"/>
    <w:bookmarkEnd w:id="15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June 23, 2020 (inception) through December 31, 2020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10,000,000 units (the “Units” and, with respect to the shares of common stock included in the Units being offered, the “Public Shares”) at $10.00 per Unit (or 11,500,000 Units if the underwriters’ over-allotment option is exercised in full), which is discussed in Note 3, and the sale of 3,700,000 warrants (the “Private Warrants”), at a price of $0.65 per Private Warrant, in a private placement to Chardan NexTech 2 Warrant Holdings LLC, an affiliate of Chardan NexTech Investments 2 LLC (the “Sponsor”), that will close simultaneously with the Proposed Public Offering.</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have until 24 months from the closing of the Proposed Public Offering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87" w:lineRule="auto"/>
        <w:tabs>
          <w:tab w:leader="none" w:pos="257" w:val="left"/>
        </w:tabs>
        <w:numPr>
          <w:ilvl w:val="0"/>
          <w:numId w:val="81"/>
        </w:numPr>
        <w:rPr>
          <w:rFonts w:ascii="Arial" w:cs="Arial" w:eastAsia="Arial" w:hAnsi="Arial"/>
          <w:sz w:val="16"/>
          <w:szCs w:val="16"/>
          <w:color w:val="auto"/>
        </w:rPr>
      </w:pPr>
      <w:r>
        <w:rPr>
          <w:rFonts w:ascii="Arial" w:cs="Arial" w:eastAsia="Arial" w:hAnsi="Arial"/>
          <w:sz w:val="16"/>
          <w:szCs w:val="16"/>
          <w:color w:val="auto"/>
        </w:rPr>
        <w:t>$10.00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our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6"/>
          <w:szCs w:val="16"/>
          <w:i w:val="1"/>
          <w:iCs w:val="1"/>
          <w:color w:val="auto"/>
        </w:rPr>
        <w:t>Disclosures of Uncertainties about an Entity’s Ability to Continue as a Going Concern</w:t>
      </w:r>
      <w:r>
        <w:rPr>
          <w:rFonts w:ascii="Arial" w:cs="Arial" w:eastAsia="Arial" w:hAnsi="Arial"/>
          <w:sz w:val="16"/>
          <w:szCs w:val="16"/>
          <w:color w:val="auto"/>
        </w:rPr>
        <w:t>, management has determined that the Company has access to funds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offering costs consist of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incurred, will be charged to operations. The Company did not have any deferred offering costs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complies with the accounting and reporting requirements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As of December 31, 2020, deferred taxes were de minimus.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6). At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fair value of the Company’s assets and liabilities, which qualify as financial instruments under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approximates the carrying amounts represented in the accompanying balance sheet, primarily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10,000,000 Units (or 11,500,000 Units if the underwriters’ over-allotment option is exercised in full) at a purchase price of $10.00 per Unit. Each Unit will consist of one share of common stock, $0.0001 par value, and one-third of one redeemable warrant ("Public Warrant"). Each whole Public Warrant will entitle the holder to purchase one share of common stock at an exercise price of $11.50 per whole share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Chardan NexTech 2 Warrant Holdings LLC has agreed to purchase an aggregate of 3,700,000 Private Warrants at a price of $0.65 per Private Warrant, for an aggregate purchase price of $2,405,000, in a private placement that will occur simultaneously with the closing of the Proposed Public Offering. Each of the Private Warrants is exercisable to purchase one share of common stock at a price of $11.50 per share, subject to adjustment (see Note 7).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Sponsor will own, on an as-converted basis, 20% of the Company’s issued and outstanding shares after the Proposed Public Offering (assuming the Sponsor does not purchase any Public Shares in the Proposed Public Offering).</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the Company officers and directors and other persons or entities affiliated with the Sponsor, each of whom will be subject to the same transfer restrictions) until the earlier of (A) one year after the completion of an initial Business Combination or (B) subsequent to an initial Business Combination, (x) if the last reported sale price of the Company's common stock equals or exceeds $12.00 per share (as adjusted for stock splits, stock dividends, reorganizations, recapitalizations and the like) for any 20 trading days within any 30-trading day period commencing at least 150 days after an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w:t>
      </w:r>
    </w:p>
    <w:p>
      <w:pPr>
        <w:ind w:left="280" w:hanging="272"/>
        <w:spacing w:after="0"/>
        <w:tabs>
          <w:tab w:leader="none" w:pos="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consummation of the Proposed Public Offering. As of December 31, 2020, there were no borrowings outstanding under the Promissory Note.</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2020, the Company had no outstanding related party loans.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underwriters will be entitled to a cash underwriting discount and qualified independent underwriter fees in the aggregate of $500,000. The aggregate amount of the fee paid to the underwriters and qualified independent underwriter will remain constant at $500,000, even if the over-allotment option is exercised. The Sponsor has committed to pay this fee on behalf of the Company and receive a non-interest bearing promissory note from the Company in exchange for the payment of such amount. The promissory note will be payable at the closing of the Business Combination.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At December 31, 2020, the Company had no authorized, issued, or outstanding shares of preferred stock. The Company intends to file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Amended and Restated Certificate of Incorporation prior to the closing date of the Proposed Public Offering such that the Company will be authorized to issue 1,000,000 shares of preferred stock with a par value of $0.0001 per share with such designations, voting and other rights and preferences as may be determined from time to time by the Company’s board of directors.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 shares of common stock with a par value of $0.0001 per share. At December 31,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Public Warrants </w:t>
      </w:r>
      <w:r>
        <w:rPr>
          <w:rFonts w:ascii="Arial" w:cs="Arial" w:eastAsia="Arial" w:hAnsi="Arial"/>
          <w:sz w:val="17"/>
          <w:szCs w:val="17"/>
          <w:color w:val="auto"/>
        </w:rPr>
        <w:t>—Each whole warrant entitles the registered holder to purchase one share of the Company's common stock at a price of $11.50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adjustment as discussed below, at any time commencing 30 days after the completion of a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The warrants will expire five years after the completion of a Business Combination, at 5:00 p.m., New York City time, or earlier upon redemption or liquidation. As of December 31, 2020, there were no warrants outstanding.</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the Company satisfying its obligations with respect to registration. No warrant will be exercisable and the Company will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not registering the shares of common stock issuable upon exercise of the warrants at this time. However, the Company has agreed that as soon as practicable, but in no event later than 15 business days after the closing of an initial Business Combination, the Company will use its commercially reasonable best efforts to file with the SEC a registration statement covering the shares of common stock issuable upon exercise of the warrants, to cause such registration statement to become effective within 60 business days after the closing of an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best efforts to register or qualify the shares under applicable blue sky laws to the extent an exemption is not available.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call the Public Warrants for redemption:</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the Company sends the notice of redemption to warrant holders.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 The Company will use commercially reasonable best efforts to register or qualify such shares of common stock under the blue sky laws of the state of residence in those states in which the warrants were offered by the Company.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or equity-linked securities for capital raising purposes in connection with the closing of an initial Business Combination (not including any securities to be issued in connection with the forward purchase agreement to be entered into with the Company's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an initial Business Combination on the date of the consummation of an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the Company to consummate an initial Business Combination with a target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Private Warrants </w:t>
      </w:r>
      <w:r>
        <w:rPr>
          <w:rFonts w:ascii="Arial" w:cs="Arial" w:eastAsia="Arial" w:hAnsi="Arial"/>
          <w:sz w:val="18"/>
          <w:szCs w:val="18"/>
          <w:color w:val="auto"/>
        </w:rPr>
        <w:t>— The Private Warrants will be identical to the Public Warrants underlying the Units being sold in the Proposed Public Offering,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Private Warrants (including the common stock issuable upon exercise of the Private Warrants) will not be transferable, assignable or salable until 30 days after the completion of an initial Business Combination (except, among limited exceptions, to the Company's officers and directors and other persons or entities affiliated with the Sponsor) and they will not be redeemable by the Company so long as they are held by the Sponsor or its permitted transferees. The Sponsor, or its permitted transferees, has the option to exercise the Private Warrants on a cashless basis. If the Private Warrants are held by holders other than the Sponsor or its permitted transferees, the Private Warrants will be redeemable by the Company and exercisable by the holders on the same basis as the warrants included in the units being sold in the Proposed Public Offering. As of December 31, 2020, there were no private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8,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All share and per-share amounts have been retroactively restated to reflect the stock split.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Chardan NexTech Acquisition 2 Corp.</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07"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3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SEC Registration Fee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17,356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Transfer agent</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102,282</w:t>
            </w: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left="980" w:hanging="324"/>
        <w:spacing w:after="0" w:line="287"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left="324" w:hanging="324"/>
        <w:spacing w:after="0" w:line="288" w:lineRule="auto"/>
        <w:tabs>
          <w:tab w:leader="none" w:pos="324"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6"/>
          <w:szCs w:val="16"/>
          <w:color w:val="auto"/>
        </w:rPr>
      </w:pPr>
    </w:p>
    <w:p>
      <w:pPr>
        <w:jc w:val="both"/>
        <w:ind w:left="324" w:hanging="324"/>
        <w:spacing w:after="0" w:line="311" w:lineRule="auto"/>
        <w:tabs>
          <w:tab w:leader="none" w:pos="324"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jc w:val="both"/>
        <w:ind w:left="324" w:hanging="324"/>
        <w:spacing w:after="0" w:line="272" w:lineRule="auto"/>
        <w:tabs>
          <w:tab w:leader="none" w:pos="324"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jc w:val="both"/>
        <w:ind w:left="324" w:hanging="324"/>
        <w:spacing w:after="0" w:line="296" w:lineRule="auto"/>
        <w:tabs>
          <w:tab w:leader="none" w:pos="324" w:val="left"/>
        </w:tabs>
        <w:numPr>
          <w:ilvl w:val="0"/>
          <w:numId w:val="85"/>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jc w:val="both"/>
        <w:ind w:left="324" w:hanging="324"/>
        <w:spacing w:after="0" w:line="271" w:lineRule="auto"/>
        <w:tabs>
          <w:tab w:leader="none" w:pos="32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jc w:val="both"/>
        <w:ind w:left="324" w:hanging="324"/>
        <w:spacing w:after="0" w:line="257" w:lineRule="auto"/>
        <w:tabs>
          <w:tab w:leader="none" w:pos="3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4" w:name="page175"/>
    <w:bookmarkEnd w:id="174"/>
    <w:p>
      <w:pPr>
        <w:jc w:val="both"/>
        <w:ind w:left="980" w:hanging="324"/>
        <w:spacing w:after="0" w:line="254"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94"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48"/>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9"/>
          </w:tcPr>
          <w:p>
            <w:pPr>
              <w:ind w:left="20"/>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3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41"/>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169"/>
        </w:trPr>
        <w:tc>
          <w:tcPr>
            <w:tcW w:w="520" w:type="dxa"/>
            <w:vAlign w:val="bottom"/>
            <w:gridSpan w:val="4"/>
            <w:shd w:val="clear" w:color="auto" w:fill="CCEEFF"/>
          </w:tcPr>
          <w:p>
            <w:pPr>
              <w:ind w:left="120"/>
              <w:spacing w:after="0" w:line="169" w:lineRule="exact"/>
              <w:rPr>
                <w:rFonts w:ascii="Arial" w:cs="Arial" w:eastAsia="Arial" w:hAnsi="Arial"/>
                <w:sz w:val="18"/>
                <w:szCs w:val="18"/>
                <w:color w:val="0000EE"/>
                <w:w w:val="97"/>
              </w:rPr>
            </w:pPr>
            <w:hyperlink w:anchor="page182">
              <w:r>
                <w:rPr>
                  <w:rFonts w:ascii="Arial" w:cs="Arial" w:eastAsia="Arial" w:hAnsi="Arial"/>
                  <w:sz w:val="18"/>
                  <w:szCs w:val="18"/>
                  <w:color w:val="0000EE"/>
                  <w:w w:val="97"/>
                </w:rPr>
                <w:t>1.</w:t>
              </w:r>
              <w:r>
                <w:rPr>
                  <w:rFonts w:ascii="Arial" w:cs="Arial" w:eastAsia="Arial" w:hAnsi="Arial"/>
                  <w:sz w:val="18"/>
                  <w:szCs w:val="18"/>
                  <w:u w:val="single" w:color="auto"/>
                  <w:color w:val="0000EE"/>
                  <w:w w:val="97"/>
                </w:rPr>
                <w:t>1**</w:t>
              </w:r>
            </w:hyperlink>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0" w:type="dxa"/>
            <w:vAlign w:val="bottom"/>
            <w:gridSpan w:val="32"/>
            <w:shd w:val="clear" w:color="auto" w:fill="CCEEFF"/>
          </w:tcPr>
          <w:p>
            <w:pPr>
              <w:ind w:left="20"/>
              <w:spacing w:after="0" w:line="169" w:lineRule="exact"/>
              <w:rPr>
                <w:rFonts w:ascii="Arial" w:cs="Arial" w:eastAsia="Arial" w:hAnsi="Arial"/>
                <w:sz w:val="18"/>
                <w:szCs w:val="18"/>
                <w:color w:val="0000EE"/>
              </w:rPr>
            </w:pPr>
            <w:hyperlink w:anchor="page182">
              <w:r>
                <w:rPr>
                  <w:rFonts w:ascii="Arial" w:cs="Arial" w:eastAsia="Arial" w:hAnsi="Arial"/>
                  <w:sz w:val="18"/>
                  <w:szCs w:val="18"/>
                  <w:color w:val="0000EE"/>
                </w:rPr>
                <w:t>Form of Underwriting Agreement.</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520" w:type="dxa"/>
            <w:vAlign w:val="bottom"/>
            <w:gridSpan w:val="4"/>
          </w:tcPr>
          <w:p>
            <w:pPr>
              <w:ind w:left="120"/>
              <w:spacing w:after="0" w:line="176" w:lineRule="exact"/>
              <w:rPr>
                <w:rFonts w:ascii="Arial" w:cs="Arial" w:eastAsia="Arial" w:hAnsi="Arial"/>
                <w:sz w:val="18"/>
                <w:szCs w:val="18"/>
                <w:color w:val="0000EE"/>
                <w:w w:val="97"/>
              </w:rPr>
            </w:pPr>
            <w:hyperlink w:anchor="page223">
              <w:r>
                <w:rPr>
                  <w:rFonts w:ascii="Arial" w:cs="Arial" w:eastAsia="Arial" w:hAnsi="Arial"/>
                  <w:sz w:val="18"/>
                  <w:szCs w:val="18"/>
                  <w:color w:val="0000EE"/>
                  <w:w w:val="97"/>
                </w:rPr>
                <w:t>1.</w:t>
              </w:r>
              <w:r>
                <w:rPr>
                  <w:rFonts w:ascii="Arial" w:cs="Arial" w:eastAsia="Arial" w:hAnsi="Arial"/>
                  <w:sz w:val="18"/>
                  <w:szCs w:val="18"/>
                  <w:u w:val="single" w:color="auto"/>
                  <w:color w:val="0000EE"/>
                  <w:w w:val="97"/>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223">
              <w:r>
                <w:rPr>
                  <w:rFonts w:ascii="Arial" w:cs="Arial" w:eastAsia="Arial" w:hAnsi="Arial"/>
                  <w:sz w:val="18"/>
                  <w:szCs w:val="18"/>
                  <w:color w:val="0000EE"/>
                </w:rPr>
                <w:t>Form of Business Combination Marketing Agreement by and between the Registrant and Chardan Capital Markets LLC.</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480" w:type="dxa"/>
            <w:vAlign w:val="bottom"/>
            <w:gridSpan w:val="3"/>
            <w:shd w:val="clear" w:color="auto" w:fill="CCEEFF"/>
          </w:tcPr>
          <w:p>
            <w:pPr>
              <w:ind w:left="120"/>
              <w:spacing w:after="0" w:line="176" w:lineRule="exact"/>
              <w:rPr>
                <w:rFonts w:ascii="Arial" w:cs="Arial" w:eastAsia="Arial" w:hAnsi="Arial"/>
                <w:sz w:val="18"/>
                <w:szCs w:val="18"/>
                <w:color w:val="0000EE"/>
              </w:rPr>
            </w:pPr>
            <w:hyperlink r:id="rId219">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r:id="rId219">
              <w:r>
                <w:rPr>
                  <w:rFonts w:ascii="Arial" w:cs="Arial" w:eastAsia="Arial" w:hAnsi="Arial"/>
                  <w:sz w:val="18"/>
                  <w:szCs w:val="18"/>
                  <w:color w:val="0000EE"/>
                </w:rPr>
                <w:t>Certificate of Incorporation.</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6"/>
        </w:trPr>
        <w:tc>
          <w:tcPr>
            <w:tcW w:w="480" w:type="dxa"/>
            <w:vAlign w:val="bottom"/>
            <w:gridSpan w:val="3"/>
          </w:tcPr>
          <w:p>
            <w:pPr>
              <w:ind w:left="120"/>
              <w:spacing w:after="0" w:line="176" w:lineRule="exact"/>
              <w:rPr>
                <w:rFonts w:ascii="Arial" w:cs="Arial" w:eastAsia="Arial" w:hAnsi="Arial"/>
                <w:sz w:val="18"/>
                <w:szCs w:val="18"/>
                <w:color w:val="0000EE"/>
              </w:rPr>
            </w:pPr>
            <w:hyperlink r:id="rId220">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r:id="rId220">
              <w:r>
                <w:rPr>
                  <w:rFonts w:ascii="Arial" w:cs="Arial" w:eastAsia="Arial" w:hAnsi="Arial"/>
                  <w:sz w:val="18"/>
                  <w:szCs w:val="18"/>
                  <w:color w:val="0000EE"/>
                </w:rPr>
                <w:t>Certificate of Amendment to the Certificate of Incorporation.</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520" w:type="dxa"/>
            <w:vAlign w:val="bottom"/>
            <w:gridSpan w:val="4"/>
            <w:shd w:val="clear" w:color="auto" w:fill="CCEEFF"/>
          </w:tcPr>
          <w:p>
            <w:pPr>
              <w:ind w:left="120"/>
              <w:spacing w:after="0" w:line="176" w:lineRule="exact"/>
              <w:rPr>
                <w:rFonts w:ascii="Arial" w:cs="Arial" w:eastAsia="Arial" w:hAnsi="Arial"/>
                <w:sz w:val="18"/>
                <w:szCs w:val="18"/>
                <w:color w:val="0000EE"/>
                <w:w w:val="97"/>
              </w:rPr>
            </w:pPr>
            <w:hyperlink w:anchor="page230">
              <w:r>
                <w:rPr>
                  <w:rFonts w:ascii="Arial" w:cs="Arial" w:eastAsia="Arial" w:hAnsi="Arial"/>
                  <w:sz w:val="18"/>
                  <w:szCs w:val="18"/>
                  <w:color w:val="0000EE"/>
                  <w:w w:val="97"/>
                </w:rPr>
                <w:t>3.</w:t>
              </w:r>
              <w:r>
                <w:rPr>
                  <w:rFonts w:ascii="Arial" w:cs="Arial" w:eastAsia="Arial" w:hAnsi="Arial"/>
                  <w:sz w:val="18"/>
                  <w:szCs w:val="18"/>
                  <w:u w:val="single" w:color="auto"/>
                  <w:color w:val="0000EE"/>
                  <w:w w:val="97"/>
                </w:rPr>
                <w:t>3**</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230">
              <w:r>
                <w:rPr>
                  <w:rFonts w:ascii="Arial" w:cs="Arial" w:eastAsia="Arial" w:hAnsi="Arial"/>
                  <w:sz w:val="18"/>
                  <w:szCs w:val="18"/>
                  <w:color w:val="0000EE"/>
                </w:rPr>
                <w:t>Form of Amended and Restated Certificate of Incorporation.</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480" w:type="dxa"/>
            <w:vAlign w:val="bottom"/>
            <w:gridSpan w:val="3"/>
          </w:tcPr>
          <w:p>
            <w:pPr>
              <w:ind w:left="120"/>
              <w:spacing w:after="0" w:line="176" w:lineRule="exact"/>
              <w:rPr>
                <w:rFonts w:ascii="Arial" w:cs="Arial" w:eastAsia="Arial" w:hAnsi="Arial"/>
                <w:sz w:val="18"/>
                <w:szCs w:val="18"/>
                <w:color w:val="0000EE"/>
              </w:rPr>
            </w:pPr>
            <w:hyperlink r:id="rId221">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r:id="rId221">
              <w:r>
                <w:rPr>
                  <w:rFonts w:ascii="Arial" w:cs="Arial" w:eastAsia="Arial" w:hAnsi="Arial"/>
                  <w:sz w:val="18"/>
                  <w:szCs w:val="18"/>
                  <w:color w:val="0000EE"/>
                </w:rPr>
                <w:t>Bylaws.</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520" w:type="dxa"/>
            <w:vAlign w:val="bottom"/>
            <w:gridSpan w:val="4"/>
            <w:shd w:val="clear" w:color="auto" w:fill="CCEEFF"/>
          </w:tcPr>
          <w:p>
            <w:pPr>
              <w:ind w:left="120"/>
              <w:spacing w:after="0" w:line="176" w:lineRule="exact"/>
              <w:rPr>
                <w:rFonts w:ascii="Arial" w:cs="Arial" w:eastAsia="Arial" w:hAnsi="Arial"/>
                <w:sz w:val="18"/>
                <w:szCs w:val="18"/>
                <w:color w:val="0000EE"/>
                <w:w w:val="97"/>
              </w:rPr>
            </w:pPr>
            <w:hyperlink w:anchor="page239">
              <w:r>
                <w:rPr>
                  <w:rFonts w:ascii="Arial" w:cs="Arial" w:eastAsia="Arial" w:hAnsi="Arial"/>
                  <w:sz w:val="18"/>
                  <w:szCs w:val="18"/>
                  <w:color w:val="0000EE"/>
                  <w:w w:val="97"/>
                </w:rPr>
                <w:t>4.</w:t>
              </w:r>
              <w:r>
                <w:rPr>
                  <w:rFonts w:ascii="Arial" w:cs="Arial" w:eastAsia="Arial" w:hAnsi="Arial"/>
                  <w:sz w:val="18"/>
                  <w:szCs w:val="18"/>
                  <w:u w:val="single" w:color="auto"/>
                  <w:color w:val="0000EE"/>
                  <w:w w:val="97"/>
                </w:rPr>
                <w:t>1**</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Specimen Unit Certificate.</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520" w:type="dxa"/>
            <w:vAlign w:val="bottom"/>
            <w:gridSpan w:val="4"/>
          </w:tcPr>
          <w:p>
            <w:pPr>
              <w:ind w:left="120"/>
              <w:spacing w:after="0" w:line="176" w:lineRule="exact"/>
              <w:rPr>
                <w:rFonts w:ascii="Arial" w:cs="Arial" w:eastAsia="Arial" w:hAnsi="Arial"/>
                <w:sz w:val="18"/>
                <w:szCs w:val="18"/>
                <w:color w:val="0000EE"/>
                <w:w w:val="97"/>
              </w:rPr>
            </w:pPr>
            <w:hyperlink w:anchor="page241">
              <w:r>
                <w:rPr>
                  <w:rFonts w:ascii="Arial" w:cs="Arial" w:eastAsia="Arial" w:hAnsi="Arial"/>
                  <w:sz w:val="18"/>
                  <w:szCs w:val="18"/>
                  <w:color w:val="0000EE"/>
                  <w:w w:val="97"/>
                </w:rPr>
                <w:t>4.</w:t>
              </w:r>
              <w:r>
                <w:rPr>
                  <w:rFonts w:ascii="Arial" w:cs="Arial" w:eastAsia="Arial" w:hAnsi="Arial"/>
                  <w:sz w:val="18"/>
                  <w:szCs w:val="18"/>
                  <w:u w:val="single" w:color="auto"/>
                  <w:color w:val="0000EE"/>
                  <w:w w:val="97"/>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241">
              <w:r>
                <w:rPr>
                  <w:rFonts w:ascii="Arial" w:cs="Arial" w:eastAsia="Arial" w:hAnsi="Arial"/>
                  <w:sz w:val="18"/>
                  <w:szCs w:val="18"/>
                  <w:color w:val="0000EE"/>
                </w:rPr>
                <w:t>Specimen Common Stock Certificate.</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6"/>
        </w:trPr>
        <w:tc>
          <w:tcPr>
            <w:tcW w:w="520" w:type="dxa"/>
            <w:vAlign w:val="bottom"/>
            <w:gridSpan w:val="4"/>
            <w:shd w:val="clear" w:color="auto" w:fill="CCEEFF"/>
          </w:tcPr>
          <w:p>
            <w:pPr>
              <w:ind w:left="120"/>
              <w:spacing w:after="0" w:line="176" w:lineRule="exact"/>
              <w:rPr>
                <w:rFonts w:ascii="Arial" w:cs="Arial" w:eastAsia="Arial" w:hAnsi="Arial"/>
                <w:sz w:val="18"/>
                <w:szCs w:val="18"/>
                <w:color w:val="0000EE"/>
                <w:w w:val="97"/>
              </w:rPr>
            </w:pPr>
            <w:hyperlink w:anchor="page244">
              <w:r>
                <w:rPr>
                  <w:rFonts w:ascii="Arial" w:cs="Arial" w:eastAsia="Arial" w:hAnsi="Arial"/>
                  <w:sz w:val="18"/>
                  <w:szCs w:val="18"/>
                  <w:color w:val="0000EE"/>
                  <w:w w:val="97"/>
                </w:rPr>
                <w:t>4.</w:t>
              </w:r>
              <w:r>
                <w:rPr>
                  <w:rFonts w:ascii="Arial" w:cs="Arial" w:eastAsia="Arial" w:hAnsi="Arial"/>
                  <w:sz w:val="18"/>
                  <w:szCs w:val="18"/>
                  <w:u w:val="single" w:color="auto"/>
                  <w:color w:val="0000EE"/>
                  <w:w w:val="97"/>
                </w:rPr>
                <w:t>3**</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244">
              <w:r>
                <w:rPr>
                  <w:rFonts w:ascii="Arial" w:cs="Arial" w:eastAsia="Arial" w:hAnsi="Arial"/>
                  <w:sz w:val="18"/>
                  <w:szCs w:val="18"/>
                  <w:color w:val="0000EE"/>
                </w:rPr>
                <w:t>Specimen Warrant Certificate.</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20" w:type="dxa"/>
            <w:vAlign w:val="bottom"/>
            <w:gridSpan w:val="6"/>
          </w:tcPr>
          <w:p>
            <w:pPr>
              <w:ind w:left="120"/>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w:t>
              </w:r>
            </w:hyperlink>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Form of Warrant Agreement between Continental Stock Transfer &amp; Trust Company and the Registrant.</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620" w:type="dxa"/>
            <w:vAlign w:val="bottom"/>
            <w:gridSpan w:val="6"/>
            <w:shd w:val="clear" w:color="auto" w:fill="CCEEFF"/>
          </w:tcPr>
          <w:p>
            <w:pPr>
              <w:ind w:left="120"/>
              <w:spacing w:after="0" w:line="176" w:lineRule="exact"/>
              <w:rPr>
                <w:rFonts w:ascii="Arial" w:cs="Arial" w:eastAsia="Arial" w:hAnsi="Arial"/>
                <w:sz w:val="18"/>
                <w:szCs w:val="18"/>
                <w:color w:val="0000EE"/>
              </w:rPr>
            </w:pPr>
            <w:hyperlink w:anchor="page261">
              <w:r>
                <w:rPr>
                  <w:rFonts w:ascii="Arial" w:cs="Arial" w:eastAsia="Arial" w:hAnsi="Arial"/>
                  <w:sz w:val="18"/>
                  <w:szCs w:val="18"/>
                  <w:color w:val="0000EE"/>
                </w:rPr>
                <w:t>5.</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w:t>
              </w:r>
            </w:hyperlink>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261">
              <w:r>
                <w:rPr>
                  <w:rFonts w:ascii="Arial" w:cs="Arial" w:eastAsia="Arial" w:hAnsi="Arial"/>
                  <w:sz w:val="18"/>
                  <w:szCs w:val="18"/>
                  <w:color w:val="0000EE"/>
                </w:rPr>
                <w:t>Form of Opinion of Reed Smith LLP.</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gridSpan w:val="7"/>
          </w:tcPr>
          <w:p>
            <w:pPr>
              <w:ind w:left="120"/>
              <w:spacing w:after="0" w:line="176" w:lineRule="exact"/>
              <w:rPr>
                <w:rFonts w:ascii="Arial" w:cs="Arial" w:eastAsia="Arial" w:hAnsi="Arial"/>
                <w:sz w:val="18"/>
                <w:szCs w:val="18"/>
                <w:color w:val="0000EE"/>
              </w:rPr>
            </w:pPr>
            <w:hyperlink w:anchor="page26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264">
              <w:r>
                <w:rPr>
                  <w:rFonts w:ascii="Arial" w:cs="Arial" w:eastAsia="Arial" w:hAnsi="Arial"/>
                  <w:sz w:val="18"/>
                  <w:szCs w:val="18"/>
                  <w:color w:val="0000EE"/>
                </w:rPr>
                <w:t>Form of Letter Agreement among the Registrant and the Company’s officers, directors and securityholders.</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rPr>
            </w:pPr>
            <w:hyperlink w:anchor="page27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w w:val="99"/>
              </w:rPr>
            </w:pPr>
            <w:hyperlink w:anchor="page271">
              <w:r>
                <w:rPr>
                  <w:rFonts w:ascii="Arial" w:cs="Arial" w:eastAsia="Arial" w:hAnsi="Arial"/>
                  <w:sz w:val="18"/>
                  <w:szCs w:val="18"/>
                  <w:color w:val="0000EE"/>
                  <w:w w:val="99"/>
                </w:rPr>
                <w:t>Form of Investment Management Trust Agreement between Continental Stock Transfer &amp; Trust Company and the Registrant.</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6"/>
        </w:trPr>
        <w:tc>
          <w:tcPr>
            <w:tcW w:w="660" w:type="dxa"/>
            <w:vAlign w:val="bottom"/>
            <w:gridSpan w:val="7"/>
          </w:tcPr>
          <w:p>
            <w:pPr>
              <w:ind w:left="120"/>
              <w:spacing w:after="0" w:line="176" w:lineRule="exact"/>
              <w:rPr>
                <w:rFonts w:ascii="Arial" w:cs="Arial" w:eastAsia="Arial" w:hAnsi="Arial"/>
                <w:sz w:val="18"/>
                <w:szCs w:val="18"/>
                <w:color w:val="0000EE"/>
              </w:rPr>
            </w:pPr>
            <w:hyperlink w:anchor="page281">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w w:val="99"/>
              </w:rPr>
            </w:pPr>
            <w:hyperlink w:anchor="page281">
              <w:r>
                <w:rPr>
                  <w:rFonts w:ascii="Arial" w:cs="Arial" w:eastAsia="Arial" w:hAnsi="Arial"/>
                  <w:sz w:val="18"/>
                  <w:szCs w:val="18"/>
                  <w:color w:val="0000EE"/>
                  <w:w w:val="99"/>
                </w:rPr>
                <w:t>Form of Escrow Agreement between the Registrant, Continental Stock Transfer &amp; Trust Company and the Initial Stockholders.</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rPr>
            </w:pPr>
            <w:hyperlink w:anchor="page29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290">
              <w:r>
                <w:rPr>
                  <w:rFonts w:ascii="Arial" w:cs="Arial" w:eastAsia="Arial" w:hAnsi="Arial"/>
                  <w:sz w:val="18"/>
                  <w:szCs w:val="18"/>
                  <w:color w:val="0000EE"/>
                </w:rPr>
                <w:t>Form of Registration Rights Agreement among the Registrant and the Initial Stockholders.</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gridSpan w:val="7"/>
          </w:tcPr>
          <w:p>
            <w:pPr>
              <w:ind w:left="120"/>
              <w:spacing w:after="0" w:line="176" w:lineRule="exact"/>
              <w:rPr>
                <w:rFonts w:ascii="Arial" w:cs="Arial" w:eastAsia="Arial" w:hAnsi="Arial"/>
                <w:sz w:val="18"/>
                <w:szCs w:val="18"/>
                <w:color w:val="0000EE"/>
              </w:rPr>
            </w:pPr>
            <w:hyperlink w:anchor="page30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304">
              <w:r>
                <w:rPr>
                  <w:rFonts w:ascii="Arial" w:cs="Arial" w:eastAsia="Arial" w:hAnsi="Arial"/>
                  <w:sz w:val="18"/>
                  <w:szCs w:val="18"/>
                  <w:color w:val="0000EE"/>
                </w:rPr>
                <w:t>Form of Indemnity Agreement.</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6"/>
        </w:trPr>
        <w:tc>
          <w:tcPr>
            <w:tcW w:w="520" w:type="dxa"/>
            <w:vAlign w:val="bottom"/>
            <w:gridSpan w:val="4"/>
            <w:shd w:val="clear" w:color="auto" w:fill="CCEEFF"/>
          </w:tcPr>
          <w:p>
            <w:pPr>
              <w:ind w:left="120"/>
              <w:spacing w:after="0" w:line="17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6*</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w w:val="93"/>
              </w:rPr>
            </w:pPr>
            <w:hyperlink r:id="rId222">
              <w:r>
                <w:rPr>
                  <w:rFonts w:ascii="Arial" w:cs="Arial" w:eastAsia="Arial" w:hAnsi="Arial"/>
                  <w:sz w:val="18"/>
                  <w:szCs w:val="18"/>
                  <w:color w:val="0000EE"/>
                  <w:w w:val="93"/>
                </w:rPr>
                <w:t>Form of Subscription Agreement dated July 23, 2020, by and between the Registrant and Chardan NexTech 2 Warrant Holdings LLC.</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6"/>
        </w:trPr>
        <w:tc>
          <w:tcPr>
            <w:tcW w:w="520" w:type="dxa"/>
            <w:vAlign w:val="bottom"/>
            <w:gridSpan w:val="4"/>
          </w:tcPr>
          <w:p>
            <w:pPr>
              <w:ind w:left="120"/>
              <w:spacing w:after="0" w:line="17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7*</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r:id="rId223">
              <w:r>
                <w:rPr>
                  <w:rFonts w:ascii="Arial" w:cs="Arial" w:eastAsia="Arial" w:hAnsi="Arial"/>
                  <w:sz w:val="18"/>
                  <w:szCs w:val="18"/>
                  <w:color w:val="0000EE"/>
                </w:rPr>
                <w:t>Form of Promissory Note.</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rPr>
            </w:pPr>
            <w:hyperlink w:anchor="page318">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318">
              <w:r>
                <w:rPr>
                  <w:rFonts w:ascii="Arial" w:cs="Arial" w:eastAsia="Arial" w:hAnsi="Arial"/>
                  <w:sz w:val="18"/>
                  <w:szCs w:val="18"/>
                  <w:color w:val="0000EE"/>
                </w:rPr>
                <w:t>Administrative Services Agreement.</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gridSpan w:val="7"/>
          </w:tcPr>
          <w:p>
            <w:pPr>
              <w:ind w:left="120"/>
              <w:spacing w:after="0" w:line="176" w:lineRule="exact"/>
              <w:rPr>
                <w:rFonts w:ascii="Arial" w:cs="Arial" w:eastAsia="Arial" w:hAnsi="Arial"/>
                <w:sz w:val="18"/>
                <w:szCs w:val="18"/>
                <w:color w:val="0000EE"/>
              </w:rPr>
            </w:pPr>
            <w:hyperlink w:anchor="page319">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319">
              <w:r>
                <w:rPr>
                  <w:rFonts w:ascii="Arial" w:cs="Arial" w:eastAsia="Arial" w:hAnsi="Arial"/>
                  <w:sz w:val="18"/>
                  <w:szCs w:val="18"/>
                  <w:color w:val="0000EE"/>
                </w:rPr>
                <w:t>Private Placement Warrants Purchase Agreement.</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520" w:type="dxa"/>
            <w:vAlign w:val="bottom"/>
            <w:gridSpan w:val="4"/>
            <w:shd w:val="clear" w:color="auto" w:fill="CCEEFF"/>
          </w:tcPr>
          <w:p>
            <w:pPr>
              <w:ind w:left="120"/>
              <w:spacing w:after="0" w:line="176" w:lineRule="exact"/>
              <w:rPr>
                <w:rFonts w:ascii="Arial" w:cs="Arial" w:eastAsia="Arial" w:hAnsi="Arial"/>
                <w:sz w:val="18"/>
                <w:szCs w:val="18"/>
                <w:color w:val="0000EE"/>
              </w:rPr>
            </w:pPr>
            <w:hyperlink w:anchor="page322">
              <w:r>
                <w:rPr>
                  <w:rFonts w:ascii="Arial" w:cs="Arial" w:eastAsia="Arial" w:hAnsi="Arial"/>
                  <w:sz w:val="18"/>
                  <w:szCs w:val="18"/>
                  <w:color w:val="0000EE"/>
                </w:rPr>
                <w:t>14**</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322">
              <w:r>
                <w:rPr>
                  <w:rFonts w:ascii="Arial" w:cs="Arial" w:eastAsia="Arial" w:hAnsi="Arial"/>
                  <w:sz w:val="18"/>
                  <w:szCs w:val="18"/>
                  <w:color w:val="0000EE"/>
                </w:rPr>
                <w:t>Form of Code of Ethics.</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gridSpan w:val="7"/>
          </w:tcPr>
          <w:p>
            <w:pPr>
              <w:ind w:left="120"/>
              <w:spacing w:after="0" w:line="176" w:lineRule="exact"/>
              <w:rPr>
                <w:rFonts w:ascii="Arial" w:cs="Arial" w:eastAsia="Arial" w:hAnsi="Arial"/>
                <w:sz w:val="18"/>
                <w:szCs w:val="18"/>
                <w:color w:val="0000EE"/>
              </w:rPr>
            </w:pPr>
            <w:hyperlink w:anchor="page326">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326">
              <w:r>
                <w:rPr>
                  <w:rFonts w:ascii="Arial" w:cs="Arial" w:eastAsia="Arial" w:hAnsi="Arial"/>
                  <w:sz w:val="18"/>
                  <w:szCs w:val="18"/>
                  <w:color w:val="0000EE"/>
                </w:rPr>
                <w:t>Consent of WithimSmith+Brown, PC.</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w w:val="96"/>
              </w:rPr>
            </w:pPr>
            <w:hyperlink w:anchor="page261">
              <w:r>
                <w:rPr>
                  <w:rFonts w:ascii="Arial" w:cs="Arial" w:eastAsia="Arial" w:hAnsi="Arial"/>
                  <w:sz w:val="18"/>
                  <w:szCs w:val="18"/>
                  <w:color w:val="0000EE"/>
                  <w:w w:val="96"/>
                </w:rPr>
                <w:t>23.</w:t>
              </w:r>
              <w:r>
                <w:rPr>
                  <w:rFonts w:ascii="Arial" w:cs="Arial" w:eastAsia="Arial" w:hAnsi="Arial"/>
                  <w:sz w:val="18"/>
                  <w:szCs w:val="18"/>
                  <w:u w:val="single" w:color="auto"/>
                  <w:color w:val="0000EE"/>
                  <w:w w:val="96"/>
                </w:rPr>
                <w:t>2</w:t>
              </w:r>
              <w:r>
                <w:rPr>
                  <w:rFonts w:ascii="Arial" w:cs="Arial" w:eastAsia="Arial" w:hAnsi="Arial"/>
                  <w:sz w:val="18"/>
                  <w:szCs w:val="18"/>
                  <w:color w:val="0000EE"/>
                  <w:w w:val="96"/>
                </w:rPr>
                <w:t xml:space="preserve"> **</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261">
              <w:r>
                <w:rPr>
                  <w:rFonts w:ascii="Arial" w:cs="Arial" w:eastAsia="Arial" w:hAnsi="Arial"/>
                  <w:sz w:val="18"/>
                  <w:szCs w:val="18"/>
                  <w:color w:val="0000EE"/>
                </w:rPr>
                <w:t>Consent of Reed Smith LLP (included in Exhibit 5.1).</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520" w:type="dxa"/>
            <w:vAlign w:val="bottom"/>
            <w:gridSpan w:val="4"/>
          </w:tcPr>
          <w:p>
            <w:pPr>
              <w:ind w:left="120"/>
              <w:spacing w:after="0" w:line="176" w:lineRule="exact"/>
              <w:rPr>
                <w:rFonts w:ascii="Arial" w:cs="Arial" w:eastAsia="Arial" w:hAnsi="Arial"/>
                <w:sz w:val="18"/>
                <w:szCs w:val="18"/>
                <w:color w:val="0000EE"/>
              </w:rPr>
            </w:pPr>
            <w:hyperlink r:id="rId224">
              <w:r>
                <w:rPr>
                  <w:rFonts w:ascii="Arial" w:cs="Arial" w:eastAsia="Arial" w:hAnsi="Arial"/>
                  <w:sz w:val="18"/>
                  <w:szCs w:val="18"/>
                  <w:color w:val="0000EE"/>
                </w:rPr>
                <w:t>24**</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r:id="rId224">
              <w:r>
                <w:rPr>
                  <w:rFonts w:ascii="Arial" w:cs="Arial" w:eastAsia="Arial" w:hAnsi="Arial"/>
                  <w:sz w:val="18"/>
                  <w:szCs w:val="18"/>
                  <w:color w:val="0000EE"/>
                </w:rPr>
                <w:t>Power of Attorney (included on the signature page of the original filing hereof).</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rPr>
            </w:pPr>
            <w:hyperlink w:anchor="page327">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327">
              <w:r>
                <w:rPr>
                  <w:rFonts w:ascii="Arial" w:cs="Arial" w:eastAsia="Arial" w:hAnsi="Arial"/>
                  <w:sz w:val="18"/>
                  <w:szCs w:val="18"/>
                  <w:color w:val="0000EE"/>
                </w:rPr>
                <w:t>Audit Committee Charter.</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gridSpan w:val="7"/>
          </w:tcPr>
          <w:p>
            <w:pPr>
              <w:ind w:left="120"/>
              <w:spacing w:after="0" w:line="176" w:lineRule="exact"/>
              <w:rPr>
                <w:rFonts w:ascii="Arial" w:cs="Arial" w:eastAsia="Arial" w:hAnsi="Arial"/>
                <w:sz w:val="18"/>
                <w:szCs w:val="18"/>
                <w:color w:val="0000EE"/>
              </w:rPr>
            </w:pPr>
            <w:hyperlink w:anchor="page332">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332">
              <w:r>
                <w:rPr>
                  <w:rFonts w:ascii="Arial" w:cs="Arial" w:eastAsia="Arial" w:hAnsi="Arial"/>
                  <w:sz w:val="18"/>
                  <w:szCs w:val="18"/>
                  <w:color w:val="0000EE"/>
                </w:rPr>
                <w:t>Compensation Committee Charter.</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6"/>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rPr>
            </w:pPr>
            <w:hyperlink w:anchor="page335">
              <w:r>
                <w:rPr>
                  <w:rFonts w:ascii="Arial" w:cs="Arial" w:eastAsia="Arial" w:hAnsi="Arial"/>
                  <w:sz w:val="18"/>
                  <w:szCs w:val="18"/>
                  <w:color w:val="0000EE"/>
                </w:rPr>
                <w:t>99.</w:t>
              </w:r>
              <w:r>
                <w:rPr>
                  <w:rFonts w:ascii="Arial" w:cs="Arial" w:eastAsia="Arial" w:hAnsi="Arial"/>
                  <w:sz w:val="18"/>
                  <w:szCs w:val="18"/>
                  <w:u w:val="single" w:color="auto"/>
                  <w:color w:val="0000EE"/>
                </w:rPr>
                <w:t>3**</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335">
              <w:r>
                <w:rPr>
                  <w:rFonts w:ascii="Arial" w:cs="Arial" w:eastAsia="Arial" w:hAnsi="Arial"/>
                  <w:sz w:val="18"/>
                  <w:szCs w:val="18"/>
                  <w:color w:val="0000EE"/>
                </w:rPr>
                <w:t>Consent of Jonathan Biele.</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gridSpan w:val="7"/>
          </w:tcPr>
          <w:p>
            <w:pPr>
              <w:ind w:left="120"/>
              <w:spacing w:after="0" w:line="176" w:lineRule="exact"/>
              <w:rPr>
                <w:rFonts w:ascii="Arial" w:cs="Arial" w:eastAsia="Arial" w:hAnsi="Arial"/>
                <w:sz w:val="18"/>
                <w:szCs w:val="18"/>
                <w:color w:val="0000EE"/>
              </w:rPr>
            </w:pPr>
            <w:hyperlink w:anchor="page336">
              <w:r>
                <w:rPr>
                  <w:rFonts w:ascii="Arial" w:cs="Arial" w:eastAsia="Arial" w:hAnsi="Arial"/>
                  <w:sz w:val="18"/>
                  <w:szCs w:val="18"/>
                  <w:color w:val="0000EE"/>
                </w:rPr>
                <w:t>99.</w:t>
              </w:r>
              <w:r>
                <w:rPr>
                  <w:rFonts w:ascii="Arial" w:cs="Arial" w:eastAsia="Arial" w:hAnsi="Arial"/>
                  <w:sz w:val="18"/>
                  <w:szCs w:val="18"/>
                  <w:u w:val="single" w:color="auto"/>
                  <w:color w:val="0000EE"/>
                </w:rPr>
                <w:t>4**</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336">
              <w:r>
                <w:rPr>
                  <w:rFonts w:ascii="Arial" w:cs="Arial" w:eastAsia="Arial" w:hAnsi="Arial"/>
                  <w:sz w:val="18"/>
                  <w:szCs w:val="18"/>
                  <w:color w:val="0000EE"/>
                </w:rPr>
                <w:t>Consent of Perry Boyle.</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6"/>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rPr>
            </w:pPr>
            <w:hyperlink w:anchor="page337">
              <w:r>
                <w:rPr>
                  <w:rFonts w:ascii="Arial" w:cs="Arial" w:eastAsia="Arial" w:hAnsi="Arial"/>
                  <w:sz w:val="18"/>
                  <w:szCs w:val="18"/>
                  <w:color w:val="0000EE"/>
                </w:rPr>
                <w:t>99.</w:t>
              </w:r>
              <w:r>
                <w:rPr>
                  <w:rFonts w:ascii="Arial" w:cs="Arial" w:eastAsia="Arial" w:hAnsi="Arial"/>
                  <w:sz w:val="18"/>
                  <w:szCs w:val="18"/>
                  <w:u w:val="single" w:color="auto"/>
                  <w:color w:val="0000EE"/>
                </w:rPr>
                <w:t>5**</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337">
              <w:r>
                <w:rPr>
                  <w:rFonts w:ascii="Arial" w:cs="Arial" w:eastAsia="Arial" w:hAnsi="Arial"/>
                  <w:sz w:val="18"/>
                  <w:szCs w:val="18"/>
                  <w:color w:val="0000EE"/>
                </w:rPr>
                <w:t>Consent of Roderick Hardamon.</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175"/>
        </w:trPr>
        <w:tc>
          <w:tcPr>
            <w:tcW w:w="660" w:type="dxa"/>
            <w:vAlign w:val="bottom"/>
            <w:gridSpan w:val="7"/>
          </w:tcPr>
          <w:p>
            <w:pPr>
              <w:ind w:left="120"/>
              <w:spacing w:after="0" w:line="176" w:lineRule="exact"/>
              <w:rPr>
                <w:rFonts w:ascii="Arial" w:cs="Arial" w:eastAsia="Arial" w:hAnsi="Arial"/>
                <w:sz w:val="18"/>
                <w:szCs w:val="18"/>
                <w:color w:val="0000EE"/>
              </w:rPr>
            </w:pPr>
            <w:hyperlink w:anchor="page338">
              <w:r>
                <w:rPr>
                  <w:rFonts w:ascii="Arial" w:cs="Arial" w:eastAsia="Arial" w:hAnsi="Arial"/>
                  <w:sz w:val="18"/>
                  <w:szCs w:val="18"/>
                  <w:color w:val="0000EE"/>
                </w:rPr>
                <w:t>99.</w:t>
              </w:r>
              <w:r>
                <w:rPr>
                  <w:rFonts w:ascii="Arial" w:cs="Arial" w:eastAsia="Arial" w:hAnsi="Arial"/>
                  <w:sz w:val="18"/>
                  <w:szCs w:val="18"/>
                  <w:u w:val="single" w:color="auto"/>
                  <w:color w:val="0000EE"/>
                </w:rPr>
                <w:t>6**</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2"/>
          </w:tcPr>
          <w:p>
            <w:pPr>
              <w:ind w:left="20"/>
              <w:spacing w:after="0" w:line="176" w:lineRule="exact"/>
              <w:rPr>
                <w:rFonts w:ascii="Arial" w:cs="Arial" w:eastAsia="Arial" w:hAnsi="Arial"/>
                <w:sz w:val="18"/>
                <w:szCs w:val="18"/>
                <w:color w:val="0000EE"/>
              </w:rPr>
            </w:pPr>
            <w:hyperlink w:anchor="page338">
              <w:r>
                <w:rPr>
                  <w:rFonts w:ascii="Arial" w:cs="Arial" w:eastAsia="Arial" w:hAnsi="Arial"/>
                  <w:sz w:val="18"/>
                  <w:szCs w:val="18"/>
                  <w:color w:val="0000EE"/>
                </w:rPr>
                <w:t>Consent of Jory Des Jardins.</w:t>
              </w:r>
            </w:hyperlink>
          </w:p>
        </w:tc>
      </w:tr>
      <w:tr>
        <w:trPr>
          <w:trHeight w:val="61"/>
        </w:trPr>
        <w:tc>
          <w:tcPr>
            <w:tcW w:w="1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175"/>
        </w:trPr>
        <w:tc>
          <w:tcPr>
            <w:tcW w:w="660" w:type="dxa"/>
            <w:vAlign w:val="bottom"/>
            <w:gridSpan w:val="7"/>
            <w:shd w:val="clear" w:color="auto" w:fill="CCEEFF"/>
          </w:tcPr>
          <w:p>
            <w:pPr>
              <w:ind w:left="120"/>
              <w:spacing w:after="0" w:line="176" w:lineRule="exact"/>
              <w:rPr>
                <w:rFonts w:ascii="Arial" w:cs="Arial" w:eastAsia="Arial" w:hAnsi="Arial"/>
                <w:sz w:val="18"/>
                <w:szCs w:val="18"/>
                <w:color w:val="0000EE"/>
              </w:rPr>
            </w:pPr>
            <w:hyperlink w:anchor="page339">
              <w:r>
                <w:rPr>
                  <w:rFonts w:ascii="Arial" w:cs="Arial" w:eastAsia="Arial" w:hAnsi="Arial"/>
                  <w:sz w:val="18"/>
                  <w:szCs w:val="18"/>
                  <w:color w:val="0000EE"/>
                </w:rPr>
                <w:t>99.</w:t>
              </w:r>
              <w:r>
                <w:rPr>
                  <w:rFonts w:ascii="Arial" w:cs="Arial" w:eastAsia="Arial" w:hAnsi="Arial"/>
                  <w:sz w:val="18"/>
                  <w:szCs w:val="18"/>
                  <w:u w:val="single" w:color="auto"/>
                  <w:color w:val="0000EE"/>
                </w:rPr>
                <w:t>7**</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339">
              <w:r>
                <w:rPr>
                  <w:rFonts w:ascii="Arial" w:cs="Arial" w:eastAsia="Arial" w:hAnsi="Arial"/>
                  <w:sz w:val="18"/>
                  <w:szCs w:val="18"/>
                  <w:color w:val="0000EE"/>
                </w:rPr>
                <w:t>Consent of Todd Jacobson.</w:t>
              </w:r>
            </w:hyperlink>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r>
      <w:tr>
        <w:trPr>
          <w:trHeight w:val="270"/>
        </w:trPr>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69" w:lineRule="exact"/>
        <w:rPr>
          <w:sz w:val="20"/>
          <w:szCs w:val="20"/>
          <w:color w:val="auto"/>
        </w:rPr>
      </w:pPr>
    </w:p>
    <w:p>
      <w:pPr>
        <w:ind w:left="340" w:right="9400" w:hanging="8"/>
        <w:spacing w:after="0" w:line="623" w:lineRule="auto"/>
        <w:tabs>
          <w:tab w:leader="none" w:pos="664"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80" w:hanging="324"/>
        <w:spacing w:after="0" w:line="342" w:lineRule="auto"/>
        <w:tabs>
          <w:tab w:leader="none" w:pos="9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1620" w:hanging="316"/>
        <w:spacing w:after="0" w:line="290"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5" w:lineRule="exact"/>
        <w:rPr>
          <w:rFonts w:ascii="Arial" w:cs="Arial" w:eastAsia="Arial" w:hAnsi="Arial"/>
          <w:sz w:val="16"/>
          <w:szCs w:val="16"/>
          <w:color w:val="auto"/>
        </w:rPr>
      </w:pPr>
    </w:p>
    <w:p>
      <w:pPr>
        <w:jc w:val="both"/>
        <w:ind w:left="1620" w:hanging="316"/>
        <w:spacing w:after="0" w:line="275" w:lineRule="auto"/>
        <w:tabs>
          <w:tab w:leader="none" w:pos="16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2280" w:hanging="328"/>
        <w:spacing w:after="0" w:line="277" w:lineRule="auto"/>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1160" w:hanging="328"/>
        <w:spacing w:after="0" w:line="277" w:lineRule="auto"/>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60" w:hanging="328"/>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April, 2021.</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031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 Jonas Grossman</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Alex Weil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Position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
        </w:trPr>
        <w:tc>
          <w:tcPr>
            <w:tcW w:w="3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w:t>
            </w:r>
          </w:p>
        </w:tc>
        <w:tc>
          <w:tcPr>
            <w:tcW w:w="10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4"/>
              </w:rPr>
              <w:t>April 8, 2021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Secretary, Treasurer and Director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April 8, 2021</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471805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360" w:space="720"/>
            <w:col w:w="7160"/>
          </w:cols>
          <w:pgMar w:left="320" w:top="904" w:right="3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960" w:hanging="952"/>
        <w:spacing w:after="0"/>
        <w:tabs>
          <w:tab w:leader="none" w:pos="9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i w:val="1"/>
          <w:iCs w:val="1"/>
          <w:color w:val="auto"/>
        </w:rPr>
        <w:t>1.1.1 Purchase of Firm Units</w:t>
      </w:r>
      <w:r>
        <w:rPr>
          <w:rFonts w:ascii="Arial" w:cs="Arial" w:eastAsia="Arial" w:hAnsi="Arial"/>
          <w:sz w:val="16"/>
          <w:szCs w:val="16"/>
          <w:color w:val="auto"/>
        </w:rPr>
        <w:t>. On the basis of the representations and warranties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issue and sell, severally and not jointly, to the several Underwriters, an aggregate of 10,000,000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of $9.995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$9.995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one-third of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entitling the holder thereof to purchase one share of Common Stock. The shares of Common Stock and the Warrants included in the Firm Units will not be separately</w:t>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2" w:name="page183"/>
    <w:bookmarkEnd w:id="182"/>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whole Warrant entitles the holder to purchase one share of Common Stock at a price of $11.50 per share during the period commencing thirty</w:t>
      </w:r>
    </w:p>
    <w:p>
      <w:pPr>
        <w:spacing w:after="0" w:line="1" w:lineRule="exact"/>
        <w:rPr>
          <w:sz w:val="20"/>
          <w:szCs w:val="20"/>
          <w:color w:val="auto"/>
        </w:rPr>
      </w:pPr>
    </w:p>
    <w:p>
      <w:pPr>
        <w:jc w:val="both"/>
        <w:ind w:firstLine="8"/>
        <w:spacing w:after="0" w:line="269" w:lineRule="auto"/>
        <w:tabs>
          <w:tab w:leader="none" w:pos="364" w:val="left"/>
        </w:tabs>
        <w:numPr>
          <w:ilvl w:val="0"/>
          <w:numId w:val="91"/>
        </w:numPr>
        <w:rPr>
          <w:rFonts w:ascii="Arial" w:cs="Arial" w:eastAsia="Arial" w:hAnsi="Arial"/>
          <w:sz w:val="17"/>
          <w:szCs w:val="17"/>
          <w:color w:val="auto"/>
        </w:rPr>
      </w:pPr>
      <w:r>
        <w:rPr>
          <w:rFonts w:ascii="Arial" w:cs="Arial" w:eastAsia="Arial" w:hAnsi="Arial"/>
          <w:sz w:val="17"/>
          <w:szCs w:val="17"/>
          <w:color w:val="auto"/>
        </w:rPr>
        <w:t>days after the closing of a Business Combination (as defined below) and terminating on the fifth (5th) anniversary of the Effective Date.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share exchange, asset acquisition, stock purchase, recapitalization, reorganization or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7"/>
          <w:szCs w:val="17"/>
          <w:b w:val="1"/>
          <w:bCs w:val="1"/>
          <w:color w:val="auto"/>
        </w:rPr>
        <w:t>Business D</w:t>
      </w:r>
      <w:r>
        <w:rPr>
          <w:rFonts w:ascii="Arial" w:cs="Arial" w:eastAsia="Arial" w:hAnsi="Arial"/>
          <w:sz w:val="17"/>
          <w:szCs w:val="17"/>
          <w:color w:val="auto"/>
        </w:rPr>
        <w:t>ay” shall mean any day other than a Saturday, Sunday or any day on which national banks in New York, New York are not open for business.</w:t>
      </w:r>
    </w:p>
    <w:p>
      <w:pPr>
        <w:spacing w:after="0" w:line="18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Payment and Delivery. Delivery and payment for the Firm Units shall be made at 10:00 A.M., New York time, on the second</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(2</w:t>
      </w:r>
      <w:r>
        <w:rPr>
          <w:rFonts w:ascii="Arial" w:cs="Arial" w:eastAsia="Arial" w:hAnsi="Arial"/>
          <w:sz w:val="26"/>
          <w:szCs w:val="26"/>
          <w:i w:val="1"/>
          <w:iCs w:val="1"/>
          <w:color w:val="auto"/>
          <w:vertAlign w:val="superscript"/>
        </w:rPr>
        <w:t>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Payment for the Firm Units shall be made on the Closing Date at the Representative’s election by wire transfer in Federal (same day) funds or by certified or bank cashier’s check(s) in New York Clearing House funds. $100,000,000 ($115,000,000 if the Over-allotment Option (as defined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is exercised in full), or $10.00 per Unit, of the proceeds received by the Company for the Firm Units and from the Private Placement (as defined in </w:t>
      </w:r>
      <w:r>
        <w:rPr>
          <w:rFonts w:ascii="Arial" w:cs="Arial" w:eastAsia="Arial" w:hAnsi="Arial"/>
          <w:sz w:val="16"/>
          <w:szCs w:val="16"/>
          <w:u w:val="single" w:color="auto"/>
          <w:color w:val="auto"/>
        </w:rPr>
        <w:t>Section 1.4</w:t>
      </w:r>
      <w:r>
        <w:rPr>
          <w:rFonts w:ascii="Arial" w:cs="Arial" w:eastAsia="Arial" w:hAnsi="Arial"/>
          <w:sz w:val="16"/>
          <w:szCs w:val="16"/>
          <w:color w:val="auto"/>
        </w:rPr>
        <w:t>) shall be deposited in the trust account established by the Company for the benefit of the public stockholders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Continental Stock Transfer &amp; Trust Company. The proceeds (less commissions, expense allowance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1,500,000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1,500,000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Warrants included in the Units and the shares of Common Stock issuable upon exercise of such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will be $10.00 per Option Unit. The Option Units are to be offered initially to the public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price of $10.00 per Option Unit.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$10.00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1.3</w:t>
            </w:r>
          </w:p>
        </w:tc>
        <w:tc>
          <w:tcPr>
            <w:tcW w:w="972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9720" w:type="dxa"/>
            <w:vAlign w:val="bottom"/>
            <w:gridSpan w:val="3"/>
          </w:tcPr>
          <w:p>
            <w:pPr>
              <w:spacing w:after="0"/>
              <w:rPr>
                <w:sz w:val="20"/>
                <w:szCs w:val="20"/>
                <w:color w:val="auto"/>
              </w:rPr>
            </w:pPr>
            <w:r>
              <w:rPr>
                <w:rFonts w:ascii="Arial" w:cs="Arial" w:eastAsia="Arial" w:hAnsi="Arial"/>
                <w:sz w:val="18"/>
                <w:szCs w:val="18"/>
                <w:color w:val="auto"/>
                <w:w w:val="91"/>
              </w:rPr>
              <w:t>Private Placement. Simultaneously with the Closing, Chardan NexTech 2 Warrant Holdings LLC ("Holdings") shall purchase from the</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Company, pursuant to the Subscription Agreement (as defined in </w:t>
      </w:r>
      <w:r>
        <w:rPr>
          <w:rFonts w:ascii="Arial" w:cs="Arial" w:eastAsia="Arial" w:hAnsi="Arial"/>
          <w:sz w:val="17"/>
          <w:szCs w:val="17"/>
          <w:u w:val="single" w:color="auto"/>
          <w:color w:val="auto"/>
        </w:rPr>
        <w:t>Section 2.24.2</w:t>
      </w:r>
      <w:r>
        <w:rPr>
          <w:rFonts w:ascii="Arial" w:cs="Arial" w:eastAsia="Arial" w:hAnsi="Arial"/>
          <w:sz w:val="17"/>
          <w:szCs w:val="17"/>
          <w:color w:val="auto"/>
        </w:rPr>
        <w:t xml:space="preserve"> hereof) an aggregate of 3,700,000 warrants (the “</w:t>
      </w:r>
      <w:r>
        <w:rPr>
          <w:rFonts w:ascii="Arial" w:cs="Arial" w:eastAsia="Arial" w:hAnsi="Arial"/>
          <w:sz w:val="17"/>
          <w:szCs w:val="17"/>
          <w:b w:val="1"/>
          <w:bCs w:val="1"/>
          <w:color w:val="auto"/>
        </w:rPr>
        <w:t>Placement Warrants</w:t>
      </w:r>
      <w:r>
        <w:rPr>
          <w:rFonts w:ascii="Arial" w:cs="Arial" w:eastAsia="Arial" w:hAnsi="Arial"/>
          <w:sz w:val="17"/>
          <w:szCs w:val="17"/>
          <w:color w:val="auto"/>
        </w:rPr>
        <w:t>”) at a purchase price of $0.65 per Placement Warrant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The Placement Warrants and the shares of Common Stock underlying the Placement Warrants are hereinafter referred to collectively as the “</w:t>
      </w:r>
      <w:r>
        <w:rPr>
          <w:rFonts w:ascii="Arial" w:cs="Arial" w:eastAsia="Arial" w:hAnsi="Arial"/>
          <w:sz w:val="17"/>
          <w:szCs w:val="17"/>
          <w:b w:val="1"/>
          <w:bCs w:val="1"/>
          <w:color w:val="auto"/>
        </w:rPr>
        <w:t>Placement Securities</w:t>
      </w:r>
      <w:r>
        <w:rPr>
          <w:rFonts w:ascii="Arial" w:cs="Arial" w:eastAsia="Arial" w:hAnsi="Arial"/>
          <w:sz w:val="17"/>
          <w:szCs w:val="17"/>
          <w:color w:val="auto"/>
        </w:rPr>
        <w:t>,” and the Public Securities and the Placement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Each Placement Warrant shall be identical to the Warrants sold in the Offering except that the Placement Warrants (a) shall be non-redeemable by the Company, (b) may not, subject to certain limited exceptions, be transferred, assigned or sold by the initial purchaser until thirty (30) days after the completion of the Company’s initial business combination and (c)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hereof)). There will be no placement agent in the Private Placement and no party shall be entitled to a placement fee or expense allowance from the sale of the Placement Securities. Pursuant to Rule 5110(g)(1) of FINRA’s (as defined below) Rules, the Placement Warrants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Holdings,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 The Company hereby confirms its engagement of [●] (“</w:t>
      </w:r>
      <w:r>
        <w:rPr>
          <w:rFonts w:ascii="Arial" w:cs="Arial" w:eastAsia="Arial" w:hAnsi="Arial"/>
          <w:sz w:val="18"/>
          <w:szCs w:val="18"/>
          <w:b w:val="1"/>
          <w:bCs w:val="1"/>
          <w:color w:val="auto"/>
        </w:rPr>
        <w:t>[●]</w:t>
      </w:r>
      <w:r>
        <w:rPr>
          <w:rFonts w:ascii="Arial" w:cs="Arial" w:eastAsia="Arial" w:hAnsi="Arial"/>
          <w:sz w:val="18"/>
          <w:szCs w:val="18"/>
          <w:color w:val="auto"/>
        </w:rPr>
        <w:t>”) as, and [●] hereby confirms its agreement with the Company to render services as, the “qualified independent underwriter,” within the meaning of Rule 5121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with respect to the offering and sale of the Public Securities. [●], solely in its capacity as the qualified independent underwriter and not otherwise, is referred to herein as the “</w:t>
      </w:r>
      <w:r>
        <w:rPr>
          <w:rFonts w:ascii="Arial" w:cs="Arial" w:eastAsia="Arial" w:hAnsi="Arial"/>
          <w:sz w:val="18"/>
          <w:szCs w:val="18"/>
          <w:b w:val="1"/>
          <w:bCs w:val="1"/>
          <w:color w:val="auto"/>
        </w:rPr>
        <w:t>QIU</w:t>
      </w:r>
      <w:r>
        <w:rPr>
          <w:rFonts w:ascii="Arial" w:cs="Arial" w:eastAsia="Arial" w:hAnsi="Arial"/>
          <w:sz w:val="18"/>
          <w:szCs w:val="18"/>
          <w:color w:val="auto"/>
        </w:rPr>
        <w:t>.” As compensation for services rendered, on the Closing Date, the Company shall pay to the QIU, by wire transfer of immediately available funds on the Closing Date, a fee of $[100,000] from the total underwriting discount. [●] hereby consents to the reference to it as set forth under the heading “Underwriting (Conflicts of Interest)” in the Preliminary Prospectus and the Prospectus (as defined herein) and any amendment or supplement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5" w:name="page186"/>
    <w:bookmarkEnd w:id="185"/>
    <w:p>
      <w:pPr>
        <w:ind w:left="960" w:hanging="952"/>
        <w:spacing w:after="0"/>
        <w:tabs>
          <w:tab w:leader="none" w:pos="96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4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333-254010),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1296"/>
        <w:spacing w:after="0" w:line="259" w:lineRule="auto"/>
        <w:rPr>
          <w:sz w:val="20"/>
          <w:szCs w:val="20"/>
          <w:color w:val="auto"/>
        </w:rPr>
      </w:pPr>
      <w:r>
        <w:rPr>
          <w:rFonts w:ascii="Arial" w:cs="Arial" w:eastAsia="Arial" w:hAnsi="Arial"/>
          <w:sz w:val="18"/>
          <w:szCs w:val="18"/>
          <w:i w:val="1"/>
          <w:iCs w:val="1"/>
          <w:color w:val="auto"/>
        </w:rPr>
        <w:t>2.1.2 Pursuant to the Exchange Act</w:t>
      </w:r>
      <w:r>
        <w:rPr>
          <w:rFonts w:ascii="Arial" w:cs="Arial" w:eastAsia="Arial" w:hAnsi="Arial"/>
          <w:sz w:val="18"/>
          <w:szCs w:val="18"/>
          <w:color w:val="auto"/>
        </w:rPr>
        <w:t>. The Company has filed with the Commission a Form 8-A (Registration No. 001-[●]),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will be declared effective by the Commission on or prior to the Effective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(iii) the Underwriting subsection “Regulatory Restrictions on Purchase of Securities” and (iv) the Underwriting subsection “Resale Restrictions.”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Placement Securities</w:t>
      </w:r>
      <w:r>
        <w:rPr>
          <w:rFonts w:ascii="Arial" w:cs="Arial" w:eastAsia="Arial" w:hAnsi="Arial"/>
          <w:sz w:val="16"/>
          <w:szCs w:val="16"/>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i w:val="1"/>
          <w:iCs w:val="1"/>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stockholders immediately prior to the Offering (the “</w:t>
      </w:r>
      <w:r>
        <w:rPr>
          <w:rFonts w:ascii="Arial" w:cs="Arial" w:eastAsia="Arial" w:hAnsi="Arial"/>
          <w:sz w:val="17"/>
          <w:szCs w:val="17"/>
          <w:b w:val="1"/>
          <w:bCs w:val="1"/>
          <w:color w:val="auto"/>
        </w:rPr>
        <w:t>Initial Shareholders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has entered into a warrant agreement with respect to the Warrants and the Placement Warrants with Continental Stock Transfer &amp; Trust Company, substantially in the form filed as an exhibit to the Registration Statement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2.24.2 </w:t>
      </w:r>
      <w:r>
        <w:rPr>
          <w:rFonts w:ascii="Arial" w:cs="Arial" w:eastAsia="Arial" w:hAnsi="Arial"/>
          <w:sz w:val="17"/>
          <w:szCs w:val="17"/>
          <w:i w:val="1"/>
          <w:iCs w:val="1"/>
          <w:color w:val="auto"/>
        </w:rPr>
        <w:t>Subscription Agreements</w:t>
      </w:r>
      <w:r>
        <w:rPr>
          <w:rFonts w:ascii="Arial" w:cs="Arial" w:eastAsia="Arial" w:hAnsi="Arial"/>
          <w:sz w:val="17"/>
          <w:szCs w:val="17"/>
          <w:color w:val="auto"/>
        </w:rPr>
        <w:t>. Holdings has executed and delivered an agreement, the form of which is attached as an exhibit to the Registration Statement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pursuant to which Holdings, among other things, will purchase an aggregate of 3,700,000 Placement Warrants in the Private Placement. Pursuant to the Subscription Agreement, all of the proceeds from the sale of the Placement Warrants will be deposited by the Company in the Trust Account in accordance with the terms of the Trust Agreement prior to the Closing.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648"/>
        <w:spacing w:after="0" w:line="259"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The Business Combination Marketing Agreement</w:t>
      </w:r>
      <w:r>
        <w:rPr>
          <w:rFonts w:ascii="Arial" w:cs="Arial" w:eastAsia="Arial" w:hAnsi="Arial"/>
          <w:sz w:val="18"/>
          <w:szCs w:val="18"/>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8"/>
          <w:szCs w:val="18"/>
          <w:b w:val="1"/>
          <w:bCs w:val="1"/>
          <w:color w:val="auto"/>
        </w:rPr>
        <w:t>Business Combination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960" w:hanging="952"/>
        <w:spacing w:after="0"/>
        <w:tabs>
          <w:tab w:leader="none" w:pos="9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all reasonable efforts to cause the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4" w:lineRule="exact"/>
        <w:rPr>
          <w:sz w:val="20"/>
          <w:szCs w:val="20"/>
          <w:color w:val="auto"/>
        </w:rPr>
      </w:pPr>
    </w:p>
    <w:p>
      <w:pPr>
        <w:jc w:val="both"/>
        <w:ind w:firstLine="8"/>
        <w:spacing w:after="0" w:line="270" w:lineRule="auto"/>
        <w:tabs>
          <w:tab w:leader="none" w:pos="2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or another independent firm that commonly renders valuation opinions stating the Business Combination is fair to the Company’s shareholders from a financial perspective.</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The Company has entered into an administrative services agreement (the “Services Agreement”) with</w:t>
      </w:r>
    </w:p>
    <w:p>
      <w:pPr>
        <w:spacing w:after="0" w:line="23" w:lineRule="exact"/>
        <w:rPr>
          <w:sz w:val="20"/>
          <w:szCs w:val="20"/>
          <w:color w:val="auto"/>
        </w:rPr>
      </w:pPr>
    </w:p>
    <w:p>
      <w:pPr>
        <w:jc w:val="both"/>
        <w:ind w:firstLine="8"/>
        <w:spacing w:after="0" w:line="255" w:lineRule="auto"/>
        <w:tabs>
          <w:tab w:leader="none" w:pos="33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form filed as an exhibit to the Registration Statement pursuant to which the Company has made and will continue to make available to the Company general and administrative services including office space and utilities for the Company’s use for $10,000 per month until the consummation of a Business Combination.</w:t>
      </w:r>
    </w:p>
    <w:p>
      <w:pPr>
        <w:spacing w:after="0" w:line="19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Except (a) as set forth in the Registration Statement, the Preliminary Prospectus or the Prospectus or (b) as set forth in this </w:t>
      </w:r>
      <w:r>
        <w:rPr>
          <w:rFonts w:ascii="Arial" w:cs="Arial" w:eastAsia="Arial" w:hAnsi="Arial"/>
          <w:sz w:val="16"/>
          <w:szCs w:val="16"/>
          <w:u w:val="single" w:color="auto"/>
          <w:color w:val="auto"/>
        </w:rPr>
        <w:t>Section 3.5</w:t>
      </w:r>
      <w:r>
        <w:rPr>
          <w:rFonts w:ascii="Arial" w:cs="Arial" w:eastAsia="Arial" w:hAnsi="Arial"/>
          <w:sz w:val="16"/>
          <w:szCs w:val="16"/>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648"/>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i w:val="1"/>
          <w:iCs w:val="1"/>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right="20" w:firstLine="648"/>
        <w:spacing w:after="0" w:line="30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Disqualification of Form S-1</w:t>
      </w:r>
      <w:r>
        <w:rPr>
          <w:rFonts w:ascii="Arial" w:cs="Arial" w:eastAsia="Arial" w:hAnsi="Arial"/>
          <w:sz w:val="17"/>
          <w:szCs w:val="17"/>
          <w:color w:val="auto"/>
        </w:rPr>
        <w:t>. For a period equal to seven (7) years from the date hereof, the Company will not take any action or actions which may prevent or disqualify the Company’s use of Form S-1 (or other appropriate form) for the registration of the Warrants under the Act.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disbursements of the registrar and transfer and rights and warrant agent;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 (x) the preparation of leather bound volumes and lucite cube mementos in such quantities as the Underwriter may reasonably request and (xi)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the Underwriters have notified the Company about on or prior to the Closing Date.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left="66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ind w:firstLine="8"/>
        <w:spacing w:after="0" w:line="273" w:lineRule="auto"/>
        <w:tabs>
          <w:tab w:leader="none" w:pos="23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sz w:val="20"/>
          <w:szCs w:val="20"/>
          <w:color w:val="auto"/>
        </w:rPr>
      </w:pPr>
    </w:p>
    <w:p>
      <w:pPr>
        <w:ind w:firstLine="8"/>
        <w:spacing w:after="0" w:line="260" w:lineRule="auto"/>
        <w:tabs>
          <w:tab w:leader="none" w:pos="257" w:val="left"/>
        </w:tabs>
        <w:numPr>
          <w:ilvl w:val="0"/>
          <w:numId w:val="97"/>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right="2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stockholder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right="20" w:firstLine="648"/>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Placement Warrants outstanding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81" w:lineRule="auto"/>
        <w:tabs>
          <w:tab w:leader="none" w:pos="1106"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Underwriters’ Obligations</w:t>
      </w:r>
      <w:r>
        <w:rPr>
          <w:rFonts w:ascii="Arial" w:cs="Arial" w:eastAsia="Arial" w:hAnsi="Arial"/>
          <w:sz w:val="17"/>
          <w:szCs w:val="17"/>
          <w:color w:val="auto"/>
        </w:rPr>
        <w:t>. The obligations of the QIU and the several Underwriters to purchase and pay for the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Reed Smith LLP (“</w:t>
      </w:r>
      <w:r>
        <w:rPr>
          <w:rFonts w:ascii="Arial" w:cs="Arial" w:eastAsia="Arial" w:hAnsi="Arial"/>
          <w:sz w:val="16"/>
          <w:szCs w:val="16"/>
          <w:b w:val="1"/>
          <w:bCs w:val="1"/>
          <w:color w:val="auto"/>
        </w:rPr>
        <w:t>Reed Smith</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1296"/>
        <w:spacing w:after="0" w:line="31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Option Closing Date Opinion of Counsel</w:t>
      </w:r>
      <w:r>
        <w:rPr>
          <w:rFonts w:ascii="Arial" w:cs="Arial" w:eastAsia="Arial" w:hAnsi="Arial"/>
          <w:sz w:val="16"/>
          <w:szCs w:val="16"/>
          <w:color w:val="auto"/>
        </w:rPr>
        <w:t>. On each Option Closing Date, if any, the Representative shall have received the favorable opinion of Reed Smith, dated each Option Closing Date, addressed to the Representative and in form and substance reasonably satisfactory to counsel to the Representative, confirming as of each Option Closing Date, the statements made by Reed Smith in its opinion delivered on the Closing Date.</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stockholders’ equity of the Company as compared with amounts shown in the December 31,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June 23, 2020 (inception) to December 31, 2020 included in the Registration Statement and the Prospectus, or, if there was any such decrease, setting forth the amount of such decrease;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jc w:val="right"/>
        <w:spacing w:after="0"/>
        <w:tabs>
          <w:tab w:leader="none" w:pos="904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Statements as to such other matters incident to the transaction contemplated hereby as the Representative may reasonably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16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960" w:hanging="952"/>
        <w:spacing w:after="0"/>
        <w:tabs>
          <w:tab w:leader="none" w:pos="9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i w:val="1"/>
          <w:iCs w:val="1"/>
          <w:color w:val="auto"/>
        </w:rPr>
        <w:t>5.3.1 Contribution Rights</w:t>
      </w:r>
      <w:r>
        <w:rPr>
          <w:rFonts w:ascii="Arial" w:cs="Arial" w:eastAsia="Arial" w:hAnsi="Arial"/>
          <w:sz w:val="16"/>
          <w:szCs w:val="16"/>
          <w:color w:val="auto"/>
        </w:rPr>
        <w:t>. In order to provide for just and equitable contribution under the Act in any case in which: (i)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1296"/>
        <w:spacing w:after="0" w:line="269" w:lineRule="auto"/>
        <w:rPr>
          <w:sz w:val="20"/>
          <w:szCs w:val="20"/>
          <w:color w:val="auto"/>
        </w:rPr>
      </w:pPr>
      <w:r>
        <w:rPr>
          <w:rFonts w:ascii="Arial" w:cs="Arial" w:eastAsia="Arial" w:hAnsi="Arial"/>
          <w:sz w:val="17"/>
          <w:szCs w:val="17"/>
          <w:i w:val="1"/>
          <w:iCs w:val="1"/>
          <w:color w:val="auto"/>
        </w:rPr>
        <w:t>5.3.2 Contribution Procedure</w:t>
      </w:r>
      <w:r>
        <w:rPr>
          <w:rFonts w:ascii="Arial" w:cs="Arial" w:eastAsia="Arial" w:hAnsi="Arial"/>
          <w:sz w:val="17"/>
          <w:szCs w:val="17"/>
          <w:color w:val="auto"/>
        </w:rPr>
        <w:t>. Within fifteen (15) days after receipt by any party to this Agreement (or its representative) of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960" w:hanging="952"/>
        <w:spacing w:after="0"/>
        <w:tabs>
          <w:tab w:leader="none" w:pos="9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960" w:hanging="952"/>
        <w:spacing w:after="0"/>
        <w:tabs>
          <w:tab w:leader="none" w:pos="9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$100,000,000 for the benefit of the public stockholders,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$100,000,000 for the benefit of the public stockholders,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24 months from the Closing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xml:space="preserve">. The Company agrees that if the Firm Units are sold in accordance with the terms of this Underwriting Agreement, and for a period of twenty-four (24) months from the date of the consummation of a Business Combination, the Company shall grant the Representative a right of first refusal to act as a lead underwriter or co-manager with at least 30% of the economics, for any and all future public and private equity and debt offerings of the Company or any successor to or any subsidiary of the Company during such twenty-four (24) month period. The Representative’s failure to exercise its right of first refusal with respect to any particular proposal shall not affect its right of first refusal relative to future proposals. Notwithstanding the foregoing, the Representative’s right of first refusal under this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shall expire upon the third anniversary of the Effective Date.</w:t>
      </w:r>
    </w:p>
    <w:p>
      <w:pPr>
        <w:spacing w:after="0" w:line="191" w:lineRule="exact"/>
        <w:rPr>
          <w:sz w:val="20"/>
          <w:szCs w:val="20"/>
          <w:color w:val="auto"/>
        </w:rPr>
      </w:pPr>
    </w:p>
    <w:p>
      <w:pPr>
        <w:jc w:val="both"/>
        <w:ind w:firstLine="8"/>
        <w:spacing w:after="0" w:line="292" w:lineRule="auto"/>
        <w:tabs>
          <w:tab w:leader="none" w:pos="1309"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b w:val="1"/>
          <w:bCs w:val="1"/>
          <w:color w:val="auto"/>
        </w:rPr>
      </w:pPr>
    </w:p>
    <w:p>
      <w:pPr>
        <w:ind w:left="960" w:hanging="952"/>
        <w:spacing w:after="0"/>
        <w:tabs>
          <w:tab w:leader="none" w:pos="9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9460" w:type="dxa"/>
            <w:vAlign w:val="bottom"/>
            <w:gridSpan w:val="3"/>
          </w:tcPr>
          <w:p>
            <w:pPr>
              <w:jc w:val="right"/>
              <w:spacing w:after="0"/>
              <w:rPr>
                <w:sz w:val="20"/>
                <w:szCs w:val="20"/>
                <w:color w:val="auto"/>
              </w:rPr>
            </w:pPr>
            <w:r>
              <w:rPr>
                <w:rFonts w:ascii="Arial" w:cs="Arial" w:eastAsia="Arial" w:hAnsi="Arial"/>
                <w:sz w:val="18"/>
                <w:szCs w:val="18"/>
                <w:color w:val="auto"/>
                <w:w w:val="94"/>
              </w:rPr>
              <w:t>Effective Date. This Agreement shall become effective on the Effective Date at the time the Registration Statement is declared</w:t>
            </w:r>
          </w:p>
        </w:tc>
      </w:tr>
      <w:tr>
        <w:trPr>
          <w:trHeight w:val="20"/>
        </w:trPr>
        <w:tc>
          <w:tcPr>
            <w:tcW w:w="17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9120"/>
              <w:spacing w:after="0"/>
              <w:rPr>
                <w:sz w:val="20"/>
                <w:szCs w:val="20"/>
                <w:color w:val="auto"/>
              </w:rPr>
            </w:pPr>
            <w:r>
              <w:rPr>
                <w:rFonts w:ascii="Arial" w:cs="Arial" w:eastAsia="Arial" w:hAnsi="Arial"/>
                <w:sz w:val="18"/>
                <w:szCs w:val="18"/>
                <w:color w:val="auto"/>
                <w:w w:val="91"/>
              </w:rPr>
              <w:t>effective by the Commission.</w:t>
            </w:r>
          </w:p>
        </w:tc>
      </w:tr>
      <w:tr>
        <w:trPr>
          <w:trHeight w:val="392"/>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9.2</w:t>
            </w:r>
          </w:p>
        </w:tc>
        <w:tc>
          <w:tcPr>
            <w:tcW w:w="9560" w:type="dxa"/>
            <w:vAlign w:val="bottom"/>
            <w:gridSpan w:val="4"/>
          </w:tcPr>
          <w:p>
            <w:pPr>
              <w:jc w:val="right"/>
              <w:spacing w:after="0"/>
              <w:rPr>
                <w:sz w:val="20"/>
                <w:szCs w:val="20"/>
                <w:color w:val="auto"/>
              </w:rPr>
            </w:pPr>
            <w:r>
              <w:rPr>
                <w:rFonts w:ascii="Arial" w:cs="Arial" w:eastAsia="Arial" w:hAnsi="Arial"/>
                <w:sz w:val="18"/>
                <w:szCs w:val="18"/>
                <w:color w:val="auto"/>
                <w:w w:val="94"/>
              </w:rPr>
              <w:t>Termination. The Representative shall have the right to terminate this Agreement at any time prior to any Closing Date: (i) if any</w:t>
            </w:r>
          </w:p>
        </w:tc>
      </w:tr>
      <w:tr>
        <w:trPr>
          <w:trHeight w:val="20"/>
        </w:trPr>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2" w:lineRule="exact"/>
        <w:rPr>
          <w:sz w:val="20"/>
          <w:szCs w:val="20"/>
          <w:color w:val="auto"/>
        </w:rPr>
      </w:pPr>
    </w:p>
    <w:p>
      <w:pPr>
        <w:jc w:val="both"/>
        <w:ind w:firstLine="8"/>
        <w:spacing w:after="0" w:line="290" w:lineRule="auto"/>
        <w:tabs>
          <w:tab w:leader="none" w:pos="31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860" w:hanging="852"/>
        <w:spacing w:after="0"/>
        <w:tabs>
          <w:tab w:leader="none" w:pos="8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(703) 714-8386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ind w:left="660"/>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Jonas Grossman,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jgrossman@chardancm.com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aedelman@reedsmith.com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9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stockholders,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Number of Firm</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Units to be</w:t>
      </w:r>
    </w:p>
    <w:p>
      <w:pPr>
        <w:spacing w:after="0" w:line="9"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Underwriter</w:t>
      </w:r>
      <w:r>
        <w:rPr>
          <w:sz w:val="20"/>
          <w:szCs w:val="20"/>
          <w:color w:val="auto"/>
        </w:rPr>
        <w:tab/>
      </w:r>
      <w:r>
        <w:rPr>
          <w:rFonts w:ascii="Arial" w:cs="Arial" w:eastAsia="Arial" w:hAnsi="Arial"/>
          <w:sz w:val="18"/>
          <w:szCs w:val="18"/>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Chardan Capital Markets, LLC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$100,000,000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$100,000,000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Capital Markets,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 State Street, Suite 2100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This is to confirm our agreement whereby Chardan NexTech Acquisition 2 Corp., a Delaware corporation (“</w:t>
      </w:r>
      <w:r>
        <w:rPr>
          <w:rFonts w:ascii="Arial" w:cs="Arial" w:eastAsia="Arial" w:hAnsi="Arial"/>
          <w:sz w:val="17"/>
          <w:szCs w:val="17"/>
          <w:b w:val="1"/>
          <w:bCs w:val="1"/>
          <w:color w:val="auto"/>
        </w:rPr>
        <w:t>Company</w:t>
      </w:r>
      <w:r>
        <w:rPr>
          <w:rFonts w:ascii="Arial" w:cs="Arial" w:eastAsia="Arial" w:hAnsi="Arial"/>
          <w:sz w:val="17"/>
          <w:szCs w:val="17"/>
          <w:color w:val="auto"/>
        </w:rPr>
        <w:t>”), has requested Chardan Capital Markets, LLC (the “</w:t>
      </w:r>
      <w:r>
        <w:rPr>
          <w:rFonts w:ascii="Arial" w:cs="Arial" w:eastAsia="Arial" w:hAnsi="Arial"/>
          <w:sz w:val="17"/>
          <w:szCs w:val="17"/>
          <w:b w:val="1"/>
          <w:bCs w:val="1"/>
          <w:color w:val="auto"/>
        </w:rPr>
        <w:t>Advisor</w:t>
      </w:r>
      <w:r>
        <w:rPr>
          <w:rFonts w:ascii="Arial" w:cs="Arial" w:eastAsia="Arial" w:hAnsi="Arial"/>
          <w:sz w:val="17"/>
          <w:szCs w:val="17"/>
          <w:color w:val="auto"/>
        </w:rPr>
        <w:t>”) to assist it in connection with the Company engaging in a merger, capital stock exchange, asset acquisition, stock purchase, reorganization or similar business combination (in each case, a “</w:t>
      </w:r>
      <w:r>
        <w:rPr>
          <w:rFonts w:ascii="Arial" w:cs="Arial" w:eastAsia="Arial" w:hAnsi="Arial"/>
          <w:sz w:val="17"/>
          <w:szCs w:val="17"/>
          <w:b w:val="1"/>
          <w:bCs w:val="1"/>
          <w:color w:val="auto"/>
        </w:rPr>
        <w:t>Business Combination</w:t>
      </w:r>
      <w:r>
        <w:rPr>
          <w:rFonts w:ascii="Arial" w:cs="Arial" w:eastAsia="Arial" w:hAnsi="Arial"/>
          <w:sz w:val="17"/>
          <w:szCs w:val="17"/>
          <w:color w:val="auto"/>
        </w:rPr>
        <w:t>”) with one or more businesses (each a “</w:t>
      </w:r>
      <w:r>
        <w:rPr>
          <w:rFonts w:ascii="Arial" w:cs="Arial" w:eastAsia="Arial" w:hAnsi="Arial"/>
          <w:sz w:val="17"/>
          <w:szCs w:val="17"/>
          <w:b w:val="1"/>
          <w:bCs w:val="1"/>
          <w:color w:val="auto"/>
        </w:rPr>
        <w:t>Target</w:t>
      </w:r>
      <w:r>
        <w:rPr>
          <w:rFonts w:ascii="Arial" w:cs="Arial" w:eastAsia="Arial" w:hAnsi="Arial"/>
          <w:sz w:val="17"/>
          <w:szCs w:val="17"/>
          <w:color w:val="auto"/>
        </w:rPr>
        <w:t>”) as described in the Company’s Registration Statement on Form S-1 (File No. 333-254010), as amended, filed with the U.S. Securities and Exchange Commission (“</w:t>
      </w:r>
      <w:r>
        <w:rPr>
          <w:rFonts w:ascii="Arial" w:cs="Arial" w:eastAsia="Arial" w:hAnsi="Arial"/>
          <w:sz w:val="17"/>
          <w:szCs w:val="17"/>
          <w:b w:val="1"/>
          <w:bCs w:val="1"/>
          <w:color w:val="auto"/>
        </w:rPr>
        <w:t>Registration Statement</w:t>
      </w:r>
      <w:r>
        <w:rPr>
          <w:rFonts w:ascii="Arial" w:cs="Arial" w:eastAsia="Arial" w:hAnsi="Arial"/>
          <w:sz w:val="17"/>
          <w:szCs w:val="17"/>
          <w:color w:val="auto"/>
        </w:rPr>
        <w:t>”) in connection with the Company’s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w:t>
      </w:r>
    </w:p>
    <w:p>
      <w:pPr>
        <w:spacing w:after="0" w:line="172"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Services and Fees</w:t>
      </w:r>
      <w:r>
        <w:rPr>
          <w:rFonts w:ascii="Arial" w:cs="Arial" w:eastAsia="Arial" w:hAnsi="Arial"/>
          <w:sz w:val="18"/>
          <w:szCs w:val="18"/>
          <w:color w:val="auto"/>
        </w:rPr>
        <w:t>. (a)(a) The Advisor will, from time to time, upon the Company’s request and in consultation with the Company:</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Assist the Company in arranging meetings with its stockholders to discuss one or more potential Business Combinations, including making calls to stockholders and providing business updates and marketing feedback, in all cases to the extent legally permissible;</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Introduce the Company to potential investors to purchase the Company’s publicly-traded securities in after-market transactions following the public announcement of the Business Combination;</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Provide financial advisory services to assist the Company in its efforts to obtain any stockholder approval for one or more Business Combinations, until such time as the Company has completed an initial Business Combination;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Assist the Company with any press releases and/or filings related to any Business Combination or related Targets (the activities described in the foregoing clauses (i)-(iv),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anything to the contrary contained herein, the Services will not include (x) any solicitation of potential investors in connection with the IPO or any Business Combination, (y) any solicitation of proxies in connection with the Business Combination, or (z) any provision of M&amp;A-related advisory services. In the event that the Company requests that the Advisor provide any placement agent and/or M&amp;A-related advisory services, such engagement will be set forth in one or more separate agreements between the Company and the Advisor.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3" w:name="page224"/>
    <w:bookmarkEnd w:id="223"/>
    <w:p>
      <w:pPr>
        <w:jc w:val="both"/>
        <w:ind w:firstLine="656"/>
        <w:spacing w:after="0" w:line="272" w:lineRule="auto"/>
        <w:tabs>
          <w:tab w:leader="none" w:pos="157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compensation for the Services, the Company will pay the Advisor a cash fee equal to, in the aggregate, 3.5% of the gross proceeds received by the Company from the sale of its equity securities pursuant to the Registration Statement in connection with the IPO, including any proceeds from the full or partial exercise of the underwriters’ over-allotment option described therein (the “</w:t>
      </w:r>
      <w:r>
        <w:rPr>
          <w:rFonts w:ascii="Arial" w:cs="Arial" w:eastAsia="Arial" w:hAnsi="Arial"/>
          <w:sz w:val="17"/>
          <w:szCs w:val="17"/>
          <w:b w:val="1"/>
          <w:bCs w:val="1"/>
          <w:color w:val="auto"/>
        </w:rPr>
        <w:t>Fee</w:t>
      </w:r>
      <w:r>
        <w:rPr>
          <w:rFonts w:ascii="Arial" w:cs="Arial" w:eastAsia="Arial" w:hAnsi="Arial"/>
          <w:sz w:val="17"/>
          <w:szCs w:val="17"/>
          <w:color w:val="auto"/>
        </w:rPr>
        <w:t>”). The Fee is due and payable to the Advisor by wire transfer at the closing of the initial Business Combination (“</w:t>
      </w:r>
      <w:r>
        <w:rPr>
          <w:rFonts w:ascii="Arial" w:cs="Arial" w:eastAsia="Arial" w:hAnsi="Arial"/>
          <w:sz w:val="17"/>
          <w:szCs w:val="17"/>
          <w:b w:val="1"/>
          <w:bCs w:val="1"/>
          <w:color w:val="auto"/>
        </w:rPr>
        <w:t>Closing</w:t>
      </w:r>
      <w:r>
        <w:rPr>
          <w:rFonts w:ascii="Arial" w:cs="Arial" w:eastAsia="Arial" w:hAnsi="Arial"/>
          <w:sz w:val="17"/>
          <w:szCs w:val="17"/>
          <w:color w:val="auto"/>
        </w:rPr>
        <w:t>”). If a proposed Business Combination is not consummated for any reason during the 24-month period (as such period may be extended pursuant to the Company’s amended and restated certificate of incorporation) from the closing of the IPO, no Fee shall be due or payable to the Advisor hereunder. The Fee shall be exclusive of any other fees which may become payable to the Advisor pursuant to any other agreement among the Advisor and the Company or any Target.</w:t>
      </w:r>
    </w:p>
    <w:p>
      <w:pPr>
        <w:spacing w:after="0" w:line="177" w:lineRule="exact"/>
        <w:rPr>
          <w:sz w:val="20"/>
          <w:szCs w:val="20"/>
          <w:color w:val="auto"/>
        </w:rPr>
      </w:pPr>
    </w:p>
    <w:p>
      <w:pPr>
        <w:jc w:val="both"/>
        <w:ind w:firstLine="656"/>
        <w:spacing w:after="0" w:line="311" w:lineRule="auto"/>
        <w:tabs>
          <w:tab w:leader="none" w:pos="185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At the Closing, the Company shall reimburse the Advisor for all reasonable and documented costs and out-of-pocket expenses incurred by the Advisor (including reasonable and documented fees and disbursements of outside counsel) in connection with the performance of the Services hereunder; provided, however, that such expenses shall not exceed $25,000 in the aggregate without the prior written consent of the Company.</w:t>
      </w:r>
    </w:p>
    <w:p>
      <w:pPr>
        <w:spacing w:after="0" w:line="148" w:lineRule="exact"/>
        <w:rPr>
          <w:rFonts w:ascii="Arial" w:cs="Arial" w:eastAsia="Arial" w:hAnsi="Arial"/>
          <w:sz w:val="16"/>
          <w:szCs w:val="16"/>
          <w:color w:val="auto"/>
        </w:rPr>
      </w:pPr>
    </w:p>
    <w:p>
      <w:pPr>
        <w:jc w:val="both"/>
        <w:ind w:firstLine="656"/>
        <w:spacing w:after="0" w:line="291" w:lineRule="auto"/>
        <w:tabs>
          <w:tab w:leader="none" w:pos="188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Company Cooperation; Information</w:t>
      </w:r>
      <w:r>
        <w:rPr>
          <w:rFonts w:ascii="Arial" w:cs="Arial" w:eastAsia="Arial" w:hAnsi="Arial"/>
          <w:sz w:val="16"/>
          <w:szCs w:val="16"/>
          <w:color w:val="auto"/>
        </w:rPr>
        <w:t>. (a)The Company will provide full cooperation to the Advisor as may be necessary for the efficient performance by the Advisor of its obligations hereunder, including providing to the Advisor and its counsel, on a timely basis, all documents and information regarding the Company and any Target that the Advisor may reasonably request or that are otherwise relevant to the Advisor’s performance of its obligations hereunder (collectively, the “</w:t>
      </w:r>
      <w:r>
        <w:rPr>
          <w:rFonts w:ascii="Arial" w:cs="Arial" w:eastAsia="Arial" w:hAnsi="Arial"/>
          <w:sz w:val="16"/>
          <w:szCs w:val="16"/>
          <w:b w:val="1"/>
          <w:bCs w:val="1"/>
          <w:color w:val="auto"/>
        </w:rPr>
        <w:t>Information</w:t>
      </w:r>
      <w:r>
        <w:rPr>
          <w:rFonts w:ascii="Arial" w:cs="Arial" w:eastAsia="Arial" w:hAnsi="Arial"/>
          <w:sz w:val="16"/>
          <w:szCs w:val="16"/>
          <w:color w:val="auto"/>
        </w:rPr>
        <w:t>”); making the Company’s management, auditors, consultants and advisors available to the Advisor; and using commercially reasonable efforts to provide the Advisor with reasonable access to the management, auditors, suppliers, customers, consultants and advisors of any Target. The Company will promptly notify the Advisor of any change in facts or circumstances or new developments affecting the Company or any Target or that might reasonably be considered material to the Advisor’s engagement hereunder.</w:t>
      </w:r>
    </w:p>
    <w:p>
      <w:pPr>
        <w:spacing w:after="0" w:line="166" w:lineRule="exact"/>
        <w:rPr>
          <w:rFonts w:ascii="Arial" w:cs="Arial" w:eastAsia="Arial" w:hAnsi="Arial"/>
          <w:sz w:val="16"/>
          <w:szCs w:val="16"/>
          <w:color w:val="auto"/>
        </w:rPr>
      </w:pPr>
    </w:p>
    <w:p>
      <w:pPr>
        <w:jc w:val="both"/>
        <w:ind w:firstLine="656"/>
        <w:spacing w:after="0" w:line="279" w:lineRule="auto"/>
        <w:tabs>
          <w:tab w:leader="none" w:pos="1678"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 (a)The Company represents, warrants and covenants to the Advisor that all Information it makes available to the Advisor by or on behalf of the Company in connection with the performance of its obligations hereunder will not contain any untrue statement of a material fact or omit to state a material fact necessary in order to make statements made, in light of the circumstances under which they were made, not misleading as of the date thereof and as of the consummation of the Business Combination.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Indemnity</w:t>
      </w:r>
      <w:r>
        <w:rPr>
          <w:rFonts w:ascii="Arial" w:cs="Arial" w:eastAsia="Arial" w:hAnsi="Arial"/>
          <w:sz w:val="18"/>
          <w:szCs w:val="18"/>
          <w:color w:val="auto"/>
        </w:rPr>
        <w:t>. The Company shall indemnify the Advisor and its affiliates and their respective directors, officers, employees, shareholders, representatives and agents in accordance with the indemnification provisions set forth in Annex I hereto, all of which are incorporated herein by reference.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Notwithstanding the foregoing and Annex I, the Advisor agrees, if there is no Closing, (i) that it does not have any right, title, interest or claim of any kind in or to any monies in the Company’s trust account (“</w:t>
      </w:r>
      <w:r>
        <w:rPr>
          <w:rFonts w:ascii="Arial" w:cs="Arial" w:eastAsia="Arial" w:hAnsi="Arial"/>
          <w:sz w:val="16"/>
          <w:szCs w:val="16"/>
          <w:b w:val="1"/>
          <w:bCs w:val="1"/>
          <w:color w:val="auto"/>
        </w:rPr>
        <w:t>Trust Account</w:t>
      </w:r>
      <w:r>
        <w:rPr>
          <w:rFonts w:ascii="Arial" w:cs="Arial" w:eastAsia="Arial" w:hAnsi="Arial"/>
          <w:sz w:val="16"/>
          <w:szCs w:val="16"/>
          <w:color w:val="auto"/>
        </w:rPr>
        <w:t>”) established in connection with the IPO with respect to the Fee or any expenses provided for hereunder (each, a “</w:t>
      </w:r>
      <w:r>
        <w:rPr>
          <w:rFonts w:ascii="Arial" w:cs="Arial" w:eastAsia="Arial" w:hAnsi="Arial"/>
          <w:sz w:val="16"/>
          <w:szCs w:val="16"/>
          <w:b w:val="1"/>
          <w:bCs w:val="1"/>
          <w:color w:val="auto"/>
        </w:rPr>
        <w:t>Claim</w:t>
      </w:r>
      <w:r>
        <w:rPr>
          <w:rFonts w:ascii="Arial" w:cs="Arial" w:eastAsia="Arial" w:hAnsi="Arial"/>
          <w:sz w:val="16"/>
          <w:szCs w:val="16"/>
          <w:color w:val="auto"/>
        </w:rPr>
        <w:t>”); (ii) to waive any Claim it may have in the future as a result of, or arising out of, any Services provided to the Company hereunder; and (iii) to not seek recourse against the Trust Account with respect to the Fee or any expenses provided for hereunder.</w:t>
      </w:r>
    </w:p>
    <w:p>
      <w:pPr>
        <w:spacing w:after="0" w:line="157" w:lineRule="exact"/>
        <w:rPr>
          <w:sz w:val="20"/>
          <w:szCs w:val="20"/>
          <w:color w:val="auto"/>
        </w:rPr>
      </w:pPr>
    </w:p>
    <w:p>
      <w:pPr>
        <w:jc w:val="both"/>
        <w:ind w:firstLine="656"/>
        <w:spacing w:after="0" w:line="291" w:lineRule="auto"/>
        <w:tabs>
          <w:tab w:leader="none" w:pos="1651"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Use of Name and Reports</w:t>
      </w:r>
      <w:r>
        <w:rPr>
          <w:rFonts w:ascii="Arial" w:cs="Arial" w:eastAsia="Arial" w:hAnsi="Arial"/>
          <w:sz w:val="16"/>
          <w:szCs w:val="16"/>
          <w:color w:val="auto"/>
        </w:rPr>
        <w:t>. Without the Advisor’s prior written consent (which may be provided via email), neither the Company nor any of its affiliates (nor any director, officer, manager, partner, member, employee or agent thereof) shall quote or refer to in any public communication</w:t>
      </w:r>
    </w:p>
    <w:p>
      <w:pPr>
        <w:ind w:firstLine="8"/>
        <w:spacing w:after="0" w:line="260" w:lineRule="auto"/>
        <w:tabs>
          <w:tab w:leader="none" w:pos="21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Advisor’s name or (ii) any advice rendered by the Advisor to the Company or any communication from the Advisor, in connection with performance of the Services, except as required by applicable federal or state law, regulation or securities exchange rule.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656"/>
        <w:spacing w:after="0" w:line="273" w:lineRule="auto"/>
        <w:tabs>
          <w:tab w:leader="none" w:pos="1759"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Status as Independent Contractor</w:t>
      </w:r>
      <w:r>
        <w:rPr>
          <w:rFonts w:ascii="Arial" w:cs="Arial" w:eastAsia="Arial" w:hAnsi="Arial"/>
          <w:sz w:val="17"/>
          <w:szCs w:val="17"/>
          <w:color w:val="auto"/>
        </w:rPr>
        <w:t>. The Advisor shall perform the Services as an independent contractor and not as an employee of the Company or affiliate thereof. It is expressly understood and agreed to by the parties that the Advisor shall have no authority to act for, represent or bind the Company or any affiliate thereof in any manner, except as may be expressly agreed to by the Company in writing. In rendering such services, the Advisor will be acting solely pursuant to a contractual relationship on an arm’s-length basis. This Agreement is not intended to create a fiduciary relationship between the parties and neither the Advisor nor any of the Advisor’s officers, directors or personnel will owe any fiduciary duty to the Company or any other person in connection with any of the matters contemplated by this Agreement.</w:t>
      </w:r>
    </w:p>
    <w:p>
      <w:pPr>
        <w:spacing w:after="0" w:line="177" w:lineRule="exact"/>
        <w:rPr>
          <w:rFonts w:ascii="Arial" w:cs="Arial" w:eastAsia="Arial" w:hAnsi="Arial"/>
          <w:sz w:val="17"/>
          <w:szCs w:val="17"/>
          <w:color w:val="auto"/>
        </w:rPr>
      </w:pPr>
    </w:p>
    <w:p>
      <w:pPr>
        <w:jc w:val="both"/>
        <w:ind w:firstLine="656"/>
        <w:spacing w:after="0" w:line="271" w:lineRule="auto"/>
        <w:tabs>
          <w:tab w:leader="none" w:pos="1745"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Potential Conflicts</w:t>
      </w:r>
      <w:r>
        <w:rPr>
          <w:rFonts w:ascii="Arial" w:cs="Arial" w:eastAsia="Arial" w:hAnsi="Arial"/>
          <w:sz w:val="17"/>
          <w:szCs w:val="17"/>
          <w:color w:val="auto"/>
        </w:rPr>
        <w:t>. The Company acknowledges that the Advisor is a full-service securities firm engaged in securities trading and brokerage activities and providing investment banking and advisory services from which conflicting interests may arise. In the ordinary course of business, the Advisor and its affiliates may at any time hold long or short positions, and may trade or otherwise effect transactions, for its own account and the accounts of customers, in debt or equity securities of the Company, its affiliates or other entities that may be involved in the transactions contemplated hereby, and may provide advisory and other services to one or more actual or potential Targets, investors or other parties to any Business Combination or other transaction entered into by the Company, for which services the Advisor or one or more of its affiliates may be paid fees, including fees conditioned upon the closing of a particular Business Combination or other transaction or transactions. Nothing in this Agreement shall be construed to limit or restrict the Advisor or any of its affiliates in conducting any such business.</w:t>
      </w:r>
    </w:p>
    <w:p>
      <w:pPr>
        <w:spacing w:after="0" w:line="178" w:lineRule="exact"/>
        <w:rPr>
          <w:rFonts w:ascii="Arial" w:cs="Arial" w:eastAsia="Arial" w:hAnsi="Arial"/>
          <w:sz w:val="17"/>
          <w:szCs w:val="17"/>
          <w:color w:val="auto"/>
        </w:rPr>
      </w:pPr>
    </w:p>
    <w:p>
      <w:pPr>
        <w:jc w:val="both"/>
        <w:ind w:right="20" w:firstLine="656"/>
        <w:spacing w:after="0" w:line="263" w:lineRule="auto"/>
        <w:tabs>
          <w:tab w:leader="none" w:pos="17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among the parties with respect to the subject matter hereof and supersedes all prior agreements and understandings, oral or written, with respect thereto. This Agreement may not be modified or terminated orally or in any manner other than by an agreement in writing signed by the parties hereto.</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54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to be given hereunder shall be in writing and shall be deemed given when sent via email to each party at its respective address set forth below its signature and received by such party’s online access provider or mailed by certified mail or private courier service, return receipt requested, addressed to each party at its respective addresses set forth above, or such other address as may be given by a party in a notice given pursuant to this section.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67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may not be assigned by any party without the written consent of the other parties hereto. This Agreement shall be binding upon and shall inure to the benefit of the parties hereto and, except where prohibited, to their successors and permitted assigns.</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187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Nothing herein shall be deemed to restrict or prohibit the engagement by the Company of other consultants providing the same or similar services or the payment by the Company of fees to such parties. The Company’s engagement of any other consultant(s) shall not affect the Advisor’s right to receive the Fee and reimbursement of expenses pursuant to this Agreement.</w:t>
      </w:r>
    </w:p>
    <w:p>
      <w:pPr>
        <w:spacing w:after="0" w:line="183" w:lineRule="exact"/>
        <w:rPr>
          <w:rFonts w:ascii="Arial" w:cs="Arial" w:eastAsia="Arial" w:hAnsi="Arial"/>
          <w:sz w:val="18"/>
          <w:szCs w:val="18"/>
          <w:color w:val="auto"/>
        </w:rPr>
      </w:pPr>
    </w:p>
    <w:p>
      <w:pPr>
        <w:ind w:left="1560" w:hanging="904"/>
        <w:spacing w:after="0"/>
        <w:tabs>
          <w:tab w:leader="none" w:pos="156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Applicable Law; Venue</w:t>
      </w:r>
      <w:r>
        <w:rPr>
          <w:rFonts w:ascii="Arial" w:cs="Arial" w:eastAsia="Arial" w:hAnsi="Arial"/>
          <w:sz w:val="16"/>
          <w:szCs w:val="16"/>
          <w:color w:val="auto"/>
        </w:rPr>
        <w:t>. This Agreement shall be construed and enforced in accordance with the internal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IN THE EVENT OF ANY DISPUTE UNDER THIS AGREEMENT, EACH PARTY HERETO AGREES THAT THE DISPUTE SHALL BE BROUGHT AND ENFORCED IN THE COURTS OF THE STATE OF NEW YORK, COUNTY OF NEW YORK UNDER THE ACCELERATED ADJUDICATION PROCEDURES OF THE COMMERCIAL DIVISION. EACH PARTY IRREVOCABLY SUBMITS TO SUCH JURISDICTION, WHICH JURISDICTION SHALL BE EXCLUSIVE. EACH PARTY HEREBY WAIVES ANY OBJECTION TO SUCH EXCLUSIVE JURISDICTION AND THAT SUCH COURTS REPRESENT AN INCONVENIENT FORUM. ANY PROCESS OR SUMMONS TO BE SERVED IN SUCH A DISPUTE UPON A PARTY MAY BE SERVED BY TRANSMITTING A COPY THEREOF BY REGISTERED OR CERTIFIED MAIL, POSTAGE PREPAID, ADDRESSED TO SUCH PARTY AT THE ADDRESS FOR SUCH PARTY SET FORTH AT THE BEGINNING OF THIS AGREEMENT. SUCH MAILING SHALL BE DEEMED PERSONAL SERVICE AND SHALL BE LEGAL AND BINDING UPON THE PARTY BEING SERVED. THE PARTIES AGREE THAT THE PREVAILING PARTY(IES) IN ANY SUCH ACTION SHALL BE ENTITLED TO RECOVER FROM THE OTHER PARTY(IES) ALL OF SUCH PREVAILING PARTY’S(IES’) REASONABLE ATTORNEYS’ FEES AND EXPENSES RELATING TO SUCH ACTION OR PROCEEDING AND/OR INCURRED IN CONNECTION WITH THE PREPARATION THEREFOR.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ind w:left="1540" w:hanging="904"/>
        <w:spacing w:after="0"/>
        <w:tabs>
          <w:tab w:leader="none" w:pos="15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term “including” shall mean “including, but not limited to”.</w:t>
      </w:r>
    </w:p>
    <w:p>
      <w:pPr>
        <w:spacing w:after="0" w:line="225" w:lineRule="exact"/>
        <w:rPr>
          <w:rFonts w:ascii="Arial" w:cs="Arial" w:eastAsia="Arial" w:hAnsi="Arial"/>
          <w:sz w:val="18"/>
          <w:szCs w:val="18"/>
          <w:color w:val="auto"/>
        </w:rPr>
      </w:pPr>
    </w:p>
    <w:p>
      <w:pPr>
        <w:ind w:left="-20" w:firstLine="656"/>
        <w:spacing w:after="0" w:line="277" w:lineRule="auto"/>
        <w:tabs>
          <w:tab w:leader="none" w:pos="166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original or facsimile counterparts, each one of which shall constitute an original, and all of which together shall constitute but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26" w:name="page227"/>
    <w:bookmarkEnd w:id="226"/>
    <w:p>
      <w:pPr>
        <w:ind w:firstLine="648"/>
        <w:spacing w:after="0" w:line="308" w:lineRule="auto"/>
        <w:rPr>
          <w:sz w:val="20"/>
          <w:szCs w:val="20"/>
          <w:color w:val="auto"/>
        </w:rPr>
      </w:pPr>
      <w:r>
        <w:rPr>
          <w:rFonts w:ascii="Arial" w:cs="Arial" w:eastAsia="Arial" w:hAnsi="Arial"/>
          <w:sz w:val="17"/>
          <w:szCs w:val="17"/>
          <w:color w:val="auto"/>
        </w:rPr>
        <w:t>If the foregoing correctly sets forth the understanding among the Advisor and the Company with respect to the foregoing, please indicate your agreement by signing in the place provided below, and this letter shall become a binding contract as of the date first set forth above.</w:t>
      </w:r>
    </w:p>
    <w:p>
      <w:pPr>
        <w:spacing w:after="0" w:line="1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1375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Business Combination Marketing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connection with the Company’s engagement of Chardan Capital Markets, LLC (the “</w:t>
      </w:r>
      <w:r>
        <w:rPr>
          <w:rFonts w:ascii="Arial" w:cs="Arial" w:eastAsia="Arial" w:hAnsi="Arial"/>
          <w:sz w:val="17"/>
          <w:szCs w:val="17"/>
          <w:b w:val="1"/>
          <w:bCs w:val="1"/>
          <w:color w:val="auto"/>
        </w:rPr>
        <w:t>Advisor</w:t>
      </w:r>
      <w:r>
        <w:rPr>
          <w:rFonts w:ascii="Arial" w:cs="Arial" w:eastAsia="Arial" w:hAnsi="Arial"/>
          <w:sz w:val="17"/>
          <w:szCs w:val="17"/>
          <w:color w:val="auto"/>
        </w:rPr>
        <w:t>”) pursuant to that certain letter agreement (“</w:t>
      </w:r>
      <w:r>
        <w:rPr>
          <w:rFonts w:ascii="Arial" w:cs="Arial" w:eastAsia="Arial" w:hAnsi="Arial"/>
          <w:sz w:val="17"/>
          <w:szCs w:val="17"/>
          <w:b w:val="1"/>
          <w:bCs w:val="1"/>
          <w:color w:val="auto"/>
        </w:rPr>
        <w:t>Agreement</w:t>
      </w:r>
      <w:r>
        <w:rPr>
          <w:rFonts w:ascii="Arial" w:cs="Arial" w:eastAsia="Arial" w:hAnsi="Arial"/>
          <w:sz w:val="17"/>
          <w:szCs w:val="17"/>
          <w:color w:val="auto"/>
        </w:rPr>
        <w:t>”) of which this Annex forms a part, Chardan NexTech Acquisition 2 Corp. (the “</w:t>
      </w:r>
      <w:r>
        <w:rPr>
          <w:rFonts w:ascii="Arial" w:cs="Arial" w:eastAsia="Arial" w:hAnsi="Arial"/>
          <w:sz w:val="17"/>
          <w:szCs w:val="17"/>
          <w:b w:val="1"/>
          <w:bCs w:val="1"/>
          <w:color w:val="auto"/>
        </w:rPr>
        <w:t>Company</w:t>
      </w:r>
      <w:r>
        <w:rPr>
          <w:rFonts w:ascii="Arial" w:cs="Arial" w:eastAsia="Arial" w:hAnsi="Arial"/>
          <w:sz w:val="17"/>
          <w:szCs w:val="17"/>
          <w:color w:val="auto"/>
        </w:rPr>
        <w:t>”) hereby agrees, subject to the second paragraph of Section 5 of the Agreement, to indemnify and hold harmless the Advisor and each of its affiliates and the respective directors, officers, employees, shareholders, representatives and agents of any of the foregoing (collectively, the “</w:t>
      </w:r>
      <w:r>
        <w:rPr>
          <w:rFonts w:ascii="Arial" w:cs="Arial" w:eastAsia="Arial" w:hAnsi="Arial"/>
          <w:sz w:val="17"/>
          <w:szCs w:val="17"/>
          <w:b w:val="1"/>
          <w:bCs w:val="1"/>
          <w:color w:val="auto"/>
        </w:rPr>
        <w:t>Indemnified Persons</w:t>
      </w:r>
      <w:r>
        <w:rPr>
          <w:rFonts w:ascii="Arial" w:cs="Arial" w:eastAsia="Arial" w:hAnsi="Arial"/>
          <w:sz w:val="17"/>
          <w:szCs w:val="17"/>
          <w:color w:val="auto"/>
        </w:rPr>
        <w:t>”), from and against any and all claims, actions, suits, proceedings (including those of stockholders), damages, liabilities and expenses incurred by any of them (including the reasonable fees and expenses of counsel), as incurred (collectively a “</w:t>
      </w:r>
      <w:r>
        <w:rPr>
          <w:rFonts w:ascii="Arial" w:cs="Arial" w:eastAsia="Arial" w:hAnsi="Arial"/>
          <w:sz w:val="17"/>
          <w:szCs w:val="17"/>
          <w:b w:val="1"/>
          <w:bCs w:val="1"/>
          <w:color w:val="auto"/>
        </w:rPr>
        <w:t>Claim</w:t>
      </w:r>
      <w:r>
        <w:rPr>
          <w:rFonts w:ascii="Arial" w:cs="Arial" w:eastAsia="Arial" w:hAnsi="Arial"/>
          <w:sz w:val="17"/>
          <w:szCs w:val="17"/>
          <w:color w:val="auto"/>
        </w:rPr>
        <w:t>”), that (A) are related to or arise out of (i) any actions taken or omitted to be taken (including any untrue statements made or any statements omitted to be made) by the Company, or (ii) any actions taken or omitted to be taken by any Indemnified Person, in connection with the Company’s engagement of the Advisor, or (B) otherwise relate to or arise out of the Advisor’s activities on the Company’s behalf under the Advisor’s engagement, and the Company shall reimburse any Indemnified Person for all expenses (including the reasonable fees and expenses of counsel) as incurred by such Indemnified Person in connection with investigating, preparing and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bad faith, gross negligence or willful misconduct of any Indemnified Person. The Company further agrees that no Indemnified Person shall have any liability to the Company for or in connection with the Company’s engagement of the Advisor except for any Claim incurred by the Company as a result of such Indemnified Person’s bad faith, gross negligence or willful misconduct.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further agrees that it will not, without the prior written consent of the Advisor,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an actual or potential conflict of interest or if the defendant in, or target of, any such Claim includes an Indemnified Person and the Company, and legal counsel to such Indemnified Person reasonably concludes that there may be actual or potential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Party shall have the right, but not the obligation, to defend, contest, compromise, settle, assert crossclaims, or counterclaims or otherwise protect against the same, and shall be fully indemnified by the Company therefor, including for the reasonable fees and expenses of its counsel and all amounts paid as a result of such Claim or the compromise or settlement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648"/>
        <w:spacing w:after="0" w:line="288" w:lineRule="auto"/>
        <w:rPr>
          <w:sz w:val="20"/>
          <w:szCs w:val="20"/>
          <w:color w:val="auto"/>
        </w:rPr>
      </w:pPr>
      <w:r>
        <w:rPr>
          <w:rFonts w:ascii="Arial" w:cs="Arial" w:eastAsia="Arial" w:hAnsi="Arial"/>
          <w:sz w:val="16"/>
          <w:szCs w:val="16"/>
          <w:color w:val="auto"/>
        </w:rPr>
        <w:t>In addition, with respect to any Claim in which the Company assumes the defense, the Indemnified Person shall have the right to participate in such Claim and to retain his, her or its own counsel therefor at his, her or its own expense. The Company agrees that if any indemnity sought by an Indemnified Person hereunder is held by a court to be unavailable for any reason, then (whether or not the Advisor is an Indemnified Person) the Company and the Advisor shall contribute to the Claim for which such indemnity is held unavailable in such proportion as is appropriate to reflect the relative benefits to the Company, on the one hand, and the Advisor, on the other, in connection with the Advisor’ engagement referred to above, subject to the limitation that in no event shall the amount of any the Advisor’s contribution to such Claim exceed the amount of Fee actually received by the Advisor from the Company pursuant to such engagement. The Company hereby agrees that the relative benefits to the Company, on the one hand, and the Advisor, on the other, with respect to the Advisor’s engagement shall be deemed to be in the same proportion as (a) the total value paid or proposed to be paid or received by the Company or its stockholders, as the case may be, pursuant to the transaction (whether or not consummated) for which the Advisor are engaged to render services bears to (b) the Fee paid or proposed to be paid to the Advisor in connection with such engagement.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Party may have at law or at equity and (b) shall be effective whether or not the Company is at fault in any way.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b w:val="1"/>
          <w:bCs w:val="1"/>
          <w:color w:val="auto"/>
        </w:rPr>
        <w:t>Exhibit 3.3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Chardan NexTech Acquisition 2 Corp., a corporation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by its Chief Executive Officer, hereby certifies as follows:</w:t>
      </w:r>
    </w:p>
    <w:p>
      <w:pPr>
        <w:spacing w:after="0" w:line="166" w:lineRule="exact"/>
        <w:rPr>
          <w:sz w:val="20"/>
          <w:szCs w:val="20"/>
          <w:color w:val="auto"/>
        </w:rPr>
      </w:pPr>
    </w:p>
    <w:p>
      <w:pPr>
        <w:ind w:left="760" w:hanging="658"/>
        <w:spacing w:after="0"/>
        <w:tabs>
          <w:tab w:leader="none" w:pos="7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name of the Corporation is “Chardan NexTech Acquisition 2 Corp.”.</w:t>
      </w:r>
    </w:p>
    <w:p>
      <w:pPr>
        <w:spacing w:after="0" w:line="225" w:lineRule="exact"/>
        <w:rPr>
          <w:rFonts w:ascii="Arial" w:cs="Arial" w:eastAsia="Arial" w:hAnsi="Arial"/>
          <w:sz w:val="18"/>
          <w:szCs w:val="18"/>
          <w:color w:val="auto"/>
        </w:rPr>
      </w:pPr>
    </w:p>
    <w:p>
      <w:pPr>
        <w:jc w:val="both"/>
        <w:ind w:left="720" w:hanging="658"/>
        <w:spacing w:after="0" w:line="263" w:lineRule="auto"/>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June 23, 2020, and a Certificate of Amendment changing the name of the Corporation from Chardan Global Acquisition 3 Corp., was filed in the office of the Secretary of the State of Delaware on February 22, 2021.</w:t>
      </w:r>
    </w:p>
    <w:p>
      <w:pPr>
        <w:spacing w:after="0" w:line="183" w:lineRule="exact"/>
        <w:rPr>
          <w:rFonts w:ascii="Arial" w:cs="Arial" w:eastAsia="Arial" w:hAnsi="Arial"/>
          <w:sz w:val="18"/>
          <w:szCs w:val="18"/>
          <w:color w:val="auto"/>
        </w:rPr>
      </w:pPr>
    </w:p>
    <w:p>
      <w:pPr>
        <w:ind w:left="720" w:hanging="658"/>
        <w:spacing w:after="0"/>
        <w:tabs>
          <w:tab w:leader="none" w:pos="7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left="720" w:hanging="658"/>
        <w:spacing w:after="0" w:line="263" w:lineRule="auto"/>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720" w:hanging="658"/>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“Chardan NexTech Acquisition 2 Corp.”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11"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SECOND: The registered office of the Corporation is to be located 3411 Silverside Road, Tatnall Building, #104, in the City of Wilmington, in the County of New Castle, Delaware 19901. The name of its registered agent at that address is Corporate Creations Network Inc.</w:t>
      </w:r>
    </w:p>
    <w:p>
      <w:pPr>
        <w:spacing w:after="0" w:line="14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total number of shares of all classes of capital stock which the Corporation shall have authority to issue is 51,000,000, of which 50,000,000 shares shall be common stock, par value $.0001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 shares shall be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90"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A. 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0" w:name="page231"/>
    <w:bookmarkEnd w:id="230"/>
    <w:p>
      <w:pPr>
        <w:ind w:left="640"/>
        <w:spacing w:after="0" w:line="308" w:lineRule="auto"/>
        <w:rPr>
          <w:sz w:val="20"/>
          <w:szCs w:val="20"/>
          <w:color w:val="auto"/>
        </w:rPr>
      </w:pPr>
      <w:r>
        <w:rPr>
          <w:rFonts w:ascii="Arial" w:cs="Arial" w:eastAsia="Arial" w:hAnsi="Arial"/>
          <w:sz w:val="17"/>
          <w:szCs w:val="17"/>
          <w:color w:val="auto"/>
        </w:rPr>
        <w:t>B. Common Stock. Except as otherwise required by law or as otherwise provided in any Preferred Stock Designation, the holders of the Common Stock shall exclusively possess all voting power and each share of Common Stock shall have one vote.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FIFTH: This Article Fifth shall apply during the period commencing upon the filing of this Certificate of Incorporation and terminating upon the consummation of any Business Combination (as defined below). A “</w:t>
      </w:r>
      <w:r>
        <w:rPr>
          <w:rFonts w:ascii="Arial" w:cs="Arial" w:eastAsia="Arial" w:hAnsi="Arial"/>
          <w:sz w:val="18"/>
          <w:szCs w:val="18"/>
          <w:b w:val="1"/>
          <w:bCs w:val="1"/>
          <w:color w:val="auto"/>
        </w:rPr>
        <w:t>Business Combination</w:t>
      </w:r>
      <w:r>
        <w:rPr>
          <w:rFonts w:ascii="Arial" w:cs="Arial" w:eastAsia="Arial" w:hAnsi="Arial"/>
          <w:sz w:val="18"/>
          <w:szCs w:val="18"/>
          <w:color w:val="auto"/>
        </w:rPr>
        <w:t>” shall mean any merger, capital stock exchange, asset, stock purchase, reorganization or other similar business combination involving the Corporation and one or more businesses or entities (“</w:t>
      </w:r>
      <w:r>
        <w:rPr>
          <w:rFonts w:ascii="Arial" w:cs="Arial" w:eastAsia="Arial" w:hAnsi="Arial"/>
          <w:sz w:val="18"/>
          <w:szCs w:val="18"/>
          <w:b w:val="1"/>
          <w:bCs w:val="1"/>
          <w:color w:val="auto"/>
        </w:rPr>
        <w:t>Target Business</w:t>
      </w:r>
      <w:r>
        <w:rPr>
          <w:rFonts w:ascii="Arial" w:cs="Arial" w:eastAsia="Arial" w:hAnsi="Arial"/>
          <w:sz w:val="18"/>
          <w:szCs w:val="18"/>
          <w:color w:val="auto"/>
        </w:rPr>
        <w:t>”), or entering into contractual arrangements that give the Corporation control over such a Target Business, and, if the Corporation is then listed on a national securities exchange, the Target Business has a fair market value equal to at least 80% of the balance in the Trust Fund (as defined below), less any deferred underwriting commissions and taxes payable on interest earned, at the time of signing a definitive agreement in connection with the initial Business Combination. “</w:t>
      </w:r>
      <w:r>
        <w:rPr>
          <w:rFonts w:ascii="Arial" w:cs="Arial" w:eastAsia="Arial" w:hAnsi="Arial"/>
          <w:sz w:val="18"/>
          <w:szCs w:val="18"/>
          <w:b w:val="1"/>
          <w:bCs w:val="1"/>
          <w:color w:val="auto"/>
        </w:rPr>
        <w:t>IPO Shares</w:t>
      </w:r>
      <w:r>
        <w:rPr>
          <w:rFonts w:ascii="Arial" w:cs="Arial" w:eastAsia="Arial" w:hAnsi="Arial"/>
          <w:sz w:val="18"/>
          <w:szCs w:val="18"/>
          <w:color w:val="auto"/>
        </w:rPr>
        <w:t>” shall mean the shares sold pursuant to the registration statement on Form S-1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in connection with the Corporation’s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196"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The “fair market value” for purposes of this Article Fifth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 Prior to the consummation of a Business Combination, the Corporation shall either (i) submit any Business Combination to its holders of Common Stock for approval (“</w:t>
      </w:r>
      <w:r>
        <w:rPr>
          <w:rFonts w:ascii="Arial" w:cs="Arial" w:eastAsia="Arial" w:hAnsi="Arial"/>
          <w:sz w:val="17"/>
          <w:szCs w:val="17"/>
          <w:b w:val="1"/>
          <w:bCs w:val="1"/>
          <w:color w:val="auto"/>
        </w:rPr>
        <w:t>Proxy Solicitation</w:t>
      </w:r>
      <w:r>
        <w:rPr>
          <w:rFonts w:ascii="Arial" w:cs="Arial" w:eastAsia="Arial" w:hAnsi="Arial"/>
          <w:sz w:val="17"/>
          <w:szCs w:val="17"/>
          <w:color w:val="auto"/>
        </w:rPr>
        <w:t>”) pursuant to the proxy rules promulgated under the Securities Exchange Act of 1934, as amended (“</w:t>
      </w:r>
      <w:r>
        <w:rPr>
          <w:rFonts w:ascii="Arial" w:cs="Arial" w:eastAsia="Arial" w:hAnsi="Arial"/>
          <w:sz w:val="17"/>
          <w:szCs w:val="17"/>
          <w:b w:val="1"/>
          <w:bCs w:val="1"/>
          <w:color w:val="auto"/>
        </w:rPr>
        <w:t>Exchange Act</w:t>
      </w:r>
      <w:r>
        <w:rPr>
          <w:rFonts w:ascii="Arial" w:cs="Arial" w:eastAsia="Arial" w:hAnsi="Arial"/>
          <w:sz w:val="17"/>
          <w:szCs w:val="17"/>
          <w:color w:val="auto"/>
        </w:rPr>
        <w:t>”), or (ii) provide its holders of IPO Shares with the opportunity to sell their shares to the Corporation by means of a tender offer (“</w:t>
      </w:r>
      <w:r>
        <w:rPr>
          <w:rFonts w:ascii="Arial" w:cs="Arial" w:eastAsia="Arial" w:hAnsi="Arial"/>
          <w:sz w:val="17"/>
          <w:szCs w:val="17"/>
          <w:b w:val="1"/>
          <w:bCs w:val="1"/>
          <w:color w:val="auto"/>
        </w:rPr>
        <w:t>Tender Offer</w:t>
      </w:r>
      <w:r>
        <w:rPr>
          <w:rFonts w:ascii="Arial" w:cs="Arial" w:eastAsia="Arial" w:hAnsi="Arial"/>
          <w:sz w:val="17"/>
          <w:szCs w:val="17"/>
          <w:color w:val="auto"/>
        </w:rPr>
        <w:t>”).</w:t>
      </w:r>
    </w:p>
    <w:p>
      <w:pPr>
        <w:spacing w:after="0" w:line="178"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65" w:lineRule="exact"/>
        <w:rPr>
          <w:sz w:val="20"/>
          <w:szCs w:val="20"/>
          <w:color w:val="auto"/>
        </w:rPr>
      </w:pPr>
    </w:p>
    <w:p>
      <w:pPr>
        <w:jc w:val="both"/>
        <w:ind w:left="640"/>
        <w:spacing w:after="0" w:line="267" w:lineRule="auto"/>
        <w:rPr>
          <w:sz w:val="20"/>
          <w:szCs w:val="20"/>
          <w:color w:val="auto"/>
        </w:rPr>
      </w:pPr>
      <w:r>
        <w:rPr>
          <w:rFonts w:ascii="Arial" w:cs="Arial" w:eastAsia="Arial" w:hAnsi="Arial"/>
          <w:sz w:val="17"/>
          <w:szCs w:val="17"/>
          <w:color w:val="auto"/>
        </w:rPr>
        <w:t>C. 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w:t>
      </w:r>
      <w:r>
        <w:rPr>
          <w:rFonts w:ascii="Arial" w:cs="Arial" w:eastAsia="Arial" w:hAnsi="Arial"/>
          <w:sz w:val="17"/>
          <w:szCs w:val="17"/>
          <w:b w:val="1"/>
          <w:bCs w:val="1"/>
          <w:color w:val="auto"/>
        </w:rPr>
        <w:t>Conversion Price</w:t>
      </w:r>
      <w:r>
        <w:rPr>
          <w:rFonts w:ascii="Arial" w:cs="Arial" w:eastAsia="Arial" w:hAnsi="Arial"/>
          <w:sz w:val="17"/>
          <w:szCs w:val="17"/>
          <w:color w:val="auto"/>
        </w:rPr>
        <w:t>”). “</w:t>
      </w:r>
      <w:r>
        <w:rPr>
          <w:rFonts w:ascii="Arial" w:cs="Arial" w:eastAsia="Arial" w:hAnsi="Arial"/>
          <w:sz w:val="17"/>
          <w:szCs w:val="17"/>
          <w:b w:val="1"/>
          <w:bCs w:val="1"/>
          <w:color w:val="auto"/>
        </w:rPr>
        <w:t>Trust Fund</w:t>
      </w:r>
      <w:r>
        <w:rPr>
          <w:rFonts w:ascii="Arial" w:cs="Arial" w:eastAsia="Arial" w:hAnsi="Arial"/>
          <w:sz w:val="17"/>
          <w:szCs w:val="17"/>
          <w:color w:val="auto"/>
        </w:rPr>
        <w:t>”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w:t>
      </w:r>
      <w:r>
        <w:rPr>
          <w:rFonts w:ascii="Arial" w:cs="Arial" w:eastAsia="Arial" w:hAnsi="Arial"/>
          <w:sz w:val="17"/>
          <w:szCs w:val="17"/>
          <w:b w:val="1"/>
          <w:bCs w:val="1"/>
          <w:color w:val="auto"/>
        </w:rPr>
        <w:t>Group</w:t>
      </w:r>
      <w:r>
        <w:rPr>
          <w:rFonts w:ascii="Arial" w:cs="Arial" w:eastAsia="Arial" w:hAnsi="Arial"/>
          <w:sz w:val="17"/>
          <w:szCs w:val="17"/>
          <w:color w:val="auto"/>
        </w:rPr>
        <w:t>”)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421005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1" w:name="page232"/>
    <w:bookmarkEnd w:id="231"/>
    <w:p>
      <w:pPr>
        <w:jc w:val="both"/>
        <w:ind w:left="640"/>
        <w:spacing w:after="0" w:line="277" w:lineRule="auto"/>
        <w:rPr>
          <w:sz w:val="20"/>
          <w:szCs w:val="20"/>
          <w:color w:val="auto"/>
        </w:rPr>
      </w:pPr>
      <w:r>
        <w:rPr>
          <w:rFonts w:ascii="Arial" w:cs="Arial" w:eastAsia="Arial" w:hAnsi="Arial"/>
          <w:sz w:val="18"/>
          <w:szCs w:val="18"/>
          <w:color w:val="auto"/>
        </w:rPr>
        <w:t>D. The Corporation will not consummate any Business Combination unless it (or any successor) has net tangible assets of at least $5,000,001 upon consummation of such Business Combination.</w:t>
      </w:r>
    </w:p>
    <w:p>
      <w:pPr>
        <w:spacing w:after="0" w:line="170"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color w:val="auto"/>
        </w:rPr>
        <w:t>E. In the event that the Corporation does not consummate a Business Combination by 24 months from the consummation of the IPO (such date being referred to as the “</w:t>
      </w:r>
      <w:r>
        <w:rPr>
          <w:rFonts w:ascii="Arial" w:cs="Arial" w:eastAsia="Arial" w:hAnsi="Arial"/>
          <w:sz w:val="16"/>
          <w:szCs w:val="16"/>
          <w:b w:val="1"/>
          <w:bCs w:val="1"/>
          <w:color w:val="auto"/>
        </w:rPr>
        <w:t>Termination Date</w:t>
      </w:r>
      <w:r>
        <w:rPr>
          <w:rFonts w:ascii="Arial" w:cs="Arial" w:eastAsia="Arial" w:hAnsi="Arial"/>
          <w:sz w:val="16"/>
          <w:szCs w:val="16"/>
          <w:color w:val="auto"/>
        </w:rPr>
        <w:t>”),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7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92"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65" w:lineRule="exact"/>
        <w:rPr>
          <w:sz w:val="20"/>
          <w:szCs w:val="20"/>
          <w:color w:val="auto"/>
        </w:rPr>
      </w:pPr>
    </w:p>
    <w:p>
      <w:pPr>
        <w:jc w:val="both"/>
        <w:ind w:left="640"/>
        <w:spacing w:after="0" w:line="275" w:lineRule="auto"/>
        <w:rPr>
          <w:sz w:val="20"/>
          <w:szCs w:val="20"/>
          <w:color w:val="auto"/>
        </w:rPr>
      </w:pPr>
      <w:r>
        <w:rPr>
          <w:rFonts w:ascii="Arial" w:cs="Arial" w:eastAsia="Arial" w:hAnsi="Arial"/>
          <w:sz w:val="17"/>
          <w:szCs w:val="17"/>
          <w:color w:val="auto"/>
        </w:rPr>
        <w:t>H. If any amendment is made to this Article Fifth that would modify (A) the substance or timing of the Corporation’s obligation to provide for the conversion of the IPO Shares in connection with an initial Business Combination or to redeem 100% of the IPO Shares if the Corporation has not consummated an initial Business Combination within 24 months from the date of the from the consummation of the IPO or (B) any other provision in this Article Fifth, the holders of IPO Shares shall be provided with the opportunity to redeem their IPO Shares upon the approval of any such amendment, at the per-share price specified in paragraph C.</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SIXTH: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2" w:name="page233"/>
    <w:bookmarkEnd w:id="232"/>
    <w:p>
      <w:pPr>
        <w:jc w:val="both"/>
        <w:ind w:left="640"/>
        <w:spacing w:after="0" w:line="277" w:lineRule="auto"/>
        <w:rPr>
          <w:sz w:val="20"/>
          <w:szCs w:val="20"/>
          <w:color w:val="auto"/>
        </w:rPr>
      </w:pPr>
      <w:r>
        <w:rPr>
          <w:rFonts w:ascii="Arial" w:cs="Arial" w:eastAsia="Arial" w:hAnsi="Arial"/>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70"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9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SEVENTH:</w:t>
      </w:r>
    </w:p>
    <w:p>
      <w:pPr>
        <w:spacing w:after="0" w:line="225"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jc w:val="both"/>
        <w:ind w:left="640" w:firstLine="4"/>
        <w:spacing w:after="0" w:line="252" w:lineRule="auto"/>
        <w:tabs>
          <w:tab w:leader="none" w:pos="90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9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2"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C. Notwithstanding the foregoing provisions of this Article Seventh, no indemnification nor advancement of expenses will extend to any claims made by the Corporation’s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408940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Subject to the exception provided in Paragraph B of this Article Eighth, to the fullest extent permitted by law, unless the Corporation consents in writing to the selection of an alternative forum, (a) any derivative action or proceeding brought in our name on behalf of the Corporation, (b) any action asserting a claim for breach of a fiduciary duty owed by any current or former director, officer, employee, agent or stockholder of the Corporation to the Corporation or the Corporation’s stockholders, (c) any action asserting a claim arising pursuant to any provision of the GCL, the Certificate of Incorporation, or the bylaws, or (d) any action asserting a claim governed by the internal affairs doctrine, shall be the Court of Chancery of the State of Delaware (or, if the Court of Chancery of the State of Delaware lacks jurisdiction over any such action or proceeding, then another court of the State of Delaware or, if no court of the State of Delaware has jurisdiction, then the United States District Court for the District of Delaware).</w:t>
      </w:r>
    </w:p>
    <w:p>
      <w:pPr>
        <w:spacing w:after="0" w:line="178"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 The exclusive forum provision provided in Paragraph A of this Article Eighth will not apply to suits brought to enforce any duty or liability created by the Exchange Act, or any other claim for which the federal courts have exclusive jurisdiction. In addition,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 Securities Act, or any other claim for which the federal courts have exclusive jurisdiction.</w:t>
      </w:r>
    </w:p>
    <w:p>
      <w:pPr>
        <w:spacing w:after="0" w:line="18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C. If any action the subject matter of which is within the scope of Paragraph A of this Article Eighth is filed in a court other than a court located within the State of Delaware (a “</w:t>
      </w:r>
      <w:r>
        <w:rPr>
          <w:rFonts w:ascii="Arial" w:cs="Arial" w:eastAsia="Arial" w:hAnsi="Arial"/>
          <w:sz w:val="18"/>
          <w:szCs w:val="18"/>
          <w:b w:val="1"/>
          <w:bCs w:val="1"/>
          <w:color w:val="auto"/>
        </w:rPr>
        <w:t>Foreign Action</w:t>
      </w:r>
      <w:r>
        <w:rPr>
          <w:rFonts w:ascii="Arial" w:cs="Arial" w:eastAsia="Arial" w:hAnsi="Arial"/>
          <w:sz w:val="18"/>
          <w:szCs w:val="18"/>
          <w:color w:val="auto"/>
        </w:rPr>
        <w:t>”) in the name of any stockholder, such stockholder shall be deemed to have consented to (a) the personal jurisdiction of the state and federal courts located within the State of Delaware in connection with any action brought in any such court to enforce Paragraph A of this Article Eighth (an “</w:t>
      </w:r>
      <w:r>
        <w:rPr>
          <w:rFonts w:ascii="Arial" w:cs="Arial" w:eastAsia="Arial" w:hAnsi="Arial"/>
          <w:sz w:val="18"/>
          <w:szCs w:val="18"/>
          <w:b w:val="1"/>
          <w:bCs w:val="1"/>
          <w:color w:val="auto"/>
        </w:rPr>
        <w:t>FSC Enforcement Action</w:t>
      </w:r>
      <w:r>
        <w:rPr>
          <w:rFonts w:ascii="Arial" w:cs="Arial" w:eastAsia="Arial" w:hAnsi="Arial"/>
          <w:sz w:val="18"/>
          <w:szCs w:val="18"/>
          <w:color w:val="auto"/>
        </w:rPr>
        <w:t>”) and (b) having service of process made upon such stockholder in any such FSC Enforcement Action by service upon such stockholder’s counsel in the Foreign Action as agent for such stockholder, except for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(ii) which is vested in the exclusive jurisdiction of a court or forum other than the Court of Chancery or (iii) for which the Court of Chancery does not have subject matter jurisdiction.</w:t>
      </w:r>
    </w:p>
    <w:p>
      <w:pPr>
        <w:spacing w:after="0" w:line="194"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D.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Eighth.</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NINTH: 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Certificate of Incorporation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415290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TENTH: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Corporation hereby expressly elects not to be governed by Section 203 of the GCL.</w:t>
      </w:r>
    </w:p>
    <w:p>
      <w:pPr>
        <w:spacing w:after="0" w:line="225"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49" w:lineRule="exact"/>
        <w:rPr>
          <w:sz w:val="20"/>
          <w:szCs w:val="20"/>
          <w:color w:val="auto"/>
        </w:rPr>
      </w:pPr>
    </w:p>
    <w:p>
      <w:pPr>
        <w:ind w:left="1940" w:right="20" w:hanging="324"/>
        <w:spacing w:after="0" w:line="277" w:lineRule="auto"/>
        <w:tabs>
          <w:tab w:leader="none" w:pos="194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1940" w:hanging="324"/>
        <w:spacing w:after="0" w:line="284" w:lineRule="auto"/>
        <w:tabs>
          <w:tab w:leader="none" w:pos="194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4" w:lineRule="exact"/>
        <w:rPr>
          <w:rFonts w:ascii="Arial" w:cs="Arial" w:eastAsia="Arial" w:hAnsi="Arial"/>
          <w:sz w:val="16"/>
          <w:szCs w:val="16"/>
          <w:color w:val="auto"/>
        </w:rPr>
      </w:pPr>
    </w:p>
    <w:p>
      <w:pPr>
        <w:jc w:val="both"/>
        <w:ind w:left="1940" w:hanging="324"/>
        <w:spacing w:after="0" w:line="255" w:lineRule="auto"/>
        <w:tabs>
          <w:tab w:leader="none" w:pos="194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89" w:lineRule="exact"/>
        <w:rPr>
          <w:rFonts w:ascii="Arial" w:cs="Arial" w:eastAsia="Arial" w:hAnsi="Arial"/>
          <w:sz w:val="18"/>
          <w:szCs w:val="18"/>
          <w:color w:val="auto"/>
        </w:rPr>
      </w:pPr>
    </w:p>
    <w:p>
      <w:pPr>
        <w:ind w:left="860" w:hanging="216"/>
        <w:spacing w:after="0"/>
        <w:tabs>
          <w:tab w:leader="none" w:pos="8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Solely for purposes of this Article Tenth, references to:</w:t>
      </w:r>
    </w:p>
    <w:p>
      <w:pPr>
        <w:spacing w:after="0" w:line="225" w:lineRule="exact"/>
        <w:rPr>
          <w:rFonts w:ascii="Arial" w:cs="Arial" w:eastAsia="Arial" w:hAnsi="Arial"/>
          <w:sz w:val="18"/>
          <w:szCs w:val="18"/>
          <w:color w:val="auto"/>
        </w:rPr>
      </w:pPr>
    </w:p>
    <w:p>
      <w:pPr>
        <w:ind w:left="1160" w:right="20" w:hanging="1016"/>
        <w:spacing w:after="0" w:line="277" w:lineRule="auto"/>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left="1160" w:hanging="1016"/>
        <w:spacing w:after="0" w:line="275" w:lineRule="auto"/>
        <w:tabs>
          <w:tab w:leader="none" w:pos="11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when used to indicate a relationship with any person, means: (a) any corporation, partnership, unincorporated association or other entity of which such person is a director, officer or partner or is, directly or indirectly, the owner of twenty percent (20%) or more of any class of voting stock; (b) any trust or other estate in which such person has at least a twenty percent (20%) beneficial interest or as to which such person serves as trustee or in a similar fiduciary capacity; and (c) any relative or spouse of such person, or any relative of such spouse, who has the same residence as such person.</w:t>
      </w:r>
    </w:p>
    <w:p>
      <w:pPr>
        <w:spacing w:after="0" w:line="176" w:lineRule="exact"/>
        <w:rPr>
          <w:rFonts w:ascii="Arial" w:cs="Arial" w:eastAsia="Arial" w:hAnsi="Arial"/>
          <w:sz w:val="17"/>
          <w:szCs w:val="17"/>
          <w:color w:val="auto"/>
        </w:rPr>
      </w:pPr>
    </w:p>
    <w:p>
      <w:pPr>
        <w:ind w:left="1160" w:hanging="1016"/>
        <w:spacing w:after="0"/>
        <w:tabs>
          <w:tab w:leader="none" w:pos="11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457835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5" w:name="page236"/>
    <w:bookmarkEnd w:id="235"/>
    <w:p>
      <w:pPr>
        <w:jc w:val="both"/>
        <w:ind w:left="1800" w:hanging="320"/>
        <w:spacing w:after="0" w:line="279" w:lineRule="auto"/>
        <w:tabs>
          <w:tab w:leader="none" w:pos="1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Paragraph B of Article Tenth is not applicable to the surviving entity;</w:t>
      </w:r>
    </w:p>
    <w:p>
      <w:pPr>
        <w:spacing w:after="0" w:line="171" w:lineRule="exact"/>
        <w:rPr>
          <w:rFonts w:ascii="Arial" w:cs="Arial" w:eastAsia="Arial" w:hAnsi="Arial"/>
          <w:sz w:val="17"/>
          <w:szCs w:val="17"/>
          <w:color w:val="auto"/>
        </w:rPr>
      </w:pPr>
    </w:p>
    <w:p>
      <w:pPr>
        <w:jc w:val="both"/>
        <w:ind w:left="1800" w:hanging="320"/>
        <w:spacing w:after="0" w:line="273" w:lineRule="auto"/>
        <w:tabs>
          <w:tab w:leader="none" w:pos="1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77" w:lineRule="exact"/>
        <w:rPr>
          <w:rFonts w:ascii="Arial" w:cs="Arial" w:eastAsia="Arial" w:hAnsi="Arial"/>
          <w:sz w:val="17"/>
          <w:szCs w:val="17"/>
          <w:color w:val="auto"/>
        </w:rPr>
      </w:pPr>
    </w:p>
    <w:p>
      <w:pPr>
        <w:jc w:val="both"/>
        <w:ind w:left="1800" w:hanging="320"/>
        <w:spacing w:after="0" w:line="285" w:lineRule="auto"/>
        <w:tabs>
          <w:tab w:leader="none" w:pos="18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GCL;</w:t>
      </w:r>
    </w:p>
    <w:p>
      <w:pPr>
        <w:spacing w:after="0" w:line="1" w:lineRule="exact"/>
        <w:rPr>
          <w:rFonts w:ascii="Arial" w:cs="Arial" w:eastAsia="Arial" w:hAnsi="Arial"/>
          <w:sz w:val="16"/>
          <w:szCs w:val="16"/>
          <w:color w:val="auto"/>
        </w:rPr>
      </w:pPr>
    </w:p>
    <w:p>
      <w:pPr>
        <w:jc w:val="both"/>
        <w:ind w:left="1800" w:firstLine="4"/>
        <w:spacing w:after="0" w:line="287" w:lineRule="auto"/>
        <w:tabs>
          <w:tab w:leader="none" w:pos="214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(iv) pursuant to an exchange offer by the Corporation to purchase stock made on the same terms to all stockholders of said stock; or (v)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(iii)-(v) of this subsection (c) shall there be an increase in the interested stockholder’s proportionate share of the stock of any class or series of the Corporation or of the voting stock of the Corporation (except as a result of immaterial changes due to fractional share adjustments); or</w:t>
      </w:r>
    </w:p>
    <w:p>
      <w:pPr>
        <w:spacing w:after="0" w:line="169" w:lineRule="exact"/>
        <w:rPr>
          <w:rFonts w:ascii="Arial" w:cs="Arial" w:eastAsia="Arial" w:hAnsi="Arial"/>
          <w:sz w:val="16"/>
          <w:szCs w:val="16"/>
          <w:color w:val="auto"/>
        </w:rPr>
      </w:pPr>
    </w:p>
    <w:p>
      <w:pPr>
        <w:jc w:val="both"/>
        <w:ind w:left="1800" w:hanging="320"/>
        <w:spacing w:after="0" w:line="255" w:lineRule="auto"/>
        <w:tabs>
          <w:tab w:leader="none" w:pos="1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422910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6" w:name="page237"/>
    <w:bookmarkEnd w:id="236"/>
    <w:p>
      <w:pPr>
        <w:jc w:val="both"/>
        <w:ind w:left="644" w:hanging="644"/>
        <w:spacing w:after="0" w:line="272" w:lineRule="auto"/>
        <w:tabs>
          <w:tab w:leader="none" w:pos="644"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“control</w:t>
      </w:r>
      <w:r>
        <w:rPr>
          <w:rFonts w:ascii="Arial" w:cs="Arial" w:eastAsia="Arial" w:hAnsi="Arial"/>
          <w:sz w:val="17"/>
          <w:szCs w:val="17"/>
          <w:color w:val="auto"/>
        </w:rPr>
        <w:t>,” including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under common control with</w:t>
      </w:r>
      <w:r>
        <w:rPr>
          <w:rFonts w:ascii="Arial" w:cs="Arial" w:eastAsia="Arial" w:hAnsi="Arial"/>
          <w:sz w:val="17"/>
          <w:szCs w:val="17"/>
          <w:color w:val="auto"/>
        </w:rPr>
        <w:t>,” means the possession,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as an agent, bank, broker, nominee, custodian or trustee for one or more owners who do not individually or as a group have control of such entity.</w:t>
      </w:r>
    </w:p>
    <w:p>
      <w:pPr>
        <w:spacing w:after="0" w:line="177"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Exempted Person</w:t>
      </w:r>
      <w:r>
        <w:rPr>
          <w:rFonts w:ascii="Arial" w:cs="Arial" w:eastAsia="Arial" w:hAnsi="Arial"/>
          <w:sz w:val="18"/>
          <w:szCs w:val="18"/>
          <w:color w:val="auto"/>
        </w:rPr>
        <w:t>” means Chardan NexTech Investments 2 LLC and its affiliates, any of their direct or indirect transferees of at least 15% of the Corporation’s outstanding Common Stock and any “group” of which any such person is a part under Rule 13d-5 of the Exchange Act.</w:t>
      </w:r>
    </w:p>
    <w:p>
      <w:pPr>
        <w:spacing w:after="0" w:line="183"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interested stockholder</w:t>
      </w:r>
      <w:r>
        <w:rPr>
          <w:rFonts w:ascii="Arial" w:cs="Arial" w:eastAsia="Arial" w:hAnsi="Arial"/>
          <w:sz w:val="16"/>
          <w:szCs w:val="16"/>
          <w:color w:val="auto"/>
        </w:rPr>
        <w:t>” means any person (other than the Corporation or any direct or indirect majority-owned subsidiary of the Corporation) that (a) is the owner of fifteen percent (15%) or more of the voting stock of the Corporation, or (b) is an affiliate or associate of the Corporation and was the owner of fifteen percent (15%) or more of the voting stock of the Corporation at any time within the three</w:t>
      </w:r>
    </w:p>
    <w:p>
      <w:pPr>
        <w:spacing w:after="0" w:line="2" w:lineRule="exact"/>
        <w:rPr>
          <w:rFonts w:ascii="Arial" w:cs="Arial" w:eastAsia="Arial" w:hAnsi="Arial"/>
          <w:sz w:val="16"/>
          <w:szCs w:val="16"/>
          <w:color w:val="auto"/>
        </w:rPr>
      </w:pPr>
    </w:p>
    <w:p>
      <w:pPr>
        <w:jc w:val="both"/>
        <w:ind w:left="644"/>
        <w:spacing w:after="0" w:line="286" w:lineRule="auto"/>
        <w:rPr>
          <w:rFonts w:ascii="Arial" w:cs="Arial" w:eastAsia="Arial" w:hAnsi="Arial"/>
          <w:sz w:val="16"/>
          <w:szCs w:val="16"/>
          <w:color w:val="auto"/>
        </w:rPr>
      </w:pPr>
      <w:r>
        <w:rPr>
          <w:rFonts w:ascii="Arial" w:cs="Arial" w:eastAsia="Arial" w:hAnsi="Arial"/>
          <w:sz w:val="16"/>
          <w:szCs w:val="16"/>
          <w:color w:val="auto"/>
        </w:rPr>
        <w:t>(3) year period immediately prior to the date on which it is sought to be determined whether such person is an interested stockholder; and the affiliates and associates of such person; but “interested stockholder” shall not include (i) any Exempted Person, or (ii) any person whose ownership of shares in excess of the fifteen percent (15%) limitation set forth herein is the result of any action taken solely by the Corporation; provided that with respect to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2"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sz w:val="20"/>
          <w:szCs w:val="20"/>
          <w:color w:val="auto"/>
        </w:rPr>
      </w:pPr>
    </w:p>
    <w:p>
      <w:pPr>
        <w:ind w:left="644" w:hanging="644"/>
        <w:spacing w:after="0"/>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66"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7" w:name="page238"/>
    <w:bookmarkEnd w:id="237"/>
    <w:p>
      <w:pPr>
        <w:ind w:left="1300" w:hanging="644"/>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Jonas Grossman, its President and Chief Executive Officer, as of the [●] day of [●],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Jonas Grossman,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ind w:left="104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364" w:right="339" w:bottom="1141"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 UNITS</w:t>
      </w:r>
    </w:p>
    <w:p>
      <w:pPr>
        <w:spacing w:after="0" w:line="211" w:lineRule="exact"/>
        <w:rPr>
          <w:sz w:val="20"/>
          <w:szCs w:val="20"/>
          <w:color w:val="auto"/>
        </w:rPr>
      </w:pPr>
    </w:p>
    <w:p>
      <w:pPr>
        <w:sectPr>
          <w:pgSz w:w="11900" w:h="16838" w:orient="portrait"/>
          <w:cols w:equalWidth="0" w:num="2">
            <w:col w:w="8780" w:space="720"/>
            <w:col w:w="1740"/>
          </w:cols>
          <w:pgMar w:left="320" w:top="364" w:right="339" w:bottom="1141"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U-__________</w:t>
      </w:r>
    </w:p>
    <w:p>
      <w:pPr>
        <w:sectPr>
          <w:pgSz w:w="11900" w:h="16838" w:orient="portrait"/>
          <w:cols w:equalWidth="0" w:num="1">
            <w:col w:w="11240"/>
          </w:cols>
          <w:pgMar w:left="320" w:top="364" w:right="339" w:bottom="1141" w:gutter="0" w:footer="0" w:header="0"/>
          <w:type w:val="continuous"/>
        </w:sectPr>
      </w:pPr>
    </w:p>
    <w:p>
      <w:pPr>
        <w:spacing w:after="0" w:line="248"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SEE REVERSE FOR</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CERTAIN DEFINITIONS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CHARDAN NEXTECH ACQUISITION 2 CORP.</w:t>
      </w:r>
    </w:p>
    <w:p>
      <w:pPr>
        <w:spacing w:after="0" w:line="422" w:lineRule="exact"/>
        <w:rPr>
          <w:sz w:val="20"/>
          <w:szCs w:val="20"/>
          <w:color w:val="auto"/>
        </w:rPr>
      </w:pPr>
    </w:p>
    <w:p>
      <w:pPr>
        <w:sectPr>
          <w:pgSz w:w="11900" w:h="16838" w:orient="portrait"/>
          <w:cols w:equalWidth="0" w:num="2">
            <w:col w:w="2980" w:space="720"/>
            <w:col w:w="7540"/>
          </w:cols>
          <w:pgMar w:left="320" w:top="364" w:right="339" w:bottom="1141" w:gutter="0" w:footer="0" w:header="0"/>
          <w:type w:val="continuous"/>
        </w:sectPr>
      </w:pPr>
    </w:p>
    <w:p>
      <w:pPr>
        <w:spacing w:after="0" w:line="18"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159561208</w:t>
      </w:r>
    </w:p>
    <w:p>
      <w:pPr>
        <w:sectPr>
          <w:pgSz w:w="11900" w:h="16838" w:orient="portrait"/>
          <w:cols w:equalWidth="0" w:num="1">
            <w:col w:w="11240"/>
          </w:cols>
          <w:pgMar w:left="320" w:top="364" w:right="339" w:bottom="1141" w:gutter="0" w:footer="0" w:header="0"/>
          <w:type w:val="continuous"/>
        </w:sectPr>
      </w:pP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UNITS CONSISTING OF ONE SHARE OF COMMON STOCK AND ONE-THIRD OF ONE WARRANT, EACH WHOLE WARRANT ENTITLING THE HOLDER TO PURCHASE ONE SHARE OF COMMON STOCK</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23495</wp:posOffset>
            </wp:positionV>
            <wp:extent cx="37115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7860" w:val="left"/>
        </w:tabs>
        <w:rPr>
          <w:sz w:val="20"/>
          <w:szCs w:val="20"/>
          <w:color w:val="auto"/>
        </w:rPr>
      </w:pPr>
      <w:r>
        <w:rPr>
          <w:rFonts w:ascii="Arial" w:cs="Arial" w:eastAsia="Arial" w:hAnsi="Arial"/>
          <w:sz w:val="18"/>
          <w:szCs w:val="18"/>
          <w:color w:val="auto"/>
        </w:rPr>
        <w:t>is the owner of</w:t>
      </w:r>
      <w:r>
        <w:rPr>
          <w:sz w:val="20"/>
          <w:szCs w:val="20"/>
          <w:color w:val="auto"/>
        </w:rPr>
        <w:tab/>
      </w:r>
      <w:r>
        <w:rPr>
          <w:rFonts w:ascii="Arial" w:cs="Arial" w:eastAsia="Arial" w:hAnsi="Arial"/>
          <w:sz w:val="17"/>
          <w:szCs w:val="17"/>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23495</wp:posOffset>
            </wp:positionV>
            <wp:extent cx="42087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Unit (“Unit”) consists of one share of common stock, par value $.0001 per share, of Chardan NexTech Acquisition 2 Corp., a Delaware corporation (the “Company”), and one-third of one warrant. Each whole warrant entitles the holder to purchase one share of common stock of the Company at $11.50 per share (subject to adjustment), upon the later to occur of (i) the Company’s completion of a merger, share exchange, asset acquisition, stock purchase, recapitalization, reorganization or other similar business combination, with one or more target businesses (a “Business Combination”) or (ii) 12 months from the closing of the Company’s initial public offering (the “IPO”). Each warrant expires 5 years after the completion of our initial Business Combination, at 5:00 p.m., New York City time, or earlier upon redemption or liquidation.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and warrant(s) comprising the Unit(s) represented by this certificate are not transferable separately until the 90th day after the date of the prospectus relating to the IPO, unless Chardan Capital Markets, LLC informs the Company of its decision to allow earlier separate trading, provided that the Company has filed with the Securities and Exchanges Commission a Current Report on Form 8-K, which includes an audited balance sheet reflecting the Company’s receipt of the gross proceeds of the IPO.</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of the warrants are governed by a warrant agreement (the “Warrant Agreement”), dated as of [·], 2021, between the Company and Continental Stock Transfer &amp; Trust Company, as the warrant agent, and are subject to the terms and provisions contained therein, all of which terms and provisions the holder of this certificate consents to by acceptance hereof. Copies of the Warrant Agreement are on file at the office of the warrant agent at 1 State Street, 20th Floor, New York, New York 10004, and are available to any warrant holder on written request and without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Unit Certificate shall be governed and construed in accordance with the internal laws of the State of New York, without regard to conflicts of laws principles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79"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40"/>
          </w:cols>
          <w:pgMar w:left="320" w:top="364" w:right="339" w:bottom="1141" w:gutter="0" w:footer="0" w:header="0"/>
          <w:type w:val="continuous"/>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tenants in common UNIF GIFT MIN ACT - _____ Custodian 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 (Cust) (Minor)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 under Uniform Gifts to Minors</w:t>
      </w:r>
    </w:p>
    <w:p>
      <w:pPr>
        <w:spacing w:after="0" w:line="222" w:lineRule="exact"/>
        <w:rPr>
          <w:sz w:val="20"/>
          <w:szCs w:val="20"/>
          <w:color w:val="auto"/>
        </w:rPr>
      </w:pPr>
    </w:p>
    <w:p>
      <w:pPr>
        <w:sectPr>
          <w:pgSz w:w="11900" w:h="16838" w:orient="portrait"/>
          <w:cols w:equalWidth="0" w:num="2">
            <w:col w:w="1600" w:space="660"/>
            <w:col w:w="8980"/>
          </w:cols>
          <w:pgMar w:left="320" w:top="364" w:right="339" w:bottom="1141" w:gutter="0" w:footer="0" w:header="0"/>
          <w:type w:val="continuous"/>
        </w:sectPr>
      </w:pPr>
    </w:p>
    <w:p>
      <w:pPr>
        <w:spacing w:after="0" w:line="1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and not as tenants in common Act ______________</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(State)</w:t>
      </w:r>
    </w:p>
    <w:p>
      <w:pPr>
        <w:sectPr>
          <w:pgSz w:w="11900" w:h="16838" w:orient="portrait"/>
          <w:cols w:equalWidth="0" w:num="1">
            <w:col w:w="11240"/>
          </w:cols>
          <w:pgMar w:left="320" w:top="364" w:right="339" w:bottom="1141"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For value received, ___________________________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141" w:gutter="0" w:footer="0" w:header="0"/>
          <w:type w:val="continuous"/>
        </w:sectPr>
      </w:pPr>
    </w:p>
    <w:bookmarkStart w:id="239" w:name="page240"/>
    <w:bookmarkEnd w:id="239"/>
    <w:p>
      <w:pPr>
        <w:spacing w:after="0"/>
        <w:rPr>
          <w:sz w:val="20"/>
          <w:szCs w:val="20"/>
          <w:color w:val="auto"/>
        </w:rPr>
      </w:pPr>
      <w:r>
        <w:rPr>
          <w:rFonts w:ascii="Arial" w:cs="Arial" w:eastAsia="Arial" w:hAnsi="Arial"/>
          <w:sz w:val="18"/>
          <w:szCs w:val="18"/>
          <w:color w:val="auto"/>
        </w:rPr>
        <w:t>PLEASE INSERT SOCIAL SECURITY OR 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28632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840"/>
        <w:spacing w:after="0"/>
        <w:rPr>
          <w:sz w:val="20"/>
          <w:szCs w:val="20"/>
          <w:color w:val="auto"/>
        </w:rPr>
      </w:pPr>
      <w:r>
        <w:rPr>
          <w:rFonts w:ascii="Arial" w:cs="Arial" w:eastAsia="Arial" w:hAnsi="Arial"/>
          <w:sz w:val="17"/>
          <w:szCs w:val="17"/>
          <w:i w:val="1"/>
          <w:iCs w:val="1"/>
          <w:color w:val="auto"/>
        </w:rPr>
        <w:t>Units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7805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3" w:lineRule="exact"/>
        <w:rPr>
          <w:sz w:val="20"/>
          <w:szCs w:val="20"/>
          <w:color w:val="auto"/>
        </w:rPr>
      </w:pPr>
    </w:p>
    <w:p>
      <w:pPr>
        <w:ind w:left="10620"/>
        <w:spacing w:after="0"/>
        <w:rPr>
          <w:sz w:val="20"/>
          <w:szCs w:val="20"/>
          <w:color w:val="auto"/>
        </w:rPr>
      </w:pPr>
      <w:r>
        <w:rPr>
          <w:rFonts w:ascii="Arial" w:cs="Arial" w:eastAsia="Arial" w:hAnsi="Arial"/>
          <w:sz w:val="16"/>
          <w:szCs w:val="16"/>
          <w:i w:val="1"/>
          <w:iCs w:val="1"/>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7119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Units on the books of the within named Company with full power of substitution in the premises.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23571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5180" w:hanging="679"/>
        <w:spacing w:after="0" w:line="263" w:lineRule="auto"/>
        <w:tabs>
          <w:tab w:leader="none" w:pos="5160" w:val="left"/>
        </w:tabs>
        <w:rPr>
          <w:sz w:val="20"/>
          <w:szCs w:val="20"/>
          <w:color w:val="auto"/>
        </w:rPr>
      </w:pPr>
      <w:r>
        <w:rPr>
          <w:rFonts w:ascii="Arial" w:cs="Arial" w:eastAsia="Arial" w:hAnsi="Arial"/>
          <w:sz w:val="18"/>
          <w:szCs w:val="18"/>
          <w:b w:val="1"/>
          <w:bCs w:val="1"/>
          <w:color w:val="auto"/>
        </w:rPr>
        <w:t>Notice:</w:t>
      </w:r>
      <w:r>
        <w:rPr>
          <w:sz w:val="20"/>
          <w:szCs w:val="20"/>
          <w:color w:val="auto"/>
        </w:rPr>
        <w:tab/>
      </w:r>
      <w:r>
        <w:rPr>
          <w:rFonts w:ascii="Arial" w:cs="Arial" w:eastAsia="Arial" w:hAnsi="Arial"/>
          <w:sz w:val="18"/>
          <w:szCs w:val="18"/>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-428625</wp:posOffset>
            </wp:positionV>
            <wp:extent cx="42773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52" w:lineRule="exact"/>
        <w:rPr>
          <w:sz w:val="20"/>
          <w:szCs w:val="20"/>
          <w:color w:val="auto"/>
        </w:rPr>
      </w:pPr>
    </w:p>
    <w:p>
      <w:pPr>
        <w:ind w:left="20" w:right="3480"/>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 of this certificate shall be entitled to receive funds with respect to the underlying share of common stock from the trust account established in connection with the Company’s initial public offering only in the event of the Company’s liquidation upon failure to consummate a business combination within the required time period set forth in the Company’s Amended and Restated Certificate of Incorporation (the “Certificate”), as the same may be amended from time to time, or if the holder seeks to convert his or her respective shares of common stock underlying the Unit upon consummation of such business combination or in connection with certain amendments to the Certificate. In no other circumstances shall the holder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left="10240"/>
        <w:spacing w:after="0"/>
        <w:rPr>
          <w:sz w:val="20"/>
          <w:szCs w:val="20"/>
          <w:color w:val="auto"/>
        </w:rPr>
      </w:pPr>
      <w:r>
        <w:rPr>
          <w:rFonts w:ascii="Arial" w:cs="Arial" w:eastAsia="Arial" w:hAnsi="Arial"/>
          <w:sz w:val="19"/>
          <w:szCs w:val="19"/>
          <w:b w:val="1"/>
          <w:bCs w:val="1"/>
          <w:color w:val="auto"/>
        </w:rPr>
        <w:t>Exhibit 4.2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NUMBER</w:t>
            </w:r>
          </w:p>
        </w:tc>
        <w:tc>
          <w:tcPr>
            <w:tcW w:w="6720" w:type="dxa"/>
            <w:vAlign w:val="bottom"/>
          </w:tcPr>
          <w:p>
            <w:pPr>
              <w:ind w:left="6000"/>
              <w:spacing w:after="0"/>
              <w:rPr>
                <w:sz w:val="20"/>
                <w:szCs w:val="20"/>
                <w:color w:val="auto"/>
              </w:rPr>
            </w:pPr>
            <w:r>
              <w:rPr>
                <w:rFonts w:ascii="Arial" w:cs="Arial" w:eastAsia="Arial" w:hAnsi="Arial"/>
                <w:sz w:val="18"/>
                <w:szCs w:val="18"/>
                <w:b w:val="1"/>
                <w:bCs w:val="1"/>
                <w:color w:val="auto"/>
                <w:w w:val="93"/>
              </w:rPr>
              <w:t>SHARES</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 ______</w:t>
            </w:r>
          </w:p>
        </w:tc>
        <w:tc>
          <w:tcPr>
            <w:tcW w:w="672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rPr>
              <w:t>CHARDAN NEXTECH ACQUISITION 2 CORP.</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6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72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INCORPORATED UNDER THE LAWS OF THE STATE OF DELAWARE</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6720" w:type="dxa"/>
            <w:vAlign w:val="bottom"/>
          </w:tcPr>
          <w:p>
            <w:pPr>
              <w:jc w:val="center"/>
              <w:ind w:left="27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CERTAIN DEFINITIONS</w:t>
      </w:r>
    </w:p>
    <w:p>
      <w:pPr>
        <w:spacing w:after="0" w:line="9"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CUSIP 159561109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This Certifies that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 the owner of</w:t>
      </w:r>
    </w:p>
    <w:p>
      <w:pPr>
        <w:spacing w:after="0" w:line="20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FULLY PAID AND NON-ASSESSABLE SHARES OF COMMON STOCK OF</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11" w:lineRule="exact"/>
        <w:rPr>
          <w:sz w:val="20"/>
          <w:szCs w:val="20"/>
          <w:color w:val="auto"/>
        </w:rPr>
      </w:pPr>
    </w:p>
    <w:p>
      <w:pPr>
        <w:jc w:val="center"/>
        <w:ind w:left="980" w:right="100"/>
        <w:spacing w:after="0" w:line="269" w:lineRule="auto"/>
        <w:rPr>
          <w:sz w:val="20"/>
          <w:szCs w:val="20"/>
          <w:color w:val="auto"/>
        </w:rPr>
      </w:pPr>
      <w:r>
        <w:rPr>
          <w:rFonts w:ascii="Arial" w:cs="Arial" w:eastAsia="Arial" w:hAnsi="Arial"/>
          <w:sz w:val="17"/>
          <w:szCs w:val="17"/>
          <w:i w:val="1"/>
          <w:iCs w:val="1"/>
          <w:color w:val="auto"/>
        </w:rPr>
        <w:t>transferable on the books of the Company in person or by duly authorized attorney upon surrender of this certificate properly endorsed. The Company will be forced to liquidate if it is unable to complete an initial business combination within the meaning as defined in and the time period as required by its Amended and Restated Certificate of Incorporation, as the same may be amended from time to time. This certificate is not valid unless countersigned by the Transfer Agent and registered by the Registrar.</w:t>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Witness the facsimile seal of the Company and the facsimile signatures of its duly authorized officers.</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Dated:</w:t>
      </w:r>
    </w:p>
    <w:p>
      <w:pPr>
        <w:spacing w:after="0" w:line="239" w:lineRule="exact"/>
        <w:rPr>
          <w:sz w:val="20"/>
          <w:szCs w:val="20"/>
          <w:color w:val="auto"/>
        </w:rPr>
      </w:pPr>
    </w:p>
    <w:p>
      <w:pPr>
        <w:ind w:left="580"/>
        <w:spacing w:after="0"/>
        <w:tabs>
          <w:tab w:leader="none" w:pos="652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7722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TEN COM –</w:t>
            </w:r>
          </w:p>
        </w:tc>
        <w:tc>
          <w:tcPr>
            <w:tcW w:w="3940" w:type="dxa"/>
            <w:vAlign w:val="bottom"/>
          </w:tcPr>
          <w:p>
            <w:pPr>
              <w:ind w:left="160"/>
              <w:spacing w:after="0"/>
              <w:rPr>
                <w:sz w:val="20"/>
                <w:szCs w:val="20"/>
                <w:color w:val="auto"/>
              </w:rPr>
            </w:pPr>
            <w:r>
              <w:rPr>
                <w:rFonts w:ascii="Arial" w:cs="Arial" w:eastAsia="Arial" w:hAnsi="Arial"/>
                <w:sz w:val="18"/>
                <w:szCs w:val="18"/>
                <w:color w:val="auto"/>
              </w:rPr>
              <w:t>as tenants in common</w:t>
            </w:r>
          </w:p>
        </w:tc>
        <w:tc>
          <w:tcPr>
            <w:tcW w:w="4460" w:type="dxa"/>
            <w:vAlign w:val="bottom"/>
          </w:tcPr>
          <w:p>
            <w:pPr>
              <w:ind w:left="820"/>
              <w:spacing w:after="0"/>
              <w:rPr>
                <w:sz w:val="20"/>
                <w:szCs w:val="20"/>
                <w:color w:val="auto"/>
              </w:rPr>
            </w:pPr>
            <w:r>
              <w:rPr>
                <w:rFonts w:ascii="Arial" w:cs="Arial" w:eastAsia="Arial" w:hAnsi="Arial"/>
                <w:sz w:val="18"/>
                <w:szCs w:val="18"/>
                <w:color w:val="auto"/>
                <w:w w:val="94"/>
              </w:rPr>
              <w:t>UNIF GIFT MIN ACT - _____ Custodian ______</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TEN ENT –</w:t>
            </w:r>
          </w:p>
        </w:tc>
        <w:tc>
          <w:tcPr>
            <w:tcW w:w="3940" w:type="dxa"/>
            <w:vAlign w:val="bottom"/>
          </w:tcPr>
          <w:p>
            <w:pPr>
              <w:ind w:left="160"/>
              <w:spacing w:after="0"/>
              <w:rPr>
                <w:sz w:val="20"/>
                <w:szCs w:val="20"/>
                <w:color w:val="auto"/>
              </w:rPr>
            </w:pPr>
            <w:r>
              <w:rPr>
                <w:rFonts w:ascii="Arial" w:cs="Arial" w:eastAsia="Arial" w:hAnsi="Arial"/>
                <w:sz w:val="18"/>
                <w:szCs w:val="18"/>
                <w:color w:val="auto"/>
              </w:rPr>
              <w:t>as tenants by the entireties</w:t>
            </w:r>
          </w:p>
        </w:tc>
        <w:tc>
          <w:tcPr>
            <w:tcW w:w="4460" w:type="dxa"/>
            <w:vAlign w:val="bottom"/>
          </w:tcPr>
          <w:p>
            <w:pPr>
              <w:jc w:val="center"/>
              <w:ind w:left="2150"/>
              <w:spacing w:after="0"/>
              <w:rPr>
                <w:sz w:val="20"/>
                <w:szCs w:val="20"/>
                <w:color w:val="auto"/>
              </w:rPr>
            </w:pPr>
            <w:r>
              <w:rPr>
                <w:rFonts w:ascii="Arial" w:cs="Arial" w:eastAsia="Arial" w:hAnsi="Arial"/>
                <w:sz w:val="18"/>
                <w:szCs w:val="18"/>
                <w:color w:val="auto"/>
                <w:w w:val="95"/>
              </w:rPr>
              <w:t>(Cust) (Minor)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JT TEN –</w:t>
            </w:r>
          </w:p>
        </w:tc>
        <w:tc>
          <w:tcPr>
            <w:tcW w:w="3940" w:type="dxa"/>
            <w:vAlign w:val="bottom"/>
          </w:tcPr>
          <w:p>
            <w:pPr>
              <w:ind w:left="160"/>
              <w:spacing w:after="0"/>
              <w:rPr>
                <w:sz w:val="20"/>
                <w:szCs w:val="20"/>
                <w:color w:val="auto"/>
              </w:rPr>
            </w:pPr>
            <w:r>
              <w:rPr>
                <w:rFonts w:ascii="Arial" w:cs="Arial" w:eastAsia="Arial" w:hAnsi="Arial"/>
                <w:sz w:val="18"/>
                <w:szCs w:val="18"/>
                <w:color w:val="auto"/>
              </w:rPr>
              <w:t>as joint tenants with right of survivorship</w:t>
            </w:r>
          </w:p>
        </w:tc>
        <w:tc>
          <w:tcPr>
            <w:tcW w:w="4460" w:type="dxa"/>
            <w:vAlign w:val="bottom"/>
          </w:tcPr>
          <w:p>
            <w:pPr>
              <w:jc w:val="center"/>
              <w:ind w:left="2150"/>
              <w:spacing w:after="0"/>
              <w:rPr>
                <w:sz w:val="20"/>
                <w:szCs w:val="20"/>
                <w:color w:val="auto"/>
              </w:rPr>
            </w:pPr>
            <w:r>
              <w:rPr>
                <w:rFonts w:ascii="Arial" w:cs="Arial" w:eastAsia="Arial" w:hAnsi="Arial"/>
                <w:sz w:val="18"/>
                <w:szCs w:val="18"/>
                <w:color w:val="auto"/>
                <w:w w:val="94"/>
              </w:rPr>
              <w:t>under Uniform Gifts to Minors</w:t>
            </w:r>
          </w:p>
        </w:tc>
      </w:tr>
      <w:tr>
        <w:trPr>
          <w:trHeight w:val="216"/>
        </w:trPr>
        <w:tc>
          <w:tcPr>
            <w:tcW w:w="110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and not as tenants in common</w:t>
            </w:r>
          </w:p>
        </w:tc>
        <w:tc>
          <w:tcPr>
            <w:tcW w:w="4460" w:type="dxa"/>
            <w:vAlign w:val="bottom"/>
          </w:tcPr>
          <w:p>
            <w:pPr>
              <w:jc w:val="center"/>
              <w:ind w:left="2170"/>
              <w:spacing w:after="0"/>
              <w:rPr>
                <w:sz w:val="20"/>
                <w:szCs w:val="20"/>
                <w:color w:val="auto"/>
              </w:rPr>
            </w:pPr>
            <w:r>
              <w:rPr>
                <w:rFonts w:ascii="Arial" w:cs="Arial" w:eastAsia="Arial" w:hAnsi="Arial"/>
                <w:sz w:val="18"/>
                <w:szCs w:val="18"/>
                <w:color w:val="auto"/>
                <w:w w:val="91"/>
              </w:rPr>
              <w:t>Act ______________</w:t>
            </w:r>
          </w:p>
        </w:tc>
      </w:tr>
      <w:tr>
        <w:trPr>
          <w:trHeight w:val="230"/>
        </w:trPr>
        <w:tc>
          <w:tcPr>
            <w:tcW w:w="1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460" w:type="dxa"/>
            <w:vAlign w:val="bottom"/>
          </w:tcPr>
          <w:p>
            <w:pPr>
              <w:ind w:left="3280"/>
              <w:spacing w:after="0"/>
              <w:rPr>
                <w:sz w:val="20"/>
                <w:szCs w:val="20"/>
                <w:color w:val="auto"/>
              </w:rPr>
            </w:pPr>
            <w:r>
              <w:rPr>
                <w:rFonts w:ascii="Arial" w:cs="Arial" w:eastAsia="Arial" w:hAnsi="Arial"/>
                <w:sz w:val="18"/>
                <w:szCs w:val="18"/>
                <w:color w:val="auto"/>
              </w:rPr>
              <w:t>(State)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furnish without charge to each stockholder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preferred stock (copies of which may be obtained from the secretary of the Company), to all of which the holder of this certificate by acceptance hereof assents.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146935" cy="1670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2146935"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1080" w:val="left"/>
        </w:tabs>
        <w:rPr>
          <w:sz w:val="20"/>
          <w:szCs w:val="20"/>
          <w:color w:val="auto"/>
        </w:rPr>
      </w:pPr>
      <w:r>
        <w:rPr>
          <w:rFonts w:ascii="Arial" w:cs="Arial" w:eastAsia="Arial" w:hAnsi="Arial"/>
          <w:sz w:val="17"/>
          <w:szCs w:val="17"/>
          <w:color w:val="auto"/>
        </w:rPr>
        <w:t>_______________________________________________________________________________________________________________</w:t>
      </w:r>
      <w:r>
        <w:rPr>
          <w:rFonts w:ascii="Arial" w:cs="Arial" w:eastAsia="Arial" w:hAnsi="Arial"/>
          <w:sz w:val="17"/>
          <w:szCs w:val="17"/>
          <w:i w:val="1"/>
          <w:iCs w:val="1"/>
          <w:color w:val="auto"/>
        </w:rPr>
        <w:t>shares</w:t>
      </w:r>
      <w:r>
        <w:rPr>
          <w:sz w:val="20"/>
          <w:szCs w:val="20"/>
          <w:color w:val="auto"/>
        </w:rPr>
        <w:tab/>
      </w:r>
      <w:r>
        <w:rPr>
          <w:rFonts w:ascii="Arial" w:cs="Arial" w:eastAsia="Arial" w:hAnsi="Arial"/>
          <w:sz w:val="16"/>
          <w:szCs w:val="16"/>
          <w:i w:val="1"/>
          <w:iCs w:val="1"/>
          <w:color w:val="auto"/>
        </w:rPr>
        <w:t>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represented by the within Certificate, and do hereby irrevocably constitute and appoint</w:t>
      </w:r>
    </w:p>
    <w:p>
      <w:pPr>
        <w:spacing w:after="0" w:line="211" w:lineRule="exact"/>
        <w:rPr>
          <w:sz w:val="20"/>
          <w:szCs w:val="20"/>
          <w:color w:val="auto"/>
        </w:rPr>
      </w:pPr>
    </w:p>
    <w:p>
      <w:pPr>
        <w:spacing w:after="0"/>
        <w:tabs>
          <w:tab w:leader="none" w:pos="11080" w:val="left"/>
        </w:tabs>
        <w:rPr>
          <w:sz w:val="20"/>
          <w:szCs w:val="20"/>
          <w:color w:val="auto"/>
        </w:rPr>
      </w:pPr>
      <w:r>
        <w:rPr>
          <w:rFonts w:ascii="Arial" w:cs="Arial" w:eastAsia="Arial" w:hAnsi="Arial"/>
          <w:sz w:val="17"/>
          <w:szCs w:val="17"/>
          <w:i w:val="1"/>
          <w:iCs w:val="1"/>
          <w:color w:val="auto"/>
        </w:rPr>
        <w:t>_______________________________________________________________________________________________________________Attorney</w:t>
      </w:r>
      <w:r>
        <w:rPr>
          <w:sz w:val="20"/>
          <w:szCs w:val="20"/>
          <w:color w:val="auto"/>
        </w:rPr>
        <w:tab/>
      </w:r>
      <w:r>
        <w:rPr>
          <w:rFonts w:ascii="Arial" w:cs="Arial" w:eastAsia="Arial" w:hAnsi="Arial"/>
          <w:sz w:val="16"/>
          <w:szCs w:val="16"/>
          <w:i w:val="1"/>
          <w:iCs w:val="1"/>
          <w:color w:val="auto"/>
        </w:rPr>
        <w:t>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the said stock on the books of the within named Company with full power of substitution in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Dated___________________</w:t>
      </w:r>
    </w:p>
    <w:p>
      <w:pPr>
        <w:sectPr>
          <w:pgSz w:w="11900" w:h="16838" w:orient="portrait"/>
          <w:cols w:equalWidth="0" w:num="1">
            <w:col w:w="11240"/>
          </w:cols>
          <w:pgMar w:left="320" w:top="355" w:right="339" w:bottom="200"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ind w:left="3960" w:right="20" w:hanging="566"/>
        <w:spacing w:after="0" w:line="312" w:lineRule="auto"/>
        <w:rPr>
          <w:sz w:val="20"/>
          <w:szCs w:val="20"/>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The signature to this assignment must correspond with the name as written upon the face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-318770</wp:posOffset>
            </wp:positionV>
            <wp:extent cx="49891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39" w:lineRule="exact"/>
        <w:rPr>
          <w:sz w:val="20"/>
          <w:szCs w:val="20"/>
          <w:color w:val="auto"/>
        </w:rPr>
      </w:pPr>
    </w:p>
    <w:p>
      <w:pPr>
        <w:ind w:left="20" w:right="3480"/>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holder of this certificate shall be entitled to receive funds from the trust account established in connection with the Company’s initial public offering only in the event of the Company’s liquidation upon failure to consummate a business combination within the required time period set forth in the Company’s Amended and Restated Certificate of Incorporation as the same may be amended from time to time (the “Certificate”), or if the holder seeks to convert his or her shares of common stock upon consummation of a business combination or in connection with certain amendments to the Certificate. In no other circumstances shall the holder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3" w:name="page244"/>
    <w:bookmarkEnd w:id="243"/>
    <w:p>
      <w:pPr>
        <w:ind w:left="10400"/>
        <w:spacing w:after="0"/>
        <w:rPr>
          <w:sz w:val="20"/>
          <w:szCs w:val="20"/>
          <w:color w:val="auto"/>
        </w:rPr>
      </w:pPr>
      <w:r>
        <w:rPr>
          <w:rFonts w:ascii="Arial" w:cs="Arial" w:eastAsia="Arial" w:hAnsi="Arial"/>
          <w:sz w:val="16"/>
          <w:szCs w:val="16"/>
          <w:b w:val="1"/>
          <w:bCs w:val="1"/>
          <w:color w:val="auto"/>
        </w:rPr>
        <w:t>Exhibit 4.3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SPECIMEN WARRANT CERTIFICATE</w:t>
      </w:r>
    </w:p>
    <w:p>
      <w:pPr>
        <w:sectPr>
          <w:pgSz w:w="11900" w:h="16838" w:orient="portrait"/>
          <w:cols w:equalWidth="0" w:num="1">
            <w:col w:w="11240"/>
          </w:cols>
          <w:pgMar w:left="320" w:top="364"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 WARRANTS</w:t>
      </w:r>
    </w:p>
    <w:p>
      <w:pPr>
        <w:spacing w:after="0" w:line="430" w:lineRule="exact"/>
        <w:rPr>
          <w:sz w:val="20"/>
          <w:szCs w:val="20"/>
          <w:color w:val="auto"/>
        </w:rPr>
      </w:pPr>
    </w:p>
    <w:p>
      <w:pPr>
        <w:sectPr>
          <w:pgSz w:w="11900" w:h="16838" w:orient="portrait"/>
          <w:cols w:equalWidth="0" w:num="2">
            <w:col w:w="9040" w:space="720"/>
            <w:col w:w="1480"/>
          </w:cols>
          <w:pgMar w:left="320" w:top="364" w:right="339" w:bottom="1440" w:gutter="0" w:footer="0" w:header="0"/>
          <w:type w:val="continuous"/>
        </w:sectPr>
      </w:pPr>
    </w:p>
    <w:p>
      <w:pPr>
        <w:spacing w:after="0" w:line="3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BUSINESS COMBINATION)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159561117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WARRANT CERTIFIES THAT, for value received ________, or registered agents, is the registered holder of a Warrant or Warrants (the “Warrant”),</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expiring on a date which is five (5) years from the completion of the Company’s initial business combination, to purchase one fully paid and non-assessable share (the “Warrant Shares”), of common stock, par value $0.0001 per share (the “Common Stock”), of CHARDAN NEXTECH ACQUISITION 2 CORP., a Delaware corporation (the “Company”), for each Warrant evidenced by this Warrant Certificate. This Warrant Certificate is subject to and shall be interpreted under the terms and conditions of the Warrant Agreement (as defined below).</w:t>
      </w:r>
    </w:p>
    <w:p>
      <w:pPr>
        <w:spacing w:after="0" w:line="193"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 forth herein and in the Warrant Agreement, dated [·], 2021,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No fraction of a Share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4"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65"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44" w:name="page245"/>
    <w:bookmarkEnd w:id="244"/>
    <w:p>
      <w:pPr>
        <w:jc w:val="both"/>
        <w:ind w:firstLine="441"/>
        <w:spacing w:after="0" w:line="291"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$16.00 per share for any ten (10)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66"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-121920</wp:posOffset>
            </wp:positionV>
            <wp:extent cx="24688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23495</wp:posOffset>
            </wp:positionV>
            <wp:extent cx="24688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Warrant Shares; and/or</w:t>
      </w:r>
    </w:p>
    <w:p>
      <w:pPr>
        <w:spacing w:after="0" w:line="225" w:lineRule="exact"/>
        <w:rPr>
          <w:sz w:val="20"/>
          <w:szCs w:val="20"/>
          <w:color w:val="auto"/>
        </w:rPr>
      </w:pPr>
    </w:p>
    <w:p>
      <w:pPr>
        <w:jc w:val="both"/>
        <w:ind w:left="3720"/>
        <w:spacing w:after="0" w:line="30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of the Warrant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61893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(PLEASE PRINT OR TYPE NAME(S) AND ADDRESS)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hereby sell(s), assign(s), and transfer(s) unto</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3566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3566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36347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47834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47834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the Warrants represented by this Warrant Certificate, and hereby irrevocably constitute and appoint Attorney to transfer this Warrant Certificate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books of the Company, with full power of substitution in the premises.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 2021,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10,000,000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1,500,000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one-third of one warrant (the “</w:t>
      </w:r>
      <w:r>
        <w:rPr>
          <w:rFonts w:ascii="Arial" w:cs="Arial" w:eastAsia="Arial" w:hAnsi="Arial"/>
          <w:sz w:val="18"/>
          <w:szCs w:val="18"/>
          <w:b w:val="1"/>
          <w:bCs w:val="1"/>
          <w:color w:val="auto"/>
        </w:rPr>
        <w:t>Public Warrant</w:t>
      </w:r>
      <w:r>
        <w:rPr>
          <w:rFonts w:ascii="Arial" w:cs="Arial" w:eastAsia="Arial" w:hAnsi="Arial"/>
          <w:sz w:val="18"/>
          <w:szCs w:val="18"/>
          <w:color w:val="auto"/>
        </w:rPr>
        <w:t>” or “</w:t>
      </w:r>
      <w:r>
        <w:rPr>
          <w:rFonts w:ascii="Arial" w:cs="Arial" w:eastAsia="Arial" w:hAnsi="Arial"/>
          <w:sz w:val="18"/>
          <w:szCs w:val="18"/>
          <w:b w:val="1"/>
          <w:bCs w:val="1"/>
          <w:color w:val="auto"/>
        </w:rPr>
        <w:t>Public Warrants</w:t>
      </w:r>
      <w:r>
        <w:rPr>
          <w:rFonts w:ascii="Arial" w:cs="Arial" w:eastAsia="Arial" w:hAnsi="Arial"/>
          <w:sz w:val="18"/>
          <w:szCs w:val="18"/>
          <w:color w:val="auto"/>
        </w:rPr>
        <w:t>”), each whole Public Warrant entitling its holder to purchase one share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the Company has received a binding commitment from Chardan NexTech 2 Warrant Holdings LLC, to purchase up to 3,700,000 warrants pursuant the Subscription Agreement, dated as of [●], 2021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and in connection therewith, will issue and deliver up to 3,700,000 warrants (the “</w:t>
      </w:r>
      <w:r>
        <w:rPr>
          <w:rFonts w:ascii="Arial" w:cs="Arial" w:eastAsia="Arial" w:hAnsi="Arial"/>
          <w:sz w:val="18"/>
          <w:szCs w:val="18"/>
          <w:b w:val="1"/>
          <w:bCs w:val="1"/>
          <w:color w:val="auto"/>
        </w:rPr>
        <w:t>Private Warrants,</w:t>
      </w:r>
      <w:r>
        <w:rPr>
          <w:rFonts w:ascii="Arial" w:cs="Arial" w:eastAsia="Arial" w:hAnsi="Arial"/>
          <w:sz w:val="18"/>
          <w:szCs w:val="18"/>
          <w:color w:val="auto"/>
        </w:rPr>
        <w:t>” together with the Public Warrants, the “</w:t>
      </w:r>
      <w:r>
        <w:rPr>
          <w:rFonts w:ascii="Arial" w:cs="Arial" w:eastAsia="Arial" w:hAnsi="Arial"/>
          <w:sz w:val="18"/>
          <w:szCs w:val="18"/>
          <w:b w:val="1"/>
          <w:bCs w:val="1"/>
          <w:color w:val="auto"/>
        </w:rPr>
        <w:t>Warrants</w:t>
      </w:r>
      <w:r>
        <w:rPr>
          <w:rFonts w:ascii="Arial" w:cs="Arial" w:eastAsia="Arial" w:hAnsi="Arial"/>
          <w:sz w:val="18"/>
          <w:szCs w:val="18"/>
          <w:color w:val="auto"/>
        </w:rPr>
        <w:t>”), each whole Private Warrant entitling its holder to purchase one share of Common Stock (together with the Public Warrant Shares, the “</w:t>
      </w:r>
      <w:r>
        <w:rPr>
          <w:rFonts w:ascii="Arial" w:cs="Arial" w:eastAsia="Arial" w:hAnsi="Arial"/>
          <w:sz w:val="18"/>
          <w:szCs w:val="18"/>
          <w:b w:val="1"/>
          <w:bCs w:val="1"/>
          <w:color w:val="auto"/>
        </w:rPr>
        <w:t>Warrant Shares</w:t>
      </w:r>
      <w:r>
        <w:rPr>
          <w:rFonts w:ascii="Arial" w:cs="Arial" w:eastAsia="Arial" w:hAnsi="Arial"/>
          <w:sz w:val="18"/>
          <w:szCs w:val="18"/>
          <w:color w:val="auto"/>
        </w:rPr>
        <w:t>”); 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may issue additional warrants to purchase shares of Common Stock hereafter from time to time which shall have the same terms and be in the same form as the Private Warrants; and</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 and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11" w:lineRule="exact"/>
        <w:rPr>
          <w:sz w:val="20"/>
          <w:szCs w:val="20"/>
          <w:color w:val="auto"/>
        </w:rPr>
      </w:pPr>
    </w:p>
    <w:p>
      <w:pPr>
        <w:ind w:firstLine="8"/>
        <w:spacing w:after="0" w:line="342" w:lineRule="auto"/>
        <w:tabs>
          <w:tab w:leader="none" w:pos="19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Public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8" w:name="page249"/>
    <w:bookmarkEnd w:id="248"/>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7"/>
          <w:szCs w:val="17"/>
          <w:b w:val="1"/>
          <w:bCs w:val="1"/>
          <w:color w:val="auto"/>
        </w:rPr>
        <w:t>Representative</w:t>
      </w:r>
      <w:r>
        <w:rPr>
          <w:rFonts w:ascii="Arial" w:cs="Arial" w:eastAsia="Arial" w:hAnsi="Arial"/>
          <w:sz w:val="17"/>
          <w:szCs w:val="17"/>
          <w:color w:val="auto"/>
        </w:rPr>
        <w:t>”), shall determine is acceptable (such date, the “</w:t>
      </w:r>
      <w:r>
        <w:rPr>
          <w:rFonts w:ascii="Arial" w:cs="Arial" w:eastAsia="Arial" w:hAnsi="Arial"/>
          <w:sz w:val="17"/>
          <w:szCs w:val="17"/>
          <w:b w:val="1"/>
          <w:bCs w:val="1"/>
          <w:color w:val="auto"/>
        </w:rPr>
        <w:t>Detachment Date</w:t>
      </w:r>
      <w:r>
        <w:rPr>
          <w:rFonts w:ascii="Arial" w:cs="Arial" w:eastAsia="Arial" w:hAnsi="Arial"/>
          <w:sz w:val="17"/>
          <w:szCs w:val="17"/>
          <w:color w:val="auto"/>
        </w:rPr>
        <w:t>”). In no event will separate trading of the securities comprising the Units commence until the Company (i) files a Current Report on Form 8-K with the SEC including audited balance sheet reflecting our receipt of the gross proceeds of the Public Offering and (ii) issues a press release announcing when such separate trading will begin.</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three hundred sixty</w:t>
      </w:r>
    </w:p>
    <w:p>
      <w:pPr>
        <w:spacing w:after="0" w:line="2" w:lineRule="exact"/>
        <w:rPr>
          <w:sz w:val="20"/>
          <w:szCs w:val="20"/>
          <w:color w:val="auto"/>
        </w:rPr>
      </w:pPr>
    </w:p>
    <w:p>
      <w:pPr>
        <w:ind w:right="20" w:firstLine="8"/>
        <w:spacing w:after="0" w:line="290" w:lineRule="auto"/>
        <w:tabs>
          <w:tab w:leader="none" w:pos="43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1" w:lineRule="exact"/>
        <w:rPr>
          <w:sz w:val="20"/>
          <w:szCs w:val="20"/>
          <w:color w:val="auto"/>
        </w:rPr>
      </w:pPr>
    </w:p>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Warrant shall, when countersigned by the Warrant Agent, entitle the Registered Holder thereof, subject to the provisions of such Warrant and of this Warrant Agreement, to purchase from the Company the number of shares of Common Stock stated therein, at $11.50 per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term “</w:t>
      </w:r>
      <w:r>
        <w:rPr>
          <w:rFonts w:ascii="Arial" w:cs="Arial" w:eastAsia="Arial" w:hAnsi="Arial"/>
          <w:sz w:val="17"/>
          <w:szCs w:val="17"/>
          <w:b w:val="1"/>
          <w:bCs w:val="1"/>
          <w:color w:val="auto"/>
        </w:rPr>
        <w:t>Warrant Price</w:t>
      </w:r>
      <w:r>
        <w:rPr>
          <w:rFonts w:ascii="Arial" w:cs="Arial" w:eastAsia="Arial" w:hAnsi="Arial"/>
          <w:sz w:val="17"/>
          <w:szCs w:val="17"/>
          <w:color w:val="auto"/>
        </w:rPr>
        <w:t>” as used in this Warrant Agreement refers to the price per whole share at which Common Stock may be purchased at the time such Warrant is exercised. The Public Warrants may only be exercised for a whole number of Warrant Shares by a Registered Holder. No fractional shares will be issued.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JPMorgan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xml:space="preserve">”). A Cash Exercise in accordance with this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11" w:lineRule="exact"/>
        <w:rPr>
          <w:sz w:val="20"/>
          <w:szCs w:val="20"/>
          <w:color w:val="auto"/>
        </w:rPr>
      </w:pPr>
    </w:p>
    <w:p>
      <w:pPr>
        <w:jc w:val="both"/>
        <w:ind w:left="1960" w:hanging="8"/>
        <w:spacing w:after="0" w:line="257" w:lineRule="auto"/>
        <w:tabs>
          <w:tab w:leader="none" w:pos="2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Company’s Common Stock is listed and traded on the New York Stock Exchange, the NYSE American, the NASDAQ Global Select Market, the NASDAQ Global Market or the NASDAQ Capital Market (each, a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jc w:val="both"/>
        <w:ind w:left="1960" w:hanging="8"/>
        <w:spacing w:after="0" w:line="259" w:lineRule="auto"/>
        <w:tabs>
          <w:tab w:leader="none" w:pos="224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 Company’s Common Stock is not listed on a Trading Market, but is traded in the over-the-counter market, the fair market value shall be deemed to be the average of the bid price on such Trading Market for the 10 trading day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28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Common Stock, the fair market value of the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ind w:left="180" w:hanging="172"/>
        <w:spacing w:after="0"/>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subsection 4.1 above, (b) Ordinary Cash Dividends (as defined below), (c) to satisfy the conversion rights of the holders of the Common Stock in connection with a proposed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6"/>
          <w:szCs w:val="16"/>
          <w:b w:val="1"/>
          <w:b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The foregoing adjustment shall not apply to the Private Warrants. Further, the holders of the Private Warrants that are beneficially owned by Chardan Capital Markets, LLC or any of its related persons may not receive or accrue any cash dividends prior to the exercise or conversion of such Private Warrants, as required by FINRA Rule 5110(f)(2)(G)(vii).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of Common Stock (other than a change covered by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this Section 4.4. The provisions of this Section 4.4 shall similarly apply to successive reclassifications, reorganizations, mergers or consolidations, sales or other transfers.</w:t>
      </w:r>
    </w:p>
    <w:p>
      <w:pPr>
        <w:spacing w:after="0" w:line="18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jc w:val="both"/>
        <w:ind w:firstLine="648"/>
        <w:spacing w:after="0" w:line="26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Notice of Certain Transactions</w:t>
      </w:r>
      <w:r>
        <w:rPr>
          <w:rFonts w:ascii="Arial" w:cs="Arial" w:eastAsia="Arial" w:hAnsi="Arial"/>
          <w:sz w:val="17"/>
          <w:szCs w:val="17"/>
          <w:color w:val="auto"/>
        </w:rPr>
        <w:t xml:space="preserve">.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which would be required as a result of such action. Such notice shall be given as promptly as practicable after the Company has taken any such action.</w:t>
      </w:r>
    </w:p>
    <w:p>
      <w:pPr>
        <w:spacing w:after="0" w:line="185" w:lineRule="exact"/>
        <w:rPr>
          <w:sz w:val="20"/>
          <w:szCs w:val="20"/>
          <w:color w:val="auto"/>
        </w:rPr>
      </w:pPr>
    </w:p>
    <w:p>
      <w:pPr>
        <w:ind w:left="180" w:hanging="172"/>
        <w:spacing w:after="0"/>
        <w:tabs>
          <w:tab w:leader="none" w:pos="1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Warrant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Subject to the second sentence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6"/>
          <w:szCs w:val="16"/>
          <w:u w:val="single" w:color="auto"/>
          <w:color w:val="auto"/>
        </w:rPr>
        <w:t>Section 6.2</w:t>
      </w:r>
      <w:r>
        <w:rPr>
          <w:rFonts w:ascii="Arial" w:cs="Arial" w:eastAsia="Arial" w:hAnsi="Arial"/>
          <w:sz w:val="16"/>
          <w:szCs w:val="16"/>
          <w:color w:val="auto"/>
        </w:rPr>
        <w:t>, at the price of $.01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Company may exercise its redemption right, even if it is unable to register or qualify the Warrant Shares for sale under all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Warrant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7"/>
          <w:szCs w:val="17"/>
          <w:u w:val="single" w:color="auto"/>
          <w:color w:val="auto"/>
        </w:rPr>
        <w:t>Section 3.3.2</w:t>
      </w:r>
      <w:r>
        <w:rPr>
          <w:rFonts w:ascii="Arial" w:cs="Arial" w:eastAsia="Arial" w:hAnsi="Arial"/>
          <w:sz w:val="17"/>
          <w:szCs w:val="17"/>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3" w:lineRule="exact"/>
        <w:rPr>
          <w:sz w:val="20"/>
          <w:szCs w:val="20"/>
          <w:color w:val="auto"/>
        </w:rPr>
      </w:pPr>
    </w:p>
    <w:p>
      <w:pPr>
        <w:ind w:left="180" w:hanging="172"/>
        <w:spacing w:after="0"/>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9.3.1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9.2</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Warrant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908" w:right="111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New York, NY 10022-7650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156970" cy="4457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1156970" cy="445770"/>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auto"/>
        </w:rPr>
        <w:t>+1 212 521 5400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+1 212 521 5450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acted as counsel to Chardan NexTech Acquisition 2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Statement on Form S-1 (File No. 333-254010) (such registration statement, as amended through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w:t>
      </w:r>
      <w:r>
        <w:rPr>
          <w:rFonts w:ascii="Arial" w:cs="Arial" w:eastAsia="Arial" w:hAnsi="Arial"/>
          <w:sz w:val="16"/>
          <w:szCs w:val="16"/>
          <w:color w:val="auto"/>
        </w:rPr>
        <w:t>ct”), relating to the offer and sale by the Company (the “</w:t>
      </w:r>
      <w:r>
        <w:rPr>
          <w:rFonts w:ascii="Arial" w:cs="Arial" w:eastAsia="Arial" w:hAnsi="Arial"/>
          <w:sz w:val="16"/>
          <w:szCs w:val="16"/>
          <w:b w:val="1"/>
          <w:bCs w:val="1"/>
          <w:color w:val="auto"/>
        </w:rPr>
        <w:t>Offering</w:t>
      </w:r>
      <w:r>
        <w:rPr>
          <w:rFonts w:ascii="Arial" w:cs="Arial" w:eastAsia="Arial" w:hAnsi="Arial"/>
          <w:sz w:val="16"/>
          <w:szCs w:val="16"/>
          <w:color w:val="auto"/>
        </w:rPr>
        <w:t>”) of (a) up to 11,500,000 units of the Company (the “</w:t>
      </w:r>
      <w:r>
        <w:rPr>
          <w:rFonts w:ascii="Arial" w:cs="Arial" w:eastAsia="Arial" w:hAnsi="Arial"/>
          <w:sz w:val="16"/>
          <w:szCs w:val="16"/>
          <w:b w:val="1"/>
          <w:bCs w:val="1"/>
          <w:color w:val="auto"/>
        </w:rPr>
        <w:t>Units</w:t>
      </w:r>
      <w:r>
        <w:rPr>
          <w:rFonts w:ascii="Arial" w:cs="Arial" w:eastAsia="Arial" w:hAnsi="Arial"/>
          <w:sz w:val="16"/>
          <w:szCs w:val="16"/>
          <w:color w:val="auto"/>
        </w:rPr>
        <w:t>”) (including up to 1,500,000 Units subject to the underwriters’ option to purchase additional Units), each such Unit consisting of one share of common stock of the Company,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one-third of one redeemable warrant of the Company (each whole warrant, a “</w:t>
      </w:r>
      <w:r>
        <w:rPr>
          <w:rFonts w:ascii="Arial" w:cs="Arial" w:eastAsia="Arial" w:hAnsi="Arial"/>
          <w:sz w:val="16"/>
          <w:szCs w:val="16"/>
          <w:b w:val="1"/>
          <w:bCs w:val="1"/>
          <w:color w:val="auto"/>
        </w:rPr>
        <w:t>Warrant</w:t>
      </w:r>
      <w:r>
        <w:rPr>
          <w:rFonts w:ascii="Arial" w:cs="Arial" w:eastAsia="Arial" w:hAnsi="Arial"/>
          <w:sz w:val="16"/>
          <w:szCs w:val="16"/>
          <w:color w:val="auto"/>
        </w:rPr>
        <w:t>”), each Warrant exercisable for the purchase of one share of Common Stock, as set forth in the prospectus included in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and</w:t>
      </w:r>
    </w:p>
    <w:p>
      <w:pPr>
        <w:spacing w:after="0" w:line="1" w:lineRule="exact"/>
        <w:rPr>
          <w:sz w:val="20"/>
          <w:szCs w:val="20"/>
          <w:color w:val="auto"/>
        </w:rPr>
      </w:pPr>
    </w:p>
    <w:p>
      <w:pPr>
        <w:jc w:val="both"/>
        <w:ind w:firstLine="8"/>
        <w:spacing w:after="0" w:line="255"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shares of Common Stock and all Warrants, in each case, issued as part of the Units, and (c) all shares of Common Stock underlying the Warrants (the “</w:t>
      </w:r>
      <w:r>
        <w:rPr>
          <w:rFonts w:ascii="Arial" w:cs="Arial" w:eastAsia="Arial" w:hAnsi="Arial"/>
          <w:sz w:val="18"/>
          <w:szCs w:val="18"/>
          <w:b w:val="1"/>
          <w:bCs w:val="1"/>
          <w:color w:val="auto"/>
        </w:rPr>
        <w:t>Warrant Shares</w:t>
      </w:r>
      <w:r>
        <w:rPr>
          <w:rFonts w:ascii="Arial" w:cs="Arial" w:eastAsia="Arial" w:hAnsi="Arial"/>
          <w:sz w:val="18"/>
          <w:szCs w:val="18"/>
          <w:color w:val="auto"/>
        </w:rPr>
        <w:t>”). The term “Units” also includes any additional Units (and the underlying securities) that may be issued by the Company pursuant to Rule 462(b) under the Securities Act in connection with the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reviewed originals or copies of the Registration Statement, the Prospectus, the certificate of incorporation and bylaws of the Company, as amended through the date hereof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the form of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proposed to be entered into by the Company and Continental Stock Transfer &amp; Trust Company, as warrant agent (the “</w:t>
      </w:r>
      <w:r>
        <w:rPr>
          <w:rFonts w:ascii="Arial" w:cs="Arial" w:eastAsia="Arial" w:hAnsi="Arial"/>
          <w:sz w:val="16"/>
          <w:szCs w:val="16"/>
          <w:b w:val="1"/>
          <w:bCs w:val="1"/>
          <w:color w:val="auto"/>
        </w:rPr>
        <w:t>Warrant Agent</w:t>
      </w:r>
      <w:r>
        <w:rPr>
          <w:rFonts w:ascii="Arial" w:cs="Arial" w:eastAsia="Arial" w:hAnsi="Arial"/>
          <w:sz w:val="16"/>
          <w:szCs w:val="16"/>
          <w:color w:val="auto"/>
        </w:rPr>
        <w:t>”) that is filed as Exhibit 4.4 to the Registration Statement, and the form of Unit certificate filed as Exhibit 4.1 to the Registration Statement (together with the Warrant Agreement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such other corporate records, agreements and documents of the Company, certificates or comparable documents of public officials and officers of the Company and have made such other investigations as we have deemed necessary as a basis for the opinions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t>In rendering the opinion set forth below, we have assumed:</w:t>
      </w:r>
    </w:p>
    <w:p>
      <w:pPr>
        <w:spacing w:after="0" w:line="225" w:lineRule="exact"/>
        <w:rPr>
          <w:sz w:val="20"/>
          <w:szCs w:val="20"/>
          <w:color w:val="auto"/>
        </w:rPr>
      </w:pPr>
    </w:p>
    <w:p>
      <w:pPr>
        <w:ind w:left="720" w:hanging="334"/>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legal capacity of natural persons;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authenticity of all documents submitted to us as originals;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conformity to original documents of all documents submitted to us as duplicates or conformed copies;</w:t>
      </w:r>
    </w:p>
    <w:p>
      <w:pPr>
        <w:spacing w:after="0" w:line="225"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to matters of fact, the truthfulness of the representations made in certificates or comparable documents of public officials and officers of the Company;</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board of directors of the Company or a duly constituted and acting committee of such board of directors will have taken all action necessary to set the public offering price of the Units;</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 respect to the issuance of the Common Stock, the amount of valid consideration paid in respect of such Common Stock will equal or exceed the par value of such Common Stock; and</w:t>
      </w:r>
    </w:p>
    <w:p>
      <w:pPr>
        <w:spacing w:after="0" w:line="170" w:lineRule="exact"/>
        <w:rPr>
          <w:rFonts w:ascii="Arial" w:cs="Arial" w:eastAsia="Arial" w:hAnsi="Arial"/>
          <w:sz w:val="18"/>
          <w:szCs w:val="18"/>
          <w:color w:val="auto"/>
        </w:rPr>
      </w:pPr>
    </w:p>
    <w:p>
      <w:pPr>
        <w:jc w:val="both"/>
        <w:ind w:left="720" w:hanging="334"/>
        <w:spacing w:after="0" w:line="273" w:lineRule="auto"/>
        <w:tabs>
          <w:tab w:leader="none" w:pos="7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Documents nor the performance by the Company of its obligations thereunder, including the issuance and sale of the Units, Warrants, and Warrant Shares (i) conflicts or will conflict with the Organizational Documents,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(as defined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not independently established the validity of the foregoing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225" w:lineRule="exact"/>
        <w:rPr>
          <w:sz w:val="20"/>
          <w:szCs w:val="20"/>
          <w:color w:val="auto"/>
        </w:rPr>
      </w:pPr>
    </w:p>
    <w:p>
      <w:pPr>
        <w:jc w:val="both"/>
        <w:ind w:left="660" w:hanging="328"/>
        <w:spacing w:after="0" w:line="293" w:lineRule="auto"/>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Units, when issued and sold by the Company in the manner contemplated in the Registration Statement and Prospectus against payment therefor, and assuming the due authorization, execution and delivery of the Units by Continental Stock Transfer &amp; Trust Company, as transfer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Common Stock included in the Units, when the Units are issued and sold by the Company in the manner contemplated in the Registration Statement and Prospectus, against payment therefor, will be validly issued, fully paid, and nonassessable.</w:t>
      </w:r>
    </w:p>
    <w:p>
      <w:pPr>
        <w:spacing w:after="0" w:line="170"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Warrants included in the Units, when the Units are issued and sold by the Company in the manner contemplated in the Registration Statement and Prospectus against payment therefor, and assuming the due authorization, execution and delivery of such Warrants by the Warrant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Common Stock issuable upon exercise of the Warrants, assuming the due authorization, execution and delivery of such Warrants by each of the Company and the Warrant Agent, in accordance with the Warrant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jc w:val="both"/>
        <w:spacing w:after="0" w:line="282" w:lineRule="auto"/>
        <w:rPr>
          <w:sz w:val="20"/>
          <w:szCs w:val="20"/>
          <w:color w:val="auto"/>
        </w:rPr>
      </w:pPr>
      <w:r>
        <w:rPr>
          <w:rFonts w:ascii="Arial" w:cs="Arial" w:eastAsia="Arial" w:hAnsi="Arial"/>
          <w:sz w:val="18"/>
          <w:szCs w:val="18"/>
          <w:color w:val="auto"/>
        </w:rPr>
        <w:t>Our opinion is limited to the laws of the State of New York and the General Corporation Law of the State of Delaware (collectively, the “</w:t>
      </w:r>
      <w:r>
        <w:rPr>
          <w:rFonts w:ascii="Arial" w:cs="Arial" w:eastAsia="Arial" w:hAnsi="Arial"/>
          <w:sz w:val="18"/>
          <w:szCs w:val="18"/>
          <w:b w:val="1"/>
          <w:bCs w:val="1"/>
          <w:color w:val="auto"/>
        </w:rPr>
        <w:t>Opined-on Law</w:t>
      </w:r>
      <w:r>
        <w:rPr>
          <w:rFonts w:ascii="Arial" w:cs="Arial" w:eastAsia="Arial" w:hAnsi="Arial"/>
          <w:sz w:val="18"/>
          <w:szCs w:val="18"/>
          <w:color w:val="auto"/>
        </w:rPr>
        <w:t>”) and we do not express any opinion herein concerning any other law. This opinion letter speaks only as of its date.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 giving such consent, we do not hereby admit that we are within the category of persons whose consent is required under Section 7 of the Securities Act, and the rules and regulations of the Commission promulgated thereunder.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Chardan Capital Markets,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Underwriters named in Schedule A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Common Stock of the Company,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one-third of one warrant, with each whole warrant being exercisable to purchase one share of Common Stock at a price of $11.50 per share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15 hereof.</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each of the undersigned as a stockholder of the Company, and for other good and valuable consideration, the receipt and sufficiency of which are hereby acknowledged, each of Chardan NexTech Investments 2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Chardan NexTech 2 Warrant Holdings LLC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and the undersigned individuals, each of whom is a member of the Company’s board of directors and/or management team, hereby agrees with the Company as follows:</w:t>
      </w:r>
    </w:p>
    <w:p>
      <w:pPr>
        <w:spacing w:after="0" w:line="188" w:lineRule="exact"/>
        <w:rPr>
          <w:sz w:val="20"/>
          <w:szCs w:val="20"/>
          <w:color w:val="auto"/>
        </w:rPr>
      </w:pPr>
    </w:p>
    <w:p>
      <w:pPr>
        <w:ind w:right="20" w:firstLine="1304"/>
        <w:spacing w:after="0" w:line="277" w:lineRule="auto"/>
        <w:tabs>
          <w:tab w:leader="none" w:pos="148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officers and directors of the Company will not enter into a binding agreement for a proposed Business Combination or propose any Business Combination to shareholders of the Company, unless such action is first approved by the Sponsor.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47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paragraph 1 hereof, if the Company solicits approval of its stockholders of a Business Combination, each of the undersigned will vote all shares of Common Stock beneficially owned by him, her or it, whether acquired before, in or after the IPO, in favor of such Business Combination.</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4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In the event that the Company fails to consummate a Business Combination within 24 months from the closing of the Company’s IPO, each of the undersigned shall take all reasonable steps to (i) cause the Trust Fund to be liquidated and distributed to the holders of IPO Shares and (ii) cause the Company to liquidate promptly as reasonably possible but not more than five business days after the date we are required to consummate a Business Combination.</w:t>
      </w:r>
    </w:p>
    <w:p>
      <w:pPr>
        <w:spacing w:after="0" w:line="186" w:lineRule="exact"/>
        <w:rPr>
          <w:rFonts w:ascii="Arial" w:cs="Arial" w:eastAsia="Arial" w:hAnsi="Arial"/>
          <w:sz w:val="18"/>
          <w:szCs w:val="18"/>
          <w:color w:val="auto"/>
        </w:rPr>
      </w:pPr>
    </w:p>
    <w:p>
      <w:pPr>
        <w:jc w:val="both"/>
        <w:ind w:firstLine="1466"/>
        <w:spacing w:after="0" w:line="296" w:lineRule="auto"/>
        <w:tabs>
          <w:tab w:leader="none" w:pos="172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Each of the undersigned hereby waives any and all right, title, interest or claim of any kind in or to any distribution of the Trust Fund and any remaining net assets of the Company as a result of such liquidation with respect to his, her or its Insider Shares, Private Warrants,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and hereby waives any Claim such undersigned may have in the future as a result of, or arising out of, any contracts or agreements with the Company and will not seek recourse against the Trust Fund for any reason whatsoever. Each of the undersigned acknowledges and agrees that there will be no distribution from the Trust Fund with respect to any Common Stock underlying the Private Warrants, all rights of which will terminate on the Company’s liquidation.</w:t>
      </w:r>
    </w:p>
    <w:p>
      <w:pPr>
        <w:spacing w:after="0" w:line="161" w:lineRule="exact"/>
        <w:rPr>
          <w:rFonts w:ascii="Arial" w:cs="Arial" w:eastAsia="Arial" w:hAnsi="Arial"/>
          <w:sz w:val="16"/>
          <w:szCs w:val="16"/>
          <w:color w:val="auto"/>
        </w:rPr>
      </w:pPr>
    </w:p>
    <w:p>
      <w:pPr>
        <w:jc w:val="both"/>
        <w:ind w:firstLine="1466"/>
        <w:spacing w:after="0" w:line="293" w:lineRule="auto"/>
        <w:tabs>
          <w:tab w:leader="none" w:pos="170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Sponsor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apply if such vendor or other person has executed an agreement waiving any claims against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4" w:name="page265"/>
    <w:bookmarkEnd w:id="264"/>
    <w:p>
      <w:pPr>
        <w:jc w:val="both"/>
        <w:ind w:left="-1120" w:firstLine="1466"/>
        <w:spacing w:after="0" w:line="263" w:lineRule="auto"/>
        <w:tabs>
          <w:tab w:leader="none" w:pos="60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each of the undersigned officers and directors agree to advance such funds necessary to complete such liquidation and agrees not to seek repayment for such expenses.</w:t>
      </w:r>
    </w:p>
    <w:p>
      <w:pPr>
        <w:spacing w:after="0" w:line="183" w:lineRule="exact"/>
        <w:rPr>
          <w:rFonts w:ascii="Arial" w:cs="Arial" w:eastAsia="Arial" w:hAnsi="Arial"/>
          <w:sz w:val="18"/>
          <w:szCs w:val="18"/>
          <w:color w:val="auto"/>
        </w:rPr>
      </w:pPr>
    </w:p>
    <w:p>
      <w:pPr>
        <w:jc w:val="both"/>
        <w:ind w:left="-1120" w:firstLine="1304"/>
        <w:spacing w:after="0" w:line="270" w:lineRule="auto"/>
        <w:tabs>
          <w:tab w:leader="none" w:pos="36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of the undersigned will place into escrow all of his, her or its Insider Shares held by the undersigned pursuant to the terms of a Stock Escrow Agreement which the Company will enter into with each of the undersigned, as applicable, and an escrow agent acceptable to the Company. 50% of such Insider Shares shall not be transferred, assigned, sold, or released from escrow until the earlier of (a) six months after the date of the consummation of the Business Combination or (b) the date on which the closing price of the shares of Common Stock equals or exceeds $12.50 per share (as adjusted for stock splits, stock dividends, reorganizations and recapitalizations) for any 10 trading days within any 30-trading day period commencing after our Business Combination. The remaining 50% of the Insider Shares will not be transferred, assigned, sold or released from escrow until six months after the date of Business Combination or earlier, in either case, if, subsequent to our Business Combination, the Company consummates a subsequent liquidation, merger, stock exchange or other similar transaction that results in all of the Company’s stockholders having the right to exchange their shares of Common Stock for cash, securities or other property.</w:t>
      </w:r>
    </w:p>
    <w:p>
      <w:pPr>
        <w:spacing w:after="0" w:line="180" w:lineRule="exact"/>
        <w:rPr>
          <w:rFonts w:ascii="Arial" w:cs="Arial" w:eastAsia="Arial" w:hAnsi="Arial"/>
          <w:sz w:val="17"/>
          <w:szCs w:val="17"/>
          <w:color w:val="auto"/>
        </w:rPr>
      </w:pPr>
    </w:p>
    <w:p>
      <w:pPr>
        <w:jc w:val="both"/>
        <w:ind w:left="-1120" w:firstLine="1304"/>
        <w:spacing w:after="0" w:line="255" w:lineRule="auto"/>
        <w:tabs>
          <w:tab w:leader="none" w:pos="3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Holdings agrees that until the Company consummates a Business Combination, the Private Warrants held by Holdings will be subject to the transfer restrictions described in the Subscription Agreement relating to the Private Warrants held by Holdings. Holdings shall not sell, transfer, assign, pledge or hypothecate any of the Private Warrants issuable to Holdings pursuant to the Private Warrant Purchase Agreement or shares of Common Stock issuable upon the exercise of the Private Warrants pursuant to the Private Warrant Purchase Agreement, or subject any of such securities to any hedging, short sale, derivative, put, or call transaction that would result in the effective economic disposition of such securities, except as provided in FINRA Rule 5110(e)(2).</w:t>
      </w:r>
    </w:p>
    <w:p>
      <w:pPr>
        <w:spacing w:after="0" w:line="192" w:lineRule="exact"/>
        <w:rPr>
          <w:rFonts w:ascii="Arial" w:cs="Arial" w:eastAsia="Arial" w:hAnsi="Arial"/>
          <w:sz w:val="18"/>
          <w:szCs w:val="18"/>
          <w:color w:val="auto"/>
        </w:rPr>
      </w:pPr>
    </w:p>
    <w:p>
      <w:pPr>
        <w:jc w:val="both"/>
        <w:ind w:left="-1120" w:firstLine="1304"/>
        <w:spacing w:after="0" w:line="259" w:lineRule="auto"/>
        <w:tabs>
          <w:tab w:leader="none" w:pos="3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each of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such undersigned might have.</w:t>
      </w:r>
    </w:p>
    <w:p>
      <w:pPr>
        <w:spacing w:after="0" w:line="186" w:lineRule="exact"/>
        <w:rPr>
          <w:rFonts w:ascii="Arial" w:cs="Arial" w:eastAsia="Arial" w:hAnsi="Arial"/>
          <w:sz w:val="18"/>
          <w:szCs w:val="18"/>
          <w:color w:val="auto"/>
        </w:rPr>
      </w:pPr>
    </w:p>
    <w:p>
      <w:pPr>
        <w:jc w:val="both"/>
        <w:ind w:left="-1120" w:firstLine="1304"/>
        <w:spacing w:after="0" w:line="275" w:lineRule="auto"/>
        <w:tabs>
          <w:tab w:leader="none" w:pos="37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Subject to paragraph 1 hereof, each of 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76" w:lineRule="exact"/>
        <w:rPr>
          <w:rFonts w:ascii="Arial" w:cs="Arial" w:eastAsia="Arial" w:hAnsi="Arial"/>
          <w:sz w:val="17"/>
          <w:szCs w:val="17"/>
          <w:color w:val="auto"/>
        </w:rPr>
      </w:pPr>
    </w:p>
    <w:p>
      <w:pPr>
        <w:jc w:val="both"/>
        <w:ind w:left="-1120" w:firstLine="1304"/>
        <w:spacing w:after="0" w:line="296" w:lineRule="auto"/>
        <w:tabs>
          <w:tab w:leader="none" w:pos="3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None of the undersigned, nor any respective family member of the undersigned, nor any respective affiliate of the undersigned will be entitled to receive and will not accept any compensation or other cash payment prior to, or for services rendered in connection with, the consummation of the Business Combination, except for any fees paid pursuant to the Business Combination Marketing Agreement by and between the Company and the Representative. Notwithstanding the foregoing, each of the undersigned and any affiliate of the undersigned shall be entitled to reimbursement from the Company for their out-of-pocket expenses incurred in connection with identifying, investigating and consummating a Business Combination.</w:t>
      </w:r>
    </w:p>
    <w:p>
      <w:pPr>
        <w:spacing w:after="0" w:line="161" w:lineRule="exact"/>
        <w:rPr>
          <w:rFonts w:ascii="Arial" w:cs="Arial" w:eastAsia="Arial" w:hAnsi="Arial"/>
          <w:sz w:val="16"/>
          <w:szCs w:val="16"/>
          <w:color w:val="auto"/>
        </w:rPr>
      </w:pPr>
    </w:p>
    <w:p>
      <w:pPr>
        <w:jc w:val="both"/>
        <w:ind w:left="-1120" w:firstLine="1304"/>
        <w:spacing w:after="0" w:line="263" w:lineRule="auto"/>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None of the undersigned, nor any respective family member of the undersigned, nor any respective affiliate of the undersigned will be entitled to receive or accept a finder’s fee or any other compensation in the event any of the undersigned, any respective family member of the undersigned or any respective affiliate of the undersigned originates a Business Combination.</w:t>
      </w:r>
    </w:p>
    <w:p>
      <w:pPr>
        <w:spacing w:after="0" w:line="399" w:lineRule="exact"/>
        <w:rPr>
          <w:rFonts w:ascii="Arial" w:cs="Arial" w:eastAsia="Arial" w:hAnsi="Arial"/>
          <w:sz w:val="18"/>
          <w:szCs w:val="18"/>
          <w:color w:val="auto"/>
        </w:rPr>
      </w:pPr>
    </w:p>
    <w:p>
      <w:pPr>
        <w:ind w:left="4460" w:hanging="99"/>
        <w:spacing w:after="0"/>
        <w:tabs>
          <w:tab w:leader="none" w:pos="446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5" w:name="page266"/>
    <w:bookmarkEnd w:id="265"/>
    <w:p>
      <w:pPr>
        <w:jc w:val="both"/>
        <w:ind w:left="-656" w:firstLine="1304"/>
        <w:spacing w:after="0" w:line="272" w:lineRule="auto"/>
        <w:tabs>
          <w:tab w:leader="none" w:pos="918"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Each undersigned director/officer agrees to serve the Company in his/her duly appointed role as a director/officer until the earlier of the consummation by the Company of a Business Combination or the liquidation of the Company. Each undersigned director/officer’s biographical information previously furnished to the Company and the Representative is true and accurate in all material respects, does not omit any material information with respect to such undersigned director/officer’s biography, and contains all of the information required to be disclosed pursuant to Item 401 of Regulation S-K, promulgated under the Securities Act of 1933. Each undersigned director/officer’s FINRA Questionnaire and Director and Officer Questionnaire previously furnished to the Company and the Representative is true and accurate in all material respects. Each undersigned director/officer represents and warrants that, except as disclosed in such undersigned director/officer’s Director and Officer Questionnaire:</w:t>
      </w:r>
    </w:p>
    <w:p>
      <w:pPr>
        <w:spacing w:after="0" w:line="177" w:lineRule="exact"/>
        <w:rPr>
          <w:rFonts w:ascii="Arial" w:cs="Arial" w:eastAsia="Arial" w:hAnsi="Arial"/>
          <w:sz w:val="17"/>
          <w:szCs w:val="17"/>
          <w:color w:val="auto"/>
        </w:rPr>
      </w:pPr>
    </w:p>
    <w:p>
      <w:pPr>
        <w:ind w:left="644" w:hanging="644"/>
        <w:spacing w:after="0" w:line="271" w:lineRule="auto"/>
        <w:tabs>
          <w:tab w:leader="none" w:pos="64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ind w:left="644"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ind w:left="644" w:hanging="644"/>
        <w:spacing w:after="0"/>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jc w:val="both"/>
        <w:ind w:left="644"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3"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9" w:lineRule="exact"/>
        <w:rPr>
          <w:rFonts w:ascii="Arial" w:cs="Arial" w:eastAsia="Arial" w:hAnsi="Arial"/>
          <w:sz w:val="16"/>
          <w:szCs w:val="16"/>
          <w:color w:val="auto"/>
        </w:rPr>
      </w:pPr>
    </w:p>
    <w:p>
      <w:pPr>
        <w:ind w:left="644" w:hanging="644"/>
        <w:spacing w:after="0" w:line="281"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2"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924" w:hanging="99"/>
        <w:spacing w:after="0"/>
        <w:tabs>
          <w:tab w:leader="none" w:pos="492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6" w:name="page267"/>
    <w:bookmarkEnd w:id="266"/>
    <w:p>
      <w:pPr>
        <w:jc w:val="both"/>
        <w:ind w:left="644" w:hanging="644"/>
        <w:spacing w:after="0" w:line="255" w:lineRule="auto"/>
        <w:tabs>
          <w:tab w:leader="none" w:pos="64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2"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2" w:lineRule="exact"/>
        <w:rPr>
          <w:rFonts w:ascii="Arial" w:cs="Arial" w:eastAsia="Arial" w:hAnsi="Arial"/>
          <w:sz w:val="16"/>
          <w:szCs w:val="16"/>
          <w:color w:val="auto"/>
        </w:rPr>
      </w:pPr>
    </w:p>
    <w:p>
      <w:pPr>
        <w:jc w:val="both"/>
        <w:ind w:left="644" w:hanging="644"/>
        <w:spacing w:after="0" w:line="281" w:lineRule="auto"/>
        <w:tabs>
          <w:tab w:leader="none" w:pos="64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 w:lineRule="exact"/>
        <w:rPr>
          <w:rFonts w:ascii="Arial" w:cs="Arial" w:eastAsia="Arial" w:hAnsi="Arial"/>
          <w:sz w:val="18"/>
          <w:szCs w:val="18"/>
          <w:color w:val="auto"/>
        </w:rPr>
      </w:pPr>
    </w:p>
    <w:p>
      <w:pPr>
        <w:jc w:val="both"/>
        <w:ind w:left="644" w:right="20" w:hanging="644"/>
        <w:spacing w:after="0" w:line="250" w:lineRule="auto"/>
        <w:tabs>
          <w:tab w:leader="none" w:pos="64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such undersigned from: (i) association with an entity regulated by such commission, authority, agency or officer; (ii) engaging in the business of securities, insurance or banking; or (iii) engaging in savings association or credit union activities;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such undersigned’s registration as a broker, dealer, municipal securities dealer or investment adviser; (ii) places limitations on the activities, functions or operations of, or imposes civil money penalties on, such person; or (iii) bars such undersigned from being associated with any entity or from participating in the offering of any penny stock; and</w:t>
      </w:r>
    </w:p>
    <w:p>
      <w:pPr>
        <w:spacing w:after="0" w:line="1" w:lineRule="exact"/>
        <w:rPr>
          <w:rFonts w:ascii="Arial" w:cs="Arial" w:eastAsia="Arial" w:hAnsi="Arial"/>
          <w:sz w:val="18"/>
          <w:szCs w:val="18"/>
          <w:color w:val="auto"/>
        </w:rPr>
      </w:pPr>
    </w:p>
    <w:p>
      <w:pPr>
        <w:jc w:val="both"/>
        <w:ind w:left="644" w:hanging="644"/>
        <w:spacing w:after="0" w:line="277" w:lineRule="auto"/>
        <w:tabs>
          <w:tab w:leader="none" w:pos="64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3" w:lineRule="exact"/>
        <w:rPr>
          <w:sz w:val="20"/>
          <w:szCs w:val="20"/>
          <w:color w:val="auto"/>
        </w:rPr>
      </w:pPr>
    </w:p>
    <w:p>
      <w:pPr>
        <w:ind w:left="-656" w:firstLine="1304"/>
        <w:spacing w:after="0" w:line="277" w:lineRule="auto"/>
        <w:tabs>
          <w:tab w:leader="none" w:pos="91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undersigned director/officer has full right and power, without violating any agreement by which he is bound, to enter into this letter agreement and to serve in his/her designated capacity of the Company, as described in the Registration Statement.</w:t>
      </w:r>
    </w:p>
    <w:p>
      <w:pPr>
        <w:spacing w:after="0" w:line="170" w:lineRule="exact"/>
        <w:rPr>
          <w:rFonts w:ascii="Arial" w:cs="Arial" w:eastAsia="Arial" w:hAnsi="Arial"/>
          <w:sz w:val="18"/>
          <w:szCs w:val="18"/>
          <w:color w:val="auto"/>
        </w:rPr>
      </w:pPr>
    </w:p>
    <w:p>
      <w:pPr>
        <w:jc w:val="both"/>
        <w:ind w:left="-656" w:firstLine="1304"/>
        <w:spacing w:after="0" w:line="257" w:lineRule="auto"/>
        <w:tabs>
          <w:tab w:leader="none" w:pos="91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of the undersigned hereby waives his, her or its right to exercise conversion rights with respect to any shares of Common Stock owned or to be owned by him, her or it, directly or indirectly, whether purchased by him, her or it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924" w:hanging="99"/>
        <w:spacing w:after="0"/>
        <w:tabs>
          <w:tab w:leader="none" w:pos="492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7" w:name="page268"/>
    <w:bookmarkEnd w:id="267"/>
    <w:p>
      <w:pPr>
        <w:jc w:val="both"/>
        <w:ind w:firstLine="1304"/>
        <w:spacing w:after="0" w:line="259" w:lineRule="auto"/>
        <w:tabs>
          <w:tab w:leader="none" w:pos="157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of the undersigned hereby agrees to not propose, or vote in favor of, an amendment to the Company’s Amended and Restated Certificate of Incorporation that would affect the substance or timing of the Company’s obligation to redeem the IPO Shares if the Company cannot complete an initial business combination within 24 months unless the Company offers holders of IPO Shares the right to receive their pro rata portion of the funds then held in the Trust Fund upon approval of any such amendment.</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5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96" w:lineRule="exact"/>
        <w:rPr>
          <w:rFonts w:ascii="Arial" w:cs="Arial" w:eastAsia="Arial" w:hAnsi="Arial"/>
          <w:sz w:val="18"/>
          <w:szCs w:val="18"/>
          <w:color w:val="auto"/>
        </w:rPr>
      </w:pPr>
    </w:p>
    <w:p>
      <w:pPr>
        <w:jc w:val="both"/>
        <w:ind w:firstLine="1304"/>
        <w:spacing w:after="0" w:line="253" w:lineRule="auto"/>
        <w:tabs>
          <w:tab w:leader="none" w:pos="163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securityholders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include all of the shares of Common Stock of the Company acquired by an Insider prior to the IPO and;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Warrants</w:t>
      </w:r>
      <w:r>
        <w:rPr>
          <w:rFonts w:ascii="Arial" w:cs="Arial" w:eastAsia="Arial" w:hAnsi="Arial"/>
          <w:sz w:val="18"/>
          <w:szCs w:val="18"/>
          <w:color w:val="auto"/>
        </w:rPr>
        <w:t>” shall mean the warrants (and the underlying securities) purchased in the private placement taking place simultaneously with the consummation of the Company’s IPO; (vi) “</w:t>
      </w:r>
      <w:r>
        <w:rPr>
          <w:rFonts w:ascii="Arial" w:cs="Arial" w:eastAsia="Arial" w:hAnsi="Arial"/>
          <w:sz w:val="18"/>
          <w:szCs w:val="18"/>
          <w:b w:val="1"/>
          <w:bCs w:val="1"/>
          <w:i w:val="1"/>
          <w:iCs w:val="1"/>
          <w:color w:val="auto"/>
        </w:rPr>
        <w:t>Private Warrant Purchase Agreement</w:t>
      </w:r>
      <w:r>
        <w:rPr>
          <w:rFonts w:ascii="Arial" w:cs="Arial" w:eastAsia="Arial" w:hAnsi="Arial"/>
          <w:sz w:val="18"/>
          <w:szCs w:val="18"/>
          <w:color w:val="auto"/>
        </w:rPr>
        <w:t>” shall mean that certain Private Warrant Purchase Agreement by and between the Company and Holdings to be executed in connection with the IPO; (vii)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6" w:lineRule="exact"/>
        <w:rPr>
          <w:rFonts w:ascii="Arial" w:cs="Arial" w:eastAsia="Arial" w:hAnsi="Arial"/>
          <w:sz w:val="18"/>
          <w:szCs w:val="18"/>
          <w:color w:val="auto"/>
        </w:rPr>
      </w:pPr>
    </w:p>
    <w:p>
      <w:pPr>
        <w:jc w:val="both"/>
        <w:ind w:right="20" w:firstLine="1304"/>
        <w:spacing w:after="0" w:line="263" w:lineRule="auto"/>
        <w:tabs>
          <w:tab w:leader="none" w:pos="15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T. Simon,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806-6400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521-5450</w:t>
      </w:r>
    </w:p>
    <w:p>
      <w:pPr>
        <w:spacing w:after="0" w:line="211" w:lineRule="exact"/>
        <w:rPr>
          <w:sz w:val="20"/>
          <w:szCs w:val="20"/>
          <w:color w:val="auto"/>
        </w:rPr>
      </w:pPr>
    </w:p>
    <w:p>
      <w:pPr>
        <w:jc w:val="both"/>
        <w:ind w:firstLine="1304"/>
        <w:spacing w:after="0" w:line="311" w:lineRule="auto"/>
        <w:tabs>
          <w:tab w:leader="none" w:pos="156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5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ind w:left="4520"/>
        <w:spacing w:after="0"/>
        <w:rPr>
          <w:sz w:val="20"/>
          <w:szCs w:val="20"/>
          <w:color w:val="auto"/>
        </w:rPr>
      </w:pPr>
      <w:r>
        <w:rPr>
          <w:rFonts w:ascii="Arial" w:cs="Arial" w:eastAsia="Arial" w:hAnsi="Arial"/>
          <w:sz w:val="16"/>
          <w:szCs w:val="16"/>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29210</wp:posOffset>
            </wp:positionV>
            <wp:extent cx="3566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is made as of [●], 2021 by and between Chardan NexTech Acquisition 2 Corp. (the “Company”) and Continental Stock Transfer &amp; Trust Company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registration statement on Form S-1, No. 333-254010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$100,000,000 of the gross proceeds of the IPO ($115,000,000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IT IS AGREED:</w:t>
      </w:r>
    </w:p>
    <w:p>
      <w:pPr>
        <w:spacing w:after="0" w:line="225" w:lineRule="exact"/>
        <w:rPr>
          <w:sz w:val="20"/>
          <w:szCs w:val="20"/>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Morgan Stanley in the United States, maintained by Trustee, and at a brokerage institution selected by the Trustee that is reasonably satisfactory to the Company;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 a timely manner, upon the instruction of the Company, invest and reinvest the Property (i) in United States government treasury bills, notes or bonds having a maturity of 180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the Trustee may earn bank credits and other consideration</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is used herein;</w:t>
      </w:r>
    </w:p>
    <w:p>
      <w:pPr>
        <w:spacing w:after="0" w:line="210" w:lineRule="exact"/>
        <w:rPr>
          <w:rFonts w:ascii="Arial" w:cs="Arial" w:eastAsia="Arial" w:hAnsi="Arial"/>
          <w:sz w:val="16"/>
          <w:szCs w:val="16"/>
          <w:color w:val="auto"/>
        </w:rPr>
      </w:pPr>
    </w:p>
    <w:p>
      <w:pPr>
        <w:ind w:left="1540" w:hanging="236"/>
        <w:spacing w:after="0"/>
        <w:tabs>
          <w:tab w:leader="none" w:pos="15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Notify the Company and Chardan of all communications received by it with respect to any Property requiring action by the Company;</w:t>
      </w:r>
    </w:p>
    <w:p>
      <w:pPr>
        <w:spacing w:after="0" w:line="248" w:lineRule="exact"/>
        <w:rPr>
          <w:rFonts w:ascii="Arial" w:cs="Arial" w:eastAsia="Arial" w:hAnsi="Arial"/>
          <w:sz w:val="16"/>
          <w:szCs w:val="16"/>
          <w:color w:val="auto"/>
        </w:rPr>
      </w:pPr>
    </w:p>
    <w:p>
      <w:pPr>
        <w:ind w:left="1540" w:hanging="236"/>
        <w:spacing w:after="0"/>
        <w:tabs>
          <w:tab w:leader="none" w:pos="15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tax returns;</w:t>
      </w:r>
    </w:p>
    <w:p>
      <w:pPr>
        <w:spacing w:after="0" w:line="210" w:lineRule="exact"/>
        <w:rPr>
          <w:rFonts w:ascii="Arial" w:cs="Arial" w:eastAsia="Arial" w:hAnsi="Arial"/>
          <w:sz w:val="16"/>
          <w:szCs w:val="16"/>
          <w:color w:val="auto"/>
        </w:rPr>
      </w:pPr>
    </w:p>
    <w:p>
      <w:pPr>
        <w:ind w:firstLine="1304"/>
        <w:spacing w:after="0" w:line="277" w:lineRule="auto"/>
        <w:tabs>
          <w:tab w:leader="none" w:pos="15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1" w:name="page272"/>
    <w:bookmarkEnd w:id="271"/>
    <w:p>
      <w:pPr>
        <w:ind w:left="-656" w:firstLine="1304"/>
        <w:spacing w:after="0" w:line="277" w:lineRule="auto"/>
        <w:tabs>
          <w:tab w:leader="none" w:pos="90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jc w:val="both"/>
        <w:ind w:left="-656" w:firstLine="1304"/>
        <w:spacing w:after="0" w:line="254" w:lineRule="auto"/>
        <w:tabs>
          <w:tab w:leader="none" w:pos="85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24-month anniversary of the closing of the IPO (“Closing”) (“Last Date”), the Trust Account shall be liquidated in accordance with the procedures set forth in the Termination Letter attached as Exhibit B hereto and distributed to the Public Shareholders as of the Last Date.</w:t>
      </w:r>
    </w:p>
    <w:p>
      <w:pPr>
        <w:spacing w:after="0" w:line="191" w:lineRule="exact"/>
        <w:rPr>
          <w:rFonts w:ascii="Arial" w:cs="Arial" w:eastAsia="Arial" w:hAnsi="Arial"/>
          <w:sz w:val="18"/>
          <w:szCs w:val="18"/>
          <w:color w:val="auto"/>
        </w:rPr>
      </w:pPr>
    </w:p>
    <w:p>
      <w:pPr>
        <w:ind w:left="184" w:hanging="184"/>
        <w:spacing w:after="0"/>
        <w:tabs>
          <w:tab w:leader="none" w:pos="18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63" w:lineRule="auto"/>
        <w:tabs>
          <w:tab w:leader="none" w:pos="8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3" w:lineRule="exact"/>
        <w:rPr>
          <w:rFonts w:ascii="Arial" w:cs="Arial" w:eastAsia="Arial" w:hAnsi="Arial"/>
          <w:sz w:val="18"/>
          <w:szCs w:val="18"/>
          <w:color w:val="auto"/>
        </w:rPr>
      </w:pPr>
    </w:p>
    <w:p>
      <w:pPr>
        <w:ind w:left="-656" w:firstLine="1304"/>
        <w:spacing w:after="0" w:line="308" w:lineRule="auto"/>
        <w:tabs>
          <w:tab w:leader="none" w:pos="92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above, no other distributions from the Trust Account shall be permitted except in accordance with Section 1(i) hereof.</w:t>
      </w:r>
    </w:p>
    <w:p>
      <w:pPr>
        <w:spacing w:after="0" w:line="146"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656" w:firstLine="1304"/>
        <w:spacing w:after="0" w:line="279" w:lineRule="auto"/>
        <w:tabs>
          <w:tab w:leader="none" w:pos="89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jc w:val="both"/>
        <w:ind w:left="-656" w:firstLine="1304"/>
        <w:spacing w:after="0" w:line="288" w:lineRule="auto"/>
        <w:tabs>
          <w:tab w:leader="none" w:pos="91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left="-656" w:firstLine="1304"/>
        <w:spacing w:after="0" w:line="255" w:lineRule="auto"/>
        <w:tabs>
          <w:tab w:leader="none" w:pos="90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2" w:name="page273"/>
    <w:bookmarkEnd w:id="272"/>
    <w:p>
      <w:pPr>
        <w:jc w:val="both"/>
        <w:ind w:left="-656" w:firstLine="1304"/>
        <w:spacing w:after="0" w:line="263" w:lineRule="auto"/>
        <w:tabs>
          <w:tab w:leader="none" w:pos="90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3" w:lineRule="exact"/>
        <w:rPr>
          <w:rFonts w:ascii="Arial" w:cs="Arial" w:eastAsia="Arial" w:hAnsi="Arial"/>
          <w:sz w:val="18"/>
          <w:szCs w:val="18"/>
          <w:color w:val="auto"/>
        </w:rPr>
      </w:pPr>
    </w:p>
    <w:p>
      <w:pPr>
        <w:ind w:left="-656" w:firstLine="1304"/>
        <w:spacing w:after="0" w:line="277" w:lineRule="auto"/>
        <w:tabs>
          <w:tab w:leader="none" w:pos="91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656" w:firstLine="1304"/>
        <w:spacing w:after="0" w:line="277" w:lineRule="auto"/>
        <w:tabs>
          <w:tab w:leader="none" w:pos="88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left="-656" w:firstLine="1304"/>
        <w:spacing w:after="0" w:line="263" w:lineRule="auto"/>
        <w:tabs>
          <w:tab w:leader="none" w:pos="90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884" w:hanging="236"/>
        <w:spacing w:after="0"/>
        <w:tabs>
          <w:tab w:leader="none" w:pos="88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656" w:firstLine="1304"/>
        <w:spacing w:after="0" w:line="308" w:lineRule="auto"/>
        <w:tabs>
          <w:tab w:leader="none" w:pos="90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left="-656" w:firstLine="1304"/>
        <w:spacing w:after="0" w:line="271" w:lineRule="auto"/>
        <w:tabs>
          <w:tab w:leader="none" w:pos="87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left="-656" w:right="20" w:firstLine="1304"/>
        <w:spacing w:after="0" w:line="342" w:lineRule="auto"/>
        <w:tabs>
          <w:tab w:leader="none" w:pos="90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379095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3" w:name="page274"/>
    <w:bookmarkEnd w:id="273"/>
    <w:p>
      <w:pPr>
        <w:ind w:left="-656" w:firstLine="1304"/>
        <w:spacing w:after="0" w:line="308" w:lineRule="auto"/>
        <w:tabs>
          <w:tab w:leader="none" w:pos="862" w:val="left"/>
        </w:tabs>
        <w:numPr>
          <w:ilvl w:val="1"/>
          <w:numId w:val="152"/>
        </w:numPr>
        <w:rPr>
          <w:rFonts w:ascii="Arial" w:cs="Arial" w:eastAsia="Arial" w:hAnsi="Arial"/>
          <w:sz w:val="17"/>
          <w:szCs w:val="17"/>
          <w:color w:val="auto"/>
        </w:rPr>
      </w:pPr>
      <w:r>
        <w:rPr>
          <w:rFonts w:ascii="Arial" w:cs="Arial" w:eastAsia="Arial" w:hAnsi="Arial"/>
          <w:sz w:val="17"/>
          <w:szCs w:val="17"/>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46" w:lineRule="exact"/>
        <w:rPr>
          <w:rFonts w:ascii="Arial" w:cs="Arial" w:eastAsia="Arial" w:hAnsi="Arial"/>
          <w:sz w:val="17"/>
          <w:szCs w:val="17"/>
          <w:color w:val="auto"/>
        </w:rPr>
      </w:pPr>
    </w:p>
    <w:p>
      <w:pPr>
        <w:ind w:left="-656" w:firstLine="1304"/>
        <w:spacing w:after="0" w:line="277" w:lineRule="auto"/>
        <w:tabs>
          <w:tab w:leader="none" w:pos="87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904" w:hanging="256"/>
        <w:spacing w:after="0"/>
        <w:tabs>
          <w:tab w:leader="none" w:pos="90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Verify calculations, qualify or otherwise approve Company requests for distributions pursuant to Section 1(i) or 2(a) above.</w:t>
      </w:r>
    </w:p>
    <w:p>
      <w:pPr>
        <w:spacing w:after="0" w:line="236" w:lineRule="exact"/>
        <w:rPr>
          <w:rFonts w:ascii="Arial" w:cs="Arial" w:eastAsia="Arial" w:hAnsi="Arial"/>
          <w:sz w:val="17"/>
          <w:szCs w:val="17"/>
          <w:color w:val="auto"/>
        </w:rPr>
      </w:pPr>
    </w:p>
    <w:p>
      <w:pPr>
        <w:jc w:val="both"/>
        <w:ind w:left="-656" w:firstLine="656"/>
        <w:spacing w:after="0" w:line="257" w:lineRule="auto"/>
        <w:tabs>
          <w:tab w:leader="none" w:pos="17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left="-656" w:firstLine="1304"/>
        <w:spacing w:after="0" w:line="271" w:lineRule="auto"/>
        <w:tabs>
          <w:tab w:leader="none" w:pos="88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left="-656" w:firstLine="1304"/>
        <w:spacing w:after="0" w:line="263" w:lineRule="auto"/>
        <w:tabs>
          <w:tab w:leader="none" w:pos="90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93" w:lineRule="auto"/>
        <w:tabs>
          <w:tab w:leader="none" w:pos="89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jc w:val="both"/>
        <w:ind w:left="-656" w:firstLine="1304"/>
        <w:spacing w:after="0" w:line="286" w:lineRule="auto"/>
        <w:tabs>
          <w:tab w:leader="none" w:pos="91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left="-656" w:firstLine="1304"/>
        <w:spacing w:after="0" w:line="255" w:lineRule="auto"/>
        <w:tabs>
          <w:tab w:leader="none" w:pos="91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4" w:name="page275"/>
    <w:bookmarkEnd w:id="274"/>
    <w:p>
      <w:pPr>
        <w:ind w:firstLine="1304"/>
        <w:spacing w:after="0" w:line="277" w:lineRule="auto"/>
        <w:tabs>
          <w:tab w:leader="none" w:pos="15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170" w:lineRule="exact"/>
        <w:rPr>
          <w:rFonts w:ascii="Arial" w:cs="Arial" w:eastAsia="Arial" w:hAnsi="Arial"/>
          <w:sz w:val="18"/>
          <w:szCs w:val="18"/>
          <w:color w:val="auto"/>
        </w:rPr>
      </w:pPr>
    </w:p>
    <w:p>
      <w:pPr>
        <w:ind w:firstLine="1304"/>
        <w:spacing w:after="0" w:line="342" w:lineRule="auto"/>
        <w:tabs>
          <w:tab w:leader="none" w:pos="154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Jonas Grossman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1520" w:hanging="216"/>
        <w:spacing w:after="0"/>
        <w:tabs>
          <w:tab w:leader="none" w:pos="15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firstLine="1304"/>
        <w:spacing w:after="0" w:line="277" w:lineRule="auto"/>
        <w:tabs>
          <w:tab w:leader="none" w:pos="15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t>IN WITNESS WHEREOF, the parties have duly executed this Investment Management Trust Agreement as of the date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CONTINENTAL STOCK TRANSFER &amp; TRUST COMPANY, as Trustee</w:t>
      </w:r>
    </w:p>
    <w:p>
      <w:pPr>
        <w:spacing w:after="0" w:line="23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Francis E. Wolf,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t>SCHEDULE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Fee Item</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Time and method of payment</w:t>
            </w:r>
          </w:p>
        </w:tc>
        <w:tc>
          <w:tcPr>
            <w:tcW w:w="3700" w:type="dxa"/>
            <w:vAlign w:val="bottom"/>
            <w:tcBorders>
              <w:top w:val="single" w:sz="8" w:color="auto"/>
              <w:bottom w:val="single" w:sz="8" w:color="auto"/>
              <w:right w:val="single" w:sz="8" w:color="auto"/>
            </w:tcBorders>
          </w:tcPr>
          <w:p>
            <w:pPr>
              <w:jc w:val="right"/>
              <w:ind w:right="2870"/>
              <w:spacing w:after="0"/>
              <w:rPr>
                <w:sz w:val="20"/>
                <w:szCs w:val="20"/>
                <w:color w:val="auto"/>
              </w:rPr>
            </w:pPr>
            <w:r>
              <w:rPr>
                <w:rFonts w:ascii="Arial" w:cs="Arial" w:eastAsia="Arial" w:hAnsi="Arial"/>
                <w:sz w:val="18"/>
                <w:szCs w:val="18"/>
                <w:b w:val="1"/>
                <w:bCs w:val="1"/>
                <w:color w:val="auto"/>
              </w:rPr>
              <w:t>Amount</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Initial acceptance fee</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Initial closing of IPO by wire transfer</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Annual fee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First year, initial closing of IPO by wire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transfer; thereafter on the anniversary of the</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effective date of the IPO by wire transfer or</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check</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Transaction processing fee for disbursements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Deduction by Trustee from accumulated income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Company under Section 2</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following disbursement made to Company</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 Section 2</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Paying Agent services as required pursuant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Billed to Company upon delivery of service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Market Rate</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1(i)</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pursuant to section 1(i)</w:t>
            </w:r>
          </w:p>
        </w:tc>
        <w:tc>
          <w:tcPr>
            <w:tcW w:w="3700" w:type="dxa"/>
            <w:vAlign w:val="bottom"/>
            <w:tcBorders>
              <w:bottom w:val="single" w:sz="8" w:color="auto"/>
              <w:right w:val="single" w:sz="8" w:color="auto"/>
            </w:tcBorders>
          </w:tcPr>
          <w:p>
            <w:pPr>
              <w:spacing w:after="0"/>
              <w:rPr>
                <w:sz w:val="20"/>
                <w:szCs w:val="20"/>
                <w:color w:val="auto"/>
              </w:rPr>
            </w:pPr>
          </w:p>
        </w:tc>
      </w:tr>
      <w:tr>
        <w:trPr>
          <w:trHeight w:val="668"/>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Pursuant to paragraph 1(i) of the Investment Management Trust Agreement between Chardan NexTech Acquisition 2 Corp. (“Company”) and Continental Stock Transfer &amp; Trust Company (“Trustee”), dated as of [●], 2021 (“Trust Agreement”), this is to advise you that the Company has entered into an agreement with [●] (“Target Business”) to consummate a business combination with Target Business (“Business Combination”) on or about </w:t>
      </w:r>
      <w:r>
        <w:rPr>
          <w:rFonts w:ascii="Arial" w:cs="Arial" w:eastAsia="Arial" w:hAnsi="Arial"/>
          <w:sz w:val="17"/>
          <w:szCs w:val="17"/>
          <w:b w:val="1"/>
          <w:bCs w:val="1"/>
          <w:color w:val="auto"/>
        </w:rPr>
        <w:t>[insert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Company shall notify you at least 48 hours in advance of the actual date of the consummation of the Business Combination (“Consummation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Capitalized terms used herein and not otherwise defined shall have the meanings set forth in the Trust Agreement.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 and to transfer the proceeds to the above-referenced account at [•] to the effect that, on the Consummation Date, all of funds held in the Trust Account will be immediately available for transfer to the account or accounts that the Company shall direct on the Consummation Date. It is acknowledged and agreed that while the funds are on deposit in the trust operating account at Morgan Stanley awaiting distribution, the Company will not earn any interest or dividends.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the Consummation Date (i) counsel for the Company shall deliver to you written notification that the Business Combination has been consummated and (ii) the Company shall deliver to you (a) [an affidavit] [a certificate] of [●], which verifies the vote of the 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Jonas Grossman, Chief Executive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19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paragraph 1(i) of the Investment Management Trust Agreement between Chardan NexTech Acquisition 2 Corp. (“Company”) and Continental Stock Transfer &amp; Trust Company (“Trustee”), dated as of [●], 2021 (“Trust Agreement”), this is to advise you that the 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terms of the Trust Agreement, we hereby authorize you to liquidate all the Trust Account investments on [●] and to transfer the total proceeds to the Trust Checking Account at [•] to await distribution to the Public Shareholders. The Company has selected [●] as the effective date for the purpose of determining when the Public Shareholders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Jonas Grossman,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Withdrawal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paragraph 2(a) of the Investment Management Trust Agreement between Chardan NexTech Acquisition 2 Corp. (“Company”) and Continental Stock Transfer &amp; Trust Company (“Trustee”), dated as of [●], 2021 (“Trust Agreement”), the Company hereby requests that you deliver to the Company $[●] of the interest income earned on the Property as of the date hereof. The Company needs such funds to pay for its tax obligations as a result of such interest income. In accordance with the terms of the Trust Agreement, you are hereby directed and authorized to transfer (via wire transfer) such funds promptly upon your receipt of this letter to the Company’s operating account 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Jonas Grossman, Chief Executive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STOCK ESCROW AGREEMENT, dated as of [●], 2021 (“Agreement”), by and among CHARDAN NEXTECH ACQUISITION 2 CORP., a Delaware corporation (“Company”) and the initial shareholders listed on the signature pages hereto (collectively, the “Initial Shareholders”) and CONTINENTAL STOCK TRANSFER &amp; TRUST COMPANY, a New York corporation (“Escrow Agent”).</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WHEREAS, the Company has entered into an Underwriting Agreement, dated as of [ ● ], 20[ ● ] (“Underwriting Agreement”), with Chardan Capital Markets, LLC (“Chardan”) acting as representative of the several underwriters (collectively, the “Underwriters”), pursuant to which, among other matters, the Underwriters have agreed to purchase 10,000,000 units (“Units”) of the Company, plus an additional 1,500,000 Units if the Underwriters exercise their over-allotment option in full. Each Unit consists of one share of common stock of the Company, par value $0.0001 per share (the “Common Stock”), and one-third of one warrant, with each whole warrant entitling the holder thereof to purchase one share of the Common Stock at an exercise price of $11.50 per share, all as more fully described in the Company’s final Prospectus, dated [●], 2021 (“Prospectus”), comprising part of the Company’s Registration Statement on Form S-1 (File No.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333-254010) under the Securities Act of 1933, as amended (“Registration Statement”), declared effective on [●], 2021 (“Effective Date”).</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WHEREAS, the Initial Shareholders have agreed as a condition of the sale of the Units to deposit their Insider Shares (as defined in the Prospectus), as set forth opposite their respective names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(collectively “Escrow Shares”), in escrow as hereinafter provided.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jc w:val="both"/>
        <w:ind w:firstLine="656"/>
        <w:spacing w:after="0" w:line="263" w:lineRule="auto"/>
        <w:tabs>
          <w:tab w:leader="none" w:pos="84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2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3.1 The Escrow Agent shall hold the Escrow Shares during the period (the “Escrow Period”)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10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an initial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1" w:name="page282"/>
    <w:bookmarkEnd w:id="281"/>
    <w:p>
      <w:pPr>
        <w:jc w:val="both"/>
        <w:ind w:firstLine="1296"/>
        <w:spacing w:after="0" w:line="271" w:lineRule="auto"/>
        <w:rPr>
          <w:sz w:val="20"/>
          <w:szCs w:val="20"/>
          <w:color w:val="auto"/>
        </w:rPr>
      </w:pPr>
      <w:r>
        <w:rPr>
          <w:rFonts w:ascii="Arial" w:cs="Arial" w:eastAsia="Arial" w:hAnsi="Arial"/>
          <w:sz w:val="17"/>
          <w:szCs w:val="17"/>
          <w:color w:val="auto"/>
        </w:rPr>
        <w:t xml:space="preserve">3.2 Notwithstanding Section 3.1, if the Underwriters do not exercise their over-allotment option to purchase an additional 1,500,000 Units of the Company in full within 45 days of the date of the Prospectus (as described in the Underwriting Agreement), the Initial Shareholders agree that the Escrow Agent shall return to the Company for cancellation, at no cost, the number of Escrow Shares held by the Initial Shareholders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determined by multiplying (a) the product of (i) 375,000 multiplied by (ii) a fraction, (x) the numerator of which is the number of Escrow Shares held by each such holder, and (y) the denominator of which is the total number of Escrow Shares, by (b) a fraction, (i) the numerator of which is 1,500,000 minus the number of shares of Common Stock purchased by the Underwriters upon the exercise of their over-allotment option, and (ii) the denominator of which is 1,500,000.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3.3 On the termination date of the Escrow Period, the Escrow Agent shall, upon written instructions from the Company disburse the Escrow shares as set forth in such instructions.</w:t>
      </w:r>
    </w:p>
    <w:p>
      <w:pPr>
        <w:spacing w:after="0" w:line="170" w:lineRule="exact"/>
        <w:rPr>
          <w:sz w:val="20"/>
          <w:szCs w:val="20"/>
          <w:color w:val="auto"/>
        </w:rPr>
      </w:pPr>
    </w:p>
    <w:p>
      <w:pPr>
        <w:ind w:left="840" w:hanging="184"/>
        <w:spacing w:after="0"/>
        <w:tabs>
          <w:tab w:leader="none" w:pos="8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to (1) Chardan NexTech Investments 2 LLC, and its affiliates, officers, directors, stockholders, employees and members, (2) to the Company’s pre-IPO stockholders or their respective affiliates, or to the Company’s offices, directors, advisors and employees (3) if the Initial Shareholder is an entity, as a distribution to its, partners, stockholders or members upon its liquidation, (4) by bona fide gift to a member of the Initial Shareholder’s immediate family or to a trust, the beneficiary of which is the Initial Shareholder or a member of the Initial Shareholder’s immediate family for estate planning purposes, (5) by virtue of the laws of descent and distribution upon death of the Initial Shareholder, (6) pursuant to a qualified domestic relations order, (7) by certain pledges to secure obligations incurred in connection with purchases of the Company’s securities, (8) by private sales at prices no greater than the price at which the Insider Shares were originally purchased or (9) for the cancellation of up to 375,000 shares of Common Stock subject to forfeiture to the extent that the Underwriters’ over-allotment is not exercised in full or in part or in connection with the consummation of our initial Business Combination, in each case (except for clause 9 or with our prior consent)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Insider Letters</w:t>
      </w:r>
      <w:r>
        <w:rPr>
          <w:rFonts w:ascii="Arial" w:cs="Arial" w:eastAsia="Arial" w:hAnsi="Arial"/>
          <w:sz w:val="18"/>
          <w:szCs w:val="18"/>
          <w:color w:val="auto"/>
        </w:rPr>
        <w:t xml:space="preserve">. Each of the Initial Shareholders has executed a letter agreement with Chardan and the Company, dated as indicated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the form of which is filed as an exhibit to the Registration Statement (“Insider Letter”), respecting the rights and obligations of such Initial Shareholder in certain events, including but not limited to the liquidation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ind w:left="840" w:hanging="184"/>
        <w:spacing w:after="0"/>
        <w:tabs>
          <w:tab w:leader="none" w:pos="8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8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ind w:left="840" w:hanging="184"/>
        <w:spacing w:after="0"/>
        <w:tabs>
          <w:tab w:leader="none" w:pos="8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beneficiary of this Agreement and this Agreement may not be modified or changed without the prior written consent of Chardan.</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Chardan NexTech Acquisition 2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200" w:lineRule="exact"/>
        <w:rPr>
          <w:sz w:val="20"/>
          <w:szCs w:val="20"/>
          <w:color w:val="auto"/>
        </w:rPr>
      </w:pPr>
    </w:p>
    <w:p>
      <w:pPr>
        <w:sectPr>
          <w:pgSz w:w="11900" w:h="16838" w:orient="portrait"/>
          <w:cols w:equalWidth="0" w:num="2">
            <w:col w:w="3780" w:space="720"/>
            <w:col w:w="6740"/>
          </w:cols>
          <w:pgMar w:left="320" w:top="908" w:right="339" w:bottom="1440" w:gutter="0" w:footer="0" w:header="0"/>
          <w:type w:val="continuous"/>
        </w:sectPr>
      </w:pPr>
    </w:p>
    <w:p>
      <w:pPr>
        <w:spacing w:after="0" w:line="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If to a Shareholder, to his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800"/>
        <w:spacing w:after="0"/>
        <w:tabs>
          <w:tab w:leader="none" w:pos="4480" w:val="left"/>
        </w:tabs>
        <w:rPr>
          <w:sz w:val="20"/>
          <w:szCs w:val="20"/>
          <w:color w:val="auto"/>
        </w:rPr>
      </w:pPr>
      <w:r>
        <w:rPr>
          <w:rFonts w:ascii="Arial" w:cs="Arial" w:eastAsia="Arial" w:hAnsi="Arial"/>
          <w:sz w:val="18"/>
          <w:szCs w:val="18"/>
          <w:color w:val="auto"/>
        </w:rPr>
        <w:t>and if to the Escrow Agent, to:</w:t>
      </w:r>
      <w:r>
        <w:rPr>
          <w:sz w:val="20"/>
          <w:szCs w:val="20"/>
          <w:color w:val="auto"/>
        </w:rPr>
        <w:tab/>
      </w:r>
      <w:r>
        <w:rPr>
          <w:rFonts w:ascii="Arial" w:cs="Arial" w:eastAsia="Arial" w:hAnsi="Arial"/>
          <w:sz w:val="16"/>
          <w:szCs w:val="16"/>
          <w:color w:val="auto"/>
        </w:rPr>
        <w:t>Continental Stock Transfer &amp; Trust Company</w:t>
      </w:r>
    </w:p>
    <w:p>
      <w:pPr>
        <w:ind w:left="45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Erika Young</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Chardan Capital Markets LLC</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17 State Street, 21st Floor</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New York, NY 10004</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Attn: George Kaufman</w:t>
            </w:r>
          </w:p>
        </w:tc>
      </w:tr>
      <w:tr>
        <w:trPr>
          <w:trHeight w:val="230"/>
        </w:trPr>
        <w:tc>
          <w:tcPr>
            <w:tcW w:w="4280" w:type="dxa"/>
            <w:vAlign w:val="bottom"/>
          </w:tcPr>
          <w:p>
            <w:pPr>
              <w:spacing w:after="0"/>
              <w:rPr>
                <w:sz w:val="20"/>
                <w:szCs w:val="20"/>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Fax: (646) 465-9039</w:t>
            </w:r>
          </w:p>
        </w:tc>
      </w:tr>
      <w:tr>
        <w:trPr>
          <w:trHeight w:val="418"/>
        </w:trPr>
        <w:tc>
          <w:tcPr>
            <w:tcW w:w="4280" w:type="dxa"/>
            <w:vAlign w:val="bottom"/>
          </w:tcPr>
          <w:p>
            <w:pPr>
              <w:ind w:left="3740"/>
              <w:spacing w:after="0"/>
              <w:rPr>
                <w:sz w:val="20"/>
                <w:szCs w:val="20"/>
                <w:color w:val="auto"/>
              </w:rPr>
            </w:pPr>
            <w:r>
              <w:rPr>
                <w:rFonts w:ascii="Arial" w:cs="Arial" w:eastAsia="Arial" w:hAnsi="Arial"/>
                <w:sz w:val="18"/>
                <w:szCs w:val="18"/>
                <w:color w:val="auto"/>
              </w:rPr>
              <w:t>and:</w:t>
            </w:r>
          </w:p>
        </w:tc>
        <w:tc>
          <w:tcPr>
            <w:tcW w:w="6960" w:type="dxa"/>
            <w:vAlign w:val="bottom"/>
          </w:tcPr>
          <w:p>
            <w:pPr>
              <w:ind w:left="220"/>
              <w:spacing w:after="0"/>
              <w:rPr>
                <w:sz w:val="20"/>
                <w:szCs w:val="20"/>
                <w:color w:val="auto"/>
              </w:rPr>
            </w:pPr>
            <w:r>
              <w:rPr>
                <w:rFonts w:ascii="Arial" w:cs="Arial" w:eastAsia="Arial" w:hAnsi="Arial"/>
                <w:sz w:val="18"/>
                <w:szCs w:val="18"/>
                <w:color w:val="auto"/>
              </w:rPr>
              <w:t>Reed Smith LLP</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599 Lexington Avenue</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New York, NY 10022</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Attn: Ari Edelman, Esq.</w:t>
            </w:r>
          </w:p>
        </w:tc>
      </w:tr>
      <w:tr>
        <w:trPr>
          <w:trHeight w:val="230"/>
        </w:trPr>
        <w:tc>
          <w:tcPr>
            <w:tcW w:w="4280" w:type="dxa"/>
            <w:vAlign w:val="bottom"/>
          </w:tcPr>
          <w:p>
            <w:pPr>
              <w:spacing w:after="0"/>
              <w:rPr>
                <w:sz w:val="20"/>
                <w:szCs w:val="20"/>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Fax: (212) 521-5450</w:t>
            </w:r>
          </w:p>
        </w:tc>
      </w:tr>
      <w:tr>
        <w:trPr>
          <w:trHeight w:val="702"/>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284" w:name="page285"/>
    <w:bookmarkEnd w:id="284"/>
    <w:p>
      <w:pPr>
        <w:ind w:left="374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Met Life Building, 200 Park Avenue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Simon,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801-6400</w:t>
      </w:r>
    </w:p>
    <w:p>
      <w:pPr>
        <w:spacing w:after="0" w:line="200" w:lineRule="exact"/>
        <w:rPr>
          <w:sz w:val="20"/>
          <w:szCs w:val="20"/>
          <w:color w:val="auto"/>
        </w:rPr>
      </w:pPr>
    </w:p>
    <w:p>
      <w:pPr>
        <w:sectPr>
          <w:pgSz w:w="11900" w:h="16838" w:orient="portrait"/>
          <w:cols w:equalWidth="0" w:num="2">
            <w:col w:w="4060" w:space="440"/>
            <w:col w:w="6740"/>
          </w:cols>
          <w:pgMar w:left="320" w:top="935" w:right="339" w:bottom="1440" w:gutter="0" w:footer="0" w:header="0"/>
        </w:sectPr>
      </w:pPr>
    </w:p>
    <w:p>
      <w:pPr>
        <w:spacing w:after="0" w:line="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85" w:name="page286"/>
    <w:bookmarkEnd w:id="285"/>
    <w:p>
      <w:pPr>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-130175</wp:posOffset>
            </wp:positionV>
            <wp:extent cx="32746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CONTINENTAL STOCK TRANSFER &amp; TRUST COMPANY</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-130175</wp:posOffset>
            </wp:positionV>
            <wp:extent cx="32746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-130175</wp:posOffset>
            </wp:positionV>
            <wp:extent cx="32746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380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800" w:type="dxa"/>
            <w:vAlign w:val="bottom"/>
          </w:tcPr>
          <w:p>
            <w:pPr>
              <w:spacing w:after="0"/>
              <w:rPr>
                <w:sz w:val="24"/>
                <w:szCs w:val="24"/>
                <w:color w:val="auto"/>
              </w:rPr>
            </w:pPr>
          </w:p>
        </w:tc>
        <w:tc>
          <w:tcPr>
            <w:tcW w:w="6100" w:type="dxa"/>
            <w:vAlign w:val="bottom"/>
            <w:gridSpan w:val="6"/>
          </w:tcPr>
          <w:p>
            <w:pPr>
              <w:jc w:val="center"/>
              <w:ind w:right="2460"/>
              <w:spacing w:after="0"/>
              <w:rPr>
                <w:sz w:val="20"/>
                <w:szCs w:val="20"/>
                <w:color w:val="auto"/>
              </w:rPr>
            </w:pPr>
            <w:r>
              <w:rPr>
                <w:rFonts w:ascii="Arial" w:cs="Arial" w:eastAsia="Arial" w:hAnsi="Arial"/>
                <w:sz w:val="18"/>
                <w:szCs w:val="18"/>
                <w:b w:val="1"/>
                <w:bCs w:val="1"/>
                <w:color w:val="auto"/>
                <w:w w:val="90"/>
              </w:rPr>
              <w:t>Initial Shareholders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Number</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Date of</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Name of Initial Shareholder</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of Shares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Insider Letter</w:t>
            </w:r>
          </w:p>
        </w:tc>
      </w:tr>
      <w:tr>
        <w:trPr>
          <w:trHeight w:val="210"/>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Chardan NexTech Investments 2 LLC</w:t>
            </w:r>
          </w:p>
        </w:tc>
        <w:tc>
          <w:tcPr>
            <w:tcW w:w="1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3"/>
              </w:rPr>
              <w:t>[●],2021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87" w:name="page288"/>
    <w:bookmarkEnd w:id="287"/>
    <w:p>
      <w:pPr>
        <w:jc w:val="center"/>
        <w:ind w:right="-11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Escrow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 – 375,000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88" w:name="page289"/>
    <w:bookmarkEnd w:id="288"/>
    <w:p>
      <w:pPr>
        <w:ind w:left="516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Insider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 day of [●], 2021, by and among Chardan NexTech Acquisition 2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0" w:name="page291"/>
    <w:bookmarkEnd w:id="2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Warrants</w:t>
      </w:r>
      <w:r>
        <w:rPr>
          <w:rFonts w:ascii="Arial" w:cs="Arial" w:eastAsia="Arial" w:hAnsi="Arial"/>
          <w:sz w:val="18"/>
          <w:szCs w:val="18"/>
          <w:color w:val="auto"/>
        </w:rPr>
        <w:t>” means the 5,500,000 Warrants the Investors are privately purchasing simultaneously with the consummation of the Company’s initial public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 2021 by and among the Investors and Continental Stock Transfer &amp; Trust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 of Common Stock and one Warrant entitling the holder to purchase one-half of one share of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the holders of a majority-in-interest of the Initial Shares, may make a written demand for registration under the Securities Act of all or part of their Private Warrants or other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one (1) Demand Registration under this Section 2.1.1 in respect of all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1" w:name="page292"/>
    <w:bookmarkEnd w:id="291"/>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2" w:name="page293"/>
    <w:bookmarkEnd w:id="292"/>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39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0" w:lineRule="exact"/>
        <w:rPr>
          <w:rFonts w:ascii="Arial" w:cs="Arial" w:eastAsia="Arial" w:hAnsi="Arial"/>
          <w:sz w:val="17"/>
          <w:szCs w:val="17"/>
          <w:color w:val="auto"/>
        </w:rPr>
      </w:pPr>
    </w:p>
    <w:p>
      <w:pPr>
        <w:jc w:val="both"/>
        <w:ind w:left="1960" w:firstLine="640"/>
        <w:spacing w:after="0" w:line="287" w:lineRule="auto"/>
        <w:tabs>
          <w:tab w:leader="none" w:pos="287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2" w:lineRule="exact"/>
        <w:rPr>
          <w:sz w:val="20"/>
          <w:szCs w:val="20"/>
          <w:color w:val="auto"/>
        </w:rPr>
      </w:pPr>
    </w:p>
    <w:p>
      <w:pPr>
        <w:ind w:left="840" w:hanging="184"/>
        <w:spacing w:after="0"/>
        <w:tabs>
          <w:tab w:leader="none" w:pos="8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840" w:hanging="184"/>
        <w:spacing w:after="0"/>
        <w:tabs>
          <w:tab w:leader="none" w:pos="8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8" w:name="page299"/>
    <w:bookmarkEnd w:id="298"/>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on Registration Rights</w:t>
      </w:r>
      <w:r>
        <w:rPr>
          <w:rFonts w:ascii="Arial" w:cs="Arial" w:eastAsia="Arial" w:hAnsi="Arial"/>
          <w:sz w:val="18"/>
          <w:szCs w:val="18"/>
          <w:color w:val="auto"/>
        </w:rPr>
        <w:t>. Notwithstanding anything herein to the contrary, Chardan Capital Markets, LLC and its related persons may not, with respect to the Private Warrants purchased by Chardan NexTech Investments 2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NexTech Investments 2 LLC.</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9" w:name="page300"/>
    <w:bookmarkEnd w:id="299"/>
    <w:p>
      <w:pPr>
        <w:jc w:val="both"/>
        <w:ind w:firstLine="129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firstLine="1296"/>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1" w:name="page302"/>
    <w:bookmarkEnd w:id="301"/>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-130175</wp:posOffset>
            </wp:positionV>
            <wp:extent cx="329184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-121920</wp:posOffset>
            </wp:positionV>
            <wp:extent cx="32918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302" w:name="page303"/>
    <w:bookmarkEnd w:id="302"/>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of 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 2021, by and between Chardan NexTech Acquisition 2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 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has determined that, in order to attract and retain qualified individuals,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of the Company and any resolutions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and shall not be deemed a substitute therefor, nor to diminish or abrogate any rights of Indemnitee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covenants contained herein and subject to the provisions of the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dates as of [ ● ], 2021 between the Company and Indemnitee pursuant to the Underwriting Agreement between the Company and the Underwriters in connection with the Company’s initial public offering, the Company and Indemnitee do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4" w:name="page305"/>
    <w:bookmarkEnd w:id="304"/>
    <w:p>
      <w:pPr>
        <w:jc w:val="center"/>
        <w:ind w:right="60"/>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left="320" w:hanging="318"/>
        <w:spacing w:after="0" w:line="256" w:lineRule="auto"/>
        <w:tabs>
          <w:tab w:leader="none" w:pos="320" w:val="left"/>
        </w:tabs>
        <w:numPr>
          <w:ilvl w:val="0"/>
          <w:numId w:val="166"/>
        </w:numPr>
        <w:rPr>
          <w:rFonts w:ascii="Arial" w:cs="Arial" w:eastAsia="Arial" w:hAnsi="Arial"/>
          <w:sz w:val="18"/>
          <w:szCs w:val="18"/>
          <w:b w:val="1"/>
          <w:bCs w:val="1"/>
          <w:color w:val="010000"/>
        </w:rPr>
      </w:pPr>
      <w:r>
        <w:rPr>
          <w:rFonts w:ascii="Arial" w:cs="Arial" w:eastAsia="Arial" w:hAnsi="Arial"/>
          <w:sz w:val="18"/>
          <w:szCs w:val="18"/>
          <w:b w:val="1"/>
          <w:bCs w:val="1"/>
          <w:color w:val="auto"/>
        </w:rPr>
        <w:t>SERVICES TO THE COMPANY</w:t>
      </w:r>
      <w:r>
        <w:rPr>
          <w:rFonts w:ascii="Arial" w:cs="Arial" w:eastAsia="Arial" w:hAnsi="Arial"/>
          <w:sz w:val="18"/>
          <w:szCs w:val="18"/>
          <w:color w:val="auto"/>
        </w:rPr>
        <w:t>. Indemnitee will serve or continue to serve as an officer, director, advisor, key employee or in any other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7" w:lineRule="exact"/>
        <w:rPr>
          <w:rFonts w:ascii="Arial" w:cs="Arial" w:eastAsia="Arial" w:hAnsi="Arial"/>
          <w:sz w:val="18"/>
          <w:szCs w:val="18"/>
          <w:b w:val="1"/>
          <w:bCs w:val="1"/>
          <w:color w:val="010000"/>
        </w:rPr>
      </w:pPr>
    </w:p>
    <w:p>
      <w:pPr>
        <w:ind w:left="440" w:hanging="317"/>
        <w:spacing w:after="0"/>
        <w:tabs>
          <w:tab w:leader="none" w:pos="440" w:val="left"/>
        </w:tabs>
        <w:numPr>
          <w:ilvl w:val="1"/>
          <w:numId w:val="166"/>
        </w:numPr>
        <w:rPr>
          <w:rFonts w:ascii="Arial" w:cs="Arial" w:eastAsia="Arial" w:hAnsi="Arial"/>
          <w:sz w:val="18"/>
          <w:szCs w:val="18"/>
          <w:b w:val="1"/>
          <w:bCs w:val="1"/>
          <w:color w:val="010000"/>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b w:val="1"/>
          <w:bCs w:val="1"/>
          <w:color w:val="010000"/>
        </w:rPr>
      </w:pPr>
    </w:p>
    <w:p>
      <w:pPr>
        <w:jc w:val="both"/>
        <w:ind w:left="280" w:hanging="8"/>
        <w:spacing w:after="0" w:line="259" w:lineRule="auto"/>
        <w:tabs>
          <w:tab w:leader="none" w:pos="538" w:val="left"/>
        </w:tabs>
        <w:numPr>
          <w:ilvl w:val="2"/>
          <w:numId w:val="166"/>
        </w:numPr>
        <w:rPr>
          <w:rFonts w:ascii="Arial" w:cs="Arial" w:eastAsia="Arial" w:hAnsi="Arial"/>
          <w:sz w:val="18"/>
          <w:szCs w:val="18"/>
          <w:color w:val="010000"/>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010000"/>
        </w:rPr>
      </w:pPr>
    </w:p>
    <w:p>
      <w:pPr>
        <w:ind w:left="280" w:right="20" w:hanging="8"/>
        <w:spacing w:after="0" w:line="277" w:lineRule="auto"/>
        <w:tabs>
          <w:tab w:leader="none" w:pos="535" w:val="left"/>
        </w:tabs>
        <w:numPr>
          <w:ilvl w:val="2"/>
          <w:numId w:val="166"/>
        </w:numPr>
        <w:rPr>
          <w:rFonts w:ascii="Arial" w:cs="Arial" w:eastAsia="Arial" w:hAnsi="Arial"/>
          <w:sz w:val="18"/>
          <w:szCs w:val="18"/>
          <w:color w:val="010000"/>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010000"/>
        </w:rPr>
      </w:pPr>
    </w:p>
    <w:p>
      <w:pPr>
        <w:ind w:left="520" w:hanging="248"/>
        <w:spacing w:after="0"/>
        <w:tabs>
          <w:tab w:leader="none" w:pos="520" w:val="left"/>
        </w:tabs>
        <w:numPr>
          <w:ilvl w:val="2"/>
          <w:numId w:val="166"/>
        </w:numPr>
        <w:rPr>
          <w:rFonts w:ascii="Arial" w:cs="Arial" w:eastAsia="Arial" w:hAnsi="Arial"/>
          <w:sz w:val="17"/>
          <w:szCs w:val="17"/>
          <w:color w:val="010000"/>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6" w:lineRule="exact"/>
        <w:rPr>
          <w:rFonts w:ascii="Arial" w:cs="Arial" w:eastAsia="Arial" w:hAnsi="Arial"/>
          <w:sz w:val="17"/>
          <w:szCs w:val="17"/>
          <w:color w:val="010000"/>
        </w:rPr>
      </w:pPr>
    </w:p>
    <w:p>
      <w:pPr>
        <w:jc w:val="both"/>
        <w:ind w:left="600" w:hanging="4"/>
        <w:spacing w:after="0" w:line="293" w:lineRule="auto"/>
        <w:tabs>
          <w:tab w:leader="none" w:pos="815" w:val="left"/>
        </w:tabs>
        <w:numPr>
          <w:ilvl w:val="3"/>
          <w:numId w:val="166"/>
        </w:numPr>
        <w:rPr>
          <w:rFonts w:ascii="Arial" w:cs="Arial" w:eastAsia="Arial" w:hAnsi="Arial"/>
          <w:sz w:val="16"/>
          <w:szCs w:val="16"/>
          <w:color w:val="010000"/>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Other than Chardan Investments 2 LLC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64" w:lineRule="exact"/>
        <w:rPr>
          <w:rFonts w:ascii="Arial" w:cs="Arial" w:eastAsia="Arial" w:hAnsi="Arial"/>
          <w:sz w:val="16"/>
          <w:szCs w:val="16"/>
          <w:color w:val="010000"/>
        </w:rPr>
      </w:pPr>
    </w:p>
    <w:p>
      <w:pPr>
        <w:jc w:val="both"/>
        <w:ind w:left="600" w:hanging="4"/>
        <w:spacing w:after="0" w:line="259" w:lineRule="auto"/>
        <w:tabs>
          <w:tab w:leader="none" w:pos="865" w:val="left"/>
        </w:tabs>
        <w:numPr>
          <w:ilvl w:val="3"/>
          <w:numId w:val="166"/>
        </w:numPr>
        <w:rPr>
          <w:rFonts w:ascii="Arial" w:cs="Arial" w:eastAsia="Arial" w:hAnsi="Arial"/>
          <w:sz w:val="18"/>
          <w:szCs w:val="18"/>
          <w:color w:val="010000"/>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cease for any reason to constitute at least a majority of the members of the Board;</w:t>
      </w:r>
    </w:p>
    <w:p>
      <w:pPr>
        <w:spacing w:after="0" w:line="186" w:lineRule="exact"/>
        <w:rPr>
          <w:rFonts w:ascii="Arial" w:cs="Arial" w:eastAsia="Arial" w:hAnsi="Arial"/>
          <w:sz w:val="18"/>
          <w:szCs w:val="18"/>
          <w:color w:val="010000"/>
        </w:rPr>
      </w:pPr>
    </w:p>
    <w:p>
      <w:pPr>
        <w:jc w:val="both"/>
        <w:ind w:left="600" w:hanging="4"/>
        <w:spacing w:after="0" w:line="286" w:lineRule="auto"/>
        <w:tabs>
          <w:tab w:leader="none" w:pos="928" w:val="left"/>
        </w:tabs>
        <w:numPr>
          <w:ilvl w:val="3"/>
          <w:numId w:val="166"/>
        </w:numPr>
        <w:rPr>
          <w:rFonts w:ascii="Arial" w:cs="Arial" w:eastAsia="Arial" w:hAnsi="Arial"/>
          <w:sz w:val="16"/>
          <w:szCs w:val="16"/>
          <w:color w:val="010000"/>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stock purchase, recapitalization or other similar business combination involving the Company and one or more businesses or entities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410845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305" w:name="page306"/>
    <w:bookmarkEnd w:id="305"/>
    <w:p>
      <w:pPr>
        <w:jc w:val="both"/>
        <w:ind w:left="328" w:hanging="4"/>
        <w:spacing w:after="0" w:line="259" w:lineRule="auto"/>
        <w:tabs>
          <w:tab w:leader="none" w:pos="660" w:val="left"/>
        </w:tabs>
        <w:numPr>
          <w:ilvl w:val="1"/>
          <w:numId w:val="167"/>
        </w:numPr>
        <w:rPr>
          <w:rFonts w:ascii="Arial" w:cs="Arial" w:eastAsia="Arial" w:hAnsi="Arial"/>
          <w:sz w:val="18"/>
          <w:szCs w:val="18"/>
          <w:color w:val="010000"/>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010000"/>
        </w:rPr>
      </w:pPr>
    </w:p>
    <w:p>
      <w:pPr>
        <w:jc w:val="both"/>
        <w:ind w:left="328" w:hanging="4"/>
        <w:spacing w:after="0" w:line="263" w:lineRule="auto"/>
        <w:tabs>
          <w:tab w:leader="none" w:pos="596" w:val="left"/>
        </w:tabs>
        <w:numPr>
          <w:ilvl w:val="1"/>
          <w:numId w:val="167"/>
        </w:numPr>
        <w:rPr>
          <w:rFonts w:ascii="Arial" w:cs="Arial" w:eastAsia="Arial" w:hAnsi="Arial"/>
          <w:sz w:val="18"/>
          <w:szCs w:val="18"/>
          <w:color w:val="010000"/>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010000"/>
        </w:rPr>
      </w:pPr>
    </w:p>
    <w:p>
      <w:pPr>
        <w:ind w:left="8" w:hanging="8"/>
        <w:spacing w:after="0" w:line="342" w:lineRule="auto"/>
        <w:tabs>
          <w:tab w:leader="none" w:pos="263" w:val="left"/>
        </w:tabs>
        <w:numPr>
          <w:ilvl w:val="0"/>
          <w:numId w:val="16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23" w:lineRule="exact"/>
        <w:rPr>
          <w:rFonts w:ascii="Arial" w:cs="Arial" w:eastAsia="Arial" w:hAnsi="Arial"/>
          <w:sz w:val="16"/>
          <w:szCs w:val="16"/>
          <w:color w:val="010000"/>
        </w:rPr>
      </w:pPr>
    </w:p>
    <w:p>
      <w:pPr>
        <w:ind w:left="248" w:hanging="248"/>
        <w:spacing w:after="0"/>
        <w:tabs>
          <w:tab w:leader="none" w:pos="248"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010000"/>
        </w:rPr>
      </w:pPr>
    </w:p>
    <w:p>
      <w:pPr>
        <w:ind w:left="8" w:hanging="8"/>
        <w:spacing w:after="0" w:line="277" w:lineRule="auto"/>
        <w:tabs>
          <w:tab w:leader="none" w:pos="233"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010000"/>
        </w:rPr>
      </w:pPr>
    </w:p>
    <w:p>
      <w:pPr>
        <w:jc w:val="both"/>
        <w:ind w:left="8" w:hanging="8"/>
        <w:spacing w:after="0" w:line="259" w:lineRule="auto"/>
        <w:tabs>
          <w:tab w:leader="none" w:pos="263"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010000"/>
        </w:rPr>
      </w:pPr>
    </w:p>
    <w:p>
      <w:pPr>
        <w:ind w:left="248" w:hanging="248"/>
        <w:spacing w:after="0"/>
        <w:tabs>
          <w:tab w:leader="none" w:pos="248"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010000"/>
        </w:rPr>
      </w:pPr>
    </w:p>
    <w:p>
      <w:pPr>
        <w:jc w:val="both"/>
        <w:ind w:left="8" w:hanging="8"/>
        <w:spacing w:after="0" w:line="289" w:lineRule="auto"/>
        <w:tabs>
          <w:tab w:leader="none" w:pos="250" w:val="left"/>
        </w:tabs>
        <w:numPr>
          <w:ilvl w:val="0"/>
          <w:numId w:val="16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66" w:lineRule="exact"/>
        <w:rPr>
          <w:rFonts w:ascii="Arial" w:cs="Arial" w:eastAsia="Arial" w:hAnsi="Arial"/>
          <w:sz w:val="16"/>
          <w:szCs w:val="16"/>
          <w:color w:val="010000"/>
        </w:rPr>
      </w:pPr>
    </w:p>
    <w:p>
      <w:pPr>
        <w:jc w:val="both"/>
        <w:ind w:left="8" w:hanging="8"/>
        <w:spacing w:after="0" w:line="255" w:lineRule="auto"/>
        <w:tabs>
          <w:tab w:leader="none" w:pos="223"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422910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306" w:name="page307"/>
    <w:bookmarkEnd w:id="306"/>
    <w:p>
      <w:pPr>
        <w:jc w:val="both"/>
        <w:ind w:left="278" w:hanging="8"/>
        <w:spacing w:after="0" w:line="287" w:lineRule="auto"/>
        <w:tabs>
          <w:tab w:leader="none" w:pos="533" w:val="left"/>
        </w:tabs>
        <w:numPr>
          <w:ilvl w:val="1"/>
          <w:numId w:val="16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2" w:lineRule="exact"/>
        <w:rPr>
          <w:rFonts w:ascii="Arial" w:cs="Arial" w:eastAsia="Arial" w:hAnsi="Arial"/>
          <w:sz w:val="16"/>
          <w:szCs w:val="16"/>
          <w:color w:val="010000"/>
        </w:rPr>
      </w:pPr>
    </w:p>
    <w:p>
      <w:pPr>
        <w:jc w:val="both"/>
        <w:ind w:left="278" w:hanging="8"/>
        <w:spacing w:after="0" w:line="277" w:lineRule="auto"/>
        <w:tabs>
          <w:tab w:leader="none" w:pos="54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rFonts w:ascii="Arial" w:cs="Arial" w:eastAsia="Arial" w:hAnsi="Arial"/>
          <w:sz w:val="17"/>
          <w:szCs w:val="17"/>
          <w:color w:val="auto"/>
        </w:rPr>
      </w:pPr>
    </w:p>
    <w:p>
      <w:pPr>
        <w:jc w:val="both"/>
        <w:ind w:left="278" w:hanging="8"/>
        <w:spacing w:after="0" w:line="293" w:lineRule="auto"/>
        <w:tabs>
          <w:tab w:leader="none" w:pos="493" w:val="left"/>
        </w:tabs>
        <w:numPr>
          <w:ilvl w:val="1"/>
          <w:numId w:val="171"/>
        </w:numPr>
        <w:rPr>
          <w:rFonts w:ascii="Arial" w:cs="Arial" w:eastAsia="Arial" w:hAnsi="Arial"/>
          <w:sz w:val="16"/>
          <w:szCs w:val="16"/>
          <w:color w:val="010000"/>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64" w:lineRule="exact"/>
        <w:rPr>
          <w:rFonts w:ascii="Arial" w:cs="Arial" w:eastAsia="Arial" w:hAnsi="Arial"/>
          <w:sz w:val="16"/>
          <w:szCs w:val="16"/>
          <w:color w:val="010000"/>
        </w:rPr>
      </w:pPr>
    </w:p>
    <w:p>
      <w:pPr>
        <w:jc w:val="both"/>
        <w:ind w:left="278" w:hanging="8"/>
        <w:spacing w:after="0" w:line="272" w:lineRule="auto"/>
        <w:tabs>
          <w:tab w:leader="none" w:pos="610" w:val="left"/>
        </w:tabs>
        <w:numPr>
          <w:ilvl w:val="1"/>
          <w:numId w:val="171"/>
        </w:numPr>
        <w:rPr>
          <w:rFonts w:ascii="Arial" w:cs="Arial" w:eastAsia="Arial" w:hAnsi="Arial"/>
          <w:sz w:val="17"/>
          <w:szCs w:val="17"/>
          <w:color w:val="010000"/>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77" w:lineRule="exact"/>
        <w:rPr>
          <w:rFonts w:ascii="Arial" w:cs="Arial" w:eastAsia="Arial" w:hAnsi="Arial"/>
          <w:sz w:val="17"/>
          <w:szCs w:val="17"/>
          <w:color w:val="010000"/>
        </w:rPr>
      </w:pPr>
    </w:p>
    <w:p>
      <w:pPr>
        <w:ind w:left="278" w:hanging="8"/>
        <w:spacing w:after="0" w:line="308" w:lineRule="auto"/>
        <w:tabs>
          <w:tab w:leader="none" w:pos="533" w:val="left"/>
        </w:tabs>
        <w:numPr>
          <w:ilvl w:val="1"/>
          <w:numId w:val="171"/>
        </w:numPr>
        <w:rPr>
          <w:rFonts w:ascii="Arial" w:cs="Arial" w:eastAsia="Arial" w:hAnsi="Arial"/>
          <w:sz w:val="17"/>
          <w:szCs w:val="17"/>
          <w:color w:val="010000"/>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rFonts w:ascii="Arial" w:cs="Arial" w:eastAsia="Arial" w:hAnsi="Arial"/>
          <w:sz w:val="17"/>
          <w:szCs w:val="17"/>
          <w:color w:val="010000"/>
        </w:rPr>
      </w:pPr>
    </w:p>
    <w:p>
      <w:pPr>
        <w:jc w:val="both"/>
        <w:ind w:left="318" w:hanging="318"/>
        <w:spacing w:after="0" w:line="271" w:lineRule="auto"/>
        <w:tabs>
          <w:tab w:leader="none" w:pos="318" w:val="left"/>
        </w:tabs>
        <w:numPr>
          <w:ilvl w:val="0"/>
          <w:numId w:val="172"/>
        </w:numPr>
        <w:rPr>
          <w:rFonts w:ascii="Arial" w:cs="Arial" w:eastAsia="Arial" w:hAnsi="Arial"/>
          <w:sz w:val="17"/>
          <w:szCs w:val="17"/>
          <w:b w:val="1"/>
          <w:bCs w:val="1"/>
          <w:color w:val="010000"/>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413385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8"/>
          </w:cols>
          <w:pgMar w:left="382" w:top="908" w:right="339" w:bottom="1440" w:gutter="0" w:footer="0" w:header="0"/>
        </w:sectPr>
      </w:pPr>
    </w:p>
    <w:bookmarkStart w:id="307" w:name="page308"/>
    <w:bookmarkEnd w:id="307"/>
    <w:p>
      <w:pPr>
        <w:jc w:val="both"/>
        <w:ind w:left="318" w:hanging="318"/>
        <w:spacing w:after="0" w:line="270" w:lineRule="auto"/>
        <w:tabs>
          <w:tab w:leader="none" w:pos="318" w:val="left"/>
        </w:tabs>
        <w:numPr>
          <w:ilvl w:val="0"/>
          <w:numId w:val="173"/>
        </w:numPr>
        <w:rPr>
          <w:rFonts w:ascii="Arial" w:cs="Arial" w:eastAsia="Arial" w:hAnsi="Arial"/>
          <w:sz w:val="17"/>
          <w:szCs w:val="17"/>
          <w:b w:val="1"/>
          <w:bCs w:val="1"/>
          <w:color w:val="010000"/>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To the fullest extent permitted by applicable law,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76" w:lineRule="exact"/>
        <w:rPr>
          <w:rFonts w:ascii="Arial" w:cs="Arial" w:eastAsia="Arial" w:hAnsi="Arial"/>
          <w:sz w:val="17"/>
          <w:szCs w:val="17"/>
          <w:b w:val="1"/>
          <w:bCs w:val="1"/>
          <w:color w:val="010000"/>
        </w:rPr>
      </w:pPr>
    </w:p>
    <w:p>
      <w:pPr>
        <w:jc w:val="both"/>
        <w:ind w:left="318" w:hanging="318"/>
        <w:spacing w:after="0" w:line="287" w:lineRule="auto"/>
        <w:tabs>
          <w:tab w:leader="none" w:pos="318" w:val="left"/>
        </w:tabs>
        <w:numPr>
          <w:ilvl w:val="0"/>
          <w:numId w:val="173"/>
        </w:numPr>
        <w:rPr>
          <w:rFonts w:ascii="Arial" w:cs="Arial" w:eastAsia="Arial" w:hAnsi="Arial"/>
          <w:sz w:val="16"/>
          <w:szCs w:val="16"/>
          <w:b w:val="1"/>
          <w:bCs w:val="1"/>
          <w:color w:val="010000"/>
        </w:rPr>
      </w:pPr>
      <w:r>
        <w:rPr>
          <w:rFonts w:ascii="Arial" w:cs="Arial" w:eastAsia="Arial" w:hAnsi="Arial"/>
          <w:sz w:val="16"/>
          <w:szCs w:val="16"/>
          <w:b w:val="1"/>
          <w:bCs w:val="1"/>
          <w:color w:val="auto"/>
        </w:rPr>
        <w:t>INDEMNIFICATION FOR EXPENSES OF A PARTY WHO IS WHOLLY OR PARTLY SUCCESSFUL</w:t>
      </w:r>
      <w:r>
        <w:rPr>
          <w:rFonts w:ascii="Arial" w:cs="Arial" w:eastAsia="Arial" w:hAnsi="Arial"/>
          <w:sz w:val="16"/>
          <w:szCs w:val="16"/>
          <w:color w:val="auto"/>
        </w:rPr>
        <w:t>. Notwithstanding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67" w:lineRule="exact"/>
        <w:rPr>
          <w:rFonts w:ascii="Arial" w:cs="Arial" w:eastAsia="Arial" w:hAnsi="Arial"/>
          <w:sz w:val="16"/>
          <w:szCs w:val="16"/>
          <w:b w:val="1"/>
          <w:bCs w:val="1"/>
          <w:color w:val="010000"/>
        </w:rPr>
      </w:pPr>
    </w:p>
    <w:p>
      <w:pPr>
        <w:jc w:val="both"/>
        <w:ind w:left="318" w:hanging="318"/>
        <w:spacing w:after="0" w:line="261" w:lineRule="auto"/>
        <w:tabs>
          <w:tab w:leader="none" w:pos="318" w:val="left"/>
        </w:tabs>
        <w:numPr>
          <w:ilvl w:val="0"/>
          <w:numId w:val="173"/>
        </w:numPr>
        <w:rPr>
          <w:rFonts w:ascii="Arial" w:cs="Arial" w:eastAsia="Arial" w:hAnsi="Arial"/>
          <w:sz w:val="18"/>
          <w:szCs w:val="18"/>
          <w:b w:val="1"/>
          <w:bCs w:val="1"/>
          <w:color w:val="010000"/>
        </w:rPr>
      </w:pPr>
      <w:r>
        <w:rPr>
          <w:rFonts w:ascii="Arial" w:cs="Arial" w:eastAsia="Arial" w:hAnsi="Arial"/>
          <w:sz w:val="18"/>
          <w:szCs w:val="18"/>
          <w:b w:val="1"/>
          <w:bCs w:val="1"/>
          <w:color w:val="auto"/>
        </w:rPr>
        <w:t>INDEMNIFICATION FOR EXPENSES OF A WITNESS</w:t>
      </w:r>
      <w:r>
        <w:rPr>
          <w:rFonts w:ascii="Arial" w:cs="Arial" w:eastAsia="Arial" w:hAnsi="Arial"/>
          <w:sz w:val="18"/>
          <w:szCs w:val="18"/>
          <w:color w:val="auto"/>
        </w:rPr>
        <w:t>. Notwithstanding any other provision of this Agreement except for Section 27,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179" w:lineRule="exact"/>
        <w:rPr>
          <w:rFonts w:ascii="Arial" w:cs="Arial" w:eastAsia="Arial" w:hAnsi="Arial"/>
          <w:sz w:val="18"/>
          <w:szCs w:val="18"/>
          <w:b w:val="1"/>
          <w:bCs w:val="1"/>
          <w:color w:val="010000"/>
        </w:rPr>
      </w:pPr>
    </w:p>
    <w:p>
      <w:pPr>
        <w:ind w:left="338" w:hanging="325"/>
        <w:spacing w:after="0"/>
        <w:tabs>
          <w:tab w:leader="none" w:pos="338" w:val="left"/>
        </w:tabs>
        <w:numPr>
          <w:ilvl w:val="1"/>
          <w:numId w:val="173"/>
        </w:numPr>
        <w:rPr>
          <w:rFonts w:ascii="Arial" w:cs="Arial" w:eastAsia="Arial" w:hAnsi="Arial"/>
          <w:sz w:val="18"/>
          <w:szCs w:val="18"/>
          <w:b w:val="1"/>
          <w:bCs w:val="1"/>
          <w:color w:val="010000"/>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sz w:val="20"/>
          <w:szCs w:val="20"/>
          <w:color w:val="auto"/>
        </w:rPr>
      </w:pPr>
    </w:p>
    <w:p>
      <w:pPr>
        <w:jc w:val="both"/>
        <w:ind w:left="278"/>
        <w:spacing w:after="0" w:line="254" w:lineRule="auto"/>
        <w:rPr>
          <w:sz w:val="20"/>
          <w:szCs w:val="20"/>
          <w:color w:val="auto"/>
        </w:rPr>
      </w:pPr>
      <w:r>
        <w:rPr>
          <w:rFonts w:ascii="Arial" w:cs="Arial" w:eastAsia="Arial" w:hAnsi="Arial"/>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422275</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8"/>
          </w:cols>
          <w:pgMar w:left="382" w:top="904" w:right="339" w:bottom="1440" w:gutter="0" w:footer="0" w:header="0"/>
        </w:sectPr>
      </w:pPr>
    </w:p>
    <w:bookmarkStart w:id="308" w:name="page309"/>
    <w:bookmarkEnd w:id="308"/>
    <w:p>
      <w:pPr>
        <w:ind w:left="398" w:hanging="331"/>
        <w:spacing w:after="0"/>
        <w:tabs>
          <w:tab w:leader="none" w:pos="398" w:val="left"/>
        </w:tabs>
        <w:numPr>
          <w:ilvl w:val="1"/>
          <w:numId w:val="174"/>
        </w:numPr>
        <w:rPr>
          <w:rFonts w:ascii="Arial" w:cs="Arial" w:eastAsia="Arial" w:hAnsi="Arial"/>
          <w:sz w:val="18"/>
          <w:szCs w:val="18"/>
          <w:b w:val="1"/>
          <w:bCs w:val="1"/>
          <w:color w:val="010000"/>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278" w:hanging="8"/>
        <w:spacing w:after="0" w:line="296" w:lineRule="auto"/>
        <w:tabs>
          <w:tab w:leader="none" w:pos="549" w:val="left"/>
        </w:tabs>
        <w:numPr>
          <w:ilvl w:val="3"/>
          <w:numId w:val="174"/>
        </w:numPr>
        <w:rPr>
          <w:rFonts w:ascii="Arial" w:cs="Arial" w:eastAsia="Arial" w:hAnsi="Arial"/>
          <w:sz w:val="16"/>
          <w:szCs w:val="16"/>
          <w:color w:val="010000"/>
        </w:rPr>
      </w:pPr>
      <w:r>
        <w:rPr>
          <w:rFonts w:ascii="Arial" w:cs="Arial" w:eastAsia="Arial" w:hAnsi="Arial"/>
          <w:sz w:val="16"/>
          <w:szCs w:val="16"/>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61" w:lineRule="exact"/>
        <w:rPr>
          <w:rFonts w:ascii="Arial" w:cs="Arial" w:eastAsia="Arial" w:hAnsi="Arial"/>
          <w:sz w:val="16"/>
          <w:szCs w:val="16"/>
          <w:color w:val="010000"/>
        </w:rPr>
      </w:pPr>
    </w:p>
    <w:p>
      <w:pPr>
        <w:ind w:left="278" w:right="20" w:hanging="8"/>
        <w:spacing w:after="0" w:line="277" w:lineRule="auto"/>
        <w:tabs>
          <w:tab w:leader="none" w:pos="533" w:val="left"/>
        </w:tabs>
        <w:numPr>
          <w:ilvl w:val="3"/>
          <w:numId w:val="174"/>
        </w:numPr>
        <w:rPr>
          <w:rFonts w:ascii="Arial" w:cs="Arial" w:eastAsia="Arial" w:hAnsi="Arial"/>
          <w:sz w:val="18"/>
          <w:szCs w:val="18"/>
          <w:color w:val="010000"/>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010000"/>
        </w:rPr>
      </w:pPr>
    </w:p>
    <w:p>
      <w:pPr>
        <w:ind w:left="278" w:hanging="8"/>
        <w:spacing w:after="0" w:line="277" w:lineRule="auto"/>
        <w:tabs>
          <w:tab w:leader="none" w:pos="522" w:val="left"/>
        </w:tabs>
        <w:numPr>
          <w:ilvl w:val="3"/>
          <w:numId w:val="174"/>
        </w:numPr>
        <w:rPr>
          <w:rFonts w:ascii="Arial" w:cs="Arial" w:eastAsia="Arial" w:hAnsi="Arial"/>
          <w:sz w:val="18"/>
          <w:szCs w:val="18"/>
          <w:color w:val="010000"/>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010000"/>
        </w:rPr>
      </w:pPr>
    </w:p>
    <w:p>
      <w:pPr>
        <w:ind w:left="318" w:hanging="318"/>
        <w:spacing w:after="0" w:line="282" w:lineRule="auto"/>
        <w:tabs>
          <w:tab w:leader="none" w:pos="318" w:val="left"/>
        </w:tabs>
        <w:numPr>
          <w:ilvl w:val="0"/>
          <w:numId w:val="175"/>
        </w:numPr>
        <w:rPr>
          <w:rFonts w:ascii="Arial" w:cs="Arial" w:eastAsia="Arial" w:hAnsi="Arial"/>
          <w:sz w:val="18"/>
          <w:szCs w:val="18"/>
          <w:b w:val="1"/>
          <w:bCs w:val="1"/>
          <w:color w:val="010000"/>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except for Section 27, the Company shall not be obligated under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indemnification, hold harmless or exoneration payment in connection with any claim made against Indemnitee:</w:t>
      </w:r>
    </w:p>
    <w:p>
      <w:pPr>
        <w:spacing w:after="0" w:line="165" w:lineRule="exact"/>
        <w:rPr>
          <w:rFonts w:ascii="Arial" w:cs="Arial" w:eastAsia="Arial" w:hAnsi="Arial"/>
          <w:sz w:val="18"/>
          <w:szCs w:val="18"/>
          <w:b w:val="1"/>
          <w:bCs w:val="1"/>
          <w:color w:val="010000"/>
        </w:rPr>
      </w:pPr>
    </w:p>
    <w:p>
      <w:pPr>
        <w:ind w:left="278" w:hanging="8"/>
        <w:spacing w:after="0" w:line="342" w:lineRule="auto"/>
        <w:tabs>
          <w:tab w:leader="none" w:pos="522" w:val="left"/>
        </w:tabs>
        <w:numPr>
          <w:ilvl w:val="3"/>
          <w:numId w:val="175"/>
        </w:numPr>
        <w:rPr>
          <w:rFonts w:ascii="Arial" w:cs="Arial" w:eastAsia="Arial" w:hAnsi="Arial"/>
          <w:sz w:val="16"/>
          <w:szCs w:val="16"/>
          <w:color w:val="010000"/>
        </w:rPr>
      </w:pPr>
      <w:r>
        <w:rPr>
          <w:rFonts w:ascii="Arial" w:cs="Arial" w:eastAsia="Arial" w:hAnsi="Arial"/>
          <w:sz w:val="16"/>
          <w:szCs w:val="16"/>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23" w:lineRule="exact"/>
        <w:rPr>
          <w:rFonts w:ascii="Arial" w:cs="Arial" w:eastAsia="Arial" w:hAnsi="Arial"/>
          <w:sz w:val="16"/>
          <w:szCs w:val="16"/>
          <w:color w:val="010000"/>
        </w:rPr>
      </w:pPr>
    </w:p>
    <w:p>
      <w:pPr>
        <w:ind w:left="278" w:right="20" w:hanging="8"/>
        <w:spacing w:after="0" w:line="277" w:lineRule="auto"/>
        <w:tabs>
          <w:tab w:leader="none" w:pos="533" w:val="left"/>
        </w:tabs>
        <w:numPr>
          <w:ilvl w:val="3"/>
          <w:numId w:val="175"/>
        </w:numPr>
        <w:rPr>
          <w:rFonts w:ascii="Arial" w:cs="Arial" w:eastAsia="Arial" w:hAnsi="Arial"/>
          <w:sz w:val="18"/>
          <w:szCs w:val="18"/>
          <w:color w:val="010000"/>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70" w:lineRule="exact"/>
        <w:rPr>
          <w:rFonts w:ascii="Arial" w:cs="Arial" w:eastAsia="Arial" w:hAnsi="Arial"/>
          <w:sz w:val="18"/>
          <w:szCs w:val="18"/>
          <w:color w:val="010000"/>
        </w:rPr>
      </w:pPr>
    </w:p>
    <w:p>
      <w:pPr>
        <w:jc w:val="both"/>
        <w:ind w:left="278" w:hanging="8"/>
        <w:spacing w:after="0" w:line="257" w:lineRule="auto"/>
        <w:tabs>
          <w:tab w:leader="none" w:pos="536" w:val="left"/>
        </w:tabs>
        <w:numPr>
          <w:ilvl w:val="3"/>
          <w:numId w:val="175"/>
        </w:numPr>
        <w:rPr>
          <w:rFonts w:ascii="Arial" w:cs="Arial" w:eastAsia="Arial" w:hAnsi="Arial"/>
          <w:sz w:val="18"/>
          <w:szCs w:val="18"/>
          <w:color w:val="010000"/>
        </w:rPr>
      </w:pPr>
      <w:r>
        <w:rPr>
          <w:rFonts w:ascii="Arial" w:cs="Arial" w:eastAsia="Arial" w:hAnsi="Arial"/>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3" w:lineRule="exact"/>
        <w:rPr>
          <w:rFonts w:ascii="Arial" w:cs="Arial" w:eastAsia="Arial" w:hAnsi="Arial"/>
          <w:sz w:val="18"/>
          <w:szCs w:val="18"/>
          <w:color w:val="010000"/>
        </w:rPr>
      </w:pPr>
    </w:p>
    <w:p>
      <w:pPr>
        <w:ind w:left="398" w:hanging="317"/>
        <w:spacing w:after="0"/>
        <w:tabs>
          <w:tab w:leader="none" w:pos="398" w:val="left"/>
        </w:tabs>
        <w:numPr>
          <w:ilvl w:val="2"/>
          <w:numId w:val="175"/>
        </w:numPr>
        <w:rPr>
          <w:rFonts w:ascii="Arial" w:cs="Arial" w:eastAsia="Arial" w:hAnsi="Arial"/>
          <w:sz w:val="18"/>
          <w:szCs w:val="18"/>
          <w:b w:val="1"/>
          <w:bCs w:val="1"/>
          <w:color w:val="010000"/>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278" w:hanging="8"/>
        <w:spacing w:after="0" w:line="269" w:lineRule="auto"/>
        <w:tabs>
          <w:tab w:leader="none" w:pos="522" w:val="left"/>
        </w:tabs>
        <w:numPr>
          <w:ilvl w:val="3"/>
          <w:numId w:val="175"/>
        </w:numPr>
        <w:rPr>
          <w:rFonts w:ascii="Arial" w:cs="Arial" w:eastAsia="Arial" w:hAnsi="Arial"/>
          <w:sz w:val="17"/>
          <w:szCs w:val="17"/>
          <w:color w:val="010000"/>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78" w:lineRule="exact"/>
        <w:rPr>
          <w:rFonts w:ascii="Arial" w:cs="Arial" w:eastAsia="Arial" w:hAnsi="Arial"/>
          <w:sz w:val="17"/>
          <w:szCs w:val="17"/>
          <w:color w:val="010000"/>
        </w:rPr>
      </w:pPr>
    </w:p>
    <w:p>
      <w:pPr>
        <w:ind w:left="518" w:hanging="248"/>
        <w:spacing w:after="0"/>
        <w:tabs>
          <w:tab w:leader="none" w:pos="518" w:val="left"/>
        </w:tabs>
        <w:numPr>
          <w:ilvl w:val="3"/>
          <w:numId w:val="175"/>
        </w:numPr>
        <w:rPr>
          <w:rFonts w:ascii="Arial" w:cs="Arial" w:eastAsia="Arial" w:hAnsi="Arial"/>
          <w:sz w:val="18"/>
          <w:szCs w:val="18"/>
          <w:color w:val="010000"/>
        </w:rPr>
      </w:pPr>
      <w:r>
        <w:rPr>
          <w:rFonts w:ascii="Arial" w:cs="Arial" w:eastAsia="Arial" w:hAnsi="Arial"/>
          <w:sz w:val="18"/>
          <w:szCs w:val="18"/>
          <w:color w:val="auto"/>
        </w:rPr>
        <w:t>The Company will be entitled to participate in the Proceeding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443230</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8"/>
          </w:cols>
          <w:pgMar w:left="382" w:top="904" w:right="339" w:bottom="1440" w:gutter="0" w:footer="0" w:header="0"/>
        </w:sectPr>
      </w:pPr>
    </w:p>
    <w:bookmarkStart w:id="309" w:name="page310"/>
    <w:bookmarkEnd w:id="309"/>
    <w:p>
      <w:pPr>
        <w:ind w:left="251" w:hanging="8"/>
        <w:spacing w:after="0" w:line="308" w:lineRule="auto"/>
        <w:tabs>
          <w:tab w:leader="none" w:pos="495" w:val="left"/>
        </w:tabs>
        <w:numPr>
          <w:ilvl w:val="2"/>
          <w:numId w:val="176"/>
        </w:numPr>
        <w:rPr>
          <w:rFonts w:ascii="Arial" w:cs="Arial" w:eastAsia="Arial" w:hAnsi="Arial"/>
          <w:sz w:val="17"/>
          <w:szCs w:val="17"/>
          <w:color w:val="010000"/>
        </w:rPr>
      </w:pPr>
      <w:r>
        <w:rPr>
          <w:rFonts w:ascii="Arial" w:cs="Arial" w:eastAsia="Arial" w:hAnsi="Arial"/>
          <w:sz w:val="17"/>
          <w:szCs w:val="17"/>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42" w:lineRule="exact"/>
        <w:rPr>
          <w:rFonts w:ascii="Arial" w:cs="Arial" w:eastAsia="Arial" w:hAnsi="Arial"/>
          <w:sz w:val="17"/>
          <w:szCs w:val="17"/>
          <w:color w:val="010000"/>
        </w:rPr>
      </w:pPr>
    </w:p>
    <w:p>
      <w:pPr>
        <w:ind w:left="331" w:hanging="331"/>
        <w:spacing w:after="0"/>
        <w:tabs>
          <w:tab w:leader="none" w:pos="331" w:val="left"/>
        </w:tabs>
        <w:numPr>
          <w:ilvl w:val="0"/>
          <w:numId w:val="177"/>
        </w:numPr>
        <w:rPr>
          <w:rFonts w:ascii="Arial" w:cs="Arial" w:eastAsia="Arial" w:hAnsi="Arial"/>
          <w:sz w:val="18"/>
          <w:szCs w:val="18"/>
          <w:b w:val="1"/>
          <w:bCs w:val="1"/>
          <w:color w:val="010000"/>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251" w:hanging="8"/>
        <w:spacing w:after="0" w:line="259" w:lineRule="auto"/>
        <w:tabs>
          <w:tab w:leader="none" w:pos="509" w:val="left"/>
        </w:tabs>
        <w:numPr>
          <w:ilvl w:val="2"/>
          <w:numId w:val="177"/>
        </w:numPr>
        <w:rPr>
          <w:rFonts w:ascii="Arial" w:cs="Arial" w:eastAsia="Arial" w:hAnsi="Arial"/>
          <w:sz w:val="18"/>
          <w:szCs w:val="18"/>
          <w:color w:val="010000"/>
        </w:rPr>
      </w:pPr>
      <w:r>
        <w:rPr>
          <w:rFonts w:ascii="Arial" w:cs="Arial" w:eastAsia="Arial" w:hAnsi="Arial"/>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86" w:lineRule="exact"/>
        <w:rPr>
          <w:rFonts w:ascii="Arial" w:cs="Arial" w:eastAsia="Arial" w:hAnsi="Arial"/>
          <w:sz w:val="18"/>
          <w:szCs w:val="18"/>
          <w:color w:val="010000"/>
        </w:rPr>
      </w:pPr>
    </w:p>
    <w:p>
      <w:pPr>
        <w:jc w:val="both"/>
        <w:ind w:left="251" w:hanging="8"/>
        <w:spacing w:after="0" w:line="259" w:lineRule="auto"/>
        <w:tabs>
          <w:tab w:leader="none" w:pos="533" w:val="left"/>
        </w:tabs>
        <w:numPr>
          <w:ilvl w:val="2"/>
          <w:numId w:val="177"/>
        </w:numPr>
        <w:rPr>
          <w:rFonts w:ascii="Arial" w:cs="Arial" w:eastAsia="Arial" w:hAnsi="Arial"/>
          <w:sz w:val="18"/>
          <w:szCs w:val="18"/>
          <w:color w:val="010000"/>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82" w:lineRule="exact"/>
        <w:rPr>
          <w:rFonts w:ascii="Arial" w:cs="Arial" w:eastAsia="Arial" w:hAnsi="Arial"/>
          <w:sz w:val="18"/>
          <w:szCs w:val="18"/>
          <w:color w:val="010000"/>
        </w:rPr>
      </w:pPr>
    </w:p>
    <w:p>
      <w:pPr>
        <w:ind w:left="351" w:hanging="324"/>
        <w:spacing w:after="0"/>
        <w:tabs>
          <w:tab w:leader="none" w:pos="351" w:val="left"/>
        </w:tabs>
        <w:numPr>
          <w:ilvl w:val="1"/>
          <w:numId w:val="177"/>
        </w:numPr>
        <w:rPr>
          <w:rFonts w:ascii="Arial" w:cs="Arial" w:eastAsia="Arial" w:hAnsi="Arial"/>
          <w:sz w:val="18"/>
          <w:szCs w:val="18"/>
          <w:b w:val="1"/>
          <w:bCs w:val="1"/>
          <w:color w:val="010000"/>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251" w:hanging="8"/>
        <w:spacing w:after="0" w:line="287" w:lineRule="auto"/>
        <w:tabs>
          <w:tab w:leader="none" w:pos="495" w:val="left"/>
        </w:tabs>
        <w:numPr>
          <w:ilvl w:val="2"/>
          <w:numId w:val="177"/>
        </w:numPr>
        <w:rPr>
          <w:rFonts w:ascii="Arial" w:cs="Arial" w:eastAsia="Arial" w:hAnsi="Arial"/>
          <w:sz w:val="16"/>
          <w:szCs w:val="16"/>
          <w:color w:val="010000"/>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rFonts w:ascii="Arial" w:cs="Arial" w:eastAsia="Arial" w:hAnsi="Arial"/>
          <w:sz w:val="16"/>
          <w:szCs w:val="16"/>
          <w:color w:val="010000"/>
        </w:rPr>
      </w:pPr>
    </w:p>
    <w:p>
      <w:pPr>
        <w:jc w:val="both"/>
        <w:ind w:left="251" w:hanging="8"/>
        <w:spacing w:after="0" w:line="285" w:lineRule="auto"/>
        <w:tabs>
          <w:tab w:leader="none" w:pos="533" w:val="left"/>
        </w:tabs>
        <w:numPr>
          <w:ilvl w:val="2"/>
          <w:numId w:val="177"/>
        </w:numPr>
        <w:rPr>
          <w:rFonts w:ascii="Arial" w:cs="Arial" w:eastAsia="Arial" w:hAnsi="Arial"/>
          <w:sz w:val="16"/>
          <w:szCs w:val="16"/>
          <w:color w:val="010000"/>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407670</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1"/>
          </w:cols>
          <w:pgMar w:left="409" w:top="908" w:right="339" w:bottom="1440" w:gutter="0" w:footer="0" w:header="0"/>
        </w:sectPr>
      </w:pPr>
    </w:p>
    <w:bookmarkStart w:id="310" w:name="page311"/>
    <w:bookmarkEnd w:id="310"/>
    <w:p>
      <w:pPr>
        <w:ind w:left="224" w:right="20" w:hanging="8"/>
        <w:spacing w:after="0" w:line="342" w:lineRule="auto"/>
        <w:tabs>
          <w:tab w:leader="none" w:pos="468" w:val="left"/>
        </w:tabs>
        <w:numPr>
          <w:ilvl w:val="1"/>
          <w:numId w:val="178"/>
        </w:numPr>
        <w:rPr>
          <w:rFonts w:ascii="Arial" w:cs="Arial" w:eastAsia="Arial" w:hAnsi="Arial"/>
          <w:sz w:val="16"/>
          <w:szCs w:val="16"/>
          <w:color w:val="010000"/>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19" w:lineRule="exact"/>
        <w:rPr>
          <w:rFonts w:ascii="Arial" w:cs="Arial" w:eastAsia="Arial" w:hAnsi="Arial"/>
          <w:sz w:val="16"/>
          <w:szCs w:val="16"/>
          <w:color w:val="010000"/>
        </w:rPr>
      </w:pPr>
    </w:p>
    <w:p>
      <w:pPr>
        <w:ind w:left="324" w:hanging="324"/>
        <w:spacing w:after="0"/>
        <w:tabs>
          <w:tab w:leader="none" w:pos="324" w:val="left"/>
        </w:tabs>
        <w:numPr>
          <w:ilvl w:val="0"/>
          <w:numId w:val="179"/>
        </w:numPr>
        <w:rPr>
          <w:rFonts w:ascii="Arial" w:cs="Arial" w:eastAsia="Arial" w:hAnsi="Arial"/>
          <w:sz w:val="18"/>
          <w:szCs w:val="18"/>
          <w:b w:val="1"/>
          <w:bCs w:val="1"/>
          <w:color w:val="010000"/>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224" w:hanging="8"/>
        <w:spacing w:after="0" w:line="271" w:lineRule="auto"/>
        <w:tabs>
          <w:tab w:leader="none" w:pos="468" w:val="left"/>
        </w:tabs>
        <w:numPr>
          <w:ilvl w:val="1"/>
          <w:numId w:val="179"/>
        </w:numPr>
        <w:rPr>
          <w:rFonts w:ascii="Arial" w:cs="Arial" w:eastAsia="Arial" w:hAnsi="Arial"/>
          <w:sz w:val="17"/>
          <w:szCs w:val="17"/>
          <w:color w:val="010000"/>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010000"/>
        </w:rPr>
      </w:pPr>
    </w:p>
    <w:p>
      <w:pPr>
        <w:jc w:val="both"/>
        <w:ind w:left="224" w:hanging="8"/>
        <w:spacing w:after="0" w:line="271" w:lineRule="auto"/>
        <w:tabs>
          <w:tab w:leader="none" w:pos="506" w:val="left"/>
        </w:tabs>
        <w:numPr>
          <w:ilvl w:val="1"/>
          <w:numId w:val="179"/>
        </w:numPr>
        <w:rPr>
          <w:rFonts w:ascii="Arial" w:cs="Arial" w:eastAsia="Arial" w:hAnsi="Arial"/>
          <w:sz w:val="17"/>
          <w:szCs w:val="17"/>
          <w:color w:val="010000"/>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010000"/>
        </w:rPr>
      </w:pPr>
    </w:p>
    <w:p>
      <w:pPr>
        <w:jc w:val="both"/>
        <w:ind w:left="224" w:hanging="8"/>
        <w:spacing w:after="0" w:line="257" w:lineRule="auto"/>
        <w:tabs>
          <w:tab w:leader="none" w:pos="482" w:val="left"/>
        </w:tabs>
        <w:numPr>
          <w:ilvl w:val="1"/>
          <w:numId w:val="179"/>
        </w:numPr>
        <w:rPr>
          <w:rFonts w:ascii="Arial" w:cs="Arial" w:eastAsia="Arial" w:hAnsi="Arial"/>
          <w:sz w:val="18"/>
          <w:szCs w:val="18"/>
          <w:color w:val="010000"/>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010000"/>
        </w:rPr>
      </w:pPr>
    </w:p>
    <w:p>
      <w:pPr>
        <w:jc w:val="both"/>
        <w:ind w:left="224" w:hanging="8"/>
        <w:spacing w:after="0" w:line="253" w:lineRule="auto"/>
        <w:tabs>
          <w:tab w:leader="none" w:pos="492" w:val="left"/>
        </w:tabs>
        <w:numPr>
          <w:ilvl w:val="1"/>
          <w:numId w:val="179"/>
        </w:numPr>
        <w:rPr>
          <w:rFonts w:ascii="Arial" w:cs="Arial" w:eastAsia="Arial" w:hAnsi="Arial"/>
          <w:sz w:val="18"/>
          <w:szCs w:val="18"/>
          <w:color w:val="010000"/>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425450</wp:posOffset>
            </wp:positionV>
            <wp:extent cx="71323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4"/>
          </w:cols>
          <w:pgMar w:left="436" w:top="908" w:right="339" w:bottom="1440" w:gutter="0" w:footer="0" w:header="0"/>
        </w:sectPr>
      </w:pPr>
    </w:p>
    <w:bookmarkStart w:id="311" w:name="page312"/>
    <w:bookmarkEnd w:id="311"/>
    <w:p>
      <w:pPr>
        <w:ind w:left="116" w:hanging="8"/>
        <w:spacing w:after="0" w:line="308" w:lineRule="auto"/>
        <w:tabs>
          <w:tab w:leader="none" w:pos="360" w:val="left"/>
        </w:tabs>
        <w:numPr>
          <w:ilvl w:val="1"/>
          <w:numId w:val="180"/>
        </w:numPr>
        <w:rPr>
          <w:rFonts w:ascii="Arial" w:cs="Arial" w:eastAsia="Arial" w:hAnsi="Arial"/>
          <w:sz w:val="17"/>
          <w:szCs w:val="17"/>
          <w:color w:val="010000"/>
        </w:rPr>
      </w:pPr>
      <w:r>
        <w:rPr>
          <w:rFonts w:ascii="Arial" w:cs="Arial" w:eastAsia="Arial" w:hAnsi="Arial"/>
          <w:sz w:val="17"/>
          <w:szCs w:val="17"/>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42" w:lineRule="exact"/>
        <w:rPr>
          <w:rFonts w:ascii="Arial" w:cs="Arial" w:eastAsia="Arial" w:hAnsi="Arial"/>
          <w:sz w:val="17"/>
          <w:szCs w:val="17"/>
          <w:color w:val="010000"/>
        </w:rPr>
      </w:pPr>
    </w:p>
    <w:p>
      <w:pPr>
        <w:ind w:left="316" w:hanging="316"/>
        <w:spacing w:after="0"/>
        <w:tabs>
          <w:tab w:leader="none" w:pos="316" w:val="left"/>
        </w:tabs>
        <w:numPr>
          <w:ilvl w:val="0"/>
          <w:numId w:val="181"/>
        </w:numPr>
        <w:rPr>
          <w:rFonts w:ascii="Arial" w:cs="Arial" w:eastAsia="Arial" w:hAnsi="Arial"/>
          <w:sz w:val="18"/>
          <w:szCs w:val="18"/>
          <w:b w:val="1"/>
          <w:bCs w:val="1"/>
          <w:color w:val="010000"/>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116" w:hanging="8"/>
        <w:spacing w:after="0" w:line="269" w:lineRule="auto"/>
        <w:tabs>
          <w:tab w:leader="none" w:pos="360" w:val="left"/>
        </w:tabs>
        <w:numPr>
          <w:ilvl w:val="1"/>
          <w:numId w:val="181"/>
        </w:numPr>
        <w:rPr>
          <w:rFonts w:ascii="Arial" w:cs="Arial" w:eastAsia="Arial" w:hAnsi="Arial"/>
          <w:sz w:val="17"/>
          <w:szCs w:val="17"/>
          <w:color w:val="010000"/>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78" w:lineRule="exact"/>
        <w:rPr>
          <w:rFonts w:ascii="Arial" w:cs="Arial" w:eastAsia="Arial" w:hAnsi="Arial"/>
          <w:sz w:val="17"/>
          <w:szCs w:val="17"/>
          <w:color w:val="010000"/>
        </w:rPr>
      </w:pPr>
    </w:p>
    <w:p>
      <w:pPr>
        <w:jc w:val="both"/>
        <w:ind w:left="116" w:hanging="8"/>
        <w:spacing w:after="0" w:line="289" w:lineRule="auto"/>
        <w:tabs>
          <w:tab w:leader="none" w:pos="411" w:val="left"/>
        </w:tabs>
        <w:numPr>
          <w:ilvl w:val="1"/>
          <w:numId w:val="181"/>
        </w:numPr>
        <w:rPr>
          <w:rFonts w:ascii="Arial" w:cs="Arial" w:eastAsia="Arial" w:hAnsi="Arial"/>
          <w:sz w:val="16"/>
          <w:szCs w:val="16"/>
          <w:color w:val="010000"/>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6" w:lineRule="exact"/>
        <w:rPr>
          <w:rFonts w:ascii="Arial" w:cs="Arial" w:eastAsia="Arial" w:hAnsi="Arial"/>
          <w:sz w:val="16"/>
          <w:szCs w:val="16"/>
          <w:color w:val="010000"/>
        </w:rPr>
      </w:pPr>
    </w:p>
    <w:p>
      <w:pPr>
        <w:jc w:val="both"/>
        <w:ind w:left="116" w:hanging="8"/>
        <w:spacing w:after="0" w:line="259" w:lineRule="auto"/>
        <w:tabs>
          <w:tab w:leader="none" w:pos="360" w:val="left"/>
        </w:tabs>
        <w:numPr>
          <w:ilvl w:val="1"/>
          <w:numId w:val="181"/>
        </w:numPr>
        <w:rPr>
          <w:rFonts w:ascii="Arial" w:cs="Arial" w:eastAsia="Arial" w:hAnsi="Arial"/>
          <w:sz w:val="18"/>
          <w:szCs w:val="18"/>
          <w:color w:val="010000"/>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010000"/>
        </w:rPr>
      </w:pPr>
    </w:p>
    <w:p>
      <w:pPr>
        <w:jc w:val="both"/>
        <w:ind w:left="116" w:hanging="8"/>
        <w:spacing w:after="0" w:line="263" w:lineRule="auto"/>
        <w:tabs>
          <w:tab w:leader="none" w:pos="398" w:val="left"/>
        </w:tabs>
        <w:numPr>
          <w:ilvl w:val="1"/>
          <w:numId w:val="181"/>
        </w:numPr>
        <w:rPr>
          <w:rFonts w:ascii="Arial" w:cs="Arial" w:eastAsia="Arial" w:hAnsi="Arial"/>
          <w:sz w:val="18"/>
          <w:szCs w:val="18"/>
          <w:color w:val="010000"/>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010000"/>
        </w:rPr>
      </w:pPr>
    </w:p>
    <w:p>
      <w:pPr>
        <w:jc w:val="both"/>
        <w:ind w:left="116" w:hanging="8"/>
        <w:spacing w:after="0" w:line="271" w:lineRule="auto"/>
        <w:tabs>
          <w:tab w:leader="none" w:pos="387" w:val="left"/>
        </w:tabs>
        <w:numPr>
          <w:ilvl w:val="1"/>
          <w:numId w:val="181"/>
        </w:numPr>
        <w:rPr>
          <w:rFonts w:ascii="Arial" w:cs="Arial" w:eastAsia="Arial" w:hAnsi="Arial"/>
          <w:sz w:val="17"/>
          <w:szCs w:val="17"/>
          <w:color w:val="010000"/>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414020</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16"/>
          </w:cols>
          <w:pgMar w:left="544" w:top="908" w:right="339" w:bottom="1440" w:gutter="0" w:footer="0" w:header="0"/>
        </w:sectPr>
      </w:pPr>
    </w:p>
    <w:bookmarkStart w:id="312" w:name="page313"/>
    <w:bookmarkEnd w:id="312"/>
    <w:p>
      <w:pPr>
        <w:jc w:val="both"/>
        <w:ind w:left="278" w:hanging="8"/>
        <w:spacing w:after="0" w:line="301" w:lineRule="auto"/>
        <w:tabs>
          <w:tab w:leader="none" w:pos="516" w:val="left"/>
        </w:tabs>
        <w:numPr>
          <w:ilvl w:val="1"/>
          <w:numId w:val="182"/>
        </w:numPr>
        <w:rPr>
          <w:rFonts w:ascii="Arial" w:cs="Arial" w:eastAsia="Arial" w:hAnsi="Arial"/>
          <w:sz w:val="16"/>
          <w:szCs w:val="16"/>
          <w:color w:val="010000"/>
        </w:rPr>
      </w:pPr>
      <w:r>
        <w:rPr>
          <w:rFonts w:ascii="Arial" w:cs="Arial" w:eastAsia="Arial" w:hAnsi="Arial"/>
          <w:sz w:val="16"/>
          <w:szCs w:val="16"/>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53" w:lineRule="exact"/>
        <w:rPr>
          <w:rFonts w:ascii="Arial" w:cs="Arial" w:eastAsia="Arial" w:hAnsi="Arial"/>
          <w:sz w:val="16"/>
          <w:szCs w:val="16"/>
          <w:color w:val="010000"/>
        </w:rPr>
      </w:pPr>
    </w:p>
    <w:p>
      <w:pPr>
        <w:jc w:val="both"/>
        <w:ind w:left="318" w:hanging="318"/>
        <w:spacing w:after="0" w:line="261" w:lineRule="auto"/>
        <w:tabs>
          <w:tab w:leader="none" w:pos="318" w:val="left"/>
        </w:tabs>
        <w:numPr>
          <w:ilvl w:val="0"/>
          <w:numId w:val="183"/>
        </w:numPr>
        <w:rPr>
          <w:rFonts w:ascii="Arial" w:cs="Arial" w:eastAsia="Arial" w:hAnsi="Arial"/>
          <w:sz w:val="18"/>
          <w:szCs w:val="18"/>
          <w:b w:val="1"/>
          <w:bCs w:val="1"/>
          <w:color w:val="010000"/>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the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9" w:lineRule="exact"/>
        <w:rPr>
          <w:rFonts w:ascii="Arial" w:cs="Arial" w:eastAsia="Arial" w:hAnsi="Arial"/>
          <w:sz w:val="18"/>
          <w:szCs w:val="18"/>
          <w:b w:val="1"/>
          <w:bCs w:val="1"/>
          <w:color w:val="010000"/>
        </w:rPr>
      </w:pPr>
    </w:p>
    <w:p>
      <w:pPr>
        <w:ind w:left="318" w:hanging="318"/>
        <w:spacing w:after="0"/>
        <w:tabs>
          <w:tab w:leader="none" w:pos="318" w:val="left"/>
        </w:tabs>
        <w:numPr>
          <w:ilvl w:val="0"/>
          <w:numId w:val="183"/>
        </w:numPr>
        <w:rPr>
          <w:rFonts w:ascii="Arial" w:cs="Arial" w:eastAsia="Arial" w:hAnsi="Arial"/>
          <w:sz w:val="18"/>
          <w:szCs w:val="18"/>
          <w:b w:val="1"/>
          <w:bCs w:val="1"/>
          <w:color w:val="010000"/>
        </w:rPr>
      </w:pPr>
      <w:r>
        <w:rPr>
          <w:rFonts w:ascii="Arial" w:cs="Arial" w:eastAsia="Arial" w:hAnsi="Arial"/>
          <w:sz w:val="18"/>
          <w:szCs w:val="18"/>
          <w:b w:val="1"/>
          <w:bCs w:val="1"/>
          <w:color w:val="auto"/>
        </w:rPr>
        <w:t>NON-EXCLUSIVITY; SURVIVAL OF RIGHTS; INSURANCE; SUBROGATION; PRIORITY OF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278" w:hanging="8"/>
        <w:spacing w:after="0" w:line="287" w:lineRule="auto"/>
        <w:tabs>
          <w:tab w:leader="none" w:pos="522" w:val="left"/>
        </w:tabs>
        <w:numPr>
          <w:ilvl w:val="1"/>
          <w:numId w:val="183"/>
        </w:numPr>
        <w:rPr>
          <w:rFonts w:ascii="Arial" w:cs="Arial" w:eastAsia="Arial" w:hAnsi="Arial"/>
          <w:sz w:val="16"/>
          <w:szCs w:val="16"/>
          <w:color w:val="010000"/>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1" w:lineRule="exact"/>
        <w:rPr>
          <w:rFonts w:ascii="Arial" w:cs="Arial" w:eastAsia="Arial" w:hAnsi="Arial"/>
          <w:sz w:val="16"/>
          <w:szCs w:val="16"/>
          <w:color w:val="010000"/>
        </w:rPr>
      </w:pPr>
    </w:p>
    <w:p>
      <w:pPr>
        <w:jc w:val="both"/>
        <w:ind w:left="278" w:hanging="8"/>
        <w:spacing w:after="0" w:line="290" w:lineRule="auto"/>
        <w:tabs>
          <w:tab w:leader="none" w:pos="546" w:val="left"/>
        </w:tabs>
        <w:numPr>
          <w:ilvl w:val="1"/>
          <w:numId w:val="183"/>
        </w:numPr>
        <w:rPr>
          <w:rFonts w:ascii="Arial" w:cs="Arial" w:eastAsia="Arial" w:hAnsi="Arial"/>
          <w:sz w:val="16"/>
          <w:szCs w:val="16"/>
          <w:color w:val="010000"/>
        </w:rPr>
      </w:pPr>
      <w:r>
        <w:rPr>
          <w:rFonts w:ascii="Arial" w:cs="Arial" w:eastAsia="Arial" w:hAnsi="Arial"/>
          <w:sz w:val="16"/>
          <w:szCs w:val="16"/>
          <w:color w:val="auto"/>
        </w:rPr>
        <w:t>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010000"/>
        </w:rPr>
      </w:pPr>
    </w:p>
    <w:p>
      <w:pPr>
        <w:jc w:val="both"/>
        <w:ind w:left="278" w:hanging="8"/>
        <w:spacing w:after="0" w:line="290" w:lineRule="auto"/>
        <w:tabs>
          <w:tab w:leader="none" w:pos="536" w:val="left"/>
        </w:tabs>
        <w:numPr>
          <w:ilvl w:val="1"/>
          <w:numId w:val="183"/>
        </w:numPr>
        <w:rPr>
          <w:rFonts w:ascii="Arial" w:cs="Arial" w:eastAsia="Arial" w:hAnsi="Arial"/>
          <w:sz w:val="16"/>
          <w:szCs w:val="16"/>
          <w:color w:val="010000"/>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405765</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8"/>
          </w:cols>
          <w:pgMar w:left="382" w:top="908" w:right="339" w:bottom="1440" w:gutter="0" w:footer="0" w:header="0"/>
        </w:sectPr>
      </w:pPr>
    </w:p>
    <w:bookmarkStart w:id="313" w:name="page314"/>
    <w:bookmarkEnd w:id="313"/>
    <w:p>
      <w:pPr>
        <w:jc w:val="both"/>
        <w:ind w:left="278" w:hanging="8"/>
        <w:spacing w:after="0" w:line="259" w:lineRule="auto"/>
        <w:tabs>
          <w:tab w:leader="none" w:pos="533" w:val="left"/>
        </w:tabs>
        <w:numPr>
          <w:ilvl w:val="1"/>
          <w:numId w:val="184"/>
        </w:numPr>
        <w:rPr>
          <w:rFonts w:ascii="Arial" w:cs="Arial" w:eastAsia="Arial" w:hAnsi="Arial"/>
          <w:sz w:val="18"/>
          <w:szCs w:val="18"/>
          <w:color w:val="010000"/>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010000"/>
        </w:rPr>
      </w:pPr>
    </w:p>
    <w:p>
      <w:pPr>
        <w:jc w:val="both"/>
        <w:ind w:left="278" w:hanging="8"/>
        <w:spacing w:after="0" w:line="270" w:lineRule="auto"/>
        <w:tabs>
          <w:tab w:leader="none" w:pos="536" w:val="left"/>
        </w:tabs>
        <w:numPr>
          <w:ilvl w:val="1"/>
          <w:numId w:val="184"/>
        </w:numPr>
        <w:rPr>
          <w:rFonts w:ascii="Arial" w:cs="Arial" w:eastAsia="Arial" w:hAnsi="Arial"/>
          <w:sz w:val="17"/>
          <w:szCs w:val="17"/>
          <w:color w:val="010000"/>
        </w:rPr>
      </w:pPr>
      <w:r>
        <w:rPr>
          <w:rFonts w:ascii="Arial" w:cs="Arial" w:eastAsia="Arial" w:hAnsi="Arial"/>
          <w:sz w:val="17"/>
          <w:szCs w:val="17"/>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0" w:lineRule="exact"/>
        <w:rPr>
          <w:rFonts w:ascii="Arial" w:cs="Arial" w:eastAsia="Arial" w:hAnsi="Arial"/>
          <w:sz w:val="17"/>
          <w:szCs w:val="17"/>
          <w:color w:val="010000"/>
        </w:rPr>
      </w:pPr>
    </w:p>
    <w:p>
      <w:pPr>
        <w:ind w:left="278" w:hanging="8"/>
        <w:spacing w:after="0" w:line="277" w:lineRule="auto"/>
        <w:tabs>
          <w:tab w:leader="none" w:pos="516" w:val="left"/>
        </w:tabs>
        <w:numPr>
          <w:ilvl w:val="1"/>
          <w:numId w:val="184"/>
        </w:numPr>
        <w:rPr>
          <w:rFonts w:ascii="Arial" w:cs="Arial" w:eastAsia="Arial" w:hAnsi="Arial"/>
          <w:sz w:val="18"/>
          <w:szCs w:val="18"/>
          <w:color w:val="010000"/>
        </w:rPr>
      </w:pPr>
      <w:r>
        <w:rPr>
          <w:rFonts w:ascii="Arial" w:cs="Arial" w:eastAsia="Arial" w:hAnsi="Arial"/>
          <w:sz w:val="18"/>
          <w:szCs w:val="18"/>
          <w:color w:val="auto"/>
        </w:rPr>
        <w:t>Notwithstanding anything contained herein, the Company is the primary indemnitor, and any indemnification or advancement obligation of the Sponsor, its affiliates or any other Person is secondary.</w:t>
      </w:r>
    </w:p>
    <w:p>
      <w:pPr>
        <w:spacing w:after="0" w:line="166" w:lineRule="exact"/>
        <w:rPr>
          <w:rFonts w:ascii="Arial" w:cs="Arial" w:eastAsia="Arial" w:hAnsi="Arial"/>
          <w:sz w:val="18"/>
          <w:szCs w:val="18"/>
          <w:color w:val="010000"/>
        </w:rPr>
      </w:pPr>
    </w:p>
    <w:p>
      <w:pPr>
        <w:jc w:val="both"/>
        <w:ind w:left="318" w:hanging="318"/>
        <w:spacing w:after="0" w:line="294" w:lineRule="auto"/>
        <w:tabs>
          <w:tab w:leader="none" w:pos="318" w:val="left"/>
        </w:tabs>
        <w:numPr>
          <w:ilvl w:val="0"/>
          <w:numId w:val="185"/>
        </w:numPr>
        <w:rPr>
          <w:rFonts w:ascii="Arial" w:cs="Arial" w:eastAsia="Arial" w:hAnsi="Arial"/>
          <w:sz w:val="16"/>
          <w:szCs w:val="16"/>
          <w:b w:val="1"/>
          <w:bCs w:val="1"/>
          <w:color w:val="010000"/>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59" w:lineRule="exact"/>
        <w:rPr>
          <w:rFonts w:ascii="Arial" w:cs="Arial" w:eastAsia="Arial" w:hAnsi="Arial"/>
          <w:sz w:val="16"/>
          <w:szCs w:val="16"/>
          <w:b w:val="1"/>
          <w:bCs w:val="1"/>
          <w:color w:val="010000"/>
        </w:rPr>
      </w:pPr>
    </w:p>
    <w:p>
      <w:pPr>
        <w:ind w:left="318" w:hanging="318"/>
        <w:spacing w:after="0"/>
        <w:tabs>
          <w:tab w:leader="none" w:pos="318" w:val="left"/>
        </w:tabs>
        <w:numPr>
          <w:ilvl w:val="0"/>
          <w:numId w:val="185"/>
        </w:numPr>
        <w:rPr>
          <w:rFonts w:ascii="Arial" w:cs="Arial" w:eastAsia="Arial" w:hAnsi="Arial"/>
          <w:sz w:val="17"/>
          <w:szCs w:val="17"/>
          <w:b w:val="1"/>
          <w:bCs w:val="1"/>
          <w:color w:val="010000"/>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 whatsoever:</w:t>
      </w:r>
    </w:p>
    <w:p>
      <w:pPr>
        <w:spacing w:after="0" w:line="38" w:lineRule="exact"/>
        <w:rPr>
          <w:rFonts w:ascii="Arial" w:cs="Arial" w:eastAsia="Arial" w:hAnsi="Arial"/>
          <w:sz w:val="17"/>
          <w:szCs w:val="17"/>
          <w:b w:val="1"/>
          <w:bCs w:val="1"/>
          <w:color w:val="010000"/>
        </w:rPr>
      </w:pPr>
    </w:p>
    <w:p>
      <w:pPr>
        <w:jc w:val="both"/>
        <w:ind w:left="318"/>
        <w:spacing w:after="0" w:line="269" w:lineRule="auto"/>
        <w:rPr>
          <w:rFonts w:ascii="Arial" w:cs="Arial" w:eastAsia="Arial" w:hAnsi="Arial"/>
          <w:sz w:val="17"/>
          <w:szCs w:val="17"/>
          <w:b w:val="1"/>
          <w:bCs w:val="1"/>
          <w:color w:val="010000"/>
        </w:rPr>
      </w:pPr>
      <w:r>
        <w:rPr>
          <w:rFonts w:ascii="Arial" w:cs="Arial" w:eastAsia="Arial" w:hAnsi="Arial"/>
          <w:sz w:val="17"/>
          <w:szCs w:val="17"/>
          <w:color w:val="auto"/>
        </w:rPr>
        <w:t>(a)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010000"/>
        </w:rPr>
      </w:pPr>
    </w:p>
    <w:p>
      <w:pPr>
        <w:ind w:left="318" w:hanging="318"/>
        <w:spacing w:after="0"/>
        <w:tabs>
          <w:tab w:leader="none" w:pos="318" w:val="left"/>
        </w:tabs>
        <w:numPr>
          <w:ilvl w:val="0"/>
          <w:numId w:val="185"/>
        </w:numPr>
        <w:rPr>
          <w:rFonts w:ascii="Arial" w:cs="Arial" w:eastAsia="Arial" w:hAnsi="Arial"/>
          <w:sz w:val="18"/>
          <w:szCs w:val="18"/>
          <w:b w:val="1"/>
          <w:bCs w:val="1"/>
          <w:color w:val="010000"/>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left="278" w:hanging="8"/>
        <w:spacing w:after="0" w:line="263" w:lineRule="auto"/>
        <w:tabs>
          <w:tab w:leader="none" w:pos="522" w:val="left"/>
        </w:tabs>
        <w:numPr>
          <w:ilvl w:val="1"/>
          <w:numId w:val="185"/>
        </w:numPr>
        <w:rPr>
          <w:rFonts w:ascii="Arial" w:cs="Arial" w:eastAsia="Arial" w:hAnsi="Arial"/>
          <w:sz w:val="18"/>
          <w:szCs w:val="18"/>
          <w:color w:val="010000"/>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417195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8"/>
          </w:cols>
          <w:pgMar w:left="382" w:top="908" w:right="339" w:bottom="1440" w:gutter="0" w:footer="0" w:header="0"/>
        </w:sectPr>
      </w:pPr>
    </w:p>
    <w:bookmarkStart w:id="314" w:name="page315"/>
    <w:bookmarkEnd w:id="314"/>
    <w:p>
      <w:pPr>
        <w:jc w:val="both"/>
        <w:ind w:left="278" w:hanging="8"/>
        <w:spacing w:after="0" w:line="263" w:lineRule="auto"/>
        <w:tabs>
          <w:tab w:leader="none" w:pos="560" w:val="left"/>
        </w:tabs>
        <w:numPr>
          <w:ilvl w:val="1"/>
          <w:numId w:val="186"/>
        </w:numPr>
        <w:rPr>
          <w:rFonts w:ascii="Arial" w:cs="Arial" w:eastAsia="Arial" w:hAnsi="Arial"/>
          <w:sz w:val="18"/>
          <w:szCs w:val="18"/>
          <w:color w:val="010000"/>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3" w:lineRule="exact"/>
        <w:rPr>
          <w:rFonts w:ascii="Arial" w:cs="Arial" w:eastAsia="Arial" w:hAnsi="Arial"/>
          <w:sz w:val="18"/>
          <w:szCs w:val="18"/>
          <w:color w:val="010000"/>
        </w:rPr>
      </w:pPr>
    </w:p>
    <w:p>
      <w:pPr>
        <w:jc w:val="both"/>
        <w:ind w:left="278" w:hanging="8"/>
        <w:spacing w:after="0" w:line="273" w:lineRule="auto"/>
        <w:tabs>
          <w:tab w:leader="none" w:pos="522" w:val="left"/>
        </w:tabs>
        <w:numPr>
          <w:ilvl w:val="1"/>
          <w:numId w:val="186"/>
        </w:numPr>
        <w:rPr>
          <w:rFonts w:ascii="Arial" w:cs="Arial" w:eastAsia="Arial" w:hAnsi="Arial"/>
          <w:sz w:val="17"/>
          <w:szCs w:val="17"/>
          <w:color w:val="010000"/>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77" w:lineRule="exact"/>
        <w:rPr>
          <w:rFonts w:ascii="Arial" w:cs="Arial" w:eastAsia="Arial" w:hAnsi="Arial"/>
          <w:sz w:val="17"/>
          <w:szCs w:val="17"/>
          <w:color w:val="010000"/>
        </w:rPr>
      </w:pPr>
    </w:p>
    <w:p>
      <w:pPr>
        <w:jc w:val="both"/>
        <w:ind w:left="278" w:hanging="8"/>
        <w:spacing w:after="0" w:line="259" w:lineRule="auto"/>
        <w:tabs>
          <w:tab w:leader="none" w:pos="533" w:val="left"/>
        </w:tabs>
        <w:numPr>
          <w:ilvl w:val="1"/>
          <w:numId w:val="186"/>
        </w:numPr>
        <w:rPr>
          <w:rFonts w:ascii="Arial" w:cs="Arial" w:eastAsia="Arial" w:hAnsi="Arial"/>
          <w:sz w:val="18"/>
          <w:szCs w:val="18"/>
          <w:color w:val="010000"/>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010000"/>
        </w:rPr>
      </w:pPr>
    </w:p>
    <w:p>
      <w:pPr>
        <w:jc w:val="both"/>
        <w:ind w:left="278" w:hanging="8"/>
        <w:spacing w:after="0" w:line="253" w:lineRule="auto"/>
        <w:tabs>
          <w:tab w:leader="none" w:pos="549" w:val="left"/>
        </w:tabs>
        <w:numPr>
          <w:ilvl w:val="1"/>
          <w:numId w:val="186"/>
        </w:numPr>
        <w:rPr>
          <w:rFonts w:ascii="Arial" w:cs="Arial" w:eastAsia="Arial" w:hAnsi="Arial"/>
          <w:sz w:val="18"/>
          <w:szCs w:val="18"/>
          <w:color w:val="010000"/>
        </w:rPr>
      </w:pPr>
      <w:r>
        <w:rPr>
          <w:rFonts w:ascii="Arial" w:cs="Arial" w:eastAsia="Arial" w:hAnsi="Arial"/>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92" w:lineRule="exact"/>
        <w:rPr>
          <w:rFonts w:ascii="Arial" w:cs="Arial" w:eastAsia="Arial" w:hAnsi="Arial"/>
          <w:sz w:val="18"/>
          <w:szCs w:val="18"/>
          <w:color w:val="010000"/>
        </w:rPr>
      </w:pPr>
    </w:p>
    <w:p>
      <w:pPr>
        <w:jc w:val="both"/>
        <w:ind w:left="318" w:hanging="318"/>
        <w:spacing w:after="0" w:line="266" w:lineRule="auto"/>
        <w:tabs>
          <w:tab w:leader="none" w:pos="318" w:val="left"/>
        </w:tabs>
        <w:numPr>
          <w:ilvl w:val="0"/>
          <w:numId w:val="187"/>
        </w:numPr>
        <w:rPr>
          <w:rFonts w:ascii="Arial" w:cs="Arial" w:eastAsia="Arial" w:hAnsi="Arial"/>
          <w:sz w:val="18"/>
          <w:szCs w:val="18"/>
          <w:b w:val="1"/>
          <w:bCs w:val="1"/>
          <w:color w:val="010000"/>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010000"/>
        </w:rPr>
      </w:pPr>
    </w:p>
    <w:p>
      <w:pPr>
        <w:jc w:val="both"/>
        <w:ind w:left="318" w:hanging="318"/>
        <w:spacing w:after="0" w:line="289" w:lineRule="auto"/>
        <w:tabs>
          <w:tab w:leader="none" w:pos="318" w:val="left"/>
        </w:tabs>
        <w:numPr>
          <w:ilvl w:val="0"/>
          <w:numId w:val="187"/>
        </w:numPr>
        <w:rPr>
          <w:rFonts w:ascii="Arial" w:cs="Arial" w:eastAsia="Arial" w:hAnsi="Arial"/>
          <w:sz w:val="17"/>
          <w:szCs w:val="17"/>
          <w:b w:val="1"/>
          <w:bCs w:val="1"/>
          <w:color w:val="010000"/>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61" w:lineRule="exact"/>
        <w:rPr>
          <w:rFonts w:ascii="Arial" w:cs="Arial" w:eastAsia="Arial" w:hAnsi="Arial"/>
          <w:sz w:val="17"/>
          <w:szCs w:val="17"/>
          <w:b w:val="1"/>
          <w:bCs w:val="1"/>
          <w:color w:val="010000"/>
        </w:rPr>
      </w:pPr>
    </w:p>
    <w:p>
      <w:pPr>
        <w:ind w:left="278" w:hanging="8"/>
        <w:spacing w:after="0" w:line="277" w:lineRule="auto"/>
        <w:tabs>
          <w:tab w:leader="none" w:pos="522" w:val="left"/>
        </w:tabs>
        <w:numPr>
          <w:ilvl w:val="1"/>
          <w:numId w:val="187"/>
        </w:numPr>
        <w:rPr>
          <w:rFonts w:ascii="Arial" w:cs="Arial" w:eastAsia="Arial" w:hAnsi="Arial"/>
          <w:sz w:val="18"/>
          <w:szCs w:val="18"/>
          <w:color w:val="010000"/>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010000"/>
        </w:rPr>
      </w:pPr>
    </w:p>
    <w:p>
      <w:pPr>
        <w:ind w:left="518" w:hanging="248"/>
        <w:spacing w:after="0"/>
        <w:tabs>
          <w:tab w:leader="none" w:pos="518" w:val="left"/>
        </w:tabs>
        <w:numPr>
          <w:ilvl w:val="1"/>
          <w:numId w:val="187"/>
        </w:numPr>
        <w:rPr>
          <w:rFonts w:ascii="Arial" w:cs="Arial" w:eastAsia="Arial" w:hAnsi="Arial"/>
          <w:sz w:val="18"/>
          <w:szCs w:val="18"/>
          <w:color w:val="010000"/>
        </w:rPr>
      </w:pPr>
      <w:r>
        <w:rPr>
          <w:rFonts w:ascii="Arial" w:cs="Arial" w:eastAsia="Arial" w:hAnsi="Arial"/>
          <w:sz w:val="18"/>
          <w:szCs w:val="18"/>
          <w:color w:val="auto"/>
        </w:rPr>
        <w:t>If to the Company, to:</w:t>
      </w:r>
    </w:p>
    <w:p>
      <w:pPr>
        <w:spacing w:after="0" w:line="23" w:lineRule="exact"/>
        <w:rPr>
          <w:sz w:val="20"/>
          <w:szCs w:val="20"/>
          <w:color w:val="auto"/>
        </w:rPr>
      </w:pPr>
    </w:p>
    <w:p>
      <w:pPr>
        <w:ind w:left="278"/>
        <w:spacing w:after="0"/>
        <w:rPr>
          <w:sz w:val="20"/>
          <w:szCs w:val="20"/>
          <w:color w:val="auto"/>
        </w:rPr>
      </w:pPr>
      <w:r>
        <w:rPr>
          <w:rFonts w:ascii="Arial" w:cs="Arial" w:eastAsia="Arial" w:hAnsi="Arial"/>
          <w:sz w:val="18"/>
          <w:szCs w:val="18"/>
          <w:color w:val="auto"/>
        </w:rPr>
        <w:t>Chardan NexTech Acquisition 2 Corp.</w:t>
      </w:r>
    </w:p>
    <w:p>
      <w:pPr>
        <w:spacing w:after="0" w:line="9" w:lineRule="exact"/>
        <w:rPr>
          <w:sz w:val="20"/>
          <w:szCs w:val="20"/>
          <w:color w:val="auto"/>
        </w:rPr>
      </w:pPr>
    </w:p>
    <w:p>
      <w:pPr>
        <w:ind w:left="278"/>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278"/>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78"/>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ind w:left="278"/>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443230</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8"/>
          </w:cols>
          <w:pgMar w:left="382" w:top="908" w:right="339" w:bottom="1440" w:gutter="0" w:footer="0" w:header="0"/>
        </w:sectPr>
      </w:pPr>
    </w:p>
    <w:bookmarkStart w:id="315" w:name="page316"/>
    <w:bookmarkEnd w:id="315"/>
    <w:p>
      <w:pPr>
        <w:jc w:val="both"/>
        <w:ind w:left="318" w:hanging="318"/>
        <w:spacing w:after="0" w:line="254" w:lineRule="auto"/>
        <w:tabs>
          <w:tab w:leader="none" w:pos="318" w:val="left"/>
        </w:tabs>
        <w:numPr>
          <w:ilvl w:val="0"/>
          <w:numId w:val="188"/>
        </w:numPr>
        <w:rPr>
          <w:rFonts w:ascii="Arial" w:cs="Arial" w:eastAsia="Arial" w:hAnsi="Arial"/>
          <w:sz w:val="18"/>
          <w:szCs w:val="18"/>
          <w:b w:val="1"/>
          <w:bCs w:val="1"/>
          <w:color w:val="010000"/>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Arial" w:cs="Arial" w:eastAsia="Arial" w:hAnsi="Arial"/>
          <w:sz w:val="18"/>
          <w:szCs w:val="18"/>
          <w:b w:val="1"/>
          <w:bCs w:val="1"/>
          <w:color w:val="010000"/>
        </w:rPr>
      </w:pPr>
    </w:p>
    <w:p>
      <w:pPr>
        <w:jc w:val="both"/>
        <w:ind w:left="318" w:hanging="318"/>
        <w:spacing w:after="0" w:line="266" w:lineRule="auto"/>
        <w:tabs>
          <w:tab w:leader="none" w:pos="318" w:val="left"/>
        </w:tabs>
        <w:numPr>
          <w:ilvl w:val="0"/>
          <w:numId w:val="188"/>
        </w:numPr>
        <w:rPr>
          <w:rFonts w:ascii="Arial" w:cs="Arial" w:eastAsia="Arial" w:hAnsi="Arial"/>
          <w:sz w:val="18"/>
          <w:szCs w:val="18"/>
          <w:b w:val="1"/>
          <w:bCs w:val="1"/>
          <w:color w:val="010000"/>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010000"/>
        </w:rPr>
      </w:pPr>
    </w:p>
    <w:p>
      <w:pPr>
        <w:jc w:val="both"/>
        <w:ind w:left="318" w:hanging="318"/>
        <w:spacing w:after="0" w:line="266" w:lineRule="auto"/>
        <w:tabs>
          <w:tab w:leader="none" w:pos="318" w:val="left"/>
        </w:tabs>
        <w:numPr>
          <w:ilvl w:val="0"/>
          <w:numId w:val="188"/>
        </w:numPr>
        <w:rPr>
          <w:rFonts w:ascii="Arial" w:cs="Arial" w:eastAsia="Arial" w:hAnsi="Arial"/>
          <w:sz w:val="18"/>
          <w:szCs w:val="18"/>
          <w:b w:val="1"/>
          <w:bCs w:val="1"/>
          <w:color w:val="010000"/>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 headings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010000"/>
        </w:rPr>
      </w:pPr>
    </w:p>
    <w:p>
      <w:pPr>
        <w:jc w:val="both"/>
        <w:ind w:left="318" w:hanging="318"/>
        <w:spacing w:after="0" w:line="258" w:lineRule="auto"/>
        <w:tabs>
          <w:tab w:leader="none" w:pos="318" w:val="left"/>
        </w:tabs>
        <w:numPr>
          <w:ilvl w:val="0"/>
          <w:numId w:val="188"/>
        </w:numPr>
        <w:rPr>
          <w:rFonts w:ascii="Arial" w:cs="Arial" w:eastAsia="Arial" w:hAnsi="Arial"/>
          <w:sz w:val="18"/>
          <w:szCs w:val="18"/>
          <w:b w:val="1"/>
          <w:bCs w:val="1"/>
          <w:color w:val="010000"/>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010000"/>
        </w:rPr>
      </w:pPr>
    </w:p>
    <w:p>
      <w:pPr>
        <w:jc w:val="both"/>
        <w:ind w:left="318" w:hanging="318"/>
        <w:spacing w:after="0" w:line="266" w:lineRule="auto"/>
        <w:tabs>
          <w:tab w:leader="none" w:pos="318" w:val="left"/>
        </w:tabs>
        <w:numPr>
          <w:ilvl w:val="0"/>
          <w:numId w:val="188"/>
        </w:numPr>
        <w:rPr>
          <w:rFonts w:ascii="Arial" w:cs="Arial" w:eastAsia="Arial" w:hAnsi="Arial"/>
          <w:sz w:val="18"/>
          <w:szCs w:val="18"/>
          <w:b w:val="1"/>
          <w:bCs w:val="1"/>
          <w:color w:val="010000"/>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undertakes to cause such act, resolution, approval or other procedure to be affected or adopted in a manner that will enable the Company to fulfill its obligations under this Agreement.</w:t>
      </w:r>
    </w:p>
    <w:p>
      <w:pPr>
        <w:spacing w:after="0" w:line="175" w:lineRule="exact"/>
        <w:rPr>
          <w:rFonts w:ascii="Arial" w:cs="Arial" w:eastAsia="Arial" w:hAnsi="Arial"/>
          <w:sz w:val="18"/>
          <w:szCs w:val="18"/>
          <w:b w:val="1"/>
          <w:bCs w:val="1"/>
          <w:color w:val="010000"/>
        </w:rPr>
      </w:pPr>
    </w:p>
    <w:p>
      <w:pPr>
        <w:jc w:val="both"/>
        <w:ind w:left="318" w:hanging="318"/>
        <w:spacing w:after="0" w:line="256" w:lineRule="auto"/>
        <w:tabs>
          <w:tab w:leader="none" w:pos="318" w:val="left"/>
        </w:tabs>
        <w:numPr>
          <w:ilvl w:val="0"/>
          <w:numId w:val="188"/>
        </w:numPr>
        <w:rPr>
          <w:rFonts w:ascii="Arial" w:cs="Arial" w:eastAsia="Arial" w:hAnsi="Arial"/>
          <w:sz w:val="18"/>
          <w:szCs w:val="18"/>
          <w:b w:val="1"/>
          <w:bCs w:val="1"/>
          <w:color w:val="010000"/>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to the contrary contained herein, Indemnitee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7" w:lineRule="exact"/>
        <w:rPr>
          <w:rFonts w:ascii="Arial" w:cs="Arial" w:eastAsia="Arial" w:hAnsi="Arial"/>
          <w:sz w:val="18"/>
          <w:szCs w:val="18"/>
          <w:b w:val="1"/>
          <w:bCs w:val="1"/>
          <w:color w:val="010000"/>
        </w:rPr>
      </w:pPr>
    </w:p>
    <w:p>
      <w:pPr>
        <w:jc w:val="both"/>
        <w:ind w:left="318" w:hanging="318"/>
        <w:spacing w:after="0" w:line="273" w:lineRule="auto"/>
        <w:tabs>
          <w:tab w:leader="none" w:pos="318" w:val="left"/>
        </w:tabs>
        <w:numPr>
          <w:ilvl w:val="0"/>
          <w:numId w:val="188"/>
        </w:numPr>
        <w:rPr>
          <w:rFonts w:ascii="Arial" w:cs="Arial" w:eastAsia="Arial" w:hAnsi="Arial"/>
          <w:sz w:val="17"/>
          <w:szCs w:val="17"/>
          <w:color w:val="010000"/>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ind w:right="-27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443230</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8"/>
          </w:cols>
          <w:pgMar w:left="382" w:top="904" w:right="33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Name:Jonas Grossman</w:t>
      </w:r>
    </w:p>
    <w:p>
      <w:pPr>
        <w:spacing w:after="0" w:line="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Jonas Grossman</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Kerry Propper</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Weil</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Jonathan Biele</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Perry Boyle</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Todd Jacobson</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Jory Des Jardins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288925</wp:posOffset>
            </wp:positionV>
            <wp:extent cx="327469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320" w:top="904" w:right="139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letter will confirm our agreement that, commencing on the effective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of the registration statement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for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the securities of Chardan NexTech Acquisition 2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continuing until the earlier of (i) the consummation by the Company of an initial business combination or (ii) the Company’s liquidation (in each case as 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Chardan NexTech Investments 2 LLC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shall make available to the Company certain office space, secretarial and administrative services as may be required by the Company from</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time to time, situated at 17 State Street,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 New York, NY 10004 (or any successor location). In exchange therefore, the Company shall pay Sponsor a sum not to exceed $10,000 per month, respectively, on the Effective Date and continuing monthly thereafter until the Termination Date. Sponsor hereby agrees that it does not have any right, title, interest or claim of any kind in or to any monies that may be set aside in a trust account (the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that may be established by the Company for the benefit of the Company’s public stockholders upon the consummation of the IPO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Registration Statement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9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4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CHARDAN NEXTECH INVESTMENTS 2 LLC</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31203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Name:Jonas Grossman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22"/>
          <w:szCs w:val="22"/>
          <w:b w:val="1"/>
          <w:bCs w:val="1"/>
          <w:color w:val="auto"/>
        </w:rPr>
        <w:t>Exhibit 10.9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Chardan NexTech Acquisition 2 Corp. (the “</w:t>
      </w:r>
      <w:r>
        <w:rPr>
          <w:rFonts w:ascii="Arial" w:cs="Arial" w:eastAsia="Arial" w:hAnsi="Arial"/>
          <w:sz w:val="17"/>
          <w:szCs w:val="17"/>
          <w:b w:val="1"/>
          <w:bCs w:val="1"/>
          <w:color w:val="auto"/>
        </w:rPr>
        <w:t>Company</w:t>
      </w:r>
      <w:r>
        <w:rPr>
          <w:rFonts w:ascii="Arial" w:cs="Arial" w:eastAsia="Arial" w:hAnsi="Arial"/>
          <w:sz w:val="17"/>
          <w:szCs w:val="17"/>
          <w:color w:val="auto"/>
        </w:rPr>
        <w:t>”), a blank check company formed for the purpose of acquiring one or more businesses or entities (a “</w:t>
      </w:r>
      <w:r>
        <w:rPr>
          <w:rFonts w:ascii="Arial" w:cs="Arial" w:eastAsia="Arial" w:hAnsi="Arial"/>
          <w:sz w:val="17"/>
          <w:szCs w:val="17"/>
          <w:b w:val="1"/>
          <w:bCs w:val="1"/>
          <w:color w:val="auto"/>
        </w:rPr>
        <w:t>Business Combination</w:t>
      </w:r>
      <w:r>
        <w:rPr>
          <w:rFonts w:ascii="Arial" w:cs="Arial" w:eastAsia="Arial" w:hAnsi="Arial"/>
          <w:sz w:val="17"/>
          <w:szCs w:val="17"/>
          <w:color w:val="auto"/>
        </w:rPr>
        <w:t>”), intends to register its securities under the Securities Act of 1933, as amended (“</w:t>
      </w:r>
      <w:r>
        <w:rPr>
          <w:rFonts w:ascii="Arial" w:cs="Arial" w:eastAsia="Arial" w:hAnsi="Arial"/>
          <w:sz w:val="17"/>
          <w:szCs w:val="17"/>
          <w:b w:val="1"/>
          <w:bCs w:val="1"/>
          <w:color w:val="auto"/>
        </w:rPr>
        <w:t>Securities Act</w:t>
      </w:r>
      <w:r>
        <w:rPr>
          <w:rFonts w:ascii="Arial" w:cs="Arial" w:eastAsia="Arial" w:hAnsi="Arial"/>
          <w:sz w:val="17"/>
          <w:szCs w:val="17"/>
          <w:color w:val="auto"/>
        </w:rPr>
        <w:t>”), in connection with its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pursuant to a registration statement on Form S-1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undersigned hereby commits that it will purchase an aggregate of 3,700,000 warrants of the Company (“</w:t>
      </w:r>
      <w:r>
        <w:rPr>
          <w:rFonts w:ascii="Arial" w:cs="Arial" w:eastAsia="Arial" w:hAnsi="Arial"/>
          <w:sz w:val="18"/>
          <w:szCs w:val="18"/>
          <w:b w:val="1"/>
          <w:bCs w:val="1"/>
          <w:color w:val="auto"/>
        </w:rPr>
        <w:t>Private Warrants</w:t>
      </w:r>
      <w:r>
        <w:rPr>
          <w:rFonts w:ascii="Arial" w:cs="Arial" w:eastAsia="Arial" w:hAnsi="Arial"/>
          <w:sz w:val="18"/>
          <w:szCs w:val="18"/>
          <w:color w:val="auto"/>
        </w:rPr>
        <w:t>”), at a price of $0.65 per warrant for an aggregate purchase price of $2,405,000 (the “</w:t>
      </w:r>
      <w:r>
        <w:rPr>
          <w:rFonts w:ascii="Arial" w:cs="Arial" w:eastAsia="Arial" w:hAnsi="Arial"/>
          <w:sz w:val="18"/>
          <w:szCs w:val="18"/>
          <w:b w:val="1"/>
          <w:bCs w:val="1"/>
          <w:color w:val="auto"/>
        </w:rPr>
        <w:t>Private Warrant Purchase Price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purchase and issuance of the Private Warrants shall occur simultaneously with the consummation of the IPO. Simultaneously with the consummation of the IPO, Continental Stock Transfer &amp; Trust Company shall deposit the Private Warrant Purchase Price, without interest or deduction, into the trust fund (“</w:t>
      </w:r>
      <w:r>
        <w:rPr>
          <w:rFonts w:ascii="Arial" w:cs="Arial" w:eastAsia="Arial" w:hAnsi="Arial"/>
          <w:sz w:val="18"/>
          <w:szCs w:val="18"/>
          <w:b w:val="1"/>
          <w:bCs w:val="1"/>
          <w:color w:val="auto"/>
        </w:rPr>
        <w:t>Trust Fund</w:t>
      </w:r>
      <w:r>
        <w:rPr>
          <w:rFonts w:ascii="Arial" w:cs="Arial" w:eastAsia="Arial" w:hAnsi="Arial"/>
          <w:sz w:val="18"/>
          <w:szCs w:val="18"/>
          <w:color w:val="auto"/>
        </w:rPr>
        <w:t>”) established by the Company for the benefit of the Company’s public stockholders as described in the Registration Statement.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undersigned agrees:</w:t>
      </w:r>
    </w:p>
    <w:p>
      <w:pPr>
        <w:spacing w:after="0" w:line="225" w:lineRule="exact"/>
        <w:rPr>
          <w:sz w:val="20"/>
          <w:szCs w:val="20"/>
          <w:color w:val="auto"/>
        </w:rPr>
      </w:pPr>
    </w:p>
    <w:p>
      <w:pPr>
        <w:jc w:val="both"/>
        <w:ind w:left="1300" w:hanging="320"/>
        <w:spacing w:after="0" w:line="291" w:lineRule="auto"/>
        <w:tabs>
          <w:tab w:leader="none" w:pos="13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 to propose, or vote in favor of, an amendment to the Company’s Amended and Restated Certificate of Incorporation that would affect the substance or timing of the Company’s obligation to redeem 100% of the Company’s shares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sold in the IPO if the Company does not complete an initial Business Combination within 24 months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166"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9" w:name="page320"/>
    <w:bookmarkEnd w:id="319"/>
    <w:p>
      <w:pPr>
        <w:jc w:val="both"/>
        <w:ind w:left="1300" w:hanging="320"/>
        <w:spacing w:after="0" w:line="268" w:lineRule="auto"/>
        <w:tabs>
          <w:tab w:leader="none" w:pos="13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that the Private Warrants and underlying securities will not be transferable or saleable until 30 days after the consummation of a Business Combination except ((a) to the Company’s officers or directors, any affiliates or family members of any of the Company’s officers or directors, any members of the undersigned, Chardan NexTech Investments 2 LLC (“</w:t>
      </w:r>
      <w:r>
        <w:rPr>
          <w:rFonts w:ascii="Arial" w:cs="Arial" w:eastAsia="Arial" w:hAnsi="Arial"/>
          <w:sz w:val="17"/>
          <w:szCs w:val="17"/>
          <w:b w:val="1"/>
          <w:bCs w:val="1"/>
          <w:color w:val="auto"/>
        </w:rPr>
        <w:t>Sponsor</w:t>
      </w:r>
      <w:r>
        <w:rPr>
          <w:rFonts w:ascii="Arial" w:cs="Arial" w:eastAsia="Arial" w:hAnsi="Arial"/>
          <w:sz w:val="17"/>
          <w:szCs w:val="17"/>
          <w:color w:val="auto"/>
        </w:rPr>
        <w:t>”),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the Company’s liquidation prior to the completion of an initial Business Combination; or (g) by virtue of the laws of Delaware or the applicable limited liability company agreement upon dissolution of the undersigned,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the undersigned, Sponsor, officers, and directors of the Company, as the case may be, with respect to such securities (including provisions relating to voting, the trust account and liquidation distributions described elsewhere in this prospectus); and</w:t>
      </w:r>
    </w:p>
    <w:p>
      <w:pPr>
        <w:spacing w:after="0" w:line="184"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it has been advised that the Private Warrants have not been registered under the Securities Act;</w:t>
      </w:r>
    </w:p>
    <w:p>
      <w:pPr>
        <w:spacing w:after="0" w:line="225" w:lineRule="exact"/>
        <w:rPr>
          <w:rFonts w:ascii="Arial" w:cs="Arial" w:eastAsia="Arial" w:hAnsi="Arial"/>
          <w:sz w:val="18"/>
          <w:szCs w:val="18"/>
          <w:color w:val="010000"/>
        </w:rPr>
      </w:pPr>
    </w:p>
    <w:p>
      <w:pPr>
        <w:ind w:left="920" w:hanging="264"/>
        <w:spacing w:after="0"/>
        <w:tabs>
          <w:tab w:leader="none" w:pos="920"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it will be acquiring the Private Warrants for its account for investment purposes only;</w:t>
      </w:r>
    </w:p>
    <w:p>
      <w:pPr>
        <w:spacing w:after="0" w:line="225" w:lineRule="exact"/>
        <w:rPr>
          <w:rFonts w:ascii="Arial" w:cs="Arial" w:eastAsia="Arial" w:hAnsi="Arial"/>
          <w:sz w:val="18"/>
          <w:szCs w:val="18"/>
          <w:color w:val="010000"/>
        </w:rPr>
      </w:pPr>
    </w:p>
    <w:p>
      <w:pPr>
        <w:ind w:left="900" w:hanging="244"/>
        <w:spacing w:after="0"/>
        <w:tabs>
          <w:tab w:leader="none" w:pos="900" w:val="left"/>
        </w:tabs>
        <w:numPr>
          <w:ilvl w:val="0"/>
          <w:numId w:val="191"/>
        </w:numPr>
        <w:rPr>
          <w:rFonts w:ascii="Arial" w:cs="Arial" w:eastAsia="Arial" w:hAnsi="Arial"/>
          <w:sz w:val="17"/>
          <w:szCs w:val="17"/>
          <w:color w:val="010000"/>
        </w:rPr>
      </w:pPr>
      <w:r>
        <w:rPr>
          <w:rFonts w:ascii="Arial" w:cs="Arial" w:eastAsia="Arial" w:hAnsi="Arial"/>
          <w:sz w:val="17"/>
          <w:szCs w:val="17"/>
          <w:color w:val="auto"/>
        </w:rPr>
        <w:t>it has no present intention of selling or otherwise disposing of the Private Warrants in violation of the securities laws of the United States;</w:t>
      </w:r>
    </w:p>
    <w:p>
      <w:pPr>
        <w:spacing w:after="0" w:line="236" w:lineRule="exact"/>
        <w:rPr>
          <w:rFonts w:ascii="Arial" w:cs="Arial" w:eastAsia="Arial" w:hAnsi="Arial"/>
          <w:sz w:val="17"/>
          <w:szCs w:val="17"/>
          <w:color w:val="010000"/>
        </w:rPr>
      </w:pPr>
    </w:p>
    <w:p>
      <w:pPr>
        <w:ind w:left="920" w:hanging="264"/>
        <w:spacing w:after="0"/>
        <w:tabs>
          <w:tab w:leader="none" w:pos="920"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010000"/>
        </w:rPr>
      </w:pPr>
    </w:p>
    <w:p>
      <w:pPr>
        <w:ind w:firstLine="656"/>
        <w:spacing w:after="0" w:line="277" w:lineRule="auto"/>
        <w:tabs>
          <w:tab w:leader="none" w:pos="892"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70" w:lineRule="exact"/>
        <w:rPr>
          <w:rFonts w:ascii="Arial" w:cs="Arial" w:eastAsia="Arial" w:hAnsi="Arial"/>
          <w:sz w:val="18"/>
          <w:szCs w:val="18"/>
          <w:color w:val="010000"/>
        </w:rPr>
      </w:pPr>
    </w:p>
    <w:p>
      <w:pPr>
        <w:ind w:left="880" w:hanging="224"/>
        <w:spacing w:after="0"/>
        <w:tabs>
          <w:tab w:leader="none" w:pos="880"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010000"/>
        </w:rPr>
      </w:pPr>
    </w:p>
    <w:p>
      <w:pPr>
        <w:ind w:firstLine="656"/>
        <w:spacing w:after="0" w:line="277" w:lineRule="auto"/>
        <w:tabs>
          <w:tab w:leader="none" w:pos="930"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010000"/>
        </w:rPr>
      </w:pPr>
    </w:p>
    <w:p>
      <w:pPr>
        <w:ind w:left="920" w:hanging="264"/>
        <w:spacing w:after="0"/>
        <w:tabs>
          <w:tab w:leader="none" w:pos="920"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ind w:left="5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CHARDAN NEXTECH 2 WARRANT HOLDINGS LLC</w:t>
      </w: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4290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0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Adopted: __________, 2021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of Chardan NexTech Acquisition 2 Corp. (the “Company”) has adopted this Code of Ethics (this “Code”) to provide value for our stockholders; and</w:t>
      </w:r>
    </w:p>
    <w:p>
      <w:pPr>
        <w:spacing w:after="0" w:line="170" w:lineRule="exact"/>
        <w:rPr>
          <w:sz w:val="20"/>
          <w:szCs w:val="20"/>
          <w:color w:val="auto"/>
        </w:rPr>
      </w:pPr>
    </w:p>
    <w:p>
      <w:pPr>
        <w:ind w:left="980" w:hanging="324"/>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encourage honest and ethical conduct, including fair dealing and the ethical handling of conflicts of interest;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prompt full, fair, accurate, timely and understandable disclosure;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comply with applicable laws and governmental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prompt internal reporting of violations of this Code;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To protect the Company's legitimate business interests, including corporate opportunities, assets and confidential information;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deter wrongdoing.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directors, officers, employees and independent contractors of the Company are expected to be familiar with this Code and to adhere to the principles and procedures set forth in this Code. For purposes of this Code, all directors, officers, employees and independent contractors are referred to collectively as “employees” or “you” throughout this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Honest and Ethical Conduct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directors, officers, employees and independent contractors owe duties to the Company to act with integrity. Integrity requires, among other things, being honest and ethical. This includes the ethical handling of actual or apparent conflicts of interest between personal and professional relationships. Deceit and subordination of principle are inconsistent with integrity.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directors, officers, employees and independent contractors have the following duties:</w:t>
      </w:r>
    </w:p>
    <w:p>
      <w:pPr>
        <w:spacing w:after="0" w:line="225" w:lineRule="exact"/>
        <w:rPr>
          <w:sz w:val="20"/>
          <w:szCs w:val="20"/>
          <w:color w:val="auto"/>
        </w:rPr>
      </w:pPr>
    </w:p>
    <w:p>
      <w:pPr>
        <w:ind w:left="660" w:hanging="328"/>
        <w:spacing w:after="0"/>
        <w:tabs>
          <w:tab w:leader="none" w:pos="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conduct business with professional courtesy and integrity, and act honestly and fairly without prejudice in all commercial dealings;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work in a safe, healthy and efficient manner, using skills, time and experience to the maximum of 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comply with applicable awards, Company policies and job requirements, and adhere to a high standard of business ethics;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observe both the form and spirit of laws, governmental rules, regulations and accounting standards;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Not to knowingly make any misleading statements to any person or to be a party to any improper practice in relation to dealings with or by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ensure that Company resources and properties are used properly;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maintain the confidentiality of information where required or consistent with Company policies;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Not to disclose information or documents relating to the Company or its business, other than as required by law, not to make any unauthorized public comment on Company affairs and not to misuse any information about the Company or its associates, and not to accept improper or undisclosed material personal benefits from third parties as a result of any transaction or transactions of the Company.</w:t>
      </w:r>
    </w:p>
    <w:p>
      <w:pPr>
        <w:spacing w:after="0" w:line="161" w:lineRule="exact"/>
        <w:rPr>
          <w:rFonts w:ascii="Arial" w:cs="Arial" w:eastAsia="Arial" w:hAnsi="Arial"/>
          <w:sz w:val="17"/>
          <w:szCs w:val="17"/>
          <w:color w:val="auto"/>
        </w:rPr>
      </w:pPr>
    </w:p>
    <w:p>
      <w:pPr>
        <w:ind w:left="240" w:hanging="232"/>
        <w:spacing w:after="0"/>
        <w:tabs>
          <w:tab w:leader="none" w:pos="2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“conflict of interest” arises when an individual's personal interest interferes or appears to interfere with the interests of the Company. A conflict of interest can arise when a director, officer or employee takes actions or has personal interests that may make it difficult to perform his or her Company work objectively and effectively.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a variety of situations in which a conflict of interest may arise. While it would be impractical to attempt to list all possible situations, some common types of conflicts may be:</w:t>
      </w:r>
    </w:p>
    <w:p>
      <w:pPr>
        <w:spacing w:after="0" w:line="197"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To serve as a director, employee or contractor for a company that has a business relationship with, or is a competitor of the Company;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have a financial interest in a competitor, supplier or customer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2" w:name="page323"/>
    <w:bookmarkEnd w:id="322"/>
    <w:p>
      <w:pPr>
        <w:ind w:left="660" w:hanging="328"/>
        <w:spacing w:after="0"/>
        <w:tabs>
          <w:tab w:leader="none" w:pos="6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To receive improper personal benefits from a competitor, supplier or customer, as a result of any transaction or transactions of the Company;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accept financial interest beyond entertainment or nominal gifts in the ordinary course of business, such as a meal or a coffee mug;</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present at a conference where the conference sponsor has a real or potential business relationship with the Company (e.g. vendor, customer, or investor), and, the conference sponsor offers travel or accommodation arrangements or other benefits materially in excess of the Company’s standard;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use for personal gain, rather than for the benefit of the Company, an opportunity that you discovered through your role with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Fidelity or service to the Company should never be subordinated to or dependent on personal gain or advantage. Conflicts of interest should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avoided.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most cases, anything that would constitute a conflict for a director, officer or employee also would present a conflict if it is related to a member of his or her family.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Interests in other companies, including potential competitors and suppliers, that are purely for management of the other entity, or where an otherwise questionable relationship is disclosed to the Board and any necessary action is taken to ensure there will be no effect on the Company, are not considered conflicts unless otherwise determined by the Board.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Evaluating whether a conflict of interest exists can be difficult and may involve a number of considerations. Please refer to other policies, such as the employee handbook, for further information. We also encourage you to seek guidance from your manager, Chief Executive Officer or Chief Financial Officer, or their equivalents, when you have any questions or doubts.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Disclosure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director, officer or employee, to the extent involved in the Company's disclosure process, including the Chief Executive Officer or Chief Financial Officer, or their equivalents, the (the “Senior Financial Officers”), is required to be familiar with the Company’s disclosure controls and procedures applicable to him or her so that the Company's public reports and documents comply in all material respects with the applicable securities laws and rules. In addition, each such person having direct or supervisory authority regarding these securities filings or the Company's other public communications concerning its general business, results, financial condition and prospects should, to the extent appropriate within his or her area of responsibility, consult with other Company officers and employees and take other appropriate steps regarding these disclosures with the goal of making full, fair, accurate, timely and understandable disclosure.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director, officer or employee, to the extent involved in the Company’s disclosure process, including the Senior Financial Officers, must:</w:t>
      </w:r>
    </w:p>
    <w:p>
      <w:pPr>
        <w:spacing w:after="0" w:line="237" w:lineRule="exact"/>
        <w:rPr>
          <w:sz w:val="20"/>
          <w:szCs w:val="20"/>
          <w:color w:val="auto"/>
        </w:rPr>
      </w:pPr>
    </w:p>
    <w:p>
      <w:pPr>
        <w:ind w:left="660" w:right="20" w:hanging="328"/>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Familiarize himself or herself with the disclosure requirements applicable to the Company as well as the business and financial operations of the Company.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and self-regulatory organizations.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Compliance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the Company's policy to comply with all applicable laws, rules and regulations. It is the personal responsibility of each employee, officer and director to adhere to the standards and restrictions imposed by those laws, rules and regulations in the performance of their duties for the Company, including those relating to accounting and auditing matters and insider trading.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endeavors to ensure that the directors, officers and employees of the Company act with integrity and observe the highest standards of behavior and business ethics in relation to their corporate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directors, officers and employees must:</w:t>
      </w:r>
    </w:p>
    <w:p>
      <w:pPr>
        <w:spacing w:after="0" w:line="225"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Comply with the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Act in the best interests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 responsible and accountable for their 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Observe the ethical principles of fairness, honesty and truthfulness, including disclosure of potential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3" w:name="page324"/>
    <w:bookmarkEnd w:id="323"/>
    <w:p>
      <w:pPr>
        <w:jc w:val="both"/>
        <w:ind w:firstLine="648"/>
        <w:spacing w:after="0" w:line="263" w:lineRule="auto"/>
        <w:rPr>
          <w:sz w:val="20"/>
          <w:szCs w:val="20"/>
          <w:color w:val="auto"/>
        </w:rPr>
      </w:pPr>
      <w:r>
        <w:rPr>
          <w:rFonts w:ascii="Arial" w:cs="Arial" w:eastAsia="Arial" w:hAnsi="Arial"/>
          <w:sz w:val="18"/>
          <w:szCs w:val="18"/>
          <w:color w:val="auto"/>
        </w:rPr>
        <w:t>Generally, it is against Company policies for any individual to profit from undisclosed information relating to the Company or any other company in violation of insider trading or other laws. Anyone who is aware of material nonpublic information relating to the Company, our customers, or other companies may not use the information to purchase or sell securities in violation of securities laws.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uncertain about the legal rules involving your purchase or sale of any Company securities or any securities in companies that you are familiar with by virtue of your work for the Company, you should consult with the Chief Executive Officer or Chief Financial Officer, or their equivalents, before making any such purchase or sale. Other policies issued by the Company also provide guidance as to certain of the laws, rules and regulations that apply to the Company's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Reporting and Accountability</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Board of Directors has the authority to interpret this Code in any particular situation. Any director, officer or employee who becomes aware of any violation of this Code is required to notify the Chief Executive Officer or Chief Financial Officer, or their equivalents, promptly.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questions relating to how these policies should be interpreted or applied should be addressed to your manager, Chief Executive Officer or Chief Financial Officer, or their equivalents. Any material transaction or relationship that could reasonably be expected to give rise to a conflict of interest, as discussed in Section II of this Code, should be discussed with your manager, Chief Executive Officer or Chief Financial Officer, or their equivalents. A director, officer or employee who is unsure of whether a situation violates this Code should discuss the situation with the Chief Executive Officer or Chief Financial Officer, or their equivalents, to prevent possible misunderstandings and embarrassment at a later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director, officer or employee must:</w:t>
      </w:r>
    </w:p>
    <w:p>
      <w:pPr>
        <w:spacing w:after="0" w:line="225"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Notify the Chief Executive Officer or Chief Financial Officer, or their equivalents, promptly of any existing or potential violation of this Code.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 retaliate against any other director, officer or employee for reports of potential violations.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Chief Executive Officer or Chief Financial Officer, or their equivalents, as the case may be, will take all appropriate action to investigate any violations reported. In addition, the Chief Executive Officer or Chief Financial Officer, or their equivalents, as appropriate, shall report each violation and alleged violation involving a director or an executive officer to the Chairman of the Board of Directors. To the extent he or she deems appropriate, the Chairman of the Board of Directors shall participate in any investigation of a director or executive officer. After the conclusion of an investigation of a director or executive officer, the conclusions shall be reported to the Board of Directors.</w:t>
      </w:r>
    </w:p>
    <w:p>
      <w:pPr>
        <w:spacing w:after="0" w:line="176"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Board of Directors will conduct such additional investigation as it deems necessary. The Board will determine that a director or executive officer has violated this Code. Upon being notified that a violation has occurred, the Chief Executive Officer or Chief Financial Officer, or their equivalents, as the case may be, will take such disciplinary or preventive action as deemed appropriate, up to and including dismissal or, in the event of criminal or other serious violations of law, notification of appropriate law enforcement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Corporate Opportunities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Employees, officers and directors are prohibited from taking (or directing to a third party) a business opportunity that is discovered through the use of corporate property, information or position, unless the Company has already been offered the opportunity and turned it down. More generally, employees, officers and directors are prohibited from using corporate property, information or position for personal gain and from competing with the Company.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Sometimes, the line between personal and Company benefits is difficult to draw, and sometimes there are both personal and Company benefits in certain activities. Employees, officers and directors who intend to make use of Company property or services in a manner not solely for the benefit of the Company should consult beforehand with your manager, the Chief Executive Officer or Chief Financial Officer, or their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t>VII. Confidentiality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carrying out the Company's business, employees, officers and directors often learn confidential or proprietary information about the Company, its customers, suppliers, or joint venture parties. Employees, officers and directors must maintain the confidentiality of all information so entrusted to them, except when disclosure is authorized or legally mandated. Confidential or proprietary information of our Company, and of other companies, includes any non-public information that would be harmful to the relevant company or useful or helpful to competitors if disclosed.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Fair Dealing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core value of operating is based on responsiveness, openness, honesty and trust with our members, business partners, employees and stockholders. We do not seek competitive advantages through illegal or unethical business practices. Each employee, officer and director should endeavor to deal fairly with the Company's customers, service providers, suppliers, competitors and employees. No employee, officer or director should take unfair advantage of anyone through manipulation, concealment, abuse of privileged information, misrepresentation of material facts, or any unfair dealing practice.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Protection and Proper Use of Company Assets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employees, officers and directors should protect the Company's assets and ensure their efficient use. All Company assets should be used only for legitimate business purposes. Theft, carelessness and waste have a direct impact on our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Waivers and Amendments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time to time, the Company may waive provisions of this Code. Any employee or director who believes that a waiver may be called for should discuss the matter with your manager, the Chief Executive Officer or Chief Financial Officer, or their equivalents.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waiver of the Code for executive officers (including Senior Financial Officers) or directors of the Company may be made only by the Board of Directors and must be promptly disclosed to stockholders along with the reasons for such waiver in a manner as required by applicable law or the rules of the applicable stock exchange. Any amendment or waiver of any provision of this Code must be approved in writing by the Board or, if appropriate, its delegate(s) and promptly disclosed pursuant to applicable laws and regulations.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waiver or modification of the Code for a Senior Financial Officer will be promptly disclosed to stockholders if and as required by applicable law or the rules of the applicable stock exchange.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is committed to continuously reviewing and updating its policies, and therefore reserves the right to amend this Policy at any time, for any reason, subject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2 to Form S-1 of our report dated March 8, 2021, relating to the financial statements of Chardan NexTech Acquisition 2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URPOSE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primary purpose of the Audit Committee (the “Committee”) shall be to act on behalf of the Board of Directors (the “Board”) of Chardan NexTech Acquisition 2 Corp. (the “Company”), in fulfilling the Board’s oversight responsibilities with respect to the Company’s corporate accounting and financial reporting processes, the systems of internal control over financial reporting, and audits of financial statements, as well as the quality and integrity of the Company’s financial statements and reports and the qualifications, independence and performance of the registered public accounting firm or firms engaged as the Company’s independent outside auditors for the purpose of preparing or issuing an audit report or performing other audit, review or attest services (the “Auditors”). The Committee shall also provide oversight assistance in connection with the Company’s legal, regulatory and ethical compliance programs as established by management and the Board. The operation of the Committee shall be subject to the Bylaws of the Company as in effect from time to time.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policy of the Committee, in discharging these obligations, shall be to maintain and foster an open avenue of communication among the Committee, the Auditors and the Company’s financial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OMPOSITION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Committee shall consist of at least three members of the Board. Each member of the Committee shall satisfy the independence requirements of the Securities and Exchange Commission (“SEC”) and applicable laws, regulations and listing requirements of the NYSE American as in effect from time to time. At least one member shall qualify as an “Audit Committee Financial Expert” as defined in Item 407(d)(5)(ii) of Regulation S-K under the Securities Act of 1933, as amended, and shall otherwise satisfy the applicable sophistication requirements of the NYSE American as in effect from time to time. Members of the Committee may only receive director and committee member fees as compensation from the Company. The members of the Committee shall be appointed by and serve at the discretion of the Board. Vacancies occurring on the Committee shall be filled by the Board. The Chairman of the Committee shall be appointed by the Board. The Board may remove any member from the Committee at any time with or without cause.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EETINGS 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INUTES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meet on at least a quarterly basis. Minutes of each meeting of the Committee shall be prepared and distributed to each director of the Company and the Secretary of the Company. The Chairman of the Committee shall report to the Board from time to time, or whenever so requested by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Committee shall have authority to appoint, determine compensation for, and at the Company’s expense, retain and oversee the Auditors as set forth in Section 10A(m)(2) of the Securities Exchange Act of 1934, as amended, and the rules thereunder and otherwise to fulfill its responsibilities under this charter. The Committee shall have authority to retain and determine compensation for, at the expense of the Company, special legal, accounting or other advisors or consultants as it deems necessary or appropriate in the performance of its duties. The Committee shall also have authority to pay, at the expense of the Company, ordinary administrative expenses that, as determined by the Committee, are necessary or appropriate in carrying out its duties. Each member of the Committee shall have full access to all books, records, facilities and personnel of the Company as deemed necessary or appropriate by any member of the Committee to discharge his or her responsibilities hereunder. The Committee shall have authority to require that any of the Company’s personnel, counsel, accountants (including the Auditors) or investment bankers, or any other consultant or advisor to the Company attend any meeting of the Committee or meet with any member of the Committee or any of its special outside legal, accounting or other advisors or consultants. The approval of this Charter by the Board shall be construed as a delegation of authority to the Committee with respect to the responsibilities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ESPONSIBILITIES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shall oversee the Company’s financial reporting process on behalf of the Board, and shall have direct responsibility for the appointment, compensation, retention and oversight of the work of the Auditors and any other registered public accounting firm engaged for the purpose of performing other review or attest services for the Company. The Auditors and each such other registered public accounting firm shall report directly and be accountable to the Committee. The Committee’s functions and procedures should remain flexible to address most effectively changing circumstances.</w:t>
      </w:r>
    </w:p>
    <w:p>
      <w:pPr>
        <w:spacing w:after="0" w:line="15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It shall be the responsibility of management to prepare the Company’s financial statements and periodic reports and the responsibility of the Auditors to audit those financial statements. These functions shall not be the responsibility of the Committee, nor shall it be the Committee’s responsibility to ensure that the financial statements or periodic reports are complete and accurate, conform to GAAP or otherwise comply with applicable laws.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implement the Committee’s purpose and policy, the Committee shall be charged with the following functions and processes with the understanding, however, that the Committee may supplement or (except as otherwise required by applicable laws or rules) deviate from these activities as appropriate under the circumstances:</w:t>
      </w:r>
    </w:p>
    <w:p>
      <w:pPr>
        <w:spacing w:after="0" w:line="184" w:lineRule="exact"/>
        <w:rPr>
          <w:sz w:val="20"/>
          <w:szCs w:val="20"/>
          <w:color w:val="auto"/>
        </w:rPr>
      </w:pPr>
    </w:p>
    <w:p>
      <w:pPr>
        <w:jc w:val="both"/>
        <w:ind w:firstLine="656"/>
        <w:spacing w:after="0" w:line="269" w:lineRule="auto"/>
        <w:tabs>
          <w:tab w:leader="none" w:pos="841" w:val="left"/>
        </w:tabs>
        <w:numPr>
          <w:ilvl w:val="1"/>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Evaluation and Retention of Auditors. </w:t>
      </w:r>
      <w:r>
        <w:rPr>
          <w:rFonts w:ascii="Arial" w:cs="Arial" w:eastAsia="Arial" w:hAnsi="Arial"/>
          <w:sz w:val="17"/>
          <w:szCs w:val="17"/>
          <w:color w:val="auto"/>
        </w:rPr>
        <w:t>To evaluate the performance of the Auditors, including the lead partner, to assess their qualifications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their internal quality-control procedures and any material issues raised by that firm’s most recent internal quality-control review or any investigations by regulatory authorities) and to determine whether to retain or to terminate the engagement of the existing Auditors or to appoint and engage a different independent registered public accounting firm, which retention shall be subject only to ratification by the Company’s stockholders (if the Committee or the Board elects to submit such retention for ratification by the stockholders). At least annually, the Committee should obtain and review a report by the Auditors that describes (1) the firm’s internal quality control procedures, (2) any material issues raised by the most recent internal quality control review, peer review or Public Company Accounting Oversight Board review or inspection of the firm or by any other inquiry or investigation by governmental or professional authorities in the past five years regarding one or more audits carried out by the firm and any steps taken to deal with any such issues, and (3) all relationships between the firm and the Company or any of its subsidiaries; and to discuss with the independent auditors this report and any relationships or services that may impact the objectivity and independence of the Auditors. At least annually, the Committee should evaluate the qualifications, performance and independence of the Auditors, including an evaluation of the lead audit partner; and to assure the regular rotation of the lead audit partner.</w:t>
      </w:r>
    </w:p>
    <w:p>
      <w:pPr>
        <w:spacing w:after="0" w:line="174" w:lineRule="exact"/>
        <w:rPr>
          <w:rFonts w:ascii="Arial" w:cs="Arial" w:eastAsia="Arial" w:hAnsi="Arial"/>
          <w:sz w:val="17"/>
          <w:szCs w:val="17"/>
          <w:b w:val="1"/>
          <w:bCs w:val="1"/>
          <w:color w:val="auto"/>
        </w:rPr>
      </w:pPr>
    </w:p>
    <w:p>
      <w:pPr>
        <w:jc w:val="both"/>
        <w:ind w:firstLine="656"/>
        <w:spacing w:after="0" w:line="277" w:lineRule="auto"/>
        <w:tabs>
          <w:tab w:leader="none" w:pos="841" w:val="left"/>
        </w:tabs>
        <w:numPr>
          <w:ilvl w:val="1"/>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 Prior to Engagement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engagement of any prospective Auditors, to review a written disclosure by the prospective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Auditors of all relationships between the prospective Auditors, or their affiliates, and the Company, or persons in financial oversight roles at the Company, that may reasonably be thought to bear on independence, and to discuss with the prospective Auditors the potential effects of such relationships on the independence of the prospective Auditors, consistent with Ethics and Independence Rule 3526, </w:t>
      </w:r>
      <w:r>
        <w:rPr>
          <w:rFonts w:ascii="Arial" w:cs="Arial" w:eastAsia="Arial" w:hAnsi="Arial"/>
          <w:sz w:val="17"/>
          <w:szCs w:val="17"/>
          <w:i w:val="1"/>
          <w:iCs w:val="1"/>
          <w:color w:val="auto"/>
        </w:rPr>
        <w:t>Communication with Audit Committees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(“Rule 3526”), of the Public Company Accounting Oversight Board (United States) (the “PCAOB”).</w:t>
      </w:r>
    </w:p>
    <w:p>
      <w:pPr>
        <w:spacing w:after="0" w:line="167" w:lineRule="exact"/>
        <w:rPr>
          <w:rFonts w:ascii="Arial" w:cs="Arial" w:eastAsia="Arial" w:hAnsi="Arial"/>
          <w:sz w:val="17"/>
          <w:szCs w:val="17"/>
          <w:b w:val="1"/>
          <w:bCs w:val="1"/>
          <w:color w:val="auto"/>
        </w:rPr>
      </w:pPr>
    </w:p>
    <w:p>
      <w:pPr>
        <w:jc w:val="both"/>
        <w:ind w:firstLine="656"/>
        <w:spacing w:after="0" w:line="285" w:lineRule="auto"/>
        <w:tabs>
          <w:tab w:leader="none" w:pos="841" w:val="left"/>
        </w:tabs>
        <w:numPr>
          <w:ilvl w:val="1"/>
          <w:numId w:val="1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Approval of Audit Engagements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determine and approve engagements of the Auditors, prior to commencement of such engagements,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 all proposed audit, review and attest services, including the scope of and plans for the audit, the adequacy of staffing, the compensation to be paid, at the Company’s expense, to the Auditors and the negotiation and execution, on behalf of the Company, of the Auditors’ engagement letters, which approval may be pursuant to preapproval policies and procedures established by the Committee consistent with applicable laws and rules, including the delegation of preapproval authority to one or more Committee members so long as any such preapproval decisions are presented to the full Committee at the next scheduled meeting. The Committee should review and discuss with the Auditors (1) the Auditors’ responsibilities under generally accepted auditing standards and the responsibilities of management in the audit process, (2) the overall audit strategy, (3) the scope and timing of the annual audit,</w:t>
      </w:r>
    </w:p>
    <w:p>
      <w:pPr>
        <w:ind w:firstLine="8"/>
        <w:spacing w:after="0" w:line="260" w:lineRule="auto"/>
        <w:tabs>
          <w:tab w:leader="none" w:pos="26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significant risks identified during the Auditors’ risk assessment procedures and (5) when completed, the results, including significant findings, of the annual audit.</w:t>
      </w:r>
    </w:p>
    <w:p>
      <w:pPr>
        <w:spacing w:after="0" w:line="185" w:lineRule="exact"/>
        <w:rPr>
          <w:rFonts w:ascii="Arial" w:cs="Arial" w:eastAsia="Arial" w:hAnsi="Arial"/>
          <w:sz w:val="18"/>
          <w:szCs w:val="18"/>
          <w:color w:val="auto"/>
        </w:rPr>
      </w:pPr>
    </w:p>
    <w:p>
      <w:pPr>
        <w:jc w:val="both"/>
        <w:ind w:firstLine="656"/>
        <w:spacing w:after="0" w:line="255" w:lineRule="auto"/>
        <w:tabs>
          <w:tab w:leader="none" w:pos="828"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Approval of Non-Audit Services. </w:t>
      </w:r>
      <w:r>
        <w:rPr>
          <w:rFonts w:ascii="Arial" w:cs="Arial" w:eastAsia="Arial" w:hAnsi="Arial"/>
          <w:sz w:val="18"/>
          <w:szCs w:val="18"/>
          <w:color w:val="auto"/>
        </w:rPr>
        <w:t>To determine and approve engagements of the Auditors, prior to commencement of such engagements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compliance with exceptions available under applicable laws and rules related to immaterial aggregate amounts of services), to perform any proposed permissible non-audit services, including the scope of the service and the compensation to be paid therefor, at the Company’s expense, which approval may be pursuant to preapproval policies and procedures established by the Committee consistent with applicable laws and rules, including the delegation of preapproval authority to one or more Committee members so long as any such preapproval decisions are presented to the full Committee at the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jc w:val="both"/>
        <w:ind w:left="-656" w:firstLine="656"/>
        <w:spacing w:after="0" w:line="275" w:lineRule="auto"/>
        <w:tabs>
          <w:tab w:leader="none" w:pos="172"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Auditor Independence. </w:t>
      </w:r>
      <w:r>
        <w:rPr>
          <w:rFonts w:ascii="Arial" w:cs="Arial" w:eastAsia="Arial" w:hAnsi="Arial"/>
          <w:sz w:val="17"/>
          <w:szCs w:val="17"/>
          <w:color w:val="auto"/>
        </w:rPr>
        <w:t>At least annually, consistent with Rule 3526, to receive and review written disclosures from the Auditors delineating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between the Auditors, or their affiliates, and the Company, or persons in financial oversight roles at the Company, that may reasonably be thought to bear on independence and a letter from the Auditors affirming their independence, to consider and discuss with the Auditors any potential effects of any such relationships on the independence of the Auditors as well as any compensation or services that could affect the Auditors’ objectivity and independence, and to assess and otherwise take appropriate action to oversee the independence of the Auditors.</w:t>
      </w:r>
    </w:p>
    <w:p>
      <w:pPr>
        <w:spacing w:after="0" w:line="176" w:lineRule="exact"/>
        <w:rPr>
          <w:rFonts w:ascii="Arial" w:cs="Arial" w:eastAsia="Arial" w:hAnsi="Arial"/>
          <w:sz w:val="17"/>
          <w:szCs w:val="17"/>
          <w:b w:val="1"/>
          <w:bCs w:val="1"/>
          <w:color w:val="auto"/>
        </w:rPr>
      </w:pPr>
    </w:p>
    <w:p>
      <w:pPr>
        <w:ind w:left="-656" w:firstLine="656"/>
        <w:spacing w:after="0" w:line="277" w:lineRule="auto"/>
        <w:tabs>
          <w:tab w:leader="none" w:pos="172"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Former Employees of Auditor. </w:t>
      </w:r>
      <w:r>
        <w:rPr>
          <w:rFonts w:ascii="Arial" w:cs="Arial" w:eastAsia="Arial" w:hAnsi="Arial"/>
          <w:sz w:val="18"/>
          <w:szCs w:val="18"/>
          <w:color w:val="auto"/>
        </w:rPr>
        <w:t>To consider and, if deemed appropriate, adopt clear policies regarding hiring of employees or former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Auditors that participated in any capacity in any Company audit.</w:t>
      </w:r>
    </w:p>
    <w:p>
      <w:pPr>
        <w:spacing w:after="0" w:line="170" w:lineRule="exact"/>
        <w:rPr>
          <w:rFonts w:ascii="Arial" w:cs="Arial" w:eastAsia="Arial" w:hAnsi="Arial"/>
          <w:sz w:val="18"/>
          <w:szCs w:val="18"/>
          <w:b w:val="1"/>
          <w:bCs w:val="1"/>
          <w:color w:val="auto"/>
        </w:rPr>
      </w:pPr>
    </w:p>
    <w:p>
      <w:pPr>
        <w:jc w:val="both"/>
        <w:ind w:left="-656" w:firstLine="656"/>
        <w:spacing w:after="0" w:line="263" w:lineRule="auto"/>
        <w:tabs>
          <w:tab w:leader="none" w:pos="19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Audited Financial Statement Review. </w:t>
      </w:r>
      <w:r>
        <w:rPr>
          <w:rFonts w:ascii="Arial" w:cs="Arial" w:eastAsia="Arial" w:hAnsi="Arial"/>
          <w:sz w:val="18"/>
          <w:szCs w:val="18"/>
          <w:color w:val="auto"/>
        </w:rPr>
        <w:t>To review, upon completion of the audit, the financial statements proposed to be included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Registration Statements and Annual Report on Form 10-K to be filed with the SEC and to recommend whether or not such financial statements should be so included.</w:t>
      </w:r>
    </w:p>
    <w:p>
      <w:pPr>
        <w:spacing w:after="0" w:line="183" w:lineRule="exact"/>
        <w:rPr>
          <w:rFonts w:ascii="Arial" w:cs="Arial" w:eastAsia="Arial" w:hAnsi="Arial"/>
          <w:sz w:val="18"/>
          <w:szCs w:val="18"/>
          <w:b w:val="1"/>
          <w:bCs w:val="1"/>
          <w:color w:val="auto"/>
        </w:rPr>
      </w:pPr>
    </w:p>
    <w:p>
      <w:pPr>
        <w:jc w:val="both"/>
        <w:ind w:left="-656" w:firstLine="656"/>
        <w:spacing w:after="0" w:line="275" w:lineRule="auto"/>
        <w:tabs>
          <w:tab w:leader="none" w:pos="172"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Annual Audit Results. </w:t>
      </w:r>
      <w:r>
        <w:rPr>
          <w:rFonts w:ascii="Arial" w:cs="Arial" w:eastAsia="Arial" w:hAnsi="Arial"/>
          <w:sz w:val="17"/>
          <w:szCs w:val="17"/>
          <w:color w:val="auto"/>
        </w:rPr>
        <w:t>To review with management and the Auditors, the results of the annual audit, including the Auditors’ assessment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quality, not just acceptability, of the Company’s accounting principles and practices, the Auditors’ views about qualitative aspects of the Company’s significant accounting practices, the reasonableness of significant judgments and estimates (including material changes in estimates), all known and likely misstatements identified during the audit (other than those the Auditors believe to be trivial), the adequacy of the disclosures in the financial statements and any other matters required to be communicated to the Committee by the Auditors under the standards of the PCAOB.</w:t>
      </w:r>
    </w:p>
    <w:p>
      <w:pPr>
        <w:spacing w:after="0" w:line="176" w:lineRule="exact"/>
        <w:rPr>
          <w:rFonts w:ascii="Arial" w:cs="Arial" w:eastAsia="Arial" w:hAnsi="Arial"/>
          <w:sz w:val="17"/>
          <w:szCs w:val="17"/>
          <w:b w:val="1"/>
          <w:bCs w:val="1"/>
          <w:color w:val="auto"/>
        </w:rPr>
      </w:pPr>
    </w:p>
    <w:p>
      <w:pPr>
        <w:jc w:val="both"/>
        <w:ind w:left="-656" w:firstLine="656"/>
        <w:spacing w:after="0" w:line="263" w:lineRule="auto"/>
        <w:tabs>
          <w:tab w:leader="none" w:pos="19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Auditor Communications. </w:t>
      </w:r>
      <w:r>
        <w:rPr>
          <w:rFonts w:ascii="Arial" w:cs="Arial" w:eastAsia="Arial" w:hAnsi="Arial"/>
          <w:sz w:val="18"/>
          <w:szCs w:val="18"/>
          <w:color w:val="auto"/>
        </w:rPr>
        <w:t>At least annually, to discuss with the Auditors the matters required to be discussed by Statement on Auditing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12. AU section 380), as adopted by the PCAOB in Rule 3200T (including any successor rule adopted by the PCAOB).</w:t>
      </w:r>
    </w:p>
    <w:p>
      <w:pPr>
        <w:spacing w:after="0" w:line="183" w:lineRule="exact"/>
        <w:rPr>
          <w:rFonts w:ascii="Arial" w:cs="Arial" w:eastAsia="Arial" w:hAnsi="Arial"/>
          <w:sz w:val="18"/>
          <w:szCs w:val="18"/>
          <w:b w:val="1"/>
          <w:bCs w:val="1"/>
          <w:color w:val="auto"/>
        </w:rPr>
      </w:pPr>
    </w:p>
    <w:p>
      <w:pPr>
        <w:jc w:val="both"/>
        <w:ind w:left="-656" w:firstLine="656"/>
        <w:spacing w:after="0" w:line="259" w:lineRule="auto"/>
        <w:tabs>
          <w:tab w:leader="none" w:pos="28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Quarterly Results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as appropriate, the results of the Auditors’ review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quarterly financial statements, prior to public disclosure of quarterly financial information, if practicable, or filing with the SEC of the Company’s Quarterly Report on Form 10-Q, and any other matters required to be communicated to the Committee by the Auditors under generally accepted auditing standards, including standards of the PCAOB, as appropriate.</w:t>
      </w:r>
    </w:p>
    <w:p>
      <w:pPr>
        <w:spacing w:after="0" w:line="186" w:lineRule="exact"/>
        <w:rPr>
          <w:rFonts w:ascii="Arial" w:cs="Arial" w:eastAsia="Arial" w:hAnsi="Arial"/>
          <w:sz w:val="18"/>
          <w:szCs w:val="18"/>
          <w:b w:val="1"/>
          <w:bCs w:val="1"/>
          <w:color w:val="auto"/>
        </w:rPr>
      </w:pPr>
    </w:p>
    <w:p>
      <w:pPr>
        <w:jc w:val="both"/>
        <w:ind w:left="-656" w:firstLine="656"/>
        <w:spacing w:after="0" w:line="259" w:lineRule="auto"/>
        <w:tabs>
          <w:tab w:leader="none" w:pos="265"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Releases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the Company’s earnings press releases, including the type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to be included and its presentation and the use of any pro forma, adjusted or other non-GAAP financial information and any financial information and earnings guidance provided to analysts and ratings agencies, including the type of information to be disclosed and type of presentation to be made.</w:t>
      </w:r>
    </w:p>
    <w:p>
      <w:pPr>
        <w:spacing w:after="0" w:line="186" w:lineRule="exact"/>
        <w:rPr>
          <w:rFonts w:ascii="Arial" w:cs="Arial" w:eastAsia="Arial" w:hAnsi="Arial"/>
          <w:sz w:val="18"/>
          <w:szCs w:val="18"/>
          <w:b w:val="1"/>
          <w:bCs w:val="1"/>
          <w:color w:val="auto"/>
        </w:rPr>
      </w:pPr>
    </w:p>
    <w:p>
      <w:pPr>
        <w:jc w:val="both"/>
        <w:ind w:left="-656" w:firstLine="656"/>
        <w:spacing w:after="0" w:line="263" w:lineRule="auto"/>
        <w:tabs>
          <w:tab w:leader="none" w:pos="302"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Management’s Discussion and Analysis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review and discuss with management and the Auditors, as appropriate,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disclosures contained under the caption “Management’s Discussion and Analysis of Financial Condition and Results of Operations” in its periodic reports to be filed with the SEC.</w:t>
      </w:r>
    </w:p>
    <w:p>
      <w:pPr>
        <w:spacing w:after="0" w:line="183" w:lineRule="exact"/>
        <w:rPr>
          <w:rFonts w:ascii="Arial" w:cs="Arial" w:eastAsia="Arial" w:hAnsi="Arial"/>
          <w:sz w:val="18"/>
          <w:szCs w:val="18"/>
          <w:b w:val="1"/>
          <w:bCs w:val="1"/>
          <w:color w:val="auto"/>
        </w:rPr>
      </w:pPr>
    </w:p>
    <w:p>
      <w:pPr>
        <w:jc w:val="both"/>
        <w:ind w:left="-656" w:firstLine="656"/>
        <w:spacing w:after="0" w:line="255" w:lineRule="auto"/>
        <w:tabs>
          <w:tab w:leader="none" w:pos="275"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Accounting Principles and Policies. </w:t>
      </w:r>
      <w:r>
        <w:rPr>
          <w:rFonts w:ascii="Arial" w:cs="Arial" w:eastAsia="Arial" w:hAnsi="Arial"/>
          <w:sz w:val="18"/>
          <w:szCs w:val="18"/>
          <w:color w:val="auto"/>
        </w:rPr>
        <w:t>To review with management and the Auditors, as appropriate, significant issues that arise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principles and financial statement presentation, including critical accounting policies and practices, alternative accounting policies available under generally accepted accounting principles (“GAAP”) related to material items discussed with management, the potential impact on the Company’s financial statements of off-balance sheet structures and any other significant reporting issues and judgments, significant regulatory, legal and accounting initiatives or developments that may have a material impact on the Company’s financial statements, compliance programs and policies if, in the judgment of the Committee, such review is necessary or appropriate.</w:t>
      </w:r>
    </w:p>
    <w:p>
      <w:pPr>
        <w:spacing w:after="0" w:line="192" w:lineRule="exact"/>
        <w:rPr>
          <w:rFonts w:ascii="Arial" w:cs="Arial" w:eastAsia="Arial" w:hAnsi="Arial"/>
          <w:sz w:val="18"/>
          <w:szCs w:val="18"/>
          <w:b w:val="1"/>
          <w:bCs w:val="1"/>
          <w:color w:val="auto"/>
        </w:rPr>
      </w:pPr>
    </w:p>
    <w:p>
      <w:pPr>
        <w:jc w:val="both"/>
        <w:ind w:left="-656" w:firstLine="656"/>
        <w:spacing w:after="0" w:line="279" w:lineRule="auto"/>
        <w:tabs>
          <w:tab w:leader="none" w:pos="262"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Risk Assessment and Management. </w:t>
      </w:r>
      <w:r>
        <w:rPr>
          <w:rFonts w:ascii="Arial" w:cs="Arial" w:eastAsia="Arial" w:hAnsi="Arial"/>
          <w:sz w:val="17"/>
          <w:szCs w:val="17"/>
          <w:color w:val="auto"/>
        </w:rPr>
        <w:t>To review and discuss with management and, as appropriate, the Auditors the Company’s guidelines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policies with respect to risk assessment and risk management, including the Company’s major financial risk exposures and the steps taken by management to monitor and control these exposures; and to review and discuss with management insurance programs, including director and officer insurance, product liability insurance and general liability insurance (but excluding compensation and benefits-related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1323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29" w:name="page330"/>
    <w:bookmarkEnd w:id="329"/>
    <w:p>
      <w:pPr>
        <w:jc w:val="both"/>
        <w:ind w:left="-656" w:firstLine="656"/>
        <w:spacing w:after="0" w:line="311" w:lineRule="auto"/>
        <w:tabs>
          <w:tab w:leader="none" w:pos="289"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Management Cooperation with Audit. </w:t>
      </w:r>
      <w:r>
        <w:rPr>
          <w:rFonts w:ascii="Arial" w:cs="Arial" w:eastAsia="Arial" w:hAnsi="Arial"/>
          <w:sz w:val="16"/>
          <w:szCs w:val="16"/>
          <w:color w:val="auto"/>
        </w:rPr>
        <w:t>To evaluate the cooperation received by the Auditors during their audit examination, including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review with the Auditors of any significant difficulties encountered during the audit or any restrictions on the scope of their activities or access to required records, data and information and, whether or not resolved, significant disagreements with management and management’s response, if any.</w:t>
      </w:r>
    </w:p>
    <w:p>
      <w:pPr>
        <w:spacing w:after="0" w:line="148" w:lineRule="exact"/>
        <w:rPr>
          <w:rFonts w:ascii="Arial" w:cs="Arial" w:eastAsia="Arial" w:hAnsi="Arial"/>
          <w:sz w:val="16"/>
          <w:szCs w:val="16"/>
          <w:b w:val="1"/>
          <w:bCs w:val="1"/>
          <w:color w:val="auto"/>
        </w:rPr>
      </w:pPr>
    </w:p>
    <w:p>
      <w:pPr>
        <w:jc w:val="both"/>
        <w:ind w:left="-656" w:firstLine="656"/>
        <w:spacing w:after="0" w:line="263" w:lineRule="auto"/>
        <w:tabs>
          <w:tab w:leader="none" w:pos="275"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Management Letters. </w:t>
      </w:r>
      <w:r>
        <w:rPr>
          <w:rFonts w:ascii="Arial" w:cs="Arial" w:eastAsia="Arial" w:hAnsi="Arial"/>
          <w:sz w:val="18"/>
          <w:szCs w:val="18"/>
          <w:color w:val="auto"/>
        </w:rPr>
        <w:t>To review and discuss with the Auditors and, if appropriate, management, any management or internal control letter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or, to the extent practicable, proposed to be issued by the Auditors and management’s response, if any, to such letter, as well as any additional material written communications between the Auditors and management.</w:t>
      </w:r>
    </w:p>
    <w:p>
      <w:pPr>
        <w:spacing w:after="0" w:line="183" w:lineRule="exact"/>
        <w:rPr>
          <w:rFonts w:ascii="Arial" w:cs="Arial" w:eastAsia="Arial" w:hAnsi="Arial"/>
          <w:sz w:val="18"/>
          <w:szCs w:val="18"/>
          <w:b w:val="1"/>
          <w:bCs w:val="1"/>
          <w:color w:val="auto"/>
        </w:rPr>
      </w:pPr>
    </w:p>
    <w:p>
      <w:pPr>
        <w:ind w:left="-656" w:right="20" w:firstLine="656"/>
        <w:spacing w:after="0" w:line="277" w:lineRule="auto"/>
        <w:tabs>
          <w:tab w:leader="none" w:pos="26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National Office Communications. </w:t>
      </w:r>
      <w:r>
        <w:rPr>
          <w:rFonts w:ascii="Arial" w:cs="Arial" w:eastAsia="Arial" w:hAnsi="Arial"/>
          <w:sz w:val="18"/>
          <w:szCs w:val="18"/>
          <w:color w:val="auto"/>
        </w:rPr>
        <w:t>To review and discuss with the Auditors, as appropriate, communications between the audit team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Auditors’ national office with respect to accounting or auditing issues presented by the engagement.</w:t>
      </w:r>
    </w:p>
    <w:p>
      <w:pPr>
        <w:spacing w:after="0" w:line="170" w:lineRule="exact"/>
        <w:rPr>
          <w:rFonts w:ascii="Arial" w:cs="Arial" w:eastAsia="Arial" w:hAnsi="Arial"/>
          <w:sz w:val="18"/>
          <w:szCs w:val="18"/>
          <w:b w:val="1"/>
          <w:bCs w:val="1"/>
          <w:color w:val="auto"/>
        </w:rPr>
      </w:pPr>
    </w:p>
    <w:p>
      <w:pPr>
        <w:jc w:val="both"/>
        <w:ind w:left="-656" w:firstLine="656"/>
        <w:spacing w:after="0" w:line="301" w:lineRule="auto"/>
        <w:tabs>
          <w:tab w:leader="none" w:pos="262"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Disagreements Between Auditors and Management. </w:t>
      </w:r>
      <w:r>
        <w:rPr>
          <w:rFonts w:ascii="Arial" w:cs="Arial" w:eastAsia="Arial" w:hAnsi="Arial"/>
          <w:sz w:val="16"/>
          <w:szCs w:val="16"/>
          <w:color w:val="auto"/>
        </w:rPr>
        <w:t>To review with management and the Auditors, or any other registered public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engaged to perform review or attest services, any conflicts or disagreements between management and the Auditors, or such other accounting firm, whether or not resolved, regarding financial reporting, accounting practices or policies or other matters, that individually or in the aggregate could be significant to the Company’s financial statements or the Auditors’ report, and to resolve any conflicts or disagreements regarding financial reporting.</w:t>
      </w:r>
    </w:p>
    <w:p>
      <w:pPr>
        <w:spacing w:after="0" w:line="157" w:lineRule="exact"/>
        <w:rPr>
          <w:rFonts w:ascii="Arial" w:cs="Arial" w:eastAsia="Arial" w:hAnsi="Arial"/>
          <w:sz w:val="16"/>
          <w:szCs w:val="16"/>
          <w:b w:val="1"/>
          <w:bCs w:val="1"/>
          <w:color w:val="auto"/>
        </w:rPr>
      </w:pPr>
    </w:p>
    <w:p>
      <w:pPr>
        <w:jc w:val="both"/>
        <w:ind w:left="-656" w:firstLine="656"/>
        <w:spacing w:after="0" w:line="255" w:lineRule="auto"/>
        <w:tabs>
          <w:tab w:leader="none" w:pos="26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Internal Control Over Financial Reporting and Disclosure Controls. </w:t>
      </w:r>
      <w:r>
        <w:rPr>
          <w:rFonts w:ascii="Arial" w:cs="Arial" w:eastAsia="Arial" w:hAnsi="Arial"/>
          <w:sz w:val="18"/>
          <w:szCs w:val="18"/>
          <w:color w:val="auto"/>
        </w:rPr>
        <w:t>To confer with management and the Auditors, as appropriate,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scope, adequacy and effectiveness of internal control over financial reporting and disclosure controls and procedures, including significant deficiencies or material weaknesses identified by the Auditors. To review with the management and the Auditors any fraud, whether or not material, that includes management or other employees who have any significant role in the Company’s internal control over financial reporting or disclosure controls, and any significant changes in internal controls or disclosure controls or other factors that could significantly affect them, including any corrective actions in regard to significant deficiencies or material weaknesses.</w:t>
      </w:r>
    </w:p>
    <w:p>
      <w:pPr>
        <w:spacing w:after="0" w:line="192" w:lineRule="exact"/>
        <w:rPr>
          <w:rFonts w:ascii="Arial" w:cs="Arial" w:eastAsia="Arial" w:hAnsi="Arial"/>
          <w:sz w:val="18"/>
          <w:szCs w:val="18"/>
          <w:b w:val="1"/>
          <w:bCs w:val="1"/>
          <w:color w:val="auto"/>
        </w:rPr>
      </w:pPr>
    </w:p>
    <w:p>
      <w:pPr>
        <w:ind w:left="-656" w:firstLine="656"/>
        <w:spacing w:after="0" w:line="277" w:lineRule="auto"/>
        <w:tabs>
          <w:tab w:leader="none" w:pos="26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Separate Sessions. </w:t>
      </w:r>
      <w:r>
        <w:rPr>
          <w:rFonts w:ascii="Arial" w:cs="Arial" w:eastAsia="Arial" w:hAnsi="Arial"/>
          <w:sz w:val="18"/>
          <w:szCs w:val="18"/>
          <w:color w:val="auto"/>
        </w:rPr>
        <w:t>Periodically, to meet in separate sessions with the Auditors, as appropriate, and management to discuss any matters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the Auditors or management believe should be discussed privately with the Committee.</w:t>
      </w:r>
    </w:p>
    <w:p>
      <w:pPr>
        <w:spacing w:after="0" w:line="170" w:lineRule="exact"/>
        <w:rPr>
          <w:rFonts w:ascii="Arial" w:cs="Arial" w:eastAsia="Arial" w:hAnsi="Arial"/>
          <w:sz w:val="18"/>
          <w:szCs w:val="18"/>
          <w:b w:val="1"/>
          <w:bCs w:val="1"/>
          <w:color w:val="auto"/>
        </w:rPr>
      </w:pPr>
    </w:p>
    <w:p>
      <w:pPr>
        <w:jc w:val="both"/>
        <w:ind w:left="-656" w:firstLine="656"/>
        <w:spacing w:after="0" w:line="311" w:lineRule="auto"/>
        <w:tabs>
          <w:tab w:leader="none" w:pos="275"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Correspondence with Regulators. </w:t>
      </w:r>
      <w:r>
        <w:rPr>
          <w:rFonts w:ascii="Arial" w:cs="Arial" w:eastAsia="Arial" w:hAnsi="Arial"/>
          <w:sz w:val="16"/>
          <w:szCs w:val="16"/>
          <w:color w:val="auto"/>
        </w:rPr>
        <w:t>To consider and review with management, the Auditors, outside counsel, as appropriate, and any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separate accounting firm or other consultants and advisors as the Committee deems appropriate, any correspondence with regulators or governmental agencies and any published reports that raise material issues regarding the Company’s financial statements or accounting policies.</w:t>
      </w:r>
    </w:p>
    <w:p>
      <w:pPr>
        <w:spacing w:after="0" w:line="148" w:lineRule="exact"/>
        <w:rPr>
          <w:rFonts w:ascii="Arial" w:cs="Arial" w:eastAsia="Arial" w:hAnsi="Arial"/>
          <w:sz w:val="16"/>
          <w:szCs w:val="16"/>
          <w:b w:val="1"/>
          <w:bCs w:val="1"/>
          <w:color w:val="auto"/>
        </w:rPr>
      </w:pPr>
    </w:p>
    <w:p>
      <w:pPr>
        <w:jc w:val="both"/>
        <w:ind w:left="-656" w:firstLine="656"/>
        <w:spacing w:after="0" w:line="257" w:lineRule="auto"/>
        <w:tabs>
          <w:tab w:leader="none" w:pos="26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Complaint Procedures. </w:t>
      </w:r>
      <w:r>
        <w:rPr>
          <w:rFonts w:ascii="Arial" w:cs="Arial" w:eastAsia="Arial" w:hAnsi="Arial"/>
          <w:sz w:val="18"/>
          <w:szCs w:val="18"/>
          <w:color w:val="auto"/>
        </w:rPr>
        <w:t>To establish procedures, when and as required by applicable laws and rules, for the receipt, retention and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complaints received by the Company regarding accounting, internal accounting controls or auditing matters and the confidential and anonymous submission by employees of concerns regarding questionable accounting or auditing matters, and to establish such procedures as the Committee may deem appropriate for the receipt, retention and treatment of complaints received by the Company with respect to any other matters that may be directed to the Committee for review and assessment.</w:t>
      </w:r>
    </w:p>
    <w:p>
      <w:pPr>
        <w:spacing w:after="0" w:line="187" w:lineRule="exact"/>
        <w:rPr>
          <w:rFonts w:ascii="Arial" w:cs="Arial" w:eastAsia="Arial" w:hAnsi="Arial"/>
          <w:sz w:val="18"/>
          <w:szCs w:val="18"/>
          <w:b w:val="1"/>
          <w:bCs w:val="1"/>
          <w:color w:val="auto"/>
        </w:rPr>
      </w:pPr>
    </w:p>
    <w:p>
      <w:pPr>
        <w:jc w:val="both"/>
        <w:ind w:left="-656" w:firstLine="656"/>
        <w:spacing w:after="0" w:line="257" w:lineRule="auto"/>
        <w:tabs>
          <w:tab w:leader="none" w:pos="289"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Ethical Compliance; Compliance with Legal and Regulatory Requirements. </w:t>
      </w:r>
      <w:r>
        <w:rPr>
          <w:rFonts w:ascii="Arial" w:cs="Arial" w:eastAsia="Arial" w:hAnsi="Arial"/>
          <w:sz w:val="18"/>
          <w:szCs w:val="18"/>
          <w:color w:val="auto"/>
        </w:rPr>
        <w:t>To review the results of management’s efforts to monitor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with the Company’s programs and policies designed to ensure adherence to applicable laws and rules, as well as to its Code of Business Conduct and Ethics, as amended from time to time, and regarding legal matters and compliance with legal and regulatory requirements that may have a material effect on the Company’s business, financial statements or compliance policies, including any material reports or inquiries from regulatory or governmental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30" w:name="page331"/>
    <w:bookmarkEnd w:id="330"/>
    <w:p>
      <w:pPr>
        <w:ind w:left="960" w:hanging="304"/>
        <w:spacing w:after="0"/>
        <w:tabs>
          <w:tab w:leader="none" w:pos="96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Related-Person Transactions. </w:t>
      </w:r>
      <w:r>
        <w:rPr>
          <w:rFonts w:ascii="Arial" w:cs="Arial" w:eastAsia="Arial" w:hAnsi="Arial"/>
          <w:sz w:val="16"/>
          <w:szCs w:val="16"/>
          <w:color w:val="auto"/>
        </w:rPr>
        <w:t>To review and provide oversight of related-person transactions, as required by stock exchange rules and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regulations.</w:t>
      </w:r>
    </w:p>
    <w:p>
      <w:pPr>
        <w:spacing w:after="0" w:line="210" w:lineRule="exact"/>
        <w:rPr>
          <w:rFonts w:ascii="Arial" w:cs="Arial" w:eastAsia="Arial" w:hAnsi="Arial"/>
          <w:sz w:val="16"/>
          <w:szCs w:val="16"/>
          <w:b w:val="1"/>
          <w:bCs w:val="1"/>
          <w:color w:val="auto"/>
        </w:rPr>
      </w:pPr>
    </w:p>
    <w:p>
      <w:pPr>
        <w:jc w:val="both"/>
        <w:ind w:firstLine="656"/>
        <w:spacing w:after="0" w:line="275" w:lineRule="auto"/>
        <w:tabs>
          <w:tab w:leader="none" w:pos="931"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Engagement of Registered Public Accounting Firms. </w:t>
      </w:r>
      <w:r>
        <w:rPr>
          <w:rFonts w:ascii="Arial" w:cs="Arial" w:eastAsia="Arial" w:hAnsi="Arial"/>
          <w:sz w:val="17"/>
          <w:szCs w:val="17"/>
          <w:color w:val="auto"/>
        </w:rPr>
        <w:t>To determine and approve engagements of any registered public accounting firm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the Auditors), prior to commencement of such engagements, to perform any other review or attest service, including the compensation to be paid, at the Company’s expense, to such firm and the negotiation and execution, on behalf of the Company, of such firm’s engagement letter, which approval may be pursuant to preapproval policies and procedures, including the delegation of preapproval authority to one or more Committee members, so long as any such preapproval decisions are presented to the full Committee at the next scheduled meeting.</w:t>
      </w:r>
    </w:p>
    <w:p>
      <w:pPr>
        <w:spacing w:after="0" w:line="176" w:lineRule="exact"/>
        <w:rPr>
          <w:rFonts w:ascii="Arial" w:cs="Arial" w:eastAsia="Arial" w:hAnsi="Arial"/>
          <w:sz w:val="17"/>
          <w:szCs w:val="17"/>
          <w:b w:val="1"/>
          <w:bCs w:val="1"/>
          <w:color w:val="auto"/>
        </w:rPr>
      </w:pPr>
    </w:p>
    <w:p>
      <w:pPr>
        <w:ind w:firstLine="656"/>
        <w:spacing w:after="0" w:line="277" w:lineRule="auto"/>
        <w:tabs>
          <w:tab w:leader="none" w:pos="918"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Policy. </w:t>
      </w:r>
      <w:r>
        <w:rPr>
          <w:rFonts w:ascii="Arial" w:cs="Arial" w:eastAsia="Arial" w:hAnsi="Arial"/>
          <w:sz w:val="18"/>
          <w:szCs w:val="18"/>
          <w:color w:val="auto"/>
        </w:rPr>
        <w:t>To review, on a periodic basis, as appropriate, the Company’s investment policy and recommend to the Board any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investment policy.</w:t>
      </w:r>
    </w:p>
    <w:p>
      <w:pPr>
        <w:spacing w:after="0" w:line="170" w:lineRule="exact"/>
        <w:rPr>
          <w:rFonts w:ascii="Arial" w:cs="Arial" w:eastAsia="Arial" w:hAnsi="Arial"/>
          <w:sz w:val="18"/>
          <w:szCs w:val="18"/>
          <w:b w:val="1"/>
          <w:bCs w:val="1"/>
          <w:color w:val="auto"/>
        </w:rPr>
      </w:pPr>
    </w:p>
    <w:p>
      <w:pPr>
        <w:ind w:right="20" w:firstLine="656"/>
        <w:spacing w:after="0" w:line="277" w:lineRule="auto"/>
        <w:tabs>
          <w:tab w:leader="none" w:pos="931"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Investigations. </w:t>
      </w:r>
      <w:r>
        <w:rPr>
          <w:rFonts w:ascii="Arial" w:cs="Arial" w:eastAsia="Arial" w:hAnsi="Arial"/>
          <w:sz w:val="18"/>
          <w:szCs w:val="18"/>
          <w:color w:val="auto"/>
        </w:rPr>
        <w:t>To investigate any matter brought to the attention of the Committee within the scope of its duties if, in the judgment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such investigation is necessary or appropriate.</w:t>
      </w:r>
    </w:p>
    <w:p>
      <w:pPr>
        <w:spacing w:after="0" w:line="170" w:lineRule="exact"/>
        <w:rPr>
          <w:rFonts w:ascii="Arial" w:cs="Arial" w:eastAsia="Arial" w:hAnsi="Arial"/>
          <w:sz w:val="18"/>
          <w:szCs w:val="18"/>
          <w:b w:val="1"/>
          <w:bCs w:val="1"/>
          <w:color w:val="auto"/>
        </w:rPr>
      </w:pPr>
    </w:p>
    <w:p>
      <w:pPr>
        <w:ind w:left="960" w:hanging="304"/>
        <w:spacing w:after="0"/>
        <w:tabs>
          <w:tab w:leader="none" w:pos="96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Proxy Report. </w:t>
      </w:r>
      <w:r>
        <w:rPr>
          <w:rFonts w:ascii="Arial" w:cs="Arial" w:eastAsia="Arial" w:hAnsi="Arial"/>
          <w:sz w:val="17"/>
          <w:szCs w:val="17"/>
          <w:color w:val="auto"/>
        </w:rPr>
        <w:t>To prepare the report of the Committee required by the rules of the SEC to be included in the Company’s annual proxy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statement.</w:t>
      </w:r>
    </w:p>
    <w:p>
      <w:pPr>
        <w:spacing w:after="0" w:line="210" w:lineRule="exact"/>
        <w:rPr>
          <w:rFonts w:ascii="Arial" w:cs="Arial" w:eastAsia="Arial" w:hAnsi="Arial"/>
          <w:sz w:val="17"/>
          <w:szCs w:val="17"/>
          <w:b w:val="1"/>
          <w:bCs w:val="1"/>
          <w:color w:val="auto"/>
        </w:rPr>
      </w:pPr>
    </w:p>
    <w:p>
      <w:pPr>
        <w:ind w:left="920" w:hanging="264"/>
        <w:spacing w:after="0"/>
        <w:tabs>
          <w:tab w:leader="none" w:pos="92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Annual Charter Review. </w:t>
      </w:r>
      <w:r>
        <w:rPr>
          <w:rFonts w:ascii="Arial" w:cs="Arial" w:eastAsia="Arial" w:hAnsi="Arial"/>
          <w:sz w:val="16"/>
          <w:szCs w:val="16"/>
          <w:color w:val="auto"/>
        </w:rPr>
        <w:t>To review and assess the adequacy of this charter annually and recommend any proposed changes to the Board for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approval.</w:t>
      </w:r>
    </w:p>
    <w:p>
      <w:pPr>
        <w:spacing w:after="0" w:line="210" w:lineRule="exact"/>
        <w:rPr>
          <w:rFonts w:ascii="Arial" w:cs="Arial" w:eastAsia="Arial" w:hAnsi="Arial"/>
          <w:sz w:val="16"/>
          <w:szCs w:val="16"/>
          <w:b w:val="1"/>
          <w:bCs w:val="1"/>
          <w:color w:val="auto"/>
        </w:rPr>
      </w:pPr>
    </w:p>
    <w:p>
      <w:pPr>
        <w:jc w:val="both"/>
        <w:ind w:firstLine="656"/>
        <w:spacing w:after="0" w:line="263" w:lineRule="auto"/>
        <w:tabs>
          <w:tab w:leader="none" w:pos="918"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Report to Board. </w:t>
      </w:r>
      <w:r>
        <w:rPr>
          <w:rFonts w:ascii="Arial" w:cs="Arial" w:eastAsia="Arial" w:hAnsi="Arial"/>
          <w:sz w:val="18"/>
          <w:szCs w:val="18"/>
          <w:color w:val="auto"/>
        </w:rPr>
        <w:t>To report to the Board with respect to material issues that arise regarding the quality or integrity of the Company’s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the Company’s compliance with legal or regulatory requirements, the performance or independence of the Auditors or such other matters as the Committee deems appropriate from time to time or whenever it shall be called upon to do so.</w:t>
      </w:r>
    </w:p>
    <w:p>
      <w:pPr>
        <w:spacing w:after="0" w:line="183" w:lineRule="exact"/>
        <w:rPr>
          <w:rFonts w:ascii="Arial" w:cs="Arial" w:eastAsia="Arial" w:hAnsi="Arial"/>
          <w:sz w:val="18"/>
          <w:szCs w:val="18"/>
          <w:b w:val="1"/>
          <w:bCs w:val="1"/>
          <w:color w:val="auto"/>
        </w:rPr>
      </w:pPr>
    </w:p>
    <w:p>
      <w:pPr>
        <w:ind w:left="920" w:hanging="264"/>
        <w:spacing w:after="0"/>
        <w:tabs>
          <w:tab w:leader="none" w:pos="92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Annual Committee Evaluation. </w:t>
      </w:r>
      <w:r>
        <w:rPr>
          <w:rFonts w:ascii="Arial" w:cs="Arial" w:eastAsia="Arial" w:hAnsi="Arial"/>
          <w:sz w:val="18"/>
          <w:szCs w:val="18"/>
          <w:color w:val="auto"/>
        </w:rPr>
        <w:t>To conduct an annual evaluation of the performance of the Committee.</w:t>
      </w:r>
    </w:p>
    <w:p>
      <w:pPr>
        <w:spacing w:after="0" w:line="225" w:lineRule="exact"/>
        <w:rPr>
          <w:rFonts w:ascii="Arial" w:cs="Arial" w:eastAsia="Arial" w:hAnsi="Arial"/>
          <w:sz w:val="18"/>
          <w:szCs w:val="18"/>
          <w:b w:val="1"/>
          <w:bCs w:val="1"/>
          <w:color w:val="auto"/>
        </w:rPr>
      </w:pPr>
    </w:p>
    <w:p>
      <w:pPr>
        <w:ind w:right="20" w:firstLine="656"/>
        <w:spacing w:after="0" w:line="277" w:lineRule="auto"/>
        <w:tabs>
          <w:tab w:leader="none" w:pos="918"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Authority. </w:t>
      </w:r>
      <w:r>
        <w:rPr>
          <w:rFonts w:ascii="Arial" w:cs="Arial" w:eastAsia="Arial" w:hAnsi="Arial"/>
          <w:sz w:val="18"/>
          <w:szCs w:val="18"/>
          <w:color w:val="auto"/>
        </w:rPr>
        <w:t>To perform such other functions and to have such powers as may be necessary or appropriate in the efficient and lawful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discharge of the foregoing.</w:t>
      </w:r>
    </w:p>
    <w:p>
      <w:pPr>
        <w:spacing w:after="0" w:line="170" w:lineRule="exact"/>
        <w:rPr>
          <w:rFonts w:ascii="Arial" w:cs="Arial" w:eastAsia="Arial" w:hAnsi="Arial"/>
          <w:sz w:val="18"/>
          <w:szCs w:val="18"/>
          <w:b w:val="1"/>
          <w:bCs w:val="1"/>
          <w:color w:val="auto"/>
        </w:rPr>
      </w:pPr>
    </w:p>
    <w:p>
      <w:pPr>
        <w:jc w:val="both"/>
        <w:ind w:firstLine="656"/>
        <w:spacing w:after="0" w:line="273" w:lineRule="auto"/>
        <w:tabs>
          <w:tab w:leader="none" w:pos="918"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Internal Audit Function. </w:t>
      </w:r>
      <w:r>
        <w:rPr>
          <w:rFonts w:ascii="Arial" w:cs="Arial" w:eastAsia="Arial" w:hAnsi="Arial"/>
          <w:sz w:val="17"/>
          <w:szCs w:val="17"/>
          <w:color w:val="auto"/>
        </w:rPr>
        <w:t>Until the internal audit function of the Company is established, to assist with the Board’s oversight of the design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of an internal audit function; meet periodically with Company personnel primarily responsible for designing and implementing the internal audit function; review with the Auditors the Company’s plans for implementing the internal audit function, including management’s plans for internal audit’s budget, staff and responsibilities; and report regularly to the Board regarding the design and implementation of internal audit. Once the internal audit function is established, the Committee will monitor that the Company maintains an effective internal audit function and oversee the internal auditors (or other personnel responsible for the internal audit function), who will report directly to the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Adopted: 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Committee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purposes of the Compensation Committee (the “Committee”) of the Board of Directors (the “Board”) of Chardan NexTech Acquisition 2 Corp. (the “Company”) shall be to oversee the Company’s compensation and employee benefit plans and practices, including its executive, director and other incentive and equity-based compensation plans and to review and prepare any disclosures required to be made by the Company in its periodic filings with the Securities and Exchange Commission (“SEC”) pursuant to the rules and regulations of the SEC.</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Charter is intended as a tool within which the Board, assisted by its committees, directs the affairs of the Company. While it should be interpreted in the context of all applicable laws, regulations and listing requirements, as well as in the context of the Company’s charter and bylaws (“Governing Documents”), it is not intended to establish by its own force any legally binding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members of the Committee shall be appointed by the Board on the recommendation of the Nominating and Corporate Governance Committee. The Board may designate one member of the Committee as its Chairperson and in the absence of any such designation by the Board, the Committee shall designate by majority vote of the full Committee one member of the Committee as its Chairperson. Vacancies on the Committee shall be filled by majority vote of the Board at the next meeting of the Board following the occurrence of the vacancy or by written consent of the Board. No member of the Committee shall be removed except by majority vote of the Board. The Board may remove any member from the Committee at any time with or without cause.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shall be comprised of directors, each of whom meets the independence requirements established by the Board and applicable laws, regulations and listing requirements of the NYSE American. At least two members of the Committee also shall qualify as (i) a “non-employee director” within the meaning of Rule 16b-3 promulgated under the Securities Exchange Act of 1934, as amended (“Exchange Act”), and (ii) an “outside director” within the meaning of Section 162(m) of the Internal Revenue Code of 1986, as amended. Each member shall also be free of any relationship that, in the judgment of the Board, would interfere with the exercise of his or her independent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Procedures of the Committee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fix its own rules of procedure, which shall be consistent with the Governing Documents. The Committee shall meet at least annually, or more frequently as circumstances require. The Chairperson of the Committee or a majority of the members of the Committee may also call a special meeting of the Committee. A majority of the members of the Committee present in person or by means of a conference telephone or other communications equipment by means of which all persons participating in the meeting can hear each other shall constitute a quorum. Any action required or permitted to be taken at any meeting of the Committee may be taken without a meeting, if all members of the Committee consent thereto in writing, and the writing or writings are filled with the minutes of proceedings of the Committee.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may request that any directors, officers or employees of the Company, or other persons whose advice and counsel are sought by the Committee, attend any meeting of the Committee to provide such pertinent information as the Committee requests. The Company’s Chief Executive Officer (“CEO”) shall not attend the portion of any meeting where the CEO’s performance or compensation are discussed.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shall report to the Board on Committee findings, recommendations and other matters the Committee deems appropriate or the Board requests. The Committee shall keep written minutes of its meetings, which minutes shall be maintained with the books and records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Delegation of Authority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form subcommittees for any purpose that the Committee deems appropriate and may delegate to such subcommittees such power and authority as the Committee deems appropriate; provided, however, that the Committee shall not delegate to a subcommittee any power or authority required by any law, regulation or listing standard to be exercised by the Committee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2" w:name="page333"/>
    <w:bookmarkEnd w:id="332"/>
    <w:p>
      <w:pPr>
        <w:jc w:val="both"/>
        <w:ind w:firstLine="648"/>
        <w:spacing w:after="0" w:line="263" w:lineRule="auto"/>
        <w:rPr>
          <w:sz w:val="20"/>
          <w:szCs w:val="20"/>
          <w:color w:val="auto"/>
        </w:rPr>
      </w:pPr>
      <w:r>
        <w:rPr>
          <w:rFonts w:ascii="Arial" w:cs="Arial" w:eastAsia="Arial" w:hAnsi="Arial"/>
          <w:sz w:val="18"/>
          <w:szCs w:val="18"/>
          <w:color w:val="auto"/>
        </w:rPr>
        <w:t>The Committee may also delegate to one or more executive officers of the Company the authority to make grants of equity-based compensation to eligible individuals who are not executive officers. Any executive officer to whom the Committee grants such authority shall regularly report to the Committee grants so made and the Committee may revoke any delegation of authority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Responsibilities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responsibilities of the Committee shall be to:</w:t>
      </w:r>
    </w:p>
    <w:p>
      <w:pPr>
        <w:spacing w:after="0" w:line="225" w:lineRule="exact"/>
        <w:rPr>
          <w:sz w:val="20"/>
          <w:szCs w:val="20"/>
          <w:color w:val="auto"/>
        </w:rPr>
      </w:pPr>
    </w:p>
    <w:p>
      <w:pPr>
        <w:ind w:left="1300" w:right="340" w:hanging="320"/>
        <w:spacing w:after="0" w:line="277"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Ensure that the Company’s executive compensation programs are designed to enable it to recruit, retain and motivate a large group of talented and diverse executives.</w:t>
      </w:r>
    </w:p>
    <w:p>
      <w:pPr>
        <w:spacing w:after="0" w:line="170"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Ensure that the Company’s executive compensation programs are appropriately competitive, support organization objectives and stockholder interests, and ensure executive compensation is adequately designed to align the interests of executive officers with the long-term performance of the Company.</w:t>
      </w:r>
    </w:p>
    <w:p>
      <w:pPr>
        <w:spacing w:after="0" w:line="183" w:lineRule="exact"/>
        <w:rPr>
          <w:rFonts w:ascii="Arial" w:cs="Arial" w:eastAsia="Arial" w:hAnsi="Arial"/>
          <w:sz w:val="18"/>
          <w:szCs w:val="18"/>
          <w:color w:val="auto"/>
        </w:rPr>
      </w:pPr>
    </w:p>
    <w:p>
      <w:pPr>
        <w:ind w:left="1300" w:right="80" w:hanging="320"/>
        <w:spacing w:after="0" w:line="263"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Review and report to the Board for its consideration any cash incentive compensation plans, option plans or other equity based plans that provide for payment in the Company’s stock or are based on the value of the Company’s stock, subject to any approvals required by the stockholders of the Company.</w:t>
      </w:r>
    </w:p>
    <w:p>
      <w:pPr>
        <w:spacing w:after="0" w:line="399"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Oversee all employee benefit plans and programs of the Company, its subsidiaries and divisions, including the authority to adopt, amend and terminate such plans and programs (unless approval by the Board or stockholders is required by law).</w:t>
      </w:r>
    </w:p>
    <w:p>
      <w:pPr>
        <w:spacing w:after="0" w:line="170"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Review and approve annual corporate goals and objectives relevant to the CEO’s compensation; evaluate the CEO’s performance in light of those goals and objectives; and recommend for approval by the independent members of the Board, the CEO’s compensation level based on this evaluation.</w:t>
      </w:r>
    </w:p>
    <w:p>
      <w:pPr>
        <w:spacing w:after="0" w:line="183"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Evaluate and recommend for Board approval, on an annual basis, the individual elements of total compensation for the executive officers (within the meaning of Section 16 of the Exchange Act), other than the CEO, and other key executives.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Evaluate and recommend for Board Approval any mandatory stock ownership guidelines.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Review the compensation paid to non-employee directors and make recommendations to the Board for any adjustments.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Make all approvals necessary under Section 16, Section 162(m) and other regulatory provisions.</w:t>
      </w:r>
    </w:p>
    <w:p>
      <w:pPr>
        <w:spacing w:after="0" w:line="225"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If applicable, review and discuss the Compensation Discussion and Analysis (the “CD&amp;A”) required to be included in the Company’s proxy statement and annual report on Form 10-K by the rules and regulations of the SEC with management, and, based on such review and discussion, determine whether or not to recommend to the Board that the CD&amp;A be so included.</w:t>
      </w:r>
    </w:p>
    <w:p>
      <w:pPr>
        <w:spacing w:after="0" w:line="165"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Committee shall produce the annual Compensation Committee Report for inclusion in the Company’s proxy statement in compliance with the rules and regulations promulgated by the SEC.</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Annually assess and report to the Board on the performance and effectiveness of the Committee.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Review this Charter on an annual basis, update it as appropriate, and submit it for the approval of the Board when updated.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Undertake such other responsibilities or tasks as the Board may delegate or assign to the Committee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Investigations and Studies; Outside Advisers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conduct or authorize investigations into or studies of matters within the Committee’s scope of responsibilities, and may retain, at the Company’s expense, such independent legal counsel or other consultants or advisers as it deems necessary and appropriate, including compensation consultants to advise the Committee with respect to amounts or forms of executive or director compensation, and may rely on the integrity and advice of any such counsel or other advisers. It is the Committee’s intention that any compensation consultant engaged to advise the Committee with respect to executive and director compensation will not engage in work for the Company that is unrelated to executive and director compensation advisory services without prior approval of the 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3" w:name="page334"/>
    <w:bookmarkEnd w:id="333"/>
    <w:p>
      <w:pPr>
        <w:jc w:val="both"/>
        <w:ind w:firstLine="648"/>
        <w:spacing w:after="0" w:line="259" w:lineRule="auto"/>
        <w:rPr>
          <w:sz w:val="20"/>
          <w:szCs w:val="20"/>
          <w:color w:val="auto"/>
        </w:rPr>
      </w:pPr>
      <w:r>
        <w:rPr>
          <w:rFonts w:ascii="Arial" w:cs="Arial" w:eastAsia="Arial" w:hAnsi="Arial"/>
          <w:sz w:val="18"/>
          <w:szCs w:val="18"/>
          <w:color w:val="auto"/>
        </w:rPr>
        <w:t>The Committee shall be directly responsible for the appointment, compensation and oversight of the work of any such compensation consultant, legal counsel and other adviser retained by the Committee. The Company shall provide for appropriate funding, as determined by the compensation committee, for payment of reasonable compensation to a compensation consultant, legal counsel or any other adviser retained by the compensation committee. The Committee shall have sole authority to approve related fees and retention terms.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Committee may select, or receive advice from, a compensation consultant, legal counsel or other adviser to the Committee, other than in-house legal counsel, only after taking into consideration all factors relevant to the adviser’s independence from management, including those specified in Section 805(A)(4) of the NYSE American, LLC Company Guide and the following factors:</w:t>
      </w:r>
    </w:p>
    <w:p>
      <w:pPr>
        <w:spacing w:after="0" w:line="184" w:lineRule="exact"/>
        <w:rPr>
          <w:sz w:val="20"/>
          <w:szCs w:val="20"/>
          <w:color w:val="auto"/>
        </w:rPr>
      </w:pPr>
    </w:p>
    <w:p>
      <w:pPr>
        <w:ind w:left="1300" w:hanging="320"/>
        <w:spacing w:after="0"/>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provision of other services to the Company by the person that employs the compensation consultant, legal counsel or other adviser;</w:t>
      </w:r>
    </w:p>
    <w:p>
      <w:pPr>
        <w:spacing w:after="0" w:line="248" w:lineRule="exact"/>
        <w:rPr>
          <w:rFonts w:ascii="Arial" w:cs="Arial" w:eastAsia="Arial" w:hAnsi="Arial"/>
          <w:sz w:val="16"/>
          <w:szCs w:val="16"/>
          <w:color w:val="auto"/>
        </w:rPr>
      </w:pPr>
    </w:p>
    <w:p>
      <w:pPr>
        <w:ind w:left="1300" w:right="20" w:hanging="320"/>
        <w:spacing w:after="0" w:line="342" w:lineRule="auto"/>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amount of fees received from the Company by the person that employs the compensation consultant, legal counsel or other adviser, as a percentage of the total revenue of the person that employs the compensation consultant, legal counsel or other adviser;</w:t>
      </w:r>
    </w:p>
    <w:p>
      <w:pPr>
        <w:spacing w:after="0" w:line="123" w:lineRule="exact"/>
        <w:rPr>
          <w:rFonts w:ascii="Arial" w:cs="Arial" w:eastAsia="Arial" w:hAnsi="Arial"/>
          <w:sz w:val="16"/>
          <w:szCs w:val="16"/>
          <w:color w:val="auto"/>
        </w:rPr>
      </w:pPr>
    </w:p>
    <w:p>
      <w:pPr>
        <w:ind w:left="1300" w:right="260" w:hanging="320"/>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policies and procedures of the person that employs the compensation consultant, legal counsel or other adviser that are designed to prevent conflicts of interest;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business or personal relationship of the compensation consultant, legal counsel or other adviser with a member of the Committee;</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stock of the Company owned by the compensation consultant, legal counsel or other adviser; and</w:t>
      </w:r>
    </w:p>
    <w:p>
      <w:pPr>
        <w:spacing w:after="0" w:line="225" w:lineRule="exact"/>
        <w:rPr>
          <w:rFonts w:ascii="Arial" w:cs="Arial" w:eastAsia="Arial" w:hAnsi="Arial"/>
          <w:sz w:val="18"/>
          <w:szCs w:val="18"/>
          <w:color w:val="auto"/>
        </w:rPr>
      </w:pPr>
    </w:p>
    <w:p>
      <w:pPr>
        <w:ind w:left="1300" w:right="300" w:hanging="320"/>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consultant, legal counsel, other adviser or the person employing the adviser with a member of senior management.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the foregoing, the Committee is not required to conduct an independence assessment for a compensation adviser that acts in a role limited to the following activities for which no disclosure is required under Item 407(e)(3)(iii) of Regulation S-K promulgated by the SEC: (a) consulting on any broad-based plan that does not discriminate in scope, terms, or operation, in favor of Executive Officers or directors of the Company, and that is available generally to all salaried employees; and/or (b) providing information that either is not customized for the Company or that is customized based on parameters that are not developed by the adviser, and about which the adviser does not provide advice.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Adopted: 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22"/>
          <w:szCs w:val="22"/>
          <w:b w:val="1"/>
          <w:bCs w:val="1"/>
          <w:color w:val="auto"/>
        </w:rPr>
        <w:t>Exhibit 99.3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Jonathan Biele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FFFFFF"/>
        </w:rPr>
        <w:t>Date: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22"/>
          <w:szCs w:val="22"/>
          <w:b w:val="1"/>
          <w:bCs w:val="1"/>
          <w:color w:val="auto"/>
        </w:rPr>
        <w:t>Exhibit 99.4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FFFFFF"/>
        </w:rPr>
        <w:t>Date: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99.5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FFFFFF"/>
        </w:rPr>
        <w:t>Date: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22"/>
          <w:szCs w:val="22"/>
          <w:b w:val="1"/>
          <w:bCs w:val="1"/>
          <w:color w:val="auto"/>
        </w:rPr>
        <w:t>Exhibit 99.6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Jory Des 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FFFFFF"/>
        </w:rPr>
        <w:t>Date: [●], 2021</w:t>
      </w:r>
    </w:p>
    <w:p>
      <w:pPr>
        <w:sectPr>
          <w:pgSz w:w="11900" w:h="16838" w:orient="portrait"/>
          <w:cols w:equalWidth="0" w:num="1">
            <w:col w:w="11240"/>
          </w:cols>
          <w:pgMar w:left="320" w:top="111" w:right="3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99.7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1)"/>
      <w:numFmt w:val="decimal"/>
      <w:start w:val="1"/>
    </w:lvl>
  </w:abstractNum>
  <w:abstractNum w:abstractNumId="1">
    <w:nsid w:val="14FCE74E"/>
    <w:multiLevelType w:val="hybridMultilevel"/>
    <w:lvl w:ilvl="0">
      <w:lvlJc w:val="left"/>
      <w:lvlText w:val="(%1)"/>
      <w:numFmt w:val="decimal"/>
      <w:start w:val="1"/>
    </w:lvl>
  </w:abstractNum>
  <w:abstractNum w:abstractNumId="2">
    <w:nsid w:val="6A3DD3E8"/>
    <w:multiLevelType w:val="hybridMultilevel"/>
    <w:lvl w:ilvl="0">
      <w:lvlJc w:val="left"/>
      <w:lvlText w:val="•"/>
      <w:numFmt w:val="bullet"/>
      <w:start w:val="1"/>
    </w:lvl>
  </w:abstractNum>
  <w:abstractNum w:abstractNumId="3">
    <w:nsid w:val="71C91298"/>
    <w:multiLevelType w:val="hybridMultilevel"/>
    <w:lvl w:ilvl="0">
      <w:lvlJc w:val="left"/>
      <w:lvlText w:val="•"/>
      <w:numFmt w:val="bullet"/>
      <w:start w:val="1"/>
    </w:lvl>
  </w:abstractNum>
  <w:abstractNum w:abstractNumId="4">
    <w:nsid w:val="9DAF632"/>
    <w:multiLevelType w:val="hybridMultilevel"/>
    <w:lvl w:ilvl="0">
      <w:lvlJc w:val="left"/>
      <w:lvlText w:val="•"/>
      <w:numFmt w:val="bullet"/>
      <w:start w:val="1"/>
    </w:lvl>
  </w:abstractNum>
  <w:abstractNum w:abstractNumId="5">
    <w:nsid w:val="53299938"/>
    <w:multiLevelType w:val="hybridMultilevel"/>
    <w:lvl w:ilvl="0">
      <w:lvlJc w:val="left"/>
      <w:lvlText w:val="(%1)"/>
      <w:numFmt w:val="decimal"/>
      <w:start w:val="1"/>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1."/>
      <w:numFmt w:val="upperLetter"/>
      <w:start w:val="9"/>
    </w:lvl>
  </w:abstractNum>
  <w:abstractNum w:abstractNumId="8">
    <w:nsid w:val="1D545C4D"/>
    <w:multiLevelType w:val="hybridMultilevel"/>
    <w:lvl w:ilvl="0">
      <w:lvlJc w:val="left"/>
      <w:lvlText w:val="(%1)"/>
      <w:numFmt w:val="lowerRoman"/>
      <w:start w:val="2"/>
    </w:lvl>
  </w:abstractNum>
  <w:abstractNum w:abstractNumId="9">
    <w:nsid w:val="59ADEA3D"/>
    <w:multiLevelType w:val="hybridMultilevel"/>
    <w:lvl w:ilvl="0">
      <w:lvlJc w:val="left"/>
      <w:lvlText w:val="·"/>
      <w:numFmt w:val="bullet"/>
      <w:start w:val="1"/>
    </w:lvl>
  </w:abstractNum>
  <w:abstractNum w:abstractNumId="10">
    <w:nsid w:val="288F1A34"/>
    <w:multiLevelType w:val="hybridMultilevel"/>
    <w:lvl w:ilvl="0">
      <w:lvlJc w:val="left"/>
      <w:lvlText w:val="·"/>
      <w:numFmt w:val="bullet"/>
      <w:start w:val="1"/>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1."/>
      <w:numFmt w:val="upperLetter"/>
      <w:start w:val="35"/>
    </w:lvl>
  </w:abstractNum>
  <w:abstractNum w:abstractNumId="13">
    <w:nsid w:val="97E1B4E"/>
    <w:multiLevelType w:val="hybridMultilevel"/>
    <w:lvl w:ilvl="0">
      <w:lvlJc w:val="left"/>
      <w:lvlText w:val="(%1)"/>
      <w:numFmt w:val="lowerRoman"/>
      <w:start w:val="2"/>
    </w:lvl>
  </w:abstractNum>
  <w:abstractNum w:abstractNumId="14">
    <w:nsid w:val="51088277"/>
    <w:multiLevelType w:val="hybridMultilevel"/>
    <w:lvl w:ilvl="0">
      <w:lvlJc w:val="left"/>
      <w:lvlText w:val="%1."/>
      <w:numFmt w:val="upperLetter"/>
      <w:start w:val="61"/>
    </w:lvl>
  </w:abstractNum>
  <w:abstractNum w:abstractNumId="15">
    <w:nsid w:val="1CA0C5FA"/>
    <w:multiLevelType w:val="hybridMultilevel"/>
    <w:lvl w:ilvl="0">
      <w:lvlJc w:val="left"/>
      <w:lvlText w:val="·"/>
      <w:numFmt w:val="bullet"/>
      <w:start w:val="1"/>
    </w:lvl>
  </w:abstractNum>
  <w:abstractNum w:abstractNumId="16">
    <w:nsid w:val="53584BCB"/>
    <w:multiLevelType w:val="hybridMultilevel"/>
    <w:lvl w:ilvl="0">
      <w:lvlJc w:val="left"/>
      <w:lvlText w:val="(%1)"/>
      <w:numFmt w:val="upperLetter"/>
      <w:start w:val="1"/>
    </w:lvl>
  </w:abstractNum>
  <w:abstractNum w:abstractNumId="17">
    <w:nsid w:val="415E286C"/>
    <w:multiLevelType w:val="hybridMultilevel"/>
    <w:lvl w:ilvl="0">
      <w:lvlJc w:val="left"/>
      <w:lvlText w:val="·"/>
      <w:numFmt w:val="bullet"/>
      <w:start w:val="1"/>
    </w:lvl>
  </w:abstractNum>
  <w:abstractNum w:abstractNumId="18">
    <w:nsid w:val="7C58FD05"/>
    <w:multiLevelType w:val="hybridMultilevel"/>
    <w:lvl w:ilvl="0">
      <w:lvlJc w:val="left"/>
      <w:lvlText w:val="·"/>
      <w:numFmt w:val="bullet"/>
      <w:start w:val="1"/>
    </w:lvl>
  </w:abstractNum>
  <w:abstractNum w:abstractNumId="19">
    <w:nsid w:val="23D86AAC"/>
    <w:multiLevelType w:val="hybridMultilevel"/>
    <w:lvl w:ilvl="0">
      <w:lvlJc w:val="left"/>
      <w:lvlText w:val="·"/>
      <w:numFmt w:val="bullet"/>
      <w:start w:val="1"/>
    </w:lvl>
  </w:abstractNum>
  <w:abstractNum w:abstractNumId="20">
    <w:nsid w:val="45E6D486"/>
    <w:multiLevelType w:val="hybridMultilevel"/>
    <w:lvl w:ilvl="0">
      <w:lvlJc w:val="left"/>
      <w:lvlText w:val="·"/>
      <w:numFmt w:val="bullet"/>
      <w:start w:val="1"/>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1."/>
      <w:numFmt w:val="upperLetter"/>
      <w:start w:val="22"/>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
      <w:numFmt w:val="bullet"/>
      <w:start w:val="1"/>
    </w:lvl>
  </w:abstractNum>
  <w:abstractNum w:abstractNumId="25">
    <w:nsid w:val="78DF6A55"/>
    <w:multiLevelType w:val="hybridMultilevel"/>
    <w:lvl w:ilvl="0">
      <w:lvlJc w:val="left"/>
      <w:lvlText w:val="$"/>
      <w:numFmt w:val="bullet"/>
      <w:start w:val="1"/>
    </w:lvl>
  </w:abstractNum>
  <w:abstractNum w:abstractNumId="26">
    <w:nsid w:val="39B7AAA2"/>
    <w:multiLevelType w:val="hybridMultilevel"/>
    <w:lvl w:ilvl="0">
      <w:lvlJc w:val="left"/>
      <w:lvlText w:val="(%1)"/>
      <w:numFmt w:val="decimal"/>
      <w:start w:val="1"/>
    </w:lvl>
  </w:abstractNum>
  <w:abstractNum w:abstractNumId="27">
    <w:nsid w:val="2B0D8DBE"/>
    <w:multiLevelType w:val="hybridMultilevel"/>
    <w:lvl w:ilvl="0">
      <w:lvlJc w:val="left"/>
      <w:lvlText w:val="(%1)"/>
      <w:numFmt w:val="decimal"/>
      <w:start w:val="1"/>
    </w:lvl>
  </w:abstractNum>
  <w:abstractNum w:abstractNumId="28">
    <w:nsid w:val="6C80EC70"/>
    <w:multiLevelType w:val="hybridMultilevel"/>
    <w:lvl w:ilvl="0">
      <w:lvlJc w:val="left"/>
      <w:lvlText w:val="(%1)"/>
      <w:numFmt w:val="decimal"/>
      <w:start w:val="1"/>
    </w:lvl>
  </w:abstractNum>
  <w:abstractNum w:abstractNumId="29">
    <w:nsid w:val="379E21B5"/>
    <w:multiLevelType w:val="hybridMultilevel"/>
    <w:lvl w:ilvl="0">
      <w:lvlJc w:val="left"/>
      <w:lvlText w:val="(%1)"/>
      <w:numFmt w:val="decimal"/>
      <w:start w:val="1"/>
    </w:lvl>
  </w:abstractNum>
  <w:abstractNum w:abstractNumId="30">
    <w:nsid w:val="69E373"/>
    <w:multiLevelType w:val="hybridMultilevel"/>
    <w:lvl w:ilvl="0">
      <w:lvlJc w:val="left"/>
      <w:lvlText w:val="·"/>
      <w:numFmt w:val="bullet"/>
      <w:start w:val="1"/>
    </w:lvl>
  </w:abstractNum>
  <w:abstractNum w:abstractNumId="31">
    <w:nsid w:val="2C27173B"/>
    <w:multiLevelType w:val="hybridMultilevel"/>
    <w:lvl w:ilvl="0">
      <w:lvlJc w:val="left"/>
      <w:lvlText w:val="·"/>
      <w:numFmt w:val="bullet"/>
      <w:start w:val="1"/>
    </w:lvl>
  </w:abstractNum>
  <w:abstractNum w:abstractNumId="32">
    <w:nsid w:val="4C9B0904"/>
    <w:multiLevelType w:val="hybridMultilevel"/>
    <w:lvl w:ilvl="0">
      <w:lvlJc w:val="left"/>
      <w:lvlText w:val="·"/>
      <w:numFmt w:val="bullet"/>
      <w:start w:val="1"/>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1)"/>
      <w:numFmt w:val="lowerRoman"/>
      <w:start w:val="1"/>
    </w:lvl>
  </w:abstractNum>
  <w:abstractNum w:abstractNumId="35">
    <w:nsid w:val="5675FF36"/>
    <w:multiLevelType w:val="hybridMultilevel"/>
    <w:lvl w:ilvl="0">
      <w:lvlJc w:val="left"/>
      <w:lvlText w:val="·"/>
      <w:numFmt w:val="bullet"/>
      <w:start w:val="1"/>
    </w:lvl>
  </w:abstractNum>
  <w:abstractNum w:abstractNumId="36">
    <w:nsid w:val="3DD15094"/>
    <w:multiLevelType w:val="hybridMultilevel"/>
    <w:lvl w:ilvl="0">
      <w:lvlJc w:val="left"/>
      <w:lvlText w:val="·"/>
      <w:numFmt w:val="bullet"/>
      <w:start w:val="1"/>
    </w:lvl>
  </w:abstractNum>
  <w:abstractNum w:abstractNumId="37">
    <w:nsid w:val="3DB012B3"/>
    <w:multiLevelType w:val="hybridMultilevel"/>
    <w:lvl w:ilvl="0">
      <w:lvlJc w:val="left"/>
      <w:lvlText w:val="·"/>
      <w:numFmt w:val="bullet"/>
      <w:start w:val="1"/>
    </w:lvl>
  </w:abstractNum>
  <w:abstractNum w:abstractNumId="38">
    <w:nsid w:val="2708C9AF"/>
    <w:multiLevelType w:val="hybridMultilevel"/>
    <w:lvl w:ilvl="0">
      <w:lvlJc w:val="left"/>
      <w:lvlText w:val="·"/>
      <w:numFmt w:val="bullet"/>
      <w:start w:val="1"/>
    </w:lvl>
  </w:abstractNum>
  <w:abstractNum w:abstractNumId="39">
    <w:nsid w:val="5B25ACE2"/>
    <w:multiLevelType w:val="hybridMultilevel"/>
    <w:lvl w:ilvl="0">
      <w:lvlJc w:val="left"/>
      <w:lvlText w:val="·"/>
      <w:numFmt w:val="bullet"/>
      <w:start w:val="1"/>
    </w:lvl>
  </w:abstractNum>
  <w:abstractNum w:abstractNumId="40">
    <w:nsid w:val="175DFCF0"/>
    <w:multiLevelType w:val="hybridMultilevel"/>
    <w:lvl w:ilvl="0">
      <w:lvlJc w:val="left"/>
      <w:lvlText w:val="·"/>
      <w:numFmt w:val="bullet"/>
      <w:start w:val="1"/>
    </w:lvl>
  </w:abstractNum>
  <w:abstractNum w:abstractNumId="41">
    <w:nsid w:val="4F97E3E4"/>
    <w:multiLevelType w:val="hybridMultilevel"/>
    <w:lvl w:ilvl="0">
      <w:lvlJc w:val="left"/>
      <w:lvlText w:val="·"/>
      <w:numFmt w:val="bullet"/>
      <w:start w:val="1"/>
    </w:lvl>
  </w:abstractNum>
  <w:abstractNum w:abstractNumId="42">
    <w:nsid w:val="53B0A9E"/>
    <w:multiLevelType w:val="hybridMultilevel"/>
    <w:lvl w:ilvl="0">
      <w:lvlJc w:val="left"/>
      <w:lvlText w:val="·"/>
      <w:numFmt w:val="bullet"/>
      <w:start w:val="1"/>
    </w:lvl>
  </w:abstractNum>
  <w:abstractNum w:abstractNumId="43">
    <w:nsid w:val="34FD6B4F"/>
    <w:multiLevelType w:val="hybridMultilevel"/>
    <w:lvl w:ilvl="0">
      <w:lvlJc w:val="left"/>
      <w:lvlText w:val="·"/>
      <w:numFmt w:val="bullet"/>
      <w:start w:val="1"/>
    </w:lvl>
  </w:abstractNum>
  <w:abstractNum w:abstractNumId="44">
    <w:nsid w:val="5915FF32"/>
    <w:multiLevelType w:val="hybridMultilevel"/>
    <w:lvl w:ilvl="0">
      <w:lvlJc w:val="left"/>
      <w:lvlText w:val="·"/>
      <w:numFmt w:val="bullet"/>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
      <w:numFmt w:val="bullet"/>
      <w:start w:val="1"/>
    </w:lvl>
  </w:abstractNum>
  <w:abstractNum w:abstractNumId="47">
    <w:nsid w:val="2C6E4AFD"/>
    <w:multiLevelType w:val="hybridMultilevel"/>
    <w:lvl w:ilvl="0">
      <w:lvlJc w:val="left"/>
      <w:lvlText w:val="·"/>
      <w:numFmt w:val="bullet"/>
      <w:start w:val="1"/>
    </w:lvl>
  </w:abstractNum>
  <w:abstractNum w:abstractNumId="48">
    <w:nsid w:val="17A1B582"/>
    <w:multiLevelType w:val="hybridMultilevel"/>
    <w:lvl w:ilvl="0">
      <w:lvlJc w:val="left"/>
      <w:lvlText w:val="·"/>
      <w:numFmt w:val="bullet"/>
      <w:start w:val="1"/>
    </w:lvl>
  </w:abstractNum>
  <w:abstractNum w:abstractNumId="49">
    <w:nsid w:val="4DF72E4E"/>
    <w:multiLevelType w:val="hybridMultilevel"/>
    <w:lvl w:ilvl="0">
      <w:lvlJc w:val="left"/>
      <w:lvlText w:val="(%1)"/>
      <w:numFmt w:val="decimal"/>
      <w:start w:val="2"/>
    </w:lvl>
  </w:abstractNum>
  <w:abstractNum w:abstractNumId="50">
    <w:nsid w:val="5046B5A9"/>
    <w:multiLevelType w:val="hybridMultilevel"/>
    <w:lvl w:ilvl="0">
      <w:lvlJc w:val="left"/>
      <w:lvlText w:val="·"/>
      <w:numFmt w:val="bullet"/>
      <w:start w:val="1"/>
    </w:lvl>
  </w:abstractNum>
  <w:abstractNum w:abstractNumId="51">
    <w:nsid w:val="5D888A08"/>
    <w:multiLevelType w:val="hybridMultilevel"/>
    <w:lvl w:ilvl="0">
      <w:lvlJc w:val="left"/>
      <w:lvlText w:val="(%1)"/>
      <w:numFmt w:val="decimal"/>
      <w:start w:val="1"/>
    </w:lvl>
  </w:abstractNum>
  <w:abstractNum w:abstractNumId="52">
    <w:nsid w:val="2A082C70"/>
    <w:multiLevelType w:val="hybridMultilevel"/>
    <w:lvl w:ilvl="0">
      <w:lvlJc w:val="left"/>
      <w:lvlText w:val="(%1)"/>
      <w:numFmt w:val="lowerRoman"/>
      <w:start w:val="1"/>
    </w:lvl>
  </w:abstractNum>
  <w:abstractNum w:abstractNumId="53">
    <w:nsid w:val="5EC6AFD4"/>
    <w:multiLevelType w:val="hybridMultilevel"/>
    <w:lvl w:ilvl="0">
      <w:lvlJc w:val="left"/>
      <w:lvlText w:val="·"/>
      <w:numFmt w:val="bullet"/>
      <w:start w:val="1"/>
    </w:lvl>
  </w:abstractNum>
  <w:abstractNum w:abstractNumId="54">
    <w:nsid w:val="19E21BB2"/>
    <w:multiLevelType w:val="hybridMultilevel"/>
    <w:lvl w:ilvl="0">
      <w:lvlJc w:val="left"/>
      <w:lvlText w:val="·"/>
      <w:numFmt w:val="bullet"/>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1)"/>
      <w:numFmt w:val="lowerRoman"/>
      <w:start w:val="10"/>
    </w:lvl>
  </w:abstractNum>
  <w:abstractNum w:abstractNumId="57">
    <w:nsid w:val="5399C654"/>
    <w:multiLevelType w:val="hybridMultilevel"/>
    <w:lvl w:ilvl="0">
      <w:lvlJc w:val="left"/>
      <w:lvlText w:val="(%1)"/>
      <w:numFmt w:val="lowerRoman"/>
      <w:start w:val="10"/>
    </w:lvl>
  </w:abstractNum>
  <w:abstractNum w:abstractNumId="58">
    <w:nsid w:val="20EE1348"/>
    <w:multiLevelType w:val="hybridMultilevel"/>
    <w:lvl w:ilvl="0">
      <w:lvlJc w:val="left"/>
      <w:lvlText w:val="(%1)"/>
      <w:numFmt w:val="lowerLetter"/>
      <w:start w:val="2"/>
    </w:lvl>
  </w:abstractNum>
  <w:abstractNum w:abstractNumId="59">
    <w:nsid w:val="4427069A"/>
    <w:multiLevelType w:val="hybridMultilevel"/>
    <w:lvl w:ilvl="0">
      <w:lvlJc w:val="left"/>
      <w:lvlText w:val="·"/>
      <w:numFmt w:val="bullet"/>
      <w:start w:val="1"/>
    </w:lvl>
  </w:abstractNum>
  <w:abstractNum w:abstractNumId="60">
    <w:nsid w:val="B37E80A"/>
    <w:multiLevelType w:val="hybridMultilevel"/>
    <w:lvl w:ilvl="0">
      <w:lvlJc w:val="left"/>
      <w:lvlText w:val="·"/>
      <w:numFmt w:val="bullet"/>
      <w:start w:val="1"/>
    </w:lvl>
  </w:abstractNum>
  <w:abstractNum w:abstractNumId="61">
    <w:nsid w:val="2157F6BC"/>
    <w:multiLevelType w:val="hybridMultilevel"/>
    <w:lvl w:ilvl="0">
      <w:lvlJc w:val="left"/>
      <w:lvlText w:val="·"/>
      <w:numFmt w:val="bullet"/>
      <w:start w:val="1"/>
    </w:lvl>
  </w:abstractNum>
  <w:abstractNum w:abstractNumId="62">
    <w:nsid w:val="704E1DD5"/>
    <w:multiLevelType w:val="hybridMultilevel"/>
    <w:lvl w:ilvl="0">
      <w:lvlJc w:val="left"/>
      <w:lvlText w:val="(%1)"/>
      <w:numFmt w:val="decimal"/>
      <w:start w:val="3"/>
    </w:lvl>
  </w:abstractNum>
  <w:abstractNum w:abstractNumId="63">
    <w:nsid w:val="57D2F10E"/>
    <w:multiLevelType w:val="hybridMultilevel"/>
    <w:lvl w:ilvl="0">
      <w:lvlJc w:val="left"/>
      <w:lvlText w:val="•"/>
      <w:numFmt w:val="bullet"/>
      <w:start w:val="1"/>
    </w:lvl>
  </w:abstractNum>
  <w:abstractNum w:abstractNumId="64">
    <w:nsid w:val="BFFAE18"/>
    <w:multiLevelType w:val="hybridMultilevel"/>
    <w:lvl w:ilvl="0">
      <w:lvlJc w:val="left"/>
      <w:lvlText w:val="•"/>
      <w:numFmt w:val="bullet"/>
      <w:start w:val="1"/>
    </w:lvl>
  </w:abstractNum>
  <w:abstractNum w:abstractNumId="65">
    <w:nsid w:val="E3E47A8"/>
    <w:multiLevelType w:val="hybridMultilevel"/>
    <w:lvl w:ilvl="0">
      <w:lvlJc w:val="left"/>
      <w:lvlText w:val="•"/>
      <w:numFmt w:val="bullet"/>
      <w:start w:val="1"/>
    </w:lvl>
  </w:abstractNum>
  <w:abstractNum w:abstractNumId="66">
    <w:nsid w:val="2E48F044"/>
    <w:multiLevelType w:val="hybridMultilevel"/>
    <w:lvl w:ilvl="0">
      <w:lvlJc w:val="left"/>
      <w:lvlText w:val="·"/>
      <w:numFmt w:val="bullet"/>
      <w:start w:val="1"/>
    </w:lvl>
  </w:abstractNum>
  <w:abstractNum w:abstractNumId="67">
    <w:nsid w:val="49D0FEAC"/>
    <w:multiLevelType w:val="hybridMultilevel"/>
    <w:lvl w:ilvl="0">
      <w:lvlJc w:val="left"/>
      <w:lvlText w:val="·"/>
      <w:numFmt w:val="bullet"/>
      <w:start w:val="1"/>
    </w:lvl>
  </w:abstractNum>
  <w:abstractNum w:abstractNumId="68">
    <w:nsid w:val="4BEE5A5B"/>
    <w:multiLevelType w:val="hybridMultilevel"/>
    <w:lvl w:ilvl="0">
      <w:lvlJc w:val="left"/>
      <w:lvlText w:val="·"/>
      <w:numFmt w:val="bullet"/>
      <w:start w:val="1"/>
    </w:lvl>
  </w:abstractNum>
  <w:abstractNum w:abstractNumId="69">
    <w:nsid w:val="5551B9F3"/>
    <w:multiLevelType w:val="hybridMultilevel"/>
    <w:lvl w:ilvl="0">
      <w:lvlJc w:val="left"/>
      <w:lvlText w:val="$"/>
      <w:numFmt w:val="bullet"/>
      <w:start w:val="1"/>
    </w:lvl>
  </w:abstractNum>
  <w:abstractNum w:abstractNumId="70">
    <w:nsid w:val="24F6AB8E"/>
    <w:multiLevelType w:val="hybridMultilevel"/>
    <w:lvl w:ilvl="0">
      <w:lvlJc w:val="left"/>
      <w:lvlText w:val="(%1)"/>
      <w:numFmt w:val="decimal"/>
      <w:start w:val="1"/>
    </w:lvl>
  </w:abstractNum>
  <w:abstractNum w:abstractNumId="71">
    <w:nsid w:val="634C574C"/>
    <w:multiLevelType w:val="hybridMultilevel"/>
    <w:lvl w:ilvl="0">
      <w:lvlJc w:val="left"/>
      <w:lvlText w:val="·"/>
      <w:numFmt w:val="bullet"/>
      <w:start w:val="1"/>
    </w:lvl>
  </w:abstractNum>
  <w:abstractNum w:abstractNumId="72">
    <w:nsid w:val="24E99DD7"/>
    <w:multiLevelType w:val="hybridMultilevel"/>
    <w:lvl w:ilvl="0">
      <w:lvlJc w:val="left"/>
      <w:lvlText w:val="·"/>
      <w:numFmt w:val="bullet"/>
      <w:start w:val="1"/>
    </w:lvl>
  </w:abstractNum>
  <w:abstractNum w:abstractNumId="73">
    <w:nsid w:val="2A31B62D"/>
    <w:multiLevelType w:val="hybridMultilevel"/>
    <w:lvl w:ilvl="0">
      <w:lvlJc w:val="left"/>
      <w:lvlText w:val="·"/>
      <w:numFmt w:val="bullet"/>
      <w:start w:val="1"/>
    </w:lvl>
  </w:abstractNum>
  <w:abstractNum w:abstractNumId="74">
    <w:nsid w:val="1849C29B"/>
    <w:multiLevelType w:val="hybridMultilevel"/>
    <w:lvl w:ilvl="0">
      <w:lvlJc w:val="left"/>
      <w:lvlText w:val="·"/>
      <w:numFmt w:val="bullet"/>
      <w:start w:val="1"/>
    </w:lvl>
  </w:abstractNum>
  <w:abstractNum w:abstractNumId="75">
    <w:nsid w:val="7DFF9D09"/>
    <w:multiLevelType w:val="hybridMultilevel"/>
    <w:lvl w:ilvl="0">
      <w:lvlJc w:val="left"/>
      <w:lvlText w:val="(%1)"/>
      <w:numFmt w:val="decimal"/>
      <w:start w:val="1"/>
    </w:lvl>
  </w:abstractNum>
  <w:abstractNum w:abstractNumId="76">
    <w:nsid w:val="754342"/>
    <w:multiLevelType w:val="hybridMultilevel"/>
    <w:lvl w:ilvl="0">
      <w:lvlJc w:val="left"/>
      <w:lvlText w:val="(%1)"/>
      <w:numFmt w:val="decimal"/>
      <w:start w:val="1"/>
    </w:lvl>
  </w:abstractNum>
  <w:abstractNum w:abstractNumId="77">
    <w:nsid w:val="69E7F3E5"/>
    <w:multiLevelType w:val="hybridMultilevel"/>
    <w:lvl w:ilvl="0">
      <w:lvlJc w:val="left"/>
      <w:lvlText w:val="(%1)"/>
      <w:numFmt w:val="decimal"/>
      <w:start w:val="1"/>
    </w:lvl>
  </w:abstractNum>
  <w:abstractNum w:abstractNumId="78">
    <w:nsid w:val="2A6DE806"/>
    <w:multiLevelType w:val="hybridMultilevel"/>
    <w:lvl w:ilvl="0">
      <w:lvlJc w:val="left"/>
      <w:lvlText w:val="$"/>
      <w:numFmt w:val="bullet"/>
      <w:start w:val="1"/>
    </w:lvl>
  </w:abstractNum>
  <w:abstractNum w:abstractNumId="79">
    <w:nsid w:val="1816F8C4"/>
    <w:multiLevelType w:val="hybridMultilevel"/>
    <w:lvl w:ilvl="0">
      <w:lvlJc w:val="left"/>
      <w:lvlText w:val="$"/>
      <w:numFmt w:val="bullet"/>
      <w:start w:val="1"/>
    </w:lvl>
  </w:abstractNum>
  <w:abstractNum w:abstractNumId="80">
    <w:nsid w:val="37DF2233"/>
    <w:multiLevelType w:val="hybridMultilevel"/>
    <w:lvl w:ilvl="0">
      <w:lvlJc w:val="left"/>
      <w:lvlText w:val="(%1)"/>
      <w:numFmt w:val="decimal"/>
      <w:start w:val="1"/>
    </w:lvl>
  </w:abstractNum>
  <w:abstractNum w:abstractNumId="81">
    <w:nsid w:val="7AB49DAF"/>
    <w:multiLevelType w:val="hybridMultilevel"/>
    <w:lvl w:ilvl="0">
      <w:lvlJc w:val="left"/>
      <w:lvlText w:val="(%1)"/>
      <w:numFmt w:val="lowerRoman"/>
      <w:start w:val="2"/>
    </w:lvl>
  </w:abstractNum>
  <w:abstractNum w:abstractNumId="82">
    <w:nsid w:val="759F82CD"/>
    <w:multiLevelType w:val="hybridMultilevel"/>
    <w:lvl w:ilvl="0">
      <w:lvlJc w:val="left"/>
      <w:lvlText w:val="·"/>
      <w:numFmt w:val="bullet"/>
      <w:start w:val="1"/>
    </w:lvl>
  </w:abstractNum>
  <w:abstractNum w:abstractNumId="83">
    <w:nsid w:val="61E74EA3"/>
    <w:multiLevelType w:val="hybridMultilevel"/>
    <w:lvl w:ilvl="0">
      <w:lvlJc w:val="left"/>
      <w:lvlText w:val="(%1)"/>
      <w:numFmt w:val="lowerLetter"/>
      <w:start w:val="1"/>
    </w:lvl>
  </w:abstractNum>
  <w:abstractNum w:abstractNumId="84">
    <w:nsid w:val="597B4D84"/>
    <w:multiLevelType w:val="hybridMultilevel"/>
    <w:lvl w:ilvl="0">
      <w:lvlJc w:val="left"/>
      <w:lvlText w:val="(%1)"/>
      <w:numFmt w:val="lowerLetter"/>
      <w:start w:val="2"/>
    </w:lvl>
  </w:abstractNum>
  <w:abstractNum w:abstractNumId="85">
    <w:nsid w:val="F819E7F"/>
    <w:multiLevelType w:val="hybridMultilevel"/>
    <w:lvl w:ilvl="0">
      <w:lvlJc w:val="left"/>
      <w:lvlText w:val="(%1)"/>
      <w:numFmt w:val="lowerLetter"/>
      <w:start w:val="8"/>
    </w:lvl>
  </w:abstractNum>
  <w:abstractNum w:abstractNumId="86">
    <w:nsid w:val="57C7D42D"/>
    <w:multiLevelType w:val="hybridMultilevel"/>
    <w:lvl w:ilvl="0">
      <w:lvlJc w:val="left"/>
      <w:lvlText w:val="*"/>
      <w:numFmt w:val="bullet"/>
      <w:start w:val="1"/>
    </w:lvl>
  </w:abstractNum>
  <w:abstractNum w:abstractNumId="87">
    <w:nsid w:val="312167A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8">
    <w:nsid w:val="631B64D4"/>
    <w:multiLevelType w:val="hybridMultilevel"/>
    <w:lvl w:ilvl="0">
      <w:lvlJc w:val="left"/>
      <w:lvlText w:val="(%1)"/>
      <w:numFmt w:val="lowerRoman"/>
      <w:start w:val="3"/>
    </w:lvl>
  </w:abstractNum>
  <w:abstractNum w:abstractNumId="89">
    <w:nsid w:val="78B5E776"/>
    <w:multiLevelType w:val="hybridMultilevel"/>
    <w:lvl w:ilvl="0">
      <w:lvlJc w:val="left"/>
      <w:lvlText w:val="%1."/>
      <w:numFmt w:val="decimal"/>
      <w:start w:val="1"/>
    </w:lvl>
  </w:abstractNum>
  <w:abstractNum w:abstractNumId="90">
    <w:nsid w:val="75486E47"/>
    <w:multiLevelType w:val="hybridMultilevel"/>
    <w:lvl w:ilvl="0">
      <w:lvlJc w:val="left"/>
      <w:lvlText w:val="(%1)"/>
      <w:numFmt w:val="decimal"/>
      <w:start w:val="30"/>
    </w:lvl>
  </w:abstractNum>
  <w:abstractNum w:abstractNumId="91">
    <w:nsid w:val="6E534CDE"/>
    <w:multiLevelType w:val="hybridMultilevel"/>
    <w:lvl w:ilvl="0">
      <w:lvlJc w:val="left"/>
      <w:lvlText w:val="%1."/>
      <w:numFmt w:val="decimal"/>
      <w:start w:val="2"/>
    </w:lvl>
  </w:abstractNum>
  <w:abstractNum w:abstractNumId="92">
    <w:nsid w:val="1A0DDE32"/>
    <w:multiLevelType w:val="hybridMultilevel"/>
    <w:lvl w:ilvl="0">
      <w:lvlJc w:val="left"/>
      <w:lvlText w:val="%1."/>
      <w:numFmt w:val="decimal"/>
      <w:start w:val="3"/>
    </w:lvl>
  </w:abstractNum>
  <w:abstractNum w:abstractNumId="93">
    <w:nsid w:val="65968C1C"/>
    <w:multiLevelType w:val="hybridMultilevel"/>
    <w:lvl w:ilvl="0">
      <w:lvlJc w:val="left"/>
      <w:lvlText w:val="(%1)"/>
      <w:numFmt w:val="lowerRoman"/>
      <w:start w:val="5"/>
    </w:lvl>
  </w:abstractNum>
  <w:abstractNum w:abstractNumId="94">
    <w:nsid w:val="46263DEC"/>
    <w:multiLevelType w:val="hybridMultilevel"/>
    <w:lvl w:ilvl="0">
      <w:lvlJc w:val="left"/>
      <w:lvlText w:val="[●]"/>
      <w:numFmt w:val="bullet"/>
      <w:start w:val="1"/>
    </w:lvl>
  </w:abstractNum>
  <w:abstractNum w:abstractNumId="95">
    <w:nsid w:val="260D8C4A"/>
    <w:multiLevelType w:val="hybridMultilevel"/>
    <w:lvl w:ilvl="0">
      <w:lvlJc w:val="left"/>
      <w:lvlText w:val="(%1)"/>
      <w:numFmt w:val="lowerRoman"/>
      <w:start w:val="1"/>
    </w:lvl>
  </w:abstractNum>
  <w:abstractNum w:abstractNumId="96">
    <w:nsid w:val="73D4D3C4"/>
    <w:multiLevelType w:val="hybridMultilevel"/>
    <w:lvl w:ilvl="0">
      <w:lvlJc w:val="left"/>
      <w:lvlText w:val="(%1)"/>
      <w:numFmt w:val="decimal"/>
      <w:start w:val="4"/>
    </w:lvl>
  </w:abstractNum>
  <w:abstractNum w:abstractNumId="97">
    <w:nsid w:val="746F2E30"/>
    <w:multiLevelType w:val="hybridMultilevel"/>
    <w:lvl w:ilvl="0">
      <w:lvlJc w:val="left"/>
      <w:lvlText w:val="%1."/>
      <w:numFmt w:val="decimal"/>
      <w:start w:val="4"/>
    </w:lvl>
  </w:abstractNum>
  <w:abstractNum w:abstractNumId="98">
    <w:nsid w:val="6FDE8AF6"/>
    <w:multiLevelType w:val="hybridMultilevel"/>
    <w:lvl w:ilvl="0">
      <w:lvlJc w:val="left"/>
      <w:lvlText w:val="(%1)"/>
      <w:numFmt w:val="lowerLetter"/>
      <w:start w:val="1"/>
    </w:lvl>
  </w:abstractNum>
  <w:abstractNum w:abstractNumId="99">
    <w:nsid w:val="3FC32E20"/>
    <w:multiLevelType w:val="hybridMultilevel"/>
    <w:lvl w:ilvl="0">
      <w:lvlJc w:val="left"/>
      <w:lvlText w:val="%1."/>
      <w:numFmt w:val="decimal"/>
      <w:start w:val="5"/>
    </w:lvl>
  </w:abstractNum>
  <w:abstractNum w:abstractNumId="100">
    <w:nsid w:val="49C0E823"/>
    <w:multiLevelType w:val="hybridMultilevel"/>
    <w:lvl w:ilvl="0">
      <w:lvlJc w:val="left"/>
      <w:lvlText w:val="%1."/>
      <w:numFmt w:val="decimal"/>
      <w:start w:val="6"/>
    </w:lvl>
  </w:abstractNum>
  <w:abstractNum w:abstractNumId="101">
    <w:nsid w:val="14D53685"/>
    <w:multiLevelType w:val="hybridMultilevel"/>
    <w:lvl w:ilvl="0">
      <w:lvlJc w:val="left"/>
      <w:lvlText w:val="%1."/>
      <w:numFmt w:val="decimal"/>
      <w:start w:val="7"/>
    </w:lvl>
  </w:abstractNum>
  <w:abstractNum w:abstractNumId="102">
    <w:nsid w:val="230F856C"/>
    <w:multiLevelType w:val="hybridMultilevel"/>
    <w:lvl w:ilvl="0">
      <w:lvlJc w:val="left"/>
      <w:lvlText w:val="%1."/>
      <w:numFmt w:val="decimal"/>
      <w:start w:val="8"/>
    </w:lvl>
  </w:abstractNum>
  <w:abstractNum w:abstractNumId="103">
    <w:nsid w:val="6EAA85FB"/>
    <w:multiLevelType w:val="hybridMultilevel"/>
    <w:lvl w:ilvl="0">
      <w:lvlJc w:val="left"/>
      <w:lvlText w:val="(%1)"/>
      <w:numFmt w:val="lowerRoman"/>
      <w:start w:val="6"/>
    </w:lvl>
  </w:abstractNum>
  <w:abstractNum w:abstractNumId="104">
    <w:nsid w:val="3F06ECB2"/>
    <w:multiLevelType w:val="hybridMultilevel"/>
    <w:lvl w:ilvl="0">
      <w:lvlJc w:val="left"/>
      <w:lvlText w:val="%1."/>
      <w:numFmt w:val="decimal"/>
      <w:start w:val="10"/>
    </w:lvl>
  </w:abstractNum>
  <w:abstractNum w:abstractNumId="105">
    <w:nsid w:val="3B594807"/>
    <w:multiLevelType w:val="hybridMultilevel"/>
    <w:lvl w:ilvl="0">
      <w:lvlJc w:val="left"/>
      <w:lvlText w:val="%1."/>
      <w:numFmt w:val="decimal"/>
      <w:start w:val="1"/>
    </w:lvl>
    <w:lvl w:ilvl="1">
      <w:lvlJc w:val="left"/>
      <w:lvlText w:val="(%2)"/>
      <w:numFmt w:val="lowerRoman"/>
      <w:start w:val="1"/>
    </w:lvl>
  </w:abstractNum>
  <w:abstractNum w:abstractNumId="106">
    <w:nsid w:val="6CAA2304"/>
    <w:multiLevelType w:val="hybridMultilevel"/>
    <w:lvl w:ilvl="0">
      <w:lvlJc w:val="left"/>
      <w:lvlText w:val="(%1)"/>
      <w:numFmt w:val="lowerLetter"/>
      <w:start w:val="2"/>
    </w:lvl>
  </w:abstractNum>
  <w:abstractNum w:abstractNumId="107">
    <w:nsid w:val="3F7C2FF4"/>
    <w:multiLevelType w:val="hybridMultilevel"/>
    <w:lvl w:ilvl="0">
      <w:lvlJc w:val="left"/>
      <w:lvlText w:val="%1."/>
      <w:numFmt w:val="decimal"/>
      <w:start w:val="2"/>
    </w:lvl>
  </w:abstractNum>
  <w:abstractNum w:abstractNumId="108">
    <w:nsid w:val="25413BEC"/>
    <w:multiLevelType w:val="hybridMultilevel"/>
    <w:lvl w:ilvl="0">
      <w:lvlJc w:val="left"/>
      <w:lvlText w:val="%1"/>
      <w:numFmt w:val="lowerRoman"/>
      <w:start w:val="1"/>
    </w:lvl>
    <w:lvl w:ilvl="1">
      <w:lvlJc w:val="left"/>
      <w:lvlText w:val="%2."/>
      <w:numFmt w:val="decimal"/>
      <w:start w:val="6"/>
    </w:lvl>
  </w:abstractNum>
  <w:abstractNum w:abstractNumId="109">
    <w:nsid w:val="17180B0B"/>
    <w:multiLevelType w:val="hybridMultilevel"/>
    <w:lvl w:ilvl="0">
      <w:lvlJc w:val="left"/>
      <w:lvlText w:val="(%1)"/>
      <w:numFmt w:val="lowerRoman"/>
      <w:start w:val="1"/>
    </w:lvl>
    <w:lvl w:ilvl="1">
      <w:lvlJc w:val="left"/>
      <w:lvlText w:val="%2"/>
      <w:numFmt w:val="decimal"/>
      <w:start w:val="1"/>
    </w:lvl>
  </w:abstractNum>
  <w:abstractNum w:abstractNumId="110">
    <w:nsid w:val="579328B9"/>
    <w:multiLevelType w:val="hybridMultilevel"/>
    <w:lvl w:ilvl="0">
      <w:lvlJc w:val="left"/>
      <w:lvlText w:val="%1."/>
      <w:numFmt w:val="decimal"/>
      <w:start w:val="7"/>
    </w:lvl>
  </w:abstractNum>
  <w:abstractNum w:abstractNumId="111">
    <w:nsid w:val="5D205E20"/>
    <w:multiLevelType w:val="hybridMultilevel"/>
    <w:lvl w:ilvl="0">
      <w:lvlJc w:val="left"/>
      <w:lvlText w:val="%1."/>
      <w:numFmt w:val="decimal"/>
      <w:start w:val="14"/>
    </w:lvl>
  </w:abstractNum>
  <w:abstractNum w:abstractNumId="112">
    <w:nsid w:val="11CCA8BA"/>
    <w:multiLevelType w:val="hybridMultilevel"/>
    <w:lvl w:ilvl="0">
      <w:lvlJc w:val="left"/>
      <w:lvlText w:val="%1"/>
      <w:numFmt w:val="decimal"/>
      <w:start w:val="1"/>
    </w:lvl>
    <w:lvl w:ilvl="1">
      <w:lvlJc w:val="left"/>
      <w:lvlText w:val="%2."/>
      <w:numFmt w:val="decimal"/>
      <w:start w:val="1"/>
    </w:lvl>
  </w:abstractNum>
  <w:abstractNum w:abstractNumId="113">
    <w:nsid w:val="4D32AB86"/>
    <w:multiLevelType w:val="hybridMultilevel"/>
    <w:lvl w:ilvl="0">
      <w:lvlJc w:val="left"/>
      <w:lvlText w:val="%1."/>
      <w:numFmt w:val="decimal"/>
      <w:start w:val="2"/>
    </w:lvl>
    <w:lvl w:ilvl="1">
      <w:lvlJc w:val="left"/>
      <w:lvlText w:val="%2"/>
      <w:numFmt w:val="decimal"/>
      <w:start w:val="1"/>
    </w:lvl>
  </w:abstractNum>
  <w:abstractNum w:abstractNumId="114">
    <w:nsid w:val="3F07ACC3"/>
    <w:multiLevelType w:val="hybridMultilevel"/>
    <w:lvl w:ilvl="0">
      <w:lvlJc w:val="left"/>
      <w:lvlText w:val="(%1)"/>
      <w:numFmt w:val="lowerRoman"/>
      <w:start w:val="2"/>
    </w:lvl>
  </w:abstractNum>
  <w:abstractNum w:abstractNumId="115">
    <w:nsid w:val="6B47F63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16">
    <w:nsid w:val="5CB44A05"/>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17">
    <w:nsid w:val="16CF80F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18">
    <w:nsid w:val="1C695DEC"/>
    <w:multiLevelType w:val="hybridMultilevel"/>
    <w:lvl w:ilvl="0">
      <w:lvlJc w:val="left"/>
      <w:lvlText w:val="%1."/>
      <w:numFmt w:val="lowerLetter"/>
      <w:start w:val="1"/>
    </w:lvl>
    <w:lvl w:ilvl="1">
      <w:lvlJc w:val="left"/>
      <w:lvlText w:val="(%2)"/>
      <w:numFmt w:val="lowerRoman"/>
      <w:start w:val="3"/>
    </w:lvl>
  </w:abstractNum>
  <w:abstractNum w:abstractNumId="119">
    <w:nsid w:val="3FCFAED9"/>
    <w:multiLevelType w:val="hybridMultilevel"/>
    <w:lvl w:ilvl="0">
      <w:lvlJc w:val="left"/>
      <w:lvlText w:val="%1."/>
      <w:numFmt w:val="decimal"/>
      <w:start w:val="4"/>
    </w:lvl>
  </w:abstractNum>
  <w:abstractNum w:abstractNumId="120">
    <w:nsid w:val="F856867"/>
    <w:multiLevelType w:val="hybridMultilevel"/>
    <w:lvl w:ilvl="0">
      <w:lvlJc w:val="left"/>
      <w:lvlText w:val="%1."/>
      <w:numFmt w:val="lowerLetter"/>
      <w:start w:val="1"/>
    </w:lvl>
  </w:abstractNum>
  <w:abstractNum w:abstractNumId="121">
    <w:nsid w:val="11B1CC33"/>
    <w:multiLevelType w:val="hybridMultilevel"/>
    <w:lvl w:ilvl="0">
      <w:lvlJc w:val="left"/>
      <w:lvlText w:val="%1."/>
      <w:numFmt w:val="decimal"/>
      <w:start w:val="8"/>
    </w:lvl>
  </w:abstractNum>
  <w:abstractNum w:abstractNumId="122">
    <w:nsid w:val="2E22FBB7"/>
    <w:multiLevelType w:val="hybridMultilevel"/>
    <w:lvl w:ilvl="0">
      <w:lvlJc w:val="left"/>
      <w:lvlText w:val="%1."/>
      <w:numFmt w:val="decimal"/>
      <w:start w:val="1"/>
    </w:lvl>
  </w:abstractNum>
  <w:abstractNum w:abstractNumId="123">
    <w:nsid w:val="29934699"/>
    <w:multiLevelType w:val="hybridMultilevel"/>
    <w:lvl w:ilvl="0">
      <w:lvlJc w:val="left"/>
      <w:lvlText w:val="(%1)"/>
      <w:numFmt w:val="decimal"/>
      <w:start w:val="360"/>
    </w:lvl>
  </w:abstractNum>
  <w:abstractNum w:abstractNumId="124">
    <w:nsid w:val="77485850"/>
    <w:multiLevelType w:val="hybridMultilevel"/>
    <w:lvl w:ilvl="0">
      <w:lvlJc w:val="left"/>
      <w:lvlText w:val="%1."/>
      <w:numFmt w:val="decimal"/>
      <w:start w:val="3"/>
    </w:lvl>
  </w:abstractNum>
  <w:abstractNum w:abstractNumId="125">
    <w:nsid w:val="744939A3"/>
    <w:multiLevelType w:val="hybridMultilevel"/>
    <w:lvl w:ilvl="0">
      <w:lvlJc w:val="left"/>
      <w:lvlText w:val="(%1)"/>
      <w:numFmt w:val="lowerRoman"/>
      <w:start w:val="1"/>
    </w:lvl>
  </w:abstractNum>
  <w:abstractNum w:abstractNumId="126">
    <w:nsid w:val="4FA0D2E3"/>
    <w:multiLevelType w:val="hybridMultilevel"/>
    <w:lvl w:ilvl="0">
      <w:lvlJc w:val="left"/>
      <w:lvlText w:val="(%1)"/>
      <w:numFmt w:val="lowerRoman"/>
      <w:start w:val="2"/>
    </w:lvl>
  </w:abstractNum>
  <w:abstractNum w:abstractNumId="127">
    <w:nsid w:val="6B1D2C14"/>
    <w:multiLevelType w:val="hybridMultilevel"/>
    <w:lvl w:ilvl="0">
      <w:lvlJc w:val="left"/>
      <w:lvlText w:val="(%1)"/>
      <w:numFmt w:val="decimal"/>
      <w:start w:val="3"/>
    </w:lvl>
  </w:abstractNum>
  <w:abstractNum w:abstractNumId="128">
    <w:nsid w:val="68B867D3"/>
    <w:multiLevelType w:val="hybridMultilevel"/>
    <w:lvl w:ilvl="0">
      <w:lvlJc w:val="left"/>
      <w:lvlText w:val="%1."/>
      <w:numFmt w:val="decimal"/>
      <w:start w:val="4"/>
    </w:lvl>
  </w:abstractNum>
  <w:abstractNum w:abstractNumId="129">
    <w:nsid w:val="3F7F5DD9"/>
    <w:multiLevelType w:val="hybridMultilevel"/>
    <w:lvl w:ilvl="0">
      <w:lvlJc w:val="left"/>
      <w:lvlText w:val="%1."/>
      <w:numFmt w:val="decimal"/>
      <w:start w:val="5"/>
    </w:lvl>
  </w:abstractNum>
  <w:abstractNum w:abstractNumId="130">
    <w:nsid w:val="2AE05A34"/>
    <w:multiLevelType w:val="hybridMultilevel"/>
    <w:lvl w:ilvl="0">
      <w:lvlJc w:val="left"/>
      <w:lvlText w:val="%1."/>
      <w:numFmt w:val="decimal"/>
      <w:start w:val="6"/>
    </w:lvl>
  </w:abstractNum>
  <w:abstractNum w:abstractNumId="131">
    <w:nsid w:val="32794FF7"/>
    <w:multiLevelType w:val="hybridMultilevel"/>
    <w:lvl w:ilvl="0">
      <w:lvlJc w:val="left"/>
      <w:lvlText w:val="%1."/>
      <w:numFmt w:val="decimal"/>
      <w:start w:val="7"/>
    </w:lvl>
  </w:abstractNum>
  <w:abstractNum w:abstractNumId="132">
    <w:nsid w:val="5454945E"/>
    <w:multiLevelType w:val="hybridMultilevel"/>
    <w:lvl w:ilvl="0">
      <w:lvlJc w:val="left"/>
      <w:lvlText w:val="%1."/>
      <w:numFmt w:val="decimal"/>
      <w:start w:val="8"/>
    </w:lvl>
  </w:abstractNum>
  <w:abstractNum w:abstractNumId="133">
    <w:nsid w:val="4DEFDFA0"/>
    <w:multiLevelType w:val="hybridMultilevel"/>
    <w:lvl w:ilvl="0">
      <w:lvlJc w:val="left"/>
      <w:lvlText w:val="%1."/>
      <w:numFmt w:val="decimal"/>
      <w:start w:val="9"/>
    </w:lvl>
  </w:abstractNum>
  <w:abstractNum w:abstractNumId="134">
    <w:nsid w:val="2123D5F2"/>
    <w:multiLevelType w:val="hybridMultilevel"/>
    <w:lvl w:ilvl="0">
      <w:lvlJc w:val="left"/>
      <w:lvlText w:val="(%1)"/>
      <w:numFmt w:val="lowerLetter"/>
      <w:start w:val="2"/>
    </w:lvl>
  </w:abstractNum>
  <w:abstractNum w:abstractNumId="135">
    <w:nsid w:val="135B8110"/>
    <w:multiLevelType w:val="hybridMultilevel"/>
    <w:lvl w:ilvl="0">
      <w:lvlJc w:val="left"/>
      <w:lvlText w:val="%1."/>
      <w:numFmt w:val="lowerLetter"/>
      <w:start w:val="1"/>
    </w:lvl>
  </w:abstractNum>
  <w:abstractNum w:abstractNumId="136">
    <w:nsid w:val="94927A8"/>
    <w:multiLevelType w:val="hybridMultilevel"/>
    <w:lvl w:ilvl="0">
      <w:lvlJc w:val="left"/>
      <w:lvlText w:val="%1."/>
      <w:numFmt w:val="decimal"/>
      <w:start w:val="1"/>
    </w:lvl>
  </w:abstractNum>
  <w:abstractNum w:abstractNumId="137">
    <w:nsid w:val="DCDF8F6"/>
    <w:multiLevelType w:val="hybridMultilevel"/>
    <w:lvl w:ilvl="0">
      <w:lvlJc w:val="left"/>
      <w:lvlText w:val="%1."/>
      <w:numFmt w:val="decimal"/>
      <w:start w:val="1"/>
    </w:lvl>
    <w:lvl w:ilvl="1">
      <w:lvlJc w:val="left"/>
      <w:lvlText w:val="(%2)"/>
      <w:numFmt w:val="lowerLetter"/>
      <w:start w:val="2"/>
    </w:lvl>
  </w:abstractNum>
  <w:abstractNum w:abstractNumId="138">
    <w:nsid w:val="52D7B105"/>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39">
    <w:nsid w:val="2E8A639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40">
    <w:nsid w:val="24E60401"/>
    <w:multiLevelType w:val="hybridMultilevel"/>
    <w:lvl w:ilvl="0">
      <w:lvlJc w:val="left"/>
      <w:lvlText w:val="%1"/>
      <w:numFmt w:val="lowerLetter"/>
      <w:start w:val="1"/>
    </w:lvl>
    <w:lvl w:ilvl="1">
      <w:lvlJc w:val="left"/>
      <w:lvlText w:val="%2."/>
      <w:numFmt w:val="decimal"/>
      <w:start w:val="10"/>
    </w:lvl>
    <w:lvl w:ilvl="2">
      <w:lvlJc w:val="left"/>
      <w:lvlText w:val="-"/>
      <w:numFmt w:val="bullet"/>
      <w:start w:val="1"/>
    </w:lvl>
  </w:abstractNum>
  <w:abstractNum w:abstractNumId="141">
    <w:nsid w:val="2A6AD9BE"/>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42">
    <w:nsid w:val="BAAC1B4"/>
    <w:multiLevelType w:val="hybridMultilevel"/>
    <w:lvl w:ilvl="0">
      <w:lvlJc w:val="left"/>
      <w:lvlText w:val="(%1)"/>
      <w:numFmt w:val="lowerLetter"/>
      <w:start w:val="11"/>
    </w:lvl>
  </w:abstractNum>
  <w:abstractNum w:abstractNumId="143">
    <w:nsid w:val="36B2ACBC"/>
    <w:multiLevelType w:val="hybridMultilevel"/>
    <w:lvl w:ilvl="0">
      <w:lvlJc w:val="left"/>
      <w:lvlText w:val="%1."/>
      <w:numFmt w:val="decimal"/>
      <w:start w:val="11"/>
    </w:lvl>
    <w:lvl w:ilvl="1">
      <w:lvlJc w:val="left"/>
      <w:lvlText w:val="-"/>
      <w:numFmt w:val="bullet"/>
      <w:start w:val="1"/>
    </w:lvl>
  </w:abstractNum>
  <w:abstractNum w:abstractNumId="144">
    <w:nsid w:val="779D8544"/>
    <w:multiLevelType w:val="hybridMultilevel"/>
    <w:lvl w:ilvl="0">
      <w:lvlJc w:val="left"/>
      <w:lvlText w:val="%1."/>
      <w:numFmt w:val="decimal"/>
      <w:start w:val="13"/>
    </w:lvl>
  </w:abstractNum>
  <w:abstractNum w:abstractNumId="145">
    <w:nsid w:val="4AB26E78"/>
    <w:multiLevelType w:val="hybridMultilevel"/>
    <w:lvl w:ilvl="0">
      <w:lvlJc w:val="left"/>
      <w:lvlText w:val="%1."/>
      <w:numFmt w:val="decimal"/>
      <w:start w:val="17"/>
    </w:lvl>
  </w:abstractNum>
  <w:abstractNum w:abstractNumId="146">
    <w:nsid w:val="21FAA2FA"/>
    <w:multiLevelType w:val="hybridMultilevel"/>
    <w:lvl w:ilvl="0">
      <w:lvlJc w:val="left"/>
      <w:lvlText w:val="%1."/>
      <w:numFmt w:val="decimal"/>
      <w:start w:val="1"/>
    </w:lvl>
    <w:lvl w:ilvl="1">
      <w:lvlJc w:val="left"/>
      <w:lvlText w:val="(%2)"/>
      <w:numFmt w:val="lowerLetter"/>
      <w:start w:val="1"/>
    </w:lvl>
  </w:abstractNum>
  <w:abstractNum w:abstractNumId="147">
    <w:nsid w:val="5451CF49"/>
    <w:multiLevelType w:val="hybridMultilevel"/>
    <w:lvl w:ilvl="0">
      <w:lvlJc w:val="left"/>
      <w:lvlText w:val="%1"/>
      <w:numFmt w:val="decimal"/>
      <w:start w:val="1"/>
    </w:lvl>
    <w:lvl w:ilvl="1">
      <w:lvlJc w:val="left"/>
      <w:lvlText w:val="(%2)"/>
      <w:numFmt w:val="lowerLetter"/>
      <w:start w:val="8"/>
    </w:lvl>
  </w:abstractNum>
  <w:abstractNum w:abstractNumId="148">
    <w:nsid w:val="6181EF69"/>
    <w:multiLevelType w:val="hybridMultilevel"/>
    <w:lvl w:ilvl="0">
      <w:lvlJc w:val="left"/>
      <w:lvlText w:val="%1."/>
      <w:numFmt w:val="decimal"/>
      <w:start w:val="2"/>
    </w:lvl>
    <w:lvl w:ilvl="1">
      <w:lvlJc w:val="left"/>
      <w:lvlText w:val="(%2)"/>
      <w:numFmt w:val="lowerLetter"/>
      <w:start w:val="1"/>
    </w:lvl>
  </w:abstractNum>
  <w:abstractNum w:abstractNumId="149">
    <w:nsid w:val="3E6400E6"/>
    <w:multiLevelType w:val="hybridMultilevel"/>
    <w:lvl w:ilvl="0">
      <w:lvlJc w:val="left"/>
      <w:lvlText w:val="%1"/>
      <w:numFmt w:val="decimal"/>
      <w:start w:val="1"/>
    </w:lvl>
    <w:lvl w:ilvl="1">
      <w:lvlJc w:val="left"/>
      <w:lvlText w:val="(%2)"/>
      <w:numFmt w:val="lowerLetter"/>
      <w:start w:val="4"/>
    </w:lvl>
  </w:abstractNum>
  <w:abstractNum w:abstractNumId="150">
    <w:nsid w:val="14217E23"/>
    <w:multiLevelType w:val="hybridMultilevel"/>
    <w:lvl w:ilvl="0">
      <w:lvlJc w:val="left"/>
      <w:lvlText w:val="%1."/>
      <w:numFmt w:val="decimal"/>
      <w:start w:val="4"/>
    </w:lvl>
    <w:lvl w:ilvl="1">
      <w:lvlJc w:val="left"/>
      <w:lvlText w:val="(%2)"/>
      <w:numFmt w:val="lowerLetter"/>
      <w:start w:val="1"/>
    </w:lvl>
  </w:abstractNum>
  <w:abstractNum w:abstractNumId="151">
    <w:nsid w:val="710757D0"/>
    <w:multiLevelType w:val="hybridMultilevel"/>
    <w:lvl w:ilvl="0">
      <w:lvlJc w:val="left"/>
      <w:lvlText w:val="%1"/>
      <w:numFmt w:val="decimal"/>
      <w:start w:val="1"/>
    </w:lvl>
    <w:lvl w:ilvl="1">
      <w:lvlJc w:val="left"/>
      <w:lvlText w:val="(%2)"/>
      <w:numFmt w:val="lowerLetter"/>
      <w:start w:val="9"/>
    </w:lvl>
  </w:abstractNum>
  <w:abstractNum w:abstractNumId="152">
    <w:nsid w:val="5015CD1A"/>
    <w:multiLevelType w:val="hybridMultilevel"/>
    <w:lvl w:ilvl="0">
      <w:lvlJc w:val="left"/>
      <w:lvlText w:val="%1."/>
      <w:numFmt w:val="decimal"/>
      <w:start w:val="5"/>
    </w:lvl>
    <w:lvl w:ilvl="1">
      <w:lvlJc w:val="left"/>
      <w:lvlText w:val="(%2)"/>
      <w:numFmt w:val="lowerLetter"/>
      <w:start w:val="1"/>
    </w:lvl>
  </w:abstractNum>
  <w:abstractNum w:abstractNumId="153">
    <w:nsid w:val="424479DA"/>
    <w:multiLevelType w:val="hybridMultilevel"/>
    <w:lvl w:ilvl="0">
      <w:lvlJc w:val="left"/>
      <w:lvlText w:val="(%1)"/>
      <w:numFmt w:val="lowerLetter"/>
      <w:start w:val="4"/>
    </w:lvl>
  </w:abstractNum>
  <w:abstractNum w:abstractNumId="154">
    <w:nsid w:val="1A9A9E69"/>
    <w:multiLevelType w:val="hybridMultilevel"/>
    <w:lvl w:ilvl="0">
      <w:lvlJc w:val="left"/>
      <w:lvlText w:val="(%1)"/>
      <w:numFmt w:val="lowerLetter"/>
      <w:start w:val="6"/>
    </w:lvl>
  </w:abstractNum>
  <w:abstractNum w:abstractNumId="155">
    <w:nsid w:val="475E256A"/>
    <w:multiLevelType w:val="hybridMultilevel"/>
    <w:lvl w:ilvl="0">
      <w:lvlJc w:val="left"/>
      <w:lvlText w:val="%1."/>
      <w:numFmt w:val="decimal"/>
      <w:start w:val="1"/>
    </w:lvl>
  </w:abstractNum>
  <w:abstractNum w:abstractNumId="156">
    <w:nsid w:val="368DB37E"/>
    <w:multiLevelType w:val="hybridMultilevel"/>
    <w:lvl w:ilvl="0">
      <w:lvlJc w:val="left"/>
      <w:lvlText w:val="%1."/>
      <w:numFmt w:val="decimal"/>
      <w:start w:val="4"/>
    </w:lvl>
  </w:abstractNum>
  <w:abstractNum w:abstractNumId="157">
    <w:nsid w:val="6A3B714C"/>
    <w:multiLevelType w:val="hybridMultilevel"/>
    <w:lvl w:ilvl="0">
      <w:lvlJc w:val="left"/>
      <w:lvlText w:val="%1."/>
      <w:numFmt w:val="decimal"/>
      <w:start w:val="5"/>
    </w:lvl>
  </w:abstractNum>
  <w:abstractNum w:abstractNumId="158">
    <w:nsid w:val="327B517E"/>
    <w:multiLevelType w:val="hybridMultilevel"/>
    <w:lvl w:ilvl="0">
      <w:lvlJc w:val="left"/>
      <w:lvlText w:val="%1."/>
      <w:numFmt w:val="decimal"/>
      <w:start w:val="6"/>
    </w:lvl>
  </w:abstractNum>
  <w:abstractNum w:abstractNumId="159">
    <w:nsid w:val="1F461B51"/>
    <w:multiLevelType w:val="hybridMultilevel"/>
    <w:lvl w:ilvl="0">
      <w:lvlJc w:val="left"/>
      <w:lvlText w:val="%1."/>
      <w:numFmt w:val="decimal"/>
      <w:start w:val="2"/>
    </w:lvl>
  </w:abstractNum>
  <w:abstractNum w:abstractNumId="160">
    <w:nsid w:val="29BACF25"/>
    <w:multiLevelType w:val="hybridMultilevel"/>
    <w:lvl w:ilvl="0">
      <w:lvlJc w:val="left"/>
      <w:lvlText w:val="(%1)"/>
      <w:numFmt w:val="lowerLetter"/>
      <w:start w:val="1"/>
    </w:lvl>
  </w:abstractNum>
  <w:abstractNum w:abstractNumId="161">
    <w:nsid w:val="5D5BABB3"/>
    <w:multiLevelType w:val="hybridMultilevel"/>
    <w:lvl w:ilvl="0">
      <w:lvlJc w:val="left"/>
      <w:lvlText w:val="%1."/>
      <w:numFmt w:val="decimal"/>
      <w:start w:val="3"/>
    </w:lvl>
  </w:abstractNum>
  <w:abstractNum w:abstractNumId="162">
    <w:nsid w:val="51BF6B48"/>
    <w:multiLevelType w:val="hybridMultilevel"/>
    <w:lvl w:ilvl="0">
      <w:lvlJc w:val="left"/>
      <w:lvlText w:val="%1."/>
      <w:numFmt w:val="decimal"/>
      <w:start w:val="4"/>
    </w:lvl>
  </w:abstractNum>
  <w:abstractNum w:abstractNumId="163">
    <w:nsid w:val="7E0F6384"/>
    <w:multiLevelType w:val="hybridMultilevel"/>
    <w:lvl w:ilvl="0">
      <w:lvlJc w:val="left"/>
      <w:lvlText w:val="%1."/>
      <w:numFmt w:val="decimal"/>
      <w:start w:val="5"/>
    </w:lvl>
  </w:abstractNum>
  <w:abstractNum w:abstractNumId="164">
    <w:nsid w:val="2B4B8B53"/>
    <w:multiLevelType w:val="hybridMultilevel"/>
    <w:lvl w:ilvl="0">
      <w:lvlJc w:val="left"/>
      <w:lvlText w:val="%1."/>
      <w:numFmt w:val="decimal"/>
      <w:start w:val="6"/>
    </w:lvl>
  </w:abstractNum>
  <w:abstractNum w:abstractNumId="165">
    <w:nsid w:val="72E3413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66">
    <w:nsid w:val="116AE494"/>
    <w:multiLevelType w:val="hybridMultilevel"/>
    <w:lvl w:ilvl="0">
      <w:lvlJc w:val="left"/>
      <w:lvlText w:val="%1"/>
      <w:numFmt w:val="lowerLetter"/>
      <w:start w:val="1"/>
    </w:lvl>
    <w:lvl w:ilvl="1">
      <w:lvlJc w:val="left"/>
      <w:lvlText w:val="(%2)"/>
      <w:numFmt w:val="lowerRoman"/>
      <w:start w:val="4"/>
    </w:lvl>
  </w:abstractNum>
  <w:abstractNum w:abstractNumId="167">
    <w:nsid w:val="3494B2FB"/>
    <w:multiLevelType w:val="hybridMultilevel"/>
    <w:lvl w:ilvl="0">
      <w:lvlJc w:val="left"/>
      <w:lvlText w:val="(%1)"/>
      <w:numFmt w:val="lowerLetter"/>
      <w:start w:val="4"/>
    </w:lvl>
    <w:lvl w:ilvl="1">
      <w:lvlJc w:val="left"/>
      <w:lvlText w:val="%2"/>
      <w:numFmt w:val="lowerRoman"/>
      <w:start w:val="1"/>
    </w:lvl>
  </w:abstractNum>
  <w:abstractNum w:abstractNumId="168">
    <w:nsid w:val="B13A31"/>
    <w:multiLevelType w:val="hybridMultilevel"/>
    <w:lvl w:ilvl="0">
      <w:lvlJc w:val="left"/>
      <w:lvlText w:val="%1"/>
      <w:numFmt w:val="decimal"/>
      <w:start w:val="1"/>
    </w:lvl>
    <w:lvl w:ilvl="1">
      <w:lvlJc w:val="left"/>
      <w:lvlText w:val="(%2)"/>
      <w:numFmt w:val="lowerLetter"/>
      <w:start w:val="11"/>
    </w:lvl>
  </w:abstractNum>
  <w:abstractNum w:abstractNumId="169">
    <w:nsid w:val="64429599"/>
    <w:multiLevelType w:val="hybridMultilevel"/>
    <w:lvl w:ilvl="0">
      <w:lvlJc w:val="left"/>
      <w:lvlText w:val="%1"/>
      <w:numFmt w:val="decimal"/>
      <w:start w:val="1"/>
    </w:lvl>
    <w:lvl w:ilvl="1">
      <w:lvlJc w:val="left"/>
      <w:lvlText w:val="(%2)"/>
      <w:numFmt w:val="lowerLetter"/>
      <w:start w:val="35"/>
    </w:lvl>
  </w:abstractNum>
  <w:abstractNum w:abstractNumId="170">
    <w:nsid w:val="631F1690"/>
    <w:multiLevelType w:val="hybridMultilevel"/>
    <w:lvl w:ilvl="0">
      <w:lvlJc w:val="left"/>
      <w:lvlText w:val="%1"/>
      <w:numFmt w:val="decimal"/>
      <w:start w:val="1"/>
    </w:lvl>
    <w:lvl w:ilvl="1">
      <w:lvlJc w:val="left"/>
      <w:lvlText w:val="(%2)"/>
      <w:numFmt w:val="lowerLetter"/>
      <w:start w:val="12"/>
    </w:lvl>
  </w:abstractNum>
  <w:abstractNum w:abstractNumId="171">
    <w:nsid w:val="25973E32"/>
    <w:multiLevelType w:val="hybridMultilevel"/>
    <w:lvl w:ilvl="0">
      <w:lvlJc w:val="left"/>
      <w:lvlText w:val="%1."/>
      <w:numFmt w:val="decimal"/>
      <w:start w:val="3"/>
    </w:lvl>
    <w:lvl w:ilvl="1">
      <w:lvlJc w:val="left"/>
      <w:lvlText w:val="%2"/>
      <w:numFmt w:val="lowerLetter"/>
      <w:start w:val="1"/>
    </w:lvl>
  </w:abstractNum>
  <w:abstractNum w:abstractNumId="172">
    <w:nsid w:val="EAD6F57"/>
    <w:multiLevelType w:val="hybridMultilevel"/>
    <w:lvl w:ilvl="0">
      <w:lvlJc w:val="left"/>
      <w:lvlText w:val="%1."/>
      <w:numFmt w:val="decimal"/>
      <w:start w:val="4"/>
    </w:lvl>
    <w:lvl w:ilvl="1">
      <w:lvlJc w:val="left"/>
      <w:lvlText w:val="%2."/>
      <w:numFmt w:val="decimal"/>
      <w:start w:val="7"/>
    </w:lvl>
  </w:abstractNum>
  <w:abstractNum w:abstractNumId="173">
    <w:nsid w:val="6EC9D844"/>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lowerLetter"/>
      <w:start w:val="1"/>
    </w:lvl>
  </w:abstractNum>
  <w:abstractNum w:abstractNumId="174">
    <w:nsid w:val="5C49EAEE"/>
    <w:multiLevelType w:val="hybridMultilevel"/>
    <w:lvl w:ilvl="0">
      <w:lvlJc w:val="left"/>
      <w:lvlText w:val="%1."/>
      <w:numFmt w:val="decimal"/>
      <w:start w:val="9"/>
    </w:lvl>
    <w:lvl w:ilvl="1">
      <w:lvlJc w:val="left"/>
      <w:lvlText w:val="%2"/>
      <w:numFmt w:val="decimal"/>
      <w:start w:val="1"/>
    </w:lvl>
    <w:lvl w:ilvl="2">
      <w:lvlJc w:val="left"/>
      <w:lvlText w:val="%3."/>
      <w:numFmt w:val="decimal"/>
      <w:start w:val="9"/>
    </w:lvl>
    <w:lvl w:ilvl="3">
      <w:lvlJc w:val="left"/>
      <w:lvlText w:val="(%4)"/>
      <w:numFmt w:val="lowerLetter"/>
      <w:start w:val="1"/>
    </w:lvl>
  </w:abstractNum>
  <w:abstractNum w:abstractNumId="175">
    <w:nsid w:val="64AF4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76">
    <w:nsid w:val="397C46BC"/>
    <w:multiLevelType w:val="hybridMultilevel"/>
    <w:lvl w:ilvl="0">
      <w:lvlJc w:val="left"/>
      <w:lvlText w:val="%1."/>
      <w:numFmt w:val="decimal"/>
      <w:start w:val="11"/>
    </w:lvl>
    <w:lvl w:ilvl="1">
      <w:lvlJc w:val="left"/>
      <w:lvlText w:val="%2."/>
      <w:numFmt w:val="decimal"/>
      <w:start w:val="11"/>
    </w:lvl>
    <w:lvl w:ilvl="2">
      <w:lvlJc w:val="left"/>
      <w:lvlText w:val="(%3)"/>
      <w:numFmt w:val="lowerLetter"/>
      <w:start w:val="1"/>
    </w:lvl>
  </w:abstractNum>
  <w:abstractNum w:abstractNumId="177">
    <w:nsid w:val="7E448DE9"/>
    <w:multiLevelType w:val="hybridMultilevel"/>
    <w:lvl w:ilvl="0">
      <w:lvlJc w:val="left"/>
      <w:lvlText w:val="%1"/>
      <w:numFmt w:val="decimal"/>
      <w:start w:val="1"/>
    </w:lvl>
    <w:lvl w:ilvl="1">
      <w:lvlJc w:val="left"/>
      <w:lvlText w:val="(%2)"/>
      <w:numFmt w:val="lowerLetter"/>
      <w:start w:val="3"/>
    </w:lvl>
  </w:abstractNum>
  <w:abstractNum w:abstractNumId="178">
    <w:nsid w:val="5A9CC3E5"/>
    <w:multiLevelType w:val="hybridMultilevel"/>
    <w:lvl w:ilvl="0">
      <w:lvlJc w:val="left"/>
      <w:lvlText w:val="%1."/>
      <w:numFmt w:val="decimal"/>
      <w:start w:val="13"/>
    </w:lvl>
    <w:lvl w:ilvl="1">
      <w:lvlJc w:val="left"/>
      <w:lvlText w:val="(%2)"/>
      <w:numFmt w:val="lowerLetter"/>
      <w:start w:val="1"/>
    </w:lvl>
  </w:abstractNum>
  <w:abstractNum w:abstractNumId="179">
    <w:nsid w:val="1AFE3625"/>
    <w:multiLevelType w:val="hybridMultilevel"/>
    <w:lvl w:ilvl="0">
      <w:lvlJc w:val="left"/>
      <w:lvlText w:val="%1"/>
      <w:numFmt w:val="decimal"/>
      <w:start w:val="1"/>
    </w:lvl>
    <w:lvl w:ilvl="1">
      <w:lvlJc w:val="left"/>
      <w:lvlText w:val="(%2)"/>
      <w:numFmt w:val="lowerLetter"/>
      <w:start w:val="5"/>
    </w:lvl>
  </w:abstractNum>
  <w:abstractNum w:abstractNumId="180">
    <w:nsid w:val="3CA88ECF"/>
    <w:multiLevelType w:val="hybridMultilevel"/>
    <w:lvl w:ilvl="0">
      <w:lvlJc w:val="left"/>
      <w:lvlText w:val="%1."/>
      <w:numFmt w:val="decimal"/>
      <w:start w:val="14"/>
    </w:lvl>
    <w:lvl w:ilvl="1">
      <w:lvlJc w:val="left"/>
      <w:lvlText w:val="(%2)"/>
      <w:numFmt w:val="lowerLetter"/>
      <w:start w:val="1"/>
    </w:lvl>
  </w:abstractNum>
  <w:abstractNum w:abstractNumId="181">
    <w:nsid w:val="6EBE4208"/>
    <w:multiLevelType w:val="hybridMultilevel"/>
    <w:lvl w:ilvl="0">
      <w:lvlJc w:val="left"/>
      <w:lvlText w:val="%1"/>
      <w:numFmt w:val="decimal"/>
      <w:start w:val="1"/>
    </w:lvl>
    <w:lvl w:ilvl="1">
      <w:lvlJc w:val="left"/>
      <w:lvlText w:val="(%2)"/>
      <w:numFmt w:val="lowerLetter"/>
      <w:start w:val="6"/>
    </w:lvl>
  </w:abstractNum>
  <w:abstractNum w:abstractNumId="182">
    <w:nsid w:val="C058DF5"/>
    <w:multiLevelType w:val="hybridMultilevel"/>
    <w:lvl w:ilvl="0">
      <w:lvlJc w:val="left"/>
      <w:lvlText w:val="%1."/>
      <w:numFmt w:val="decimal"/>
      <w:start w:val="15"/>
    </w:lvl>
    <w:lvl w:ilvl="1">
      <w:lvlJc w:val="left"/>
      <w:lvlText w:val="(%2)"/>
      <w:numFmt w:val="lowerLetter"/>
      <w:start w:val="1"/>
    </w:lvl>
  </w:abstractNum>
  <w:abstractNum w:abstractNumId="183">
    <w:nsid w:val="CBE5BE9"/>
    <w:multiLevelType w:val="hybridMultilevel"/>
    <w:lvl w:ilvl="0">
      <w:lvlJc w:val="left"/>
      <w:lvlText w:val="%1"/>
      <w:numFmt w:val="decimal"/>
      <w:start w:val="1"/>
    </w:lvl>
    <w:lvl w:ilvl="1">
      <w:lvlJc w:val="left"/>
      <w:lvlText w:val="(%2)"/>
      <w:numFmt w:val="lowerLetter"/>
      <w:start w:val="4"/>
    </w:lvl>
  </w:abstractNum>
  <w:abstractNum w:abstractNumId="184">
    <w:nsid w:val="3102BBE2"/>
    <w:multiLevelType w:val="hybridMultilevel"/>
    <w:lvl w:ilvl="0">
      <w:lvlJc w:val="left"/>
      <w:lvlText w:val="%1."/>
      <w:numFmt w:val="decimal"/>
      <w:start w:val="17"/>
    </w:lvl>
    <w:lvl w:ilvl="1">
      <w:lvlJc w:val="left"/>
      <w:lvlText w:val="(%2)"/>
      <w:numFmt w:val="lowerLetter"/>
      <w:start w:val="1"/>
    </w:lvl>
  </w:abstractNum>
  <w:abstractNum w:abstractNumId="185">
    <w:nsid w:val="26A02C5E"/>
    <w:multiLevelType w:val="hybridMultilevel"/>
    <w:lvl w:ilvl="0">
      <w:lvlJc w:val="left"/>
      <w:lvlText w:val="%1"/>
      <w:numFmt w:val="decimal"/>
      <w:start w:val="1"/>
    </w:lvl>
    <w:lvl w:ilvl="1">
      <w:lvlJc w:val="left"/>
      <w:lvlText w:val="(%2)"/>
      <w:numFmt w:val="lowerLetter"/>
      <w:start w:val="2"/>
    </w:lvl>
  </w:abstractNum>
  <w:abstractNum w:abstractNumId="186">
    <w:nsid w:val="541C8153"/>
    <w:multiLevelType w:val="hybridMultilevel"/>
    <w:lvl w:ilvl="0">
      <w:lvlJc w:val="left"/>
      <w:lvlText w:val="%1."/>
      <w:numFmt w:val="decimal"/>
      <w:start w:val="20"/>
    </w:lvl>
    <w:lvl w:ilvl="1">
      <w:lvlJc w:val="left"/>
      <w:lvlText w:val="(%2)"/>
      <w:numFmt w:val="lowerLetter"/>
      <w:start w:val="1"/>
    </w:lvl>
  </w:abstractNum>
  <w:abstractNum w:abstractNumId="187">
    <w:nsid w:val="67906F60"/>
    <w:multiLevelType w:val="hybridMultilevel"/>
    <w:lvl w:ilvl="0">
      <w:lvlJc w:val="left"/>
      <w:lvlText w:val="%1."/>
      <w:numFmt w:val="decimal"/>
      <w:start w:val="22"/>
    </w:lvl>
  </w:abstractNum>
  <w:abstractNum w:abstractNumId="188">
    <w:nsid w:val="10DB9DAA"/>
    <w:multiLevelType w:val="hybridMultilevel"/>
    <w:lvl w:ilvl="0">
      <w:lvlJc w:val="left"/>
      <w:lvlText w:val="·"/>
      <w:numFmt w:val="bullet"/>
      <w:start w:val="1"/>
    </w:lvl>
  </w:abstractNum>
  <w:abstractNum w:abstractNumId="189">
    <w:nsid w:val="697D2D2"/>
    <w:multiLevelType w:val="hybridMultilevel"/>
    <w:lvl w:ilvl="0">
      <w:lvlJc w:val="left"/>
      <w:lvlText w:val="·"/>
      <w:numFmt w:val="bullet"/>
      <w:start w:val="1"/>
    </w:lvl>
  </w:abstractNum>
  <w:abstractNum w:abstractNumId="190">
    <w:nsid w:val="6D68AB2"/>
    <w:multiLevelType w:val="hybridMultilevel"/>
    <w:lvl w:ilvl="0">
      <w:lvlJc w:val="left"/>
      <w:lvlText w:val="(%1)"/>
      <w:numFmt w:val="lowerLetter"/>
      <w:start w:val="1"/>
    </w:lvl>
  </w:abstractNum>
  <w:abstractNum w:abstractNumId="191">
    <w:nsid w:val="3A966CD0"/>
    <w:multiLevelType w:val="hybridMultilevel"/>
    <w:lvl w:ilvl="0">
      <w:lvlJc w:val="left"/>
      <w:lvlText w:val="·"/>
      <w:numFmt w:val="bullet"/>
      <w:start w:val="1"/>
    </w:lvl>
  </w:abstractNum>
  <w:abstractNum w:abstractNumId="192">
    <w:nsid w:val="63F37E85"/>
    <w:multiLevelType w:val="hybridMultilevel"/>
    <w:lvl w:ilvl="0">
      <w:lvlJc w:val="left"/>
      <w:lvlText w:val="%1."/>
      <w:numFmt w:val="upperLetter"/>
      <w:start w:val="34"/>
    </w:lvl>
    <w:lvl w:ilvl="1">
      <w:lvlJc w:val="left"/>
      <w:lvlText w:val="·"/>
      <w:numFmt w:val="bullet"/>
      <w:start w:val="1"/>
    </w:lvl>
  </w:abstractNum>
  <w:abstractNum w:abstractNumId="193">
    <w:nsid w:val="5895F5FA"/>
    <w:multiLevelType w:val="hybridMultilevel"/>
    <w:lvl w:ilvl="0">
      <w:lvlJc w:val="left"/>
      <w:lvlText w:val="·"/>
      <w:numFmt w:val="bullet"/>
      <w:start w:val="1"/>
    </w:lvl>
  </w:abstractNum>
  <w:abstractNum w:abstractNumId="194">
    <w:nsid w:val="38A5D054"/>
    <w:multiLevelType w:val="hybridMultilevel"/>
    <w:lvl w:ilvl="0">
      <w:lvlJc w:val="left"/>
      <w:lvlText w:val="·"/>
      <w:numFmt w:val="bullet"/>
      <w:start w:val="1"/>
    </w:lvl>
  </w:abstractNum>
  <w:abstractNum w:abstractNumId="195">
    <w:nsid w:val="F3F09D8"/>
    <w:multiLevelType w:val="hybridMultilevel"/>
    <w:lvl w:ilvl="0">
      <w:lvlJc w:val="left"/>
      <w:lvlText w:val="·"/>
      <w:numFmt w:val="bullet"/>
      <w:start w:val="1"/>
    </w:lvl>
  </w:abstractNum>
  <w:abstractNum w:abstractNumId="196">
    <w:nsid w:val="4B793735"/>
    <w:multiLevelType w:val="hybridMultilevel"/>
    <w:lvl w:ilvl="0">
      <w:lvlJc w:val="left"/>
      <w:lvlText w:val="·"/>
      <w:numFmt w:val="bullet"/>
      <w:start w:val="1"/>
    </w:lvl>
  </w:abstractNum>
  <w:abstractNum w:abstractNumId="197">
    <w:nsid w:val="4A10B4E8"/>
    <w:multiLevelType w:val="hybridMultilevel"/>
    <w:lvl w:ilvl="0">
      <w:lvlJc w:val="left"/>
      <w:lvlText w:val="·"/>
      <w:numFmt w:val="bullet"/>
      <w:start w:val="1"/>
    </w:lvl>
  </w:abstractNum>
  <w:abstractNum w:abstractNumId="198">
    <w:nsid w:val="43D3BCD4"/>
    <w:multiLevelType w:val="hybridMultilevel"/>
    <w:lvl w:ilvl="0">
      <w:lvlJc w:val="left"/>
      <w:lvlText w:val="%1"/>
      <w:numFmt w:val="decimal"/>
      <w:start w:val="1"/>
    </w:lvl>
    <w:lvl w:ilvl="1">
      <w:lvlJc w:val="left"/>
      <w:lvlText w:val="%2."/>
      <w:numFmt w:val="decimal"/>
      <w:start w:val="1"/>
    </w:lvl>
  </w:abstractNum>
  <w:abstractNum w:abstractNumId="199">
    <w:nsid w:val="4C2A7166"/>
    <w:multiLevelType w:val="hybridMultilevel"/>
    <w:lvl w:ilvl="0">
      <w:lvlJc w:val="left"/>
      <w:lvlText w:val="(%1)"/>
      <w:numFmt w:val="decimal"/>
      <w:start w:val="4"/>
    </w:lvl>
    <w:lvl w:ilvl="1">
      <w:lvlJc w:val="left"/>
      <w:lvlText w:val="%2."/>
      <w:numFmt w:val="decimal"/>
      <w:start w:val="4"/>
    </w:lvl>
  </w:abstractNum>
  <w:abstractNum w:abstractNumId="200">
    <w:nsid w:val="2E534A82"/>
    <w:multiLevelType w:val="hybridMultilevel"/>
    <w:lvl w:ilvl="0">
      <w:lvlJc w:val="left"/>
      <w:lvlText w:val="%1."/>
      <w:numFmt w:val="decimal"/>
      <w:start w:val="5"/>
    </w:lvl>
  </w:abstractNum>
  <w:abstractNum w:abstractNumId="201">
    <w:nsid w:val="26F2D364"/>
    <w:multiLevelType w:val="hybridMultilevel"/>
    <w:lvl w:ilvl="0">
      <w:lvlJc w:val="left"/>
      <w:lvlText w:val="%1."/>
      <w:numFmt w:val="decimal"/>
      <w:start w:val="15"/>
    </w:lvl>
  </w:abstractNum>
  <w:abstractNum w:abstractNumId="202">
    <w:nsid w:val="71C1AF98"/>
    <w:multiLevelType w:val="hybridMultilevel"/>
    <w:lvl w:ilvl="0">
      <w:lvlJc w:val="left"/>
      <w:lvlText w:val="%1."/>
      <w:numFmt w:val="decimal"/>
      <w:start w:val="24"/>
    </w:lvl>
  </w:abstractNum>
  <w:abstractNum w:abstractNumId="203">
    <w:nsid w:val="3D00B9D9"/>
    <w:multiLevelType w:val="hybridMultilevel"/>
    <w:lvl w:ilvl="0">
      <w:lvlJc w:val="left"/>
      <w:lvlText w:val="·"/>
      <w:numFmt w:val="bullet"/>
      <w:start w:val="1"/>
    </w:lvl>
  </w:abstractNum>
  <w:abstractNum w:abstractNumId="204">
    <w:nsid w:val="15BCAB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jpe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219" Type="http://schemas.openxmlformats.org/officeDocument/2006/relationships/hyperlink" Target="https://www.sec.gov/Archives/edgar/data/1847986/000110465921033384/tm218972d1_ex3-1.htm" TargetMode="External"/><Relationship Id="rId220" Type="http://schemas.openxmlformats.org/officeDocument/2006/relationships/hyperlink" Target="https://www.sec.gov/Archives/edgar/data/1847986/000110465921033384/tm218972d1_ex3-2.htm" TargetMode="External"/><Relationship Id="rId221" Type="http://schemas.openxmlformats.org/officeDocument/2006/relationships/hyperlink" Target="https://www.sec.gov/Archives/edgar/data/1847986/000110465921033384/tm218972d1_ex3-4.htm" TargetMode="External"/><Relationship Id="rId222" Type="http://schemas.openxmlformats.org/officeDocument/2006/relationships/hyperlink" Target="https://www.sec.gov/Archives/edgar/data/1847986/000110465921033384/tm218972d1_ex10-6.htm" TargetMode="External"/><Relationship Id="rId223" Type="http://schemas.openxmlformats.org/officeDocument/2006/relationships/hyperlink" Target="https://www.sec.gov/Archives/edgar/data/1847986/000110465921033384/tm218972d1_ex10-7.htm" TargetMode="External"/><Relationship Id="rId224" Type="http://schemas.openxmlformats.org/officeDocument/2006/relationships/hyperlink" Target="https://www.sec.gov/Archives/edgar/data/1847986/000110465921033384/tm218972d1_s1.htm#POWEROFATTORNEY"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2021-04-09T05:06:33Z</dcterms:created>
  <dcterms:modified xsi:type="dcterms:W3CDTF">2021-04-09T05:06:33Z</dcterms:modified>
</cp:coreProperties>
</file>