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328930</wp:posOffset>
            </wp:positionV>
            <wp:extent cx="714121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1587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 February 26, 2025</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DRAGONFLY ENERGY HOLDINGS CORP.</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640" w:type="dxa"/>
            <w:vAlign w:val="bottom"/>
            <w:gridSpan w:val="3"/>
          </w:tcPr>
          <w:p>
            <w:pPr>
              <w:jc w:val="center"/>
              <w:ind w:right="1020"/>
              <w:spacing w:after="0"/>
              <w:rPr>
                <w:sz w:val="20"/>
                <w:szCs w:val="20"/>
                <w:color w:val="auto"/>
              </w:rPr>
            </w:pPr>
            <w:r>
              <w:rPr>
                <w:rFonts w:ascii="Times New Roman" w:cs="Times New Roman" w:eastAsia="Times New Roman" w:hAnsi="Times New Roman"/>
                <w:sz w:val="17"/>
                <w:szCs w:val="17"/>
                <w:b w:val="1"/>
                <w:bCs w:val="1"/>
                <w:color w:val="auto"/>
                <w:w w:val="98"/>
              </w:rPr>
              <w:t>Nevada</w:t>
            </w:r>
          </w:p>
        </w:tc>
        <w:tc>
          <w:tcPr>
            <w:tcW w:w="2800" w:type="dxa"/>
            <w:vAlign w:val="bottom"/>
            <w:gridSpan w:val="3"/>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w w:val="97"/>
              </w:rPr>
              <w:t>001-40730</w:t>
            </w:r>
          </w:p>
        </w:tc>
        <w:tc>
          <w:tcPr>
            <w:tcW w:w="380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w w:val="99"/>
              </w:rPr>
              <w:t>85-1873463</w:t>
            </w:r>
          </w:p>
        </w:tc>
      </w:tr>
      <w:tr>
        <w:trPr>
          <w:trHeight w:val="178"/>
        </w:trPr>
        <w:tc>
          <w:tcPr>
            <w:tcW w:w="360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(State or other jurisdiction</w:t>
            </w:r>
          </w:p>
        </w:tc>
        <w:tc>
          <w:tcPr>
            <w:tcW w:w="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0" w:type="dxa"/>
            <w:vAlign w:val="bottom"/>
            <w:tcBorders>
              <w:top w:val="single" w:sz="8" w:color="auto"/>
            </w:tcBorders>
            <w:gridSpan w:val="3"/>
          </w:tcPr>
          <w:p>
            <w:pPr>
              <w:jc w:val="center"/>
              <w:ind w:right="820"/>
              <w:spacing w:after="0" w:line="178" w:lineRule="exact"/>
              <w:rPr>
                <w:sz w:val="20"/>
                <w:szCs w:val="20"/>
                <w:color w:val="auto"/>
              </w:rPr>
            </w:pPr>
            <w:r>
              <w:rPr>
                <w:rFonts w:ascii="Times New Roman" w:cs="Times New Roman" w:eastAsia="Times New Roman" w:hAnsi="Times New Roman"/>
                <w:sz w:val="17"/>
                <w:szCs w:val="17"/>
                <w:color w:val="auto"/>
                <w:w w:val="98"/>
              </w:rPr>
              <w:t>(Commission</w:t>
            </w:r>
          </w:p>
        </w:tc>
        <w:tc>
          <w:tcPr>
            <w:tcW w:w="220" w:type="dxa"/>
            <w:vAlign w:val="bottom"/>
          </w:tcPr>
          <w:p>
            <w:pPr>
              <w:spacing w:after="0"/>
              <w:rPr>
                <w:sz w:val="15"/>
                <w:szCs w:val="15"/>
                <w:color w:val="auto"/>
              </w:rPr>
            </w:pPr>
          </w:p>
        </w:tc>
        <w:tc>
          <w:tcPr>
            <w:tcW w:w="358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(IRS Employer</w:t>
            </w:r>
          </w:p>
        </w:tc>
      </w:tr>
      <w:tr>
        <w:trPr>
          <w:trHeight w:val="218"/>
        </w:trPr>
        <w:tc>
          <w:tcPr>
            <w:tcW w:w="4640" w:type="dxa"/>
            <w:vAlign w:val="bottom"/>
            <w:gridSpan w:val="3"/>
          </w:tcPr>
          <w:p>
            <w:pPr>
              <w:jc w:val="center"/>
              <w:ind w:right="1020"/>
              <w:spacing w:after="0"/>
              <w:rPr>
                <w:sz w:val="20"/>
                <w:szCs w:val="20"/>
                <w:color w:val="auto"/>
              </w:rPr>
            </w:pPr>
            <w:r>
              <w:rPr>
                <w:rFonts w:ascii="Times New Roman" w:cs="Times New Roman" w:eastAsia="Times New Roman" w:hAnsi="Times New Roman"/>
                <w:sz w:val="17"/>
                <w:szCs w:val="17"/>
                <w:color w:val="auto"/>
                <w:w w:val="98"/>
              </w:rPr>
              <w:t>of incorporation)</w:t>
            </w:r>
          </w:p>
        </w:tc>
        <w:tc>
          <w:tcPr>
            <w:tcW w:w="2800" w:type="dxa"/>
            <w:vAlign w:val="bottom"/>
            <w:gridSpan w:val="3"/>
          </w:tcPr>
          <w:p>
            <w:pPr>
              <w:jc w:val="center"/>
              <w:ind w:right="800"/>
              <w:spacing w:after="0"/>
              <w:rPr>
                <w:sz w:val="20"/>
                <w:szCs w:val="20"/>
                <w:color w:val="auto"/>
              </w:rPr>
            </w:pPr>
            <w:r>
              <w:rPr>
                <w:rFonts w:ascii="Times New Roman" w:cs="Times New Roman" w:eastAsia="Times New Roman" w:hAnsi="Times New Roman"/>
                <w:sz w:val="17"/>
                <w:szCs w:val="17"/>
                <w:color w:val="auto"/>
                <w:w w:val="99"/>
              </w:rPr>
              <w:t>File Number)</w:t>
            </w:r>
          </w:p>
        </w:tc>
        <w:tc>
          <w:tcPr>
            <w:tcW w:w="2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Identification No.)</w:t>
            </w:r>
          </w:p>
        </w:tc>
      </w:tr>
      <w:tr>
        <w:trPr>
          <w:trHeight w:val="383"/>
        </w:trPr>
        <w:tc>
          <w:tcPr>
            <w:tcW w:w="4640" w:type="dxa"/>
            <w:vAlign w:val="bottom"/>
            <w:gridSpan w:val="3"/>
          </w:tcPr>
          <w:p>
            <w:pPr>
              <w:jc w:val="center"/>
              <w:ind w:left="796"/>
              <w:spacing w:after="0"/>
              <w:rPr>
                <w:sz w:val="20"/>
                <w:szCs w:val="20"/>
                <w:color w:val="auto"/>
              </w:rPr>
            </w:pPr>
            <w:r>
              <w:rPr>
                <w:rFonts w:ascii="Times New Roman" w:cs="Times New Roman" w:eastAsia="Times New Roman" w:hAnsi="Times New Roman"/>
                <w:sz w:val="17"/>
                <w:szCs w:val="17"/>
                <w:b w:val="1"/>
                <w:bCs w:val="1"/>
                <w:color w:val="auto"/>
                <w:w w:val="98"/>
              </w:rPr>
              <w:t>12915 Old Virginia Road</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22"/>
        </w:trPr>
        <w:tc>
          <w:tcPr>
            <w:tcW w:w="4640" w:type="dxa"/>
            <w:vAlign w:val="bottom"/>
            <w:tcBorders>
              <w:bottom w:val="single" w:sz="8" w:color="auto"/>
            </w:tcBorders>
            <w:gridSpan w:val="3"/>
          </w:tcPr>
          <w:p>
            <w:pPr>
              <w:jc w:val="center"/>
              <w:ind w:left="796"/>
              <w:spacing w:after="0"/>
              <w:rPr>
                <w:sz w:val="20"/>
                <w:szCs w:val="20"/>
                <w:color w:val="auto"/>
              </w:rPr>
            </w:pPr>
            <w:r>
              <w:rPr>
                <w:rFonts w:ascii="Times New Roman" w:cs="Times New Roman" w:eastAsia="Times New Roman" w:hAnsi="Times New Roman"/>
                <w:sz w:val="17"/>
                <w:szCs w:val="17"/>
                <w:b w:val="1"/>
                <w:bCs w:val="1"/>
                <w:color w:val="auto"/>
                <w:w w:val="98"/>
              </w:rPr>
              <w:t>Reno, Nevada</w:t>
            </w: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2"/>
          </w:tcPr>
          <w:p>
            <w:pPr>
              <w:jc w:val="right"/>
              <w:ind w:right="2456"/>
              <w:spacing w:after="0"/>
              <w:rPr>
                <w:sz w:val="20"/>
                <w:szCs w:val="20"/>
                <w:color w:val="auto"/>
              </w:rPr>
            </w:pPr>
            <w:r>
              <w:rPr>
                <w:rFonts w:ascii="Times New Roman" w:cs="Times New Roman" w:eastAsia="Times New Roman" w:hAnsi="Times New Roman"/>
                <w:sz w:val="17"/>
                <w:szCs w:val="17"/>
                <w:b w:val="1"/>
                <w:bCs w:val="1"/>
                <w:color w:val="auto"/>
              </w:rPr>
              <w:t>89521</w:t>
            </w:r>
          </w:p>
        </w:tc>
      </w:tr>
      <w:tr>
        <w:trPr>
          <w:trHeight w:val="211"/>
        </w:trPr>
        <w:tc>
          <w:tcPr>
            <w:tcW w:w="4640" w:type="dxa"/>
            <w:vAlign w:val="bottom"/>
            <w:gridSpan w:val="3"/>
          </w:tcPr>
          <w:p>
            <w:pPr>
              <w:jc w:val="center"/>
              <w:ind w:left="796"/>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center"/>
              <w:ind w:right="1836"/>
              <w:spacing w:after="0"/>
              <w:rPr>
                <w:sz w:val="20"/>
                <w:szCs w:val="20"/>
                <w:color w:val="auto"/>
              </w:rPr>
            </w:pPr>
            <w:r>
              <w:rPr>
                <w:rFonts w:ascii="Times New Roman" w:cs="Times New Roman" w:eastAsia="Times New Roman" w:hAnsi="Times New Roman"/>
                <w:sz w:val="17"/>
                <w:szCs w:val="17"/>
                <w:color w:val="auto"/>
                <w:w w:val="98"/>
              </w:rPr>
              <w:t>(Zip Code)</w:t>
            </w:r>
          </w:p>
        </w:tc>
      </w:tr>
    </w:tbl>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u w:val="single" w:color="auto"/>
          <w:color w:val="auto"/>
        </w:rPr>
        <w:t>(775) 622-3448</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192"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07" w:lineRule="exact"/>
        <w:rPr>
          <w:rFonts w:ascii="MS PGothic" w:cs="MS PGothic" w:eastAsia="MS PGothic" w:hAnsi="MS PGothic"/>
          <w:sz w:val="17"/>
          <w:szCs w:val="17"/>
          <w:color w:val="auto"/>
        </w:rPr>
      </w:pPr>
    </w:p>
    <w:p>
      <w:pPr>
        <w:ind w:right="3420" w:firstLine="1"/>
        <w:spacing w:after="0" w:line="495" w:lineRule="auto"/>
        <w:tabs>
          <w:tab w:leader="none" w:pos="303"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220" w:type="dxa"/>
            <w:vAlign w:val="bottom"/>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Trading Symbol(s)</w:t>
            </w:r>
          </w:p>
        </w:tc>
        <w:tc>
          <w:tcPr>
            <w:tcW w:w="22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Name of each exchange on which registered</w:t>
            </w:r>
          </w:p>
        </w:tc>
      </w:tr>
      <w:tr>
        <w:trPr>
          <w:trHeight w:val="178"/>
        </w:trPr>
        <w:tc>
          <w:tcPr>
            <w:tcW w:w="406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Common Stock, par value $0.0001 per share</w:t>
            </w:r>
          </w:p>
        </w:tc>
        <w:tc>
          <w:tcPr>
            <w:tcW w:w="220" w:type="dxa"/>
            <w:vAlign w:val="bottom"/>
          </w:tcPr>
          <w:p>
            <w:pPr>
              <w:spacing w:after="0"/>
              <w:rPr>
                <w:sz w:val="15"/>
                <w:szCs w:val="15"/>
                <w:color w:val="auto"/>
              </w:rPr>
            </w:pPr>
          </w:p>
        </w:tc>
        <w:tc>
          <w:tcPr>
            <w:tcW w:w="226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rPr>
              <w:t>DFLI</w:t>
            </w:r>
          </w:p>
        </w:tc>
        <w:tc>
          <w:tcPr>
            <w:tcW w:w="220" w:type="dxa"/>
            <w:vAlign w:val="bottom"/>
          </w:tcPr>
          <w:p>
            <w:pPr>
              <w:spacing w:after="0"/>
              <w:rPr>
                <w:sz w:val="15"/>
                <w:szCs w:val="15"/>
                <w:color w:val="auto"/>
              </w:rPr>
            </w:pPr>
          </w:p>
        </w:tc>
        <w:tc>
          <w:tcPr>
            <w:tcW w:w="448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The Nasdaq Capital Market</w:t>
            </w:r>
          </w:p>
        </w:tc>
      </w:tr>
      <w:tr>
        <w:trPr>
          <w:trHeight w:val="218"/>
        </w:trPr>
        <w:tc>
          <w:tcPr>
            <w:tcW w:w="4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Redeemable warrants, exercisable for common stock</w:t>
            </w:r>
          </w:p>
        </w:tc>
        <w:tc>
          <w:tcPr>
            <w:tcW w:w="2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DFLIW</w:t>
            </w:r>
          </w:p>
        </w:tc>
        <w:tc>
          <w:tcPr>
            <w:tcW w:w="2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The Nasdaq Capital Market</w:t>
            </w:r>
          </w:p>
        </w:tc>
      </w:tr>
    </w:tbl>
    <w:p>
      <w:pPr>
        <w:spacing w:after="0" w:line="186" w:lineRule="exact"/>
        <w:rPr>
          <w:sz w:val="24"/>
          <w:szCs w:val="24"/>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6"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112395</wp:posOffset>
            </wp:positionV>
            <wp:extent cx="714121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144145</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440690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1.01 Entry into a Definitive Material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Registered Direct Offering and Concurrent Private Placement</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February 26, 2025, Dragonfly Energy Holdings Corp. (the “Company”) entered into a securities purchase agreement (the “Purchase Agreement”) with a single institutional investor, pursuant to which the Company agreed to sell in a registered direct offering (the “Registered Direct Offering”) 180 shares of Series A Convertible Preferred Stock, par value $0.0001 per share (the “Series A Preferred Stock”), at a price of $10,000 per share, initially convertible into shares of common stock, par value $0.0001 per share (“Common Stock”) of the Company, at a conversion price of $2.332 per share of Common Stock. The Series A Preferred Stock is also convertible by the investor at the Alternate Conversion Price (as defined below), subject to the applicable Floor Price, (as defined below). The Floor Price for the Series A Preferred Stock sold in the Registered Direct Offering is $1.00.</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Concurrently with the sale of the Series A Preferred Stock in the Registered Direct Offering, in a private placement offering pursuant to the Purchase Agreement (the “Private Placement” and, together with the Registered Direct Offering, the “Offerings”), the Company also agreed to sell to the investor, at the initial closing of the Private Placement, (i) an additional 170 shares of Series A Preferred Stock at the same offering price as the Series A Preferred Stock offered in the Registered Direct Offering, initially convertible into shares of Common Stock at a conversion price of $2.332 per share, and (ii) warrants (the “Private Placement Warrants”) to purchase up to an aggregate of 4,000 shares of Series A Preferred Stock (the “Private Placement Warrant Shares”), with an exercise price of $10,000 per share of Series A Preferred Stock, and a term as described below. The Floor Price for the Series A Preferred Stock sold in the Private Placement is $0.424.</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exercise price under each Private Placement Warrant will be $10,000 per share of Series A Preferred Stock. Each Private Placement Warrant will be exercisable for 200 shares of Series A Preferred Stock in minimum increments of $500,000. The Private Placement Warrants will have a term beginning on the issuance date and ending on or prior to the earlier of (i) the thirty-three (33) month anniversary of the date the shares of Common Stock issued or issuable upon the conversion of the Series A Preferred Stock issued in the concurrent Private Placement are registered for resale (“Registration Effectiveness”) pursuant to an effective registration statement under the Securities Act of 1933, as amended, (the “Securities Act”) (such date, the “Registration Effectiveness Date”) and (ii) (A) the consummation of a Change of Control (as defined in the Certificate of Designation) and (B) the consummation of a redemption of the then outstanding Series A Preferred Stock in full (the “Termination Date”). The exercise price and number of shares of Series A Preferred Stock issuable upon exercise are subject to appropriate adjustment in the event of share dividends, share splits, reorganizations or similar events affecting shares of the Common Stock.</w:t>
      </w:r>
    </w:p>
    <w:p>
      <w:pPr>
        <w:spacing w:after="0" w:line="1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Pursuant to the Private Placement Warrants, the Company has a call right upon the occurrence of certain events. No earlier than two (2) months following the Registration Effectiveness Date and (2) the most recent conversion or exercise in full of a Private Placement Warrant (each, a “Funding Date”), (i) the VWAP for each of twenty (20) trading days (the “Measurement Period”) exceeds $3.00, (ii) the average daily volume for such Measurement Period exceeds $300,000 per trading day,</w:t>
      </w:r>
    </w:p>
    <w:p>
      <w:pPr>
        <w:jc w:val="both"/>
        <w:ind w:firstLine="1"/>
        <w:spacing w:after="0" w:line="249" w:lineRule="auto"/>
        <w:tabs>
          <w:tab w:leader="none" w:pos="31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stated value of the then outstanding Series A Preferred Stock is less than or equal to $1,500,000, (iv) the Private Placement Warrant Shares are registered for resale pursuant to an effective registration statement and (v) there has not been an Equity Conditions Failure (as defined in the Certificate of Designation), then the Company may, within one (1) trading day of the end of such Measurement Period, call for cancellation of all or any portion of the Private Placement Warrant for which a notice to exercise has not yet been delivered and require the holder to exercise in part or in full the number of shares of Series A Preferred Stock set forth in an irrevocable written notice (a “Call Notice”) for consideration equal to the applicable number of Series A Preferred Stock issuable upon exercise or cancellation of the Private Placement Warrants.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upon receipt of Stockholder Approval (as defined below) and the Registration Effectiveness, the investor will be automatically required to purchase (the “Second Closing”) an additional 450 shares of Series A Preferred Stock (the “Second Closing Preferred Shares”). The Second Closing Preferred Shares will be identical to the Series A Preferred Stock offered in the Registered Direct Offering and sold in the initial closing of the Private Placement, other than the conversion price and the floor price which will be determined as described below.</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closing of the Registered Direct Offering and the initial closing of the Private Placement (the “Initial Offerings”) is expected to occur on February 27, 2025 (the “Initial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7"/>
          <w:szCs w:val="17"/>
          <w:color w:val="auto"/>
        </w:rPr>
        <w:t>The net proceeds to the Company from the Initial Offerings, after deducting the placement agent’s fees and expenses and estimated offering expenses, are expected to be approximately $3.2 million, excluding the net proceeds, if any, from the exercise of the Private Placement Warrants. The Company intends to use the net proceeds for working capital and other general corporate purposes, subject to certain limitations under the Purchase Agreement.</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Pursuant to the Purchase Agreement, the Company must hold a meeting of its stockholders not later 60 days following the Initial Closing Date to seek such approval as may be required from the stockholders of the Company (the “Stockholder Approval”), in accordance with the applicable rules and regulations of the Nasdaq Stock Market with respect to the issuance of shares of Common Stock upon conversion or exercise of the Series A Preferred Stock and the Private Placement Warrants sold in the Registered Direct Offering and the Private Placement in excess of the Issuable Maximum (as defined below) (the “Nasdaq Stockholder Approval”), and to increase the number of authorized shares of the Company’s Common Stock from 250,000,000 to 400,000,000.</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shares of Series A Preferred Stock issuable in the Registered Direct Offering, together with any shares of Common Stock issuable upon conversion thereof, are being issued pursuant to an effective registration statement on Form S-3 (File No. 333-275559) dated and declared effective on November 24, 2023, and a base prospectus thereunder. The Company has filed a prospectus supplement to such registration statement on February 27, 2025 with the Securities and Exchange Commission (the “SEC”) in connection with the sale of such securities.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Series A Preferred Stock being sold in the Private Placement and the Private Placement Warrants, together with any Private Placement Warrant Shares, are being sold and issued without registration under the Securities Act in reliance on the exemptions provided by Section 4(a)(2) of the Securities Act as transactions not involving a public offering and Rule 506 promulgated under the Securities Act as sales to accredited investors, and in reliance on similar exemptions under applicable state laws.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the Purchase Agreement, the Company has agreed, subject to limited exceptions, not to issue, enter into any agreement to issue or announce the issuance or proposed issuance of any shares of Common Stock or Common Stock equivalents or file any registration statement other than as contemplated pursuant to the Registration Rights Agreement (defined below) until the later of (i) the day the Company obtains the Nasdaq Stockholder Approval and (ii) (A) the first date on which the resale registration statement to be filed pursuant to the Registration Rights Agreement is declared effective or (B) the first date on which all of the Registrable Securities (as defined in the Registration Rights Agreement) are eligible for resale pursuant to Rule 144 (the “Applicable Date”).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Company has also agreed, subject to certain exceptions, so long as any shares of Series A Preferred Stock or Private Placement Warrants remain outstanding, not to (i) issue any shares of Series A Preferred Stock other than as contemplated by the Purchase Agreement and the Certificate of Designation, (ii) issue any other securities (other than certain securities) that would otherwise cause a breach or default under the Certificate of Designation, or (iii) issue any securities (other than certain securities) at an issuance price less than the lowest Floor Price (as defined below) then in effect. The Company has also agreed, subject to certain exceptions,</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7"/>
          <w:szCs w:val="17"/>
          <w:color w:val="auto"/>
        </w:rPr>
        <w:t>from the period beginning on the date of the Purchase Agreement and ending on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trading day after the Applicable Date, not to effect a Subsequent Placement (as defined in the Purchase Agreement).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addition, the Company has agreed, subject to certain exceptions, so long as any shares of Series A Preferred Stock remain outstanding, not to (i) issue or sell any debt or equity securities (excluding certain securities as set forth in the Certificate of Designation) that are convertible into, exchangeable or exercisable for, or include the right to receive, additional Common Stock either (A) at a conversion price, exercise price or exchange rate or other price that is based upon, and/or varies with, the trading prices of or quotations for the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Company’s business or the market for the Common Stock or (ii) enter into, or effect a transaction under, any agreement, including, but not limited to, an equity line of credit, whereby the Company may issue securities at a future determined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 w:name="page4"/>
    <w:bookmarkEnd w:id="3"/>
    <w:p>
      <w:pPr>
        <w:jc w:val="both"/>
        <w:spacing w:after="0" w:line="256" w:lineRule="auto"/>
        <w:rPr>
          <w:sz w:val="20"/>
          <w:szCs w:val="20"/>
          <w:color w:val="auto"/>
        </w:rPr>
      </w:pPr>
      <w:r>
        <w:rPr>
          <w:rFonts w:ascii="Times New Roman" w:cs="Times New Roman" w:eastAsia="Times New Roman" w:hAnsi="Times New Roman"/>
          <w:sz w:val="17"/>
          <w:szCs w:val="17"/>
          <w:color w:val="auto"/>
        </w:rPr>
        <w:t>The Purchase Agreement contains customary representations, warranties and agreements by the Company, customary conditions to closing, indemnification obligations of the Company and the purchaser, including for liabilities arising under the Securities Act, other obligations of the parties and termination provisions. The representations, warranties and covenants contained in the Purchase Agreement were made only for the purposes of such agreement and as of specific dates, were solely for the benefit of the parties to such agreement, and may be subject to limitations agreed upon by the contracting parties.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form of the Purchase Agreement is filed as Exhibit 10.1 to this Current Report on Form 8-K. The foregoing summary of the terms of the Purchase Agreement is subject to, and qualified in its entirety by, the form of such document, which is incorporated herein by reference.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Chardan Capital Markets, LLC (“Chardan”) acted as exclusive placement agent for the Offerings. The Company has agreed to pay Chardan a cash fee equal to 5.0% of the gross proceeds received by the Company in the Offerings, or approximately $400,000. The Company will also reimburse Chardan for actual and reasonable out-of-pocket expenses, up to $2,500.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Series A Preferred Stock</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February 26, 2025, the Company filed a Certificate of Designation of the Powers, Preferences and Relative, Participating, Optional and Other Restrictions of Series A Convertible Preferred Stock of the Company (the “Certificate of Designation”) with the Secretary of State of the State of Nevada to establish the rights, privileges, preferences, and restrictions of the Series A Preferred Stock. As set forth in the Certificate of Designation, the Company designated 5,000 shares of preferred stock as Series A Preferred Stock. The following is a summary of the principal terms of the Certificate of Designation:</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General</w:t>
      </w:r>
      <w:r>
        <w:rPr>
          <w:rFonts w:ascii="Times New Roman" w:cs="Times New Roman" w:eastAsia="Times New Roman" w:hAnsi="Times New Roman"/>
          <w:sz w:val="17"/>
          <w:szCs w:val="17"/>
          <w:color w:val="auto"/>
        </w:rPr>
        <w:t>. Each share of Series A Preferred Stock has a stated value of $10,000 per share (the “Series A Stated Value”) and, when issued, the Series A Preferred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be fully paid and non-assessable.</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Ranking</w:t>
      </w:r>
      <w:r>
        <w:rPr>
          <w:rFonts w:ascii="Times New Roman" w:cs="Times New Roman" w:eastAsia="Times New Roman" w:hAnsi="Times New Roman"/>
          <w:sz w:val="17"/>
          <w:szCs w:val="17"/>
          <w:color w:val="auto"/>
        </w:rPr>
        <w:t>. The Series A Preferred Stock, with respect to the payment of dividends, distributions and payments upon the liquidation, dissolution and winding up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ranks senior to all of the Company’s capital stock, unless the Required Holder (as defined in the Certificate of Designation) consents to the Company’s creation of other capital stock that is senior or equal in rank to the Series A Preferred Stock.</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The holders of Series A Preferred Stock will be entitled to receive dividends, commencing from the date of issuance of the Series A Preferred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payable in cash and/or shares of Series A Preferred Stock at the Company’s election. Unless the Company notifies the holders otherwise, such dividends will be paid in kind by increasing the amount of the Series A Stated Value for the applicable shares of Series A Preferred Stock on each dividend date by the applicable dividend amount. Such dividends are payable quarterly in arrears on the first trading day of each fiscal quarter commencing on the first trading day of the initial fiscal quarter after the date of issuance, at the dividend rate of 8% per year (the “Dividend Rate”). Upon the occurrence and continuation of a Triggering Event (as defined in the Certificate of Designation), the Dividend Rate will increase to the lesser of 18% per year or the maximum rate permitted under applicable law until such Triggering Event has been cured or has ceased.</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Conversion at Option of Holder</w:t>
      </w:r>
      <w:r>
        <w:rPr>
          <w:rFonts w:ascii="Times New Roman" w:cs="Times New Roman" w:eastAsia="Times New Roman" w:hAnsi="Times New Roman"/>
          <w:sz w:val="17"/>
          <w:szCs w:val="17"/>
          <w:color w:val="auto"/>
        </w:rPr>
        <w:t>. At any time from and after the first date of issuance of any shares of Series A Preferred Stock, subject to the Beneficial Ownership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Limitation (as defined below) and the Issuable Maximum, each holder of Series A Preferred Stock may convert all, or any part, of the outstanding Series A Preferred Stock, at such holder’s option, into Common Stock at a conversion rate equal to the quotient of (i) the Conversion Amount (as defined below), divided by (ii) the Conversion Price (as defined below), subject to the Floor Price.</w:t>
      </w:r>
    </w:p>
    <w:p>
      <w:pPr>
        <w:spacing w:after="0" w:line="16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Voluntary Adjustment Right</w:t>
      </w:r>
      <w:r>
        <w:rPr>
          <w:rFonts w:ascii="Times New Roman" w:cs="Times New Roman" w:eastAsia="Times New Roman" w:hAnsi="Times New Roman"/>
          <w:sz w:val="17"/>
          <w:szCs w:val="17"/>
          <w:color w:val="auto"/>
        </w:rPr>
        <w:t>. Subject to the rules and regulations of Nasdaq, the Company has the right, at any time, with the written consent of the Required Holder,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lower the fixed conversion price to any amount and for any period of time deemed appropriate by the Company’s board of directors.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Alternate Conversion at the Holder’s Election</w:t>
      </w:r>
      <w:r>
        <w:rPr>
          <w:rFonts w:ascii="Times New Roman" w:cs="Times New Roman" w:eastAsia="Times New Roman" w:hAnsi="Times New Roman"/>
          <w:sz w:val="17"/>
          <w:szCs w:val="17"/>
          <w:color w:val="auto"/>
        </w:rPr>
        <w:t>. At the holder’s option, at any time, the holder may convert (an “Alternate Conversion”) some or all of such 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Series A Preferred Stock, at a conversion price equal to the lower of (i) the applicable Conversion Price as in effect on the date of such Alternate Conversion, and (ii) the greater of (x) the Floor Price and (y) 90% of the lowest VWAP (as defined in the Certificate of Designation) of the Common Stock during the ten (10) consecutive trading day period ending and including the trading day immediately preceding the delivery or deemed delivery of the applicable conversion notice as set forth in the Certificate of Designation (the “Alternate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17"/>
          <w:szCs w:val="17"/>
          <w:color w:val="auto"/>
        </w:rPr>
        <w:t>With respect to each share of Series A Preferred Stock, as of the applicable date of determination, the “Conversion Amount” is equal to the sum of (1) 120% of (i) the Series A Stated Value plus (ii) all declared and unpaid dividends on such shares as of such date of determination plus (2) any other amounts thereon owed to such holder, pursuant to this Certificate of Designations or any other Transaction Document (as defined in the Certificate of Designation) that have not otherwise been paid or satisfied.</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“Conversion Price” is equal to: (i) with respect to the shares of Series A Preferred Stock issued in the Registered Direct Offering and at the initial closing of the Private Placement, $2.332 per share (the “Initial Conversion Price”); (ii) with respect to each share of Series A Preferred Stock funded on the Second Closing or issued upon exercise of a Private Placement Warrant, other than pursuant to the holders right to exercise when certain equity conditions have been waived which is set forth under clauses (iii) and (iv) below, as of any date of conversion (“Conversion Date”) or other date of determination, the lower of (x) the Initial Conversion Price and (y) 110% of the last closing trade price (the “Closing Sale Price”) on the trading day immediately preceding the Second Closing, any applicable Funding Date (as defined in each Private Placement Warrant) or any applicable Exercise Date (as defined in each Private Placement Warrant), as the case may be; (iii) with respect to each share of Series A Preferred Stock issued upon exercise of a Private Placement Warrant, the lower of (A) $3.50 and (B) 110% of the Closing Sale Price on the trading day immediately preceding the delivery or deemed delivery of the applicable Exercise Notice or Call Notice (each as defined below) (as the case may be); and (iv) with respect to each share of Series A Preferred Stock issued upon exercise of a Private Placement Warrant at any time following the Registration Effectiveness Date when the Closing Sale Price exceeds $10.00 for twenty (20) consecutive trading days, as of any date of conversion or other date of determination, 110% of the Closing Sale Price on the trading day immediately preceding the delivery or deemed delivery of the applicable Exercise Notice or Call Notice (as the case may be), in each case, subject to adjustment; provided, that subsections (iii) and (iv) shall only apply in the event that certain equity conditions specified in the Private Placement Warrant are not met on the applicable Funding Date (as defined below). The Conversion Price is subject to proportional adjustment upon the occurrence of any stock split, stock dividend, stock combination and/or similar transactions and as set forth below under “Other Adjustments” below.</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“Floor Price” is equal to (i) for any Series A Preferred Stock offered by the Registered Direct Offering $1.00, (ii) for any Series A Preferred Stock sold in the initial closing of the Private Placement $0.424 (20% of the Nasdaq Minimum Price of the Common Stock (as defined by Nasdaq) as of the trading day prior to the execution of the Purchase Agreement), and (iii) for any Series A Preferred Stock issued after the initial closing of the Private Placement, including the Second Closing, 20% of the Nasdaq Minimum Price of the Common Stock as of the trading day ended immediately prior to the date the shares of Series A Preferred Stock are issued; provided, that if the Floor Price then in effect is higher than the Adjusted Floor Price (as defined in the Certificate of Designation) on any date following the six (6) month anniversary of the initial date of issuance of the Series A Preferred Stock, then the Required Holder may elect to reduce the Floor Price to the Adjusted Floor Price, subject to approval of Nasdaq. The Floor Price and the Adjusted Floor Price are each subject to proportional adjustment upon the occurrence of any stock split, stock dividend, stock combination and/or similar transactions.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i w:val="1"/>
          <w:iCs w:val="1"/>
          <w:color w:val="auto"/>
        </w:rPr>
        <w:t>Other Adjustments</w:t>
      </w:r>
      <w:r>
        <w:rPr>
          <w:rFonts w:ascii="Times New Roman" w:cs="Times New Roman" w:eastAsia="Times New Roman" w:hAnsi="Times New Roman"/>
          <w:sz w:val="17"/>
          <w:szCs w:val="17"/>
          <w:color w:val="auto"/>
        </w:rPr>
        <w:t>. Until the Company has obtained the Stockholder Approval, the Company may not issue, upon conversion of the Series A Preferred Stock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related transactions, a number of shares of Common Stock which would exceed 1,450,489 shares of Common Stock in the aggregate, which amount is equal to 19.99% of the shares of Common Stock issued and outstanding on February 26, 2025, subject to adjustment for forward and reverse stock splits, recapitalizations and the like (the “Issuable Maximum”). The Issuable Maximum shall be applied collectively, when any conversions of Series A Preferred Stock are aggregated together with all shares of Common Stock issuable upon conversion or exchange of any securities issued in certain related transactions to the Offerings. If, at any time on or after the date of the Purchase Agreement, the Company issues any shares of Common Stock for a consideration per share (the “New Issuance Price”) less than a price equal to the Conversion Price in effect immediately prior to such issuance, the Conversion Price shall be reduced to the New Issuance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Purchase Rights</w:t>
      </w:r>
      <w:r>
        <w:rPr>
          <w:rFonts w:ascii="Times New Roman" w:cs="Times New Roman" w:eastAsia="Times New Roman" w:hAnsi="Times New Roman"/>
          <w:sz w:val="17"/>
          <w:szCs w:val="17"/>
          <w:color w:val="auto"/>
        </w:rPr>
        <w:t>. If at any time the Company grants, issues or sells any options, convertible securities, or rights to purchase stock, warrants, securities or other property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 rata to all or substantially all of the record holders of any class of Common Stock (the “Purchase Rights”), then each holder of Series A Preferred Stock will be entitled to acquire, upon the terms applicable to such Purchase Rights, the aggregate Purchase Rights which such holder could have acquired if such holder had held the number of shares of Common Stock acquirable upon complete conversion of all the Series A Preferred Stock held by such holder immediately prior to the date as of which the record holders of shares of Common Stock are to be determined for the grant, issue or sale of such Purchase Rights at the Alternate Conversion Price, subject to the Beneficial Ownership Limitation.</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Liquidation Preference</w:t>
      </w:r>
      <w:r>
        <w:rPr>
          <w:rFonts w:ascii="Times New Roman" w:cs="Times New Roman" w:eastAsia="Times New Roman" w:hAnsi="Times New Roman"/>
          <w:sz w:val="17"/>
          <w:szCs w:val="17"/>
          <w:color w:val="auto"/>
        </w:rPr>
        <w:t>. Each share of Series A Preferred Stock carries a liquidation preference equal to the greater of (A) the conversion of such Series A Preferred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on the date of such payment and (B) the amount per share such holder would receive if such holder converted such Series A Preferred Stock into Common Stock immediately prior to the date of such payment.</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Mandatory Redemption </w:t>
      </w:r>
      <w:r>
        <w:rPr>
          <w:rFonts w:ascii="Times New Roman" w:cs="Times New Roman" w:eastAsia="Times New Roman" w:hAnsi="Times New Roman"/>
          <w:sz w:val="17"/>
          <w:szCs w:val="17"/>
          <w:color w:val="auto"/>
        </w:rPr>
        <w:t>Triggering Event. Upon any Mandatory Triggering Event (as defined in the Certificate of Designation), the Company shall immediately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redeem in cash all amounts due under the Series A Preferred Stock at a redemption price equal to the Conversion Amount to be redeemed.</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The holders of the Series A Preferred Stock shall have no voting power and no right to vote on any matter at any time, either as a separate series or class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or together with any other series or class of shares of capital stock, and shall not be entitled to call a meeting of such holders for any purpose nor shall they be entitled to participate in any meeting of the holders of Common Stock, except as provided in the Certificate of Designation (or as otherwise required by applicable law). The Company may not take the following actions without the prior consent of the Required Holder: (a) alter or change adversely the powers, preferences or rights given to the Series A Preferred Stock or alter or amend the Series A Certificate of Designation, (b) authorize or create any class of stock ranking as to dividends, redemption or distribution of assets upon a Liquidation (as defined in the Series A Certificate of Designations) senior to, or otherwise </w:t>
      </w:r>
      <w:r>
        <w:rPr>
          <w:rFonts w:ascii="Times New Roman" w:cs="Times New Roman" w:eastAsia="Times New Roman" w:hAnsi="Times New Roman"/>
          <w:sz w:val="17"/>
          <w:szCs w:val="17"/>
          <w:u w:val="single" w:color="auto"/>
          <w:color w:val="auto"/>
        </w:rPr>
        <w:t>pari passu</w:t>
      </w:r>
      <w:r>
        <w:rPr>
          <w:rFonts w:ascii="Times New Roman" w:cs="Times New Roman" w:eastAsia="Times New Roman" w:hAnsi="Times New Roman"/>
          <w:sz w:val="17"/>
          <w:szCs w:val="17"/>
          <w:color w:val="auto"/>
        </w:rPr>
        <w:t xml:space="preserve"> with, the Series A Preferred Stock, or any junior stock that has a maturity date or other date requiring redemption or repayment of such shares of junior stock that is prior to the 91st calendar day after the date no shares of Series A Preferred Stock remain outstanding, (c) amend the Company’s articles of incorporation or other charter documents in any manner that adversely affects any rights of the holders of the Series A Preferred Stock, (d) increase or decrease the number of authorized shares of Series A Preferred Stock, (e) pay dividends or make any other distribution on any shares of Common Stock, (f) purchase or redeem any capital stock junior to the Series A Preferred Stock, (g) issue any shares of Series A Preferred Stock other than as contemplated by the Certificate of Designation, Purchase Agreement or Private Placement Warrants or (g) otherwise circumvent a right of the Series A Preferred Stock set forth under the Certificate of Designation.</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Change of Control Exchange</w:t>
      </w:r>
      <w:r>
        <w:rPr>
          <w:rFonts w:ascii="Times New Roman" w:cs="Times New Roman" w:eastAsia="Times New Roman" w:hAnsi="Times New Roman"/>
          <w:sz w:val="17"/>
          <w:szCs w:val="17"/>
          <w:color w:val="auto"/>
        </w:rPr>
        <w:t>. Upon a change of control of the Company, each holder may require the Company to exchange such holder’s shares of Series A Preferred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for consideration equal to the Conversion Amount (or (1) the Series A Stated Value thereof plus (2) all declared and unpaid dividends on such shares as of such date of determination plus (3) any other amounts thereon owed to such holder, pursuant to the Certificate of Designation or any other Transaction Document that have not otherwise been paid or satisfied, in the case of any shares of Series A Preferred Stock funded following the Announcement Time (as defined in the Certificate of Designation) but prior to the date of the change of control.</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i w:val="1"/>
          <w:iCs w:val="1"/>
          <w:color w:val="auto"/>
        </w:rPr>
        <w:t>Company Optional Redemption</w:t>
      </w:r>
      <w:r>
        <w:rPr>
          <w:rFonts w:ascii="Times New Roman" w:cs="Times New Roman" w:eastAsia="Times New Roman" w:hAnsi="Times New Roman"/>
          <w:sz w:val="17"/>
          <w:szCs w:val="17"/>
          <w:color w:val="auto"/>
        </w:rPr>
        <w:t>. Under the Certificate of Designation, the Company has the right, at any time, to redeem all or part of the then outstanding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Series A Preferred Stock (a “Company Optional Redemption”) by delivering a written notice to each holder of Series A Preferred Stock (such delivery date, the “Company Optional Redemption Notice Date”). The shares of Series A Preferred Stock subject to redemption will be redeemed by the Company in cash at a price equal to the Conversion Amount, subject in certain instances at a price equal to the Stated Value, being redeemed as of the Company Optional Redemption Notice Date. If a Triggering Event has occurred and is continuing on the date the Company Optional Redemption takes effect, such price will equal the greater of (i) the Conversion Amount being redeemed as of the Company Optional Redemption Notice Date and (ii) the product of (1) the Conversion Rate (as defined in the Certificate of Designation) with respect to the Conversion Amount being redeemed as of such date multiplied by (2) the average of the five (5) highest daily VWAPs of the Common Stock during the period beginning on the date preceding such Company Optional Redemption Notice Date and ending on the trading day immediately prior to the date the Company makes the entire payment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253365</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 w:name="page7"/>
    <w:bookmarkEnd w:id="6"/>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Fundamental Transactions</w:t>
      </w:r>
      <w:r>
        <w:rPr>
          <w:rFonts w:ascii="Times New Roman" w:cs="Times New Roman" w:eastAsia="Times New Roman" w:hAnsi="Times New Roman"/>
          <w:sz w:val="17"/>
          <w:szCs w:val="17"/>
          <w:color w:val="auto"/>
        </w:rPr>
        <w:t>. The Certificate of Designation prohibits the Company from entering specified fundamental transactions (including, without limitation,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mergers, business combinations and similar transactions) unless the Company (or its successor) assumes in writing all of the Company’s obligations under the Certificate of Designation and the other Transaction Documents or otherwise redeem the then outstanding Series A Preferred Stock in full.</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Covenants</w:t>
      </w:r>
      <w:r>
        <w:rPr>
          <w:rFonts w:ascii="Times New Roman" w:cs="Times New Roman" w:eastAsia="Times New Roman" w:hAnsi="Times New Roman"/>
          <w:sz w:val="17"/>
          <w:szCs w:val="17"/>
          <w:color w:val="auto"/>
        </w:rPr>
        <w:t>. The Certificate of Designation contains a variety of obligations on the Company’s part not to engage in specified activities. In particular, the Company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and will cause its subsidiaries to not, redeem, repurchase or declare any dividend or distribution on any of its capital stock (other than as required under the Certificate of Designation) and will not incur any indebtedness (other than Permitted Indebtedness, as defined in the Purchase Agreement), enter into any transactions with affiliates, or incur any liens, in each case without the prior written consent of the Required Holder and subject to certain exceptions, as applicable. In addition, the Company will not issue any shares of Series A Preferred Stock or issue any other securities that would cause a breach or default under the Certificate of Designation or any securities at a price less than the Floor Price then in effect.</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Reservation Requirements</w:t>
      </w:r>
      <w:r>
        <w:rPr>
          <w:rFonts w:ascii="Times New Roman" w:cs="Times New Roman" w:eastAsia="Times New Roman" w:hAnsi="Times New Roman"/>
          <w:sz w:val="17"/>
          <w:szCs w:val="17"/>
          <w:color w:val="auto"/>
        </w:rPr>
        <w:t>. So long as any Series A Preferred Stock remains outstanding, the Company has agreed to at all times reserve at least 100% of the number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shares of Common Stock as shall from time to time be necessary to effect the conversion of all Series A Preferred Stock then outstanding.</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Beneficial Ownership Limitation</w:t>
      </w:r>
      <w:r>
        <w:rPr>
          <w:rFonts w:ascii="Times New Roman" w:cs="Times New Roman" w:eastAsia="Times New Roman" w:hAnsi="Times New Roman"/>
          <w:sz w:val="17"/>
          <w:szCs w:val="17"/>
          <w:color w:val="auto"/>
        </w:rPr>
        <w:t>. Each holder of Series A Preferred Stock is restricted from acquiring shares of Common Stock upon conversion thereof that would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result in the number of shares beneficially owned by such holder and its affiliates exceeding 4.99% of the total number of shares of Common Stock outstanding immediately after giving effect to the conversion (the “Beneficial Ownership Limitation”).</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Fractional Shares</w:t>
      </w:r>
      <w:r>
        <w:rPr>
          <w:rFonts w:ascii="Times New Roman" w:cs="Times New Roman" w:eastAsia="Times New Roman" w:hAnsi="Times New Roman"/>
          <w:sz w:val="17"/>
          <w:szCs w:val="17"/>
          <w:color w:val="auto"/>
        </w:rPr>
        <w:t>. No fractional shares of Common Stock will be issued upon conversion of the Series A Preferred Stock. Rather, the number of shares of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to be issued will be rounded up to the nearest whole number.</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summaries of the terms of the Certificate of Designation and the Private Placement Warrants herein are subject to, and qualified in their entirety by, the Certificate of Designation and the form of Private Placement Warrant, copies of which are filed as Exhibit 3.1 and Exhibit 4.1, respectively, to this Current Report on Form 8-K and is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connection with the Offerings, the Company entered into a registration rights agreement, dated as of February 26, 2025 (the “Registration Rights Agreement”), with the investor named therein, pursuant to which the Company will undertake to file, within 50 calendar days following the Initial Closing Date, a registration statement to register the shares of Common Stock issuable upon the conversion of the Series A Preferred Stock; and to cause such and to cause such registration statement to be declared effective under the Securities Act as promptly as possible after the filing thereof, but in any event no later than 75 days following the Initial Closing Date (or 120 days if such registration statement is subject to SEC review). The Company shall use its best efforts to keep such registration statement continuously effective under the Securities Act until the date that all Registrable Securities covered by such registration statement have been sold or are otherwise able to be sold pursuant to Rule 144, in each case subject to certain Allowable Grace Periods (as defined in the Registration Rights Agreement) and any restrictions pursuant to Rule 415. In addition, holders of Series A Preferred Stock will be entitled to certain piggyback registration rights in the event there is not an effective registration statement on file covering the Registrable Securities as set forth in the Registration Rights Agreement and such Registrable Securities are not otherwise eligible for resale under Rule 144 without restriction.</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form of the Registration Rights Agreement is filed as Exhibit 10.2 to this Current Report on Form 8-K. The foregoing summary of the terms of this document is subject to, and qualified in its entirety by, such document, which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i w:val="1"/>
          <w:iCs w:val="1"/>
          <w:color w:val="auto"/>
        </w:rPr>
        <w:t>Support Agreement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February 26, 2025, the Company and Denis Phares, the Company’s Chief Executive Officer, entered into a Support Agreement (the “Support Agreement”), by which Dr. Phares agreed to vote in favor of a proposal to obtain the Stockholder Approval and to vote against any proposal that would result in the breach of any representation or warranty under the Transaction Documents, or otherwise result in any of the Company’s obligations under the Transaction Documents from being fulfilled.</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Support Agreement is filed as Exhibit 10.3 to this Current Report on Form 8-K. The foregoing summary of the terms of this document is subject to, and qualified in its entirety by, such document, which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Fifth Amendment to Term Loan Agreement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a condition precedent to the closing of the Initial Offerings, on February 26, 2025, the Company, Dragonfly Energy Corp. and Battle Born Battery Products, LLC entered into the Fifth Amendment (the “Fifth Amendment”) to its Term Loan, Guarantee and Security Agreement (as amended, the “Term Loan Agreement”) with the lenders (the “Lenders”) with respect to the Company’s senior secured term loan facility (the “Term Loan”). Under the Fifth Amendment, the Lenders have agreed to, among other matters (i) receive no principal or interest payments under the Term Loan Agreement through March 31, 2026, and (ii) remove certain financial covenant tests under the Term Loan, provided that the Company will maintain cash and cash equivalents equal to at least $2.5 million through such date.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Fifth Amendment, the Company agreed to make certain mandatory prepayments on the Term Loan upon the occurrence of certain events. The Company is obligated to make a mandatory prepayment of the term loan equal to (i) 100% of the net cash proceeds of certain equity issuances by the Company made on or after the announcement of a Change of Control (as defined in the Term Loan Agreement), and (ii) 20% of the net cash proceeds of certain equity issuances by the Company made prior to the announcement of a Change of Control.</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connection with the entry into the Fifth Amendment, the Company agreed to issue to the Lenders 330,000 penny warrants (the “February 2025 Penny Warrants”) to purchase shares of Common Stock at an exercise price of $0.01 per share on the Initial Closing Date in connection with the waiver of the antidilution provisions in the existing penny warrants held by the Lenders with respect to the shares of Series A Preferred Stock issued at the closing of the Registered Direct Offering and the initial closing of the Private Placement. The Company also agreed to increase the number of shares subject to the Warrant Issuance Shareholder Approval (as defined in the Term Loan Agreement) from 1,400,000 to 3,130,000. Further, the Company and the Lenders agreed to waive the antidilution provisions in the existing penny warrants held by the Lenders with respect to the Private Placement Warrants issued at the initial closing of the Private Placement and the shares of Series A Preferred Stock issued at the Second Closing on the condition that the Company will issue to the Lenders a number of penny warrants which will be determined by the parties within five (5) trading days after the end of each fiscal quarter after the Applicable Date.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summaries of the terms of the Fifth Amendment and the February 2025 Penny Warrants herein are subject to, and qualified in their entirety by, the Certificate of Designation and the form of February 2025 Penny Warrant, copies of which are filed as Exhibit 10.4 and Exhibit 4.2, respectively, to this Current Report on Form 8-K and is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3.02 Unregistered Sales of Equity Securities.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information set forth above in Item 1.01 with respect to the Private Placement and the shares of Series A Preferred Stock and Private Placement Warrants issued in the Private Placement and with respect to the February 2025 Penny Warrants is hereby incorporated by reference into this Item 3.02. The issuance of (i) the Series A Preferred Stock, the Private Placement Warrants and any related shares of Common Stock underlying the Series A Preferred Stock issuable in the Private Placement and (ii) the February 2025 Penny Warrants and the shares of Common Stock issuable upon exercise thereof will be made pursuant to Section 4(a)(2) of the Securities Act as transactions not involving a public offering and Rule 506 promulgated under the Securities Act as sales to accredited investors, and in reliance on similar exceptions under applicable state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5.03 Amendments to Articles of Incorporation or Bylaws; Change in Fiscal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information set forth above in Item 1.01 with respect to the Certificate of Designation is hereby incorporated by reference into this Item 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February 27, 2025, the Company issued a press release announcing, among other things, the entry into the transactions described herein. A copy of the press release is furnished as Exhibit 99.1 to this Current Report on Form 8-K.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information in this Item 7.01 of this Current Report on Form 8-K, including the information set forth in Exhibit 99.1, is being furnished and shall not be deemed “filed” for purposes of Section 18 of the Exchange Act, nor shall such information or Exhibit 99.1 be deemed incorporated by reference in any filing under the Securities Act or the Exchange Act, except as shall be expressly set forth by specific reference in such a filing.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8.01. Other Events.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is including the below update to its risk factors, for the purpose of supplementing and updating the disclosure contained in its Annual Report on Form 10-K for the fiscal year ended December 31, 2023, filed with the SEC on April 16, 2024, as amended by the Form 10-K/A on April 29, 2024, and its Quarterly Reports on Form 10-Q for the period ended March 31, 2024, filed with the SEC on May 15, 2024, for the period ended June 30, 2024, filed with the SEC on August 14, 2024, and for the period ended September 30, 2024, filed with the SEC on November 14,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Registered Direct Offering</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the Company sells shares of its Common Stock in future financings, stockholders may experience immediate dilution and, as a result, the Company’s stock price may decline.</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To raise additional capital, the Company may in the future offer additional shares of its Common Stock or other securities convertible into or exchangeable for the Company’s Common Stock at prices that may not be the same as the effective offering price per share of Common Stock in the Registered Direct Offering. Subject to the restrictions set forth in the Certificate of Designation and the Purchase Agreement, the Company may sell shares or other securities in any other offering at a price per share that is less than the effective offering price per share paid by investors in the Registered Direct Offering, and investors purchasing shares or other securities in the future could have rights superior to existing stockholders. The price per share at which the Company sells additional shares of its Common Stock, or securities convertible or exchangeable into Common Stock, in future transactions may be higher or lower than the price per share paid by investors in the Registered Direct Offering (on a fully-converted basis). Furthermore, sales of a substantial number of shares of the Company’s Common Stock in the public markets, or the perception that such sales could occur, could depress the market price of its Common Stock.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Upon Stockholder Approval and the Registration Effectiveness under the Securities Act, the shares of Common Stock issuable upon conversion of the Series A Preferred Stock and the Private Placement Warrant Shares underlying the Private Placement Warrants issued in the Private Placement will be freely tradable without restriction under the Securities Act. Future sales of the Company’s Common Stock in the public market, or the availability of such shares for sale in the public market, could adversely affect market prices prevailing from time to time.</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Stockholders may experience dilution of their ownership interest due to the issuance of additional shares of Common Stock upon the conversion of the Series A Preferred Stock, especially since the Series A Preferred Stock has fluctuating conversion rates that are set at a discount to the market price of the Company’s Common Stock during the period immediately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245110</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 w:name="page10"/>
    <w:bookmarkEnd w:id="9"/>
    <w:p>
      <w:pPr>
        <w:jc w:val="both"/>
        <w:spacing w:after="0" w:line="249" w:lineRule="auto"/>
        <w:rPr>
          <w:sz w:val="20"/>
          <w:szCs w:val="20"/>
          <w:color w:val="auto"/>
        </w:rPr>
      </w:pPr>
      <w:r>
        <w:rPr>
          <w:rFonts w:ascii="Times New Roman" w:cs="Times New Roman" w:eastAsia="Times New Roman" w:hAnsi="Times New Roman"/>
          <w:sz w:val="17"/>
          <w:szCs w:val="17"/>
          <w:color w:val="auto"/>
        </w:rPr>
        <w:t>The Company has raised approximately $3.5 million in financing through the issuance of, among other securities, shares of Series A Preferred Stock in the Registered Direct Offering and the initial closing of the concurrent Private Placement, and expects to issue an additional $4.5 million of additional shares of Series A Preferred Stock upon Stockholder Approval and the Registration Effectiveness and may issue additional shares of Series A Preferred Stock upon exercise of the Private Placement Warrants for up to $40,000,000. The shares of Series A Preferred Stock are convertible into shares of the Company’s Common Stock, subject to certain conditions and limitations, at the lesser of (i) the Conversion Price and (ii) 90% of the lowest VWAP during the 10 trading days prior to exercise, subject to the floor price set forth in the Series A Preferred Stock. This could result in material dilution to existing stockholders of the Company. Because the conversion price is based upon a discount to the trading price of the Company’s Common Stock at the time of conversion, the number of shares into which the Series A Preferred Stock may be converted may increase without an upper bound, subject to the floor price of the respective series of the Series A Preferred Stock. If the trading prices of the Company’s Common Stock is low when the conversion price of the Series A Preferred Stock is determined, the Company would be required to issue a greater number of shares of Common Stock to the holder, which could cause substantial dilution to its stockholders. In addition, if the holder of the Series A Preferred Stock converts and then sells the Company’s Common Stock, this could result in an imbalance of supply and demand for the Company’s Common Stock and reduce its stock price in the market significantly. The further the Company’s stock price declines, the further the adjustment of the conversion price will fall and the greater the number of shares of Common Stock the Company will have to issue upon conversion, resulting in further dilution to its stockholders. Market price-based conversion formulas, like the one contained in the Series A Preferred Stock can lead to dramatic stock price reductions and corresponding negative effects on both the Company and is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is no public market for the Series A Preferred Stock being offered by the Company in the Registered Direct Offering.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There is no established public trading market for the Series A Preferred Stock, and the Company does not expect a market to develop. In addition, the Company does not intend to apply to list the Series A Preferred Stock on any national securities exchange or other nationally recognized trading system. Without an active market, the liquidity of the Series A Preferred Stock will be limited.</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Holders of the Series A Preferred Stock offered hereby will have no rights as common shareholders with respect to the Common Stock underlying the Series A Preferred Stock until such holders convert such Series A Preferred Stock and acquire the Company’s Common Stock.</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Until holders of the Series A Preferred Stock acquire the Company’s Common Stock upon exercise thereof, such holders will have no rights with respect to the Common Stock underlying such Series A Preferred Stock. Upon conversion of the Series A Preferred Stock, the holders will be entitled to exercise the rights of a common stockholder only as to matters for which the record date occurs after the conversion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Series A Preferred Stock</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After the Registered Direct Offering, the Company will have Series A Preferred Stock outstanding. The Company’s articles of incorporation authorizes its board of directors to create new series of preferred stock without further approval by its stockholders, which could adversely affect the rights of the holders of the Company’s Common Stock.</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board of directors (the “Board”) has the authority to fix and determine the relative rights and preferences of preferred stock. The Board also has the authority to issue preferred stock without further stockholder approval.</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After the Registered Direct Offering and the initial closing of the Private Placement, the Company will initially have 350 shares of Series A Preferred Stock outstanding, with the Series A Stated Value per share, which will be initially convertible, subject to the Beneficial Ownership Limitation and the Issuable Maximum (such Issuable Maximum applied collectively when any conversions of Series A Preferred Stock are aggregated together with all shares of Common Stock issuable in respect of certain related transactions described herein), at the holder’s option at any time, into an aggregate of up to 1,500,858 shares of Common Stock at a conversion price of $2.332, subject to specified adjustments for stock splits, cash or stock dividends, reorganizations, reclassifications other similar events as set forth in the Certificate of Designation. The Series A Preferred Stock is also convertible at an adjusted conversion price, subject to a floor, as set forth in the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Series A Preferred Stock gives its holders, subject to the preference and priority to the holders of its Common Stock, the preferred right to receive dividends, commencing from the date of issuance of the Series A Preferred Stock. The Series A Preferred Stock provides for dividends, payable quarterly in arrears in cash or shares of Series A Preferred Stock, at the dividend rate of 8% per annum.</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Certificate of Designation, each share of Series A Preferred Stock carries a liquidation preference equal to the greater of (A) the Conversion Amount, as defined in the Certificate of Designation, of such Series A Preferred Stock on the date of such payment and (B) the amount per share such holder would receive if such holder converted such Series A Preferred Stock into Common Stock immediately prior to the date of such payment.</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obligations to the holders of the Series A Preferred Stock could limit its ability to obtain additional financing or increase its borrowing costs, which could have an adverse effect on its financial condition and hinder the accomplishment of its corporate goals.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to the Series A Preferred Stock, the Board could authorize the issuance of additional series of preferred stock with such rights preferential to the rights of the Company’s Common Stock, including the issuance of a series of preferred stock that has greater voting power than its Common Stock or that is convertible into its Common Stock, which could decrease the relative voting power of the Company’s Common Stock or result in dilution to its existing stockholders.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Investors will have no rights with respect to the Company’s Common Stock until their shares of Series A Preferred Stock are converted, but investors may be adversely affected by certain changes made with respect to the Company’s Common Stock.</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Investors will have no rights with respect to the Company’s Common Stock, including voting rights, rights to respond to Common Stock tender offers, if any, and rights to receive dividends or other distributions on shares of the Company’s Common Stock, if any, prior to the conversion date with respect to a conversion of the Series A Preferred Stock, but an investor’s investment in the Series A Preferred Stock may be negatively affected by these events. Upon conversion, investors will be entitled to exercise the rights of a holder of shares of the Company’s Common Stock only as to matters for which the record date occurs on or after the conversion date. For example, in the event that an amendment is proposed to the Company’s articles of incorporation or its bylaws requiring stockholder approval and the record date for determining the stockholders of record entitled to vote on the amendment occurs prior to the conversion date, investors will not be entitled to vote on the amendment (subject to certain limited exceptions, unless it would adversely affect the special rights, preferences, privileges and voting powers of the Series A Preferred Stock), although investors will nevertheless be subject to any changes in the powers, preferences or special rights of the Company’s Common Stock, even if the investor’s Series A Preferred Stock has been converted into shares of the Company’s Common Stock prior to the effective date of such change.</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Conversion and exercise, as applicable, of certain of the shares of Series A Preferred Stock and Private Placement Warrants are contingent upon stockholder approval.</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To ensure that the Company has a sufficient number of authorized shares of Common Stock to cover all of the shares of Common Stock issuable upon conversion of the Series A Preferred Stock issuable pursuant to the Registered Direct Offering and the concurrent Private Placement and upon the exercise in full of all of the Private Placement Warrants issued in the concurrent Private Placement, the Company has agreed to seek stockholder approval for an increase in the number of authorized shares of Common Stock from 250,000,000 to 400,000,000.</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addition, pursuant to Nasdaq Listing Rule 5635, stockholder approval is required for the issuance of any shares of Common Stock in excess of 1,450,489 shares of Common Stock in the aggregate, referred to herein as the “Issuable Maximum,” which amount is equal to 19.99% of the shares of Common Stock issued and outstanding on February 26, 2025. The Company will apply the Issuable Maximum collectively, with conversions processed in the order in which it receives them, aggregating shares of Common Stock issuable upon conversion of Series A Preferred Stock together with all shares of Common Stock issuable upon conversion of any securities issued in certain related transactions to the Registered Direct Offering and the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1" w:name="page12"/>
    <w:bookmarkEnd w:id="11"/>
    <w:p>
      <w:pPr>
        <w:jc w:val="both"/>
        <w:spacing w:after="0" w:line="274" w:lineRule="auto"/>
        <w:rPr>
          <w:sz w:val="20"/>
          <w:szCs w:val="20"/>
          <w:color w:val="auto"/>
        </w:rPr>
      </w:pPr>
      <w:r>
        <w:rPr>
          <w:rFonts w:ascii="Times New Roman" w:cs="Times New Roman" w:eastAsia="Times New Roman" w:hAnsi="Times New Roman"/>
          <w:sz w:val="17"/>
          <w:szCs w:val="17"/>
          <w:color w:val="auto"/>
        </w:rPr>
        <w:t>Accordingly, the Company is required pursuant to the Purchase Agreement relating to the Registered Direct Offering and the concurrent Private Placement to hold a meeting of its stockholders within 60 days after the closing date for the Registered Direct Offering (the “Meeting Deadline”) to seek Stockholder Approval.</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Company’s stockholders may reject such proposals, which could delay or prevent the ability of holders to convert all of their shares of Series A Preferred Stock into shares of Common Stock.</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the event the Stockholder Approval is not received on or prior to the Meeting Deadline, the Company must hold an additional meeting of its stockholders every sixty (60) days thereafter until the Stockholder Approval is obtained.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12529"/>
        </w:rPr>
        <w:t>Safe Harbor for Forward-Looking Statements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212529"/>
        </w:rPr>
        <w:t>Certain statements contained in this communication may constitute forward-looking statements within the meaning of Section 27A of the Securities Act of 1933 and Section 21E of the Securities Exchange Act of 1934. All statements, other than statements of historical fact, are statements that could be deemed forward-looking statements, including statements containing the words “predicts,” “plans,” “expects,” “anticipates,” “believes,” “goal,” “target,” “estimate,” “potential,” “may,” “might,” “could,” “see,” “seek,” “forecast,” and similar words. Forward-looking statements are based on the Company’s current plans and expectations and involve risks and uncertainties which are, in many instances, beyond the Company’s control, and which could cause actual results to differ materially from those included in or contemplated or implied by the forward-looking statements. Such risks and uncertainties include, among others, the risks, uncertainties and factors detailed in the Company’s filings with the SEC, including in the Company’s Annual Report on Form 10-K for the year ended December 31, 2023, which was filed with the SEC on April 16, 2024. As a result of such risks, uncertainties and factors, the Company’s actual results may differ materially from any future results, performance or achievements discussed in or implied by the forward-looking statements contained herein. The Company is providing the information in this communication as of this date and assumes no obligations to update the information included in this communication or revise any forward-looking statements, whether as a result of new information, future events or otherwise.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08" w:lineRule="exact"/>
        <w:rPr>
          <w:sz w:val="20"/>
          <w:szCs w:val="20"/>
          <w:color w:val="auto"/>
        </w:rPr>
      </w:pPr>
    </w:p>
    <w:p>
      <w:pPr>
        <w:ind w:left="600" w:hanging="297"/>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Exhibits</w:t>
      </w:r>
      <w:r>
        <w:rPr>
          <w:rFonts w:ascii="Times New Roman" w:cs="Times New Roman" w:eastAsia="Times New Roman" w:hAnsi="Times New Roman"/>
          <w:sz w:val="17"/>
          <w:szCs w:val="17"/>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Exhibit No.</w:t>
            </w:r>
          </w:p>
        </w:tc>
        <w:tc>
          <w:tcPr>
            <w:tcW w:w="120" w:type="dxa"/>
            <w:vAlign w:val="bottom"/>
          </w:tcPr>
          <w:p>
            <w:pPr>
              <w:spacing w:after="0"/>
              <w:rPr>
                <w:sz w:val="18"/>
                <w:szCs w:val="18"/>
                <w:color w:val="auto"/>
              </w:rPr>
            </w:pPr>
          </w:p>
        </w:tc>
        <w:tc>
          <w:tcPr>
            <w:tcW w:w="102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auto"/>
              </w:rPr>
              <w:t>Description</w:t>
            </w:r>
          </w:p>
        </w:tc>
      </w:tr>
      <w:tr>
        <w:trPr>
          <w:trHeight w:val="157"/>
        </w:trPr>
        <w:tc>
          <w:tcPr>
            <w:tcW w:w="900" w:type="dxa"/>
            <w:vAlign w:val="bottom"/>
          </w:tcPr>
          <w:p>
            <w:pPr>
              <w:spacing w:after="0" w:line="157"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3"/>
                <w:szCs w:val="13"/>
                <w:color w:val="auto"/>
              </w:rPr>
            </w:pPr>
          </w:p>
        </w:tc>
        <w:tc>
          <w:tcPr>
            <w:tcW w:w="10220" w:type="dxa"/>
            <w:vAlign w:val="bottom"/>
            <w:tcBorders>
              <w:bottom w:val="single" w:sz="8" w:color="0000EE"/>
            </w:tcBorders>
            <w:gridSpan w:val="9"/>
          </w:tcPr>
          <w:p>
            <w:pPr>
              <w:spacing w:after="0" w:line="157" w:lineRule="exact"/>
              <w:rPr>
                <w:sz w:val="20"/>
                <w:szCs w:val="20"/>
                <w:color w:val="auto"/>
              </w:rPr>
            </w:pPr>
            <w:r>
              <w:rPr>
                <w:rFonts w:ascii="Times New Roman" w:cs="Times New Roman" w:eastAsia="Times New Roman" w:hAnsi="Times New Roman"/>
                <w:sz w:val="17"/>
                <w:szCs w:val="17"/>
                <w:color w:val="0000EE"/>
              </w:rPr>
              <w:t>Certificate of Designation of the Powers, Preferences and Relative, Participating, Optional and Other Restrictions of Series A Convertible Preferred</w:t>
            </w: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Stock of the Company.</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15"/>
                <w:szCs w:val="15"/>
                <w:color w:val="auto"/>
              </w:rPr>
            </w:pPr>
          </w:p>
        </w:tc>
        <w:tc>
          <w:tcPr>
            <w:tcW w:w="10220" w:type="dxa"/>
            <w:vAlign w:val="bottom"/>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Form of Private Placement Warrant.</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5"/>
                <w:szCs w:val="15"/>
                <w:color w:val="auto"/>
              </w:rPr>
            </w:pPr>
          </w:p>
        </w:tc>
        <w:tc>
          <w:tcPr>
            <w:tcW w:w="2660" w:type="dxa"/>
            <w:vAlign w:val="bottom"/>
            <w:tcBorders>
              <w:bottom w:val="single" w:sz="8" w:color="0000EE"/>
            </w:tcBorders>
            <w:gridSpan w:val="6"/>
          </w:tcPr>
          <w:p>
            <w:pPr>
              <w:spacing w:after="0" w:line="182" w:lineRule="exact"/>
              <w:rPr>
                <w:sz w:val="20"/>
                <w:szCs w:val="20"/>
                <w:color w:val="auto"/>
              </w:rPr>
            </w:pPr>
            <w:r>
              <w:rPr>
                <w:rFonts w:ascii="Times New Roman" w:cs="Times New Roman" w:eastAsia="Times New Roman" w:hAnsi="Times New Roman"/>
                <w:sz w:val="17"/>
                <w:szCs w:val="17"/>
                <w:color w:val="0000EE"/>
                <w:w w:val="97"/>
              </w:rPr>
              <w:t>Form of February 2025 Penny Warrant.</w:t>
            </w:r>
          </w:p>
        </w:tc>
        <w:tc>
          <w:tcPr>
            <w:tcW w:w="7560" w:type="dxa"/>
            <w:vAlign w:val="bottom"/>
            <w:gridSpan w:val="3"/>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5"/>
                <w:szCs w:val="15"/>
                <w:color w:val="auto"/>
              </w:rPr>
            </w:pPr>
          </w:p>
        </w:tc>
        <w:tc>
          <w:tcPr>
            <w:tcW w:w="2560" w:type="dxa"/>
            <w:vAlign w:val="bottom"/>
            <w:tcBorders>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7"/>
                <w:szCs w:val="17"/>
                <w:color w:val="0000EE"/>
                <w:w w:val="97"/>
              </w:rPr>
              <w:t>Opinion of Parsons, Behle &amp; Latimer.</w:t>
            </w:r>
          </w:p>
        </w:tc>
        <w:tc>
          <w:tcPr>
            <w:tcW w:w="7660" w:type="dxa"/>
            <w:vAlign w:val="bottom"/>
            <w:gridSpan w:val="5"/>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5"/>
                <w:szCs w:val="15"/>
                <w:color w:val="auto"/>
              </w:rPr>
            </w:pPr>
          </w:p>
        </w:tc>
        <w:tc>
          <w:tcPr>
            <w:tcW w:w="10220" w:type="dxa"/>
            <w:vAlign w:val="bottom"/>
            <w:tcBorders>
              <w:bottom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Form of Securities Purchase Agreement, dated February 26, 2025, by and between the Company and the investor listed on the Schedule of Buyers</w:t>
            </w: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97"/>
              </w:rPr>
              <w:t>thereto.</w:t>
            </w:r>
          </w:p>
        </w:tc>
        <w:tc>
          <w:tcPr>
            <w:tcW w:w="9700" w:type="dxa"/>
            <w:vAlign w:val="bottom"/>
            <w:gridSpan w:val="8"/>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5"/>
                <w:szCs w:val="15"/>
                <w:color w:val="auto"/>
              </w:rPr>
            </w:pPr>
          </w:p>
        </w:tc>
        <w:tc>
          <w:tcPr>
            <w:tcW w:w="10220" w:type="dxa"/>
            <w:vAlign w:val="bottom"/>
            <w:tcBorders>
              <w:bottom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Form of Registration Rights Agreement, dated February 26, 2025, by and between the Company and the investor listed on the Schedule of Buyers</w:t>
            </w: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bottom w:val="single" w:sz="8" w:color="0000EE"/>
            </w:tcBorders>
          </w:tcPr>
          <w:p>
            <w:pPr>
              <w:spacing w:after="0" w:line="182" w:lineRule="exact"/>
              <w:rPr>
                <w:sz w:val="20"/>
                <w:szCs w:val="20"/>
                <w:color w:val="auto"/>
              </w:rPr>
            </w:pPr>
            <w:r>
              <w:rPr>
                <w:rFonts w:ascii="Times New Roman" w:cs="Times New Roman" w:eastAsia="Times New Roman" w:hAnsi="Times New Roman"/>
                <w:sz w:val="17"/>
                <w:szCs w:val="17"/>
                <w:color w:val="0000EE"/>
                <w:w w:val="97"/>
              </w:rPr>
              <w:t>thereto.</w:t>
            </w:r>
          </w:p>
        </w:tc>
        <w:tc>
          <w:tcPr>
            <w:tcW w:w="9700" w:type="dxa"/>
            <w:vAlign w:val="bottom"/>
            <w:gridSpan w:val="8"/>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5"/>
                <w:szCs w:val="15"/>
                <w:color w:val="auto"/>
              </w:rPr>
            </w:pPr>
          </w:p>
        </w:tc>
        <w:tc>
          <w:tcPr>
            <w:tcW w:w="10220" w:type="dxa"/>
            <w:vAlign w:val="bottom"/>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Support Agreement, dated February 26, 2025, by and between the Company and the stockholder signatory thereto.</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5"/>
            <w:shd w:val="clear" w:color="auto" w:fill="0000EE"/>
          </w:tcPr>
          <w:p>
            <w:pPr>
              <w:spacing w:after="0" w:line="20" w:lineRule="exact"/>
              <w:rPr>
                <w:sz w:val="1"/>
                <w:szCs w:val="1"/>
                <w:color w:val="auto"/>
              </w:rPr>
            </w:pPr>
          </w:p>
        </w:tc>
        <w:tc>
          <w:tcPr>
            <w:tcW w:w="50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5"/>
                <w:szCs w:val="15"/>
                <w:color w:val="auto"/>
              </w:rPr>
            </w:pPr>
          </w:p>
        </w:tc>
        <w:tc>
          <w:tcPr>
            <w:tcW w:w="10220" w:type="dxa"/>
            <w:vAlign w:val="bottom"/>
            <w:tcBorders>
              <w:bottom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Fifth Amendment to Term Loan, Guarantee and Security Agreement, dated as of February 26, 2025, by and among the Company, Dragonfly Energy</w:t>
            </w: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720" w:type="dxa"/>
            <w:vAlign w:val="bottom"/>
            <w:tcBorders>
              <w:bottom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7"/>
                <w:szCs w:val="17"/>
                <w:color w:val="0000EE"/>
                <w:w w:val="98"/>
              </w:rPr>
              <w:t>Corp., Battle Born Battery Products, LLC, the lenders from time to time party thereto and Alter Domus (US) LLC.</w:t>
            </w:r>
          </w:p>
        </w:tc>
        <w:tc>
          <w:tcPr>
            <w:tcW w:w="2500" w:type="dxa"/>
            <w:vAlign w:val="bottom"/>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99.1</w:t>
            </w:r>
          </w:p>
        </w:tc>
        <w:tc>
          <w:tcPr>
            <w:tcW w:w="120" w:type="dxa"/>
            <w:vAlign w:val="bottom"/>
          </w:tcPr>
          <w:p>
            <w:pPr>
              <w:spacing w:after="0"/>
              <w:rPr>
                <w:sz w:val="15"/>
                <w:szCs w:val="15"/>
                <w:color w:val="auto"/>
              </w:rPr>
            </w:pPr>
          </w:p>
        </w:tc>
        <w:tc>
          <w:tcPr>
            <w:tcW w:w="10220" w:type="dxa"/>
            <w:vAlign w:val="bottom"/>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Press Release dated February 27, 2025.</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9" w:lineRule="exact"/>
        <w:rPr>
          <w:sz w:val="20"/>
          <w:szCs w:val="20"/>
          <w:color w:val="auto"/>
        </w:rPr>
      </w:pPr>
    </w:p>
    <w:p>
      <w:pPr>
        <w:ind w:left="1020" w:hanging="1019"/>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7" w:lineRule="exact"/>
        <w:rPr>
          <w:rFonts w:ascii="Times New Roman" w:cs="Times New Roman" w:eastAsia="Times New Roman" w:hAnsi="Times New Roman"/>
          <w:sz w:val="17"/>
          <w:szCs w:val="17"/>
          <w:color w:val="auto"/>
        </w:rPr>
      </w:pPr>
    </w:p>
    <w:p>
      <w:pPr>
        <w:ind w:firstLine="303"/>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Certain schedules and exhibits have been omitted pursuant to Item 601(a)(5) of Regulation S-K. A copy of any omitted schedule and/or exhibit will be furnished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12"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80" w:type="dxa"/>
            <w:vAlign w:val="bottom"/>
          </w:tcPr>
          <w:p>
            <w:pPr>
              <w:spacing w:after="0"/>
              <w:rPr>
                <w:sz w:val="19"/>
                <w:szCs w:val="19"/>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tc>
      </w:tr>
      <w:tr>
        <w:trPr>
          <w:trHeight w:val="404"/>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Dated: February 27, 2025</w:t>
            </w:r>
          </w:p>
        </w:tc>
        <w:tc>
          <w:tcPr>
            <w:tcW w:w="252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Denis Phares</w:t>
            </w:r>
          </w:p>
        </w:tc>
      </w:tr>
      <w:tr>
        <w:trPr>
          <w:trHeight w:val="178"/>
        </w:trPr>
        <w:tc>
          <w:tcPr>
            <w:tcW w:w="3680" w:type="dxa"/>
            <w:vAlign w:val="bottom"/>
          </w:tcPr>
          <w:p>
            <w:pPr>
              <w:spacing w:after="0"/>
              <w:rPr>
                <w:sz w:val="15"/>
                <w:szCs w:val="15"/>
                <w:color w:val="auto"/>
              </w:rPr>
            </w:pPr>
          </w:p>
        </w:tc>
        <w:tc>
          <w:tcPr>
            <w:tcW w:w="2520" w:type="dxa"/>
            <w:vAlign w:val="bottom"/>
          </w:tcPr>
          <w:p>
            <w:pPr>
              <w:ind w:left="196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Denis Phares</w:t>
            </w:r>
          </w:p>
        </w:tc>
      </w:tr>
      <w:tr>
        <w:trPr>
          <w:trHeight w:val="218"/>
        </w:trPr>
        <w:tc>
          <w:tcPr>
            <w:tcW w:w="3680" w:type="dxa"/>
            <w:vAlign w:val="bottom"/>
          </w:tcPr>
          <w:p>
            <w:pPr>
              <w:spacing w:after="0"/>
              <w:rPr>
                <w:sz w:val="18"/>
                <w:szCs w:val="18"/>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 Interim Chief Financial Officer and President</w:t>
            </w:r>
          </w:p>
        </w:tc>
      </w:tr>
      <w:tr>
        <w:trPr>
          <w:trHeight w:val="404"/>
        </w:trPr>
        <w:tc>
          <w:tcPr>
            <w:tcW w:w="3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13" w:name="page14"/>
    <w:bookmarkEnd w:id="13"/>
    <w:p>
      <w:pPr>
        <w:ind w:left="9340"/>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152400</wp:posOffset>
            </wp:positionV>
            <wp:extent cx="7200265" cy="9591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265" cy="9591040"/>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DESIGNATION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RIGHTS AND PREFERENCES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SERIES A CONVERTIBLE PREFERRED STOCK</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18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color w:val="auto"/>
        </w:rPr>
        <w:t>I, Denis Phares, hereby certify that I am the President and Chief Executive Officer of Dragonfly Energy Holdings Corp.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 corporation organized and existing under the Nevada Revised Statutes (“</w:t>
      </w:r>
      <w:r>
        <w:rPr>
          <w:rFonts w:ascii="Times New Roman" w:cs="Times New Roman" w:eastAsia="Times New Roman" w:hAnsi="Times New Roman"/>
          <w:sz w:val="17"/>
          <w:szCs w:val="17"/>
          <w:b w:val="1"/>
          <w:bCs w:val="1"/>
          <w:color w:val="auto"/>
        </w:rPr>
        <w:t>NRS</w:t>
      </w:r>
      <w:r>
        <w:rPr>
          <w:rFonts w:ascii="Times New Roman" w:cs="Times New Roman" w:eastAsia="Times New Roman" w:hAnsi="Times New Roman"/>
          <w:sz w:val="17"/>
          <w:szCs w:val="17"/>
          <w:color w:val="auto"/>
        </w:rPr>
        <w:t>”), and further do hereby certify:</w:t>
      </w:r>
    </w:p>
    <w:p>
      <w:pPr>
        <w:spacing w:after="0" w:line="151"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That pursuant to the authority expressly conferred upon the Board of Directors of the Company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by the Company’s Articles of Incorporation, as amended (the “</w:t>
      </w:r>
      <w:r>
        <w:rPr>
          <w:rFonts w:ascii="Times New Roman" w:cs="Times New Roman" w:eastAsia="Times New Roman" w:hAnsi="Times New Roman"/>
          <w:sz w:val="17"/>
          <w:szCs w:val="17"/>
          <w:b w:val="1"/>
          <w:bCs w:val="1"/>
          <w:color w:val="auto"/>
        </w:rPr>
        <w:t>Certificate of Incorporation</w:t>
      </w:r>
      <w:r>
        <w:rPr>
          <w:rFonts w:ascii="Times New Roman" w:cs="Times New Roman" w:eastAsia="Times New Roman" w:hAnsi="Times New Roman"/>
          <w:sz w:val="17"/>
          <w:szCs w:val="17"/>
          <w:color w:val="auto"/>
        </w:rPr>
        <w:t>”), the Board on February 26, 2025 adopted the following resolution determining it desirable and in the best interests of the Company and its stockholders for the Company to create a series of five thousand (5,000) shares of preferred stock designated as “</w:t>
      </w:r>
      <w:r>
        <w:rPr>
          <w:rFonts w:ascii="Times New Roman" w:cs="Times New Roman" w:eastAsia="Times New Roman" w:hAnsi="Times New Roman"/>
          <w:sz w:val="17"/>
          <w:szCs w:val="17"/>
          <w:b w:val="1"/>
          <w:bCs w:val="1"/>
          <w:color w:val="auto"/>
        </w:rPr>
        <w:t>Series A Convertible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 none of which shares have been issued as of the date hereof, to be issued pursuant to the Purchase Agreement (as defined in below), in accordance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terms of the Purchase Agreement.</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RESOLVED, that pursuant to the authority vested in the Board, in accordance with the provisions of the Certificate of Incorporation, a series of preferred stock, par value $0.0001 per share, of the Company be and hereby is created pursuant to this certificate of designation (this “</w:t>
      </w:r>
      <w:r>
        <w:rPr>
          <w:rFonts w:ascii="Times New Roman" w:cs="Times New Roman" w:eastAsia="Times New Roman" w:hAnsi="Times New Roman"/>
          <w:sz w:val="17"/>
          <w:szCs w:val="17"/>
          <w:b w:val="1"/>
          <w:bCs w:val="1"/>
          <w:color w:val="auto"/>
        </w:rPr>
        <w:t>Certificate of Designation</w:t>
      </w:r>
      <w:r>
        <w:rPr>
          <w:rFonts w:ascii="Times New Roman" w:cs="Times New Roman" w:eastAsia="Times New Roman" w:hAnsi="Times New Roman"/>
          <w:sz w:val="17"/>
          <w:szCs w:val="17"/>
          <w:color w:val="auto"/>
        </w:rPr>
        <w:t>”), and that the designation and number of shares established pursuant hereto and the voting and other powers, preferences and relative, participating, optional or other rights of the shares of such series and the qualifications, limitations and restrictions thereof are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TERMS OF SERIES A CONVERTIBLE PREFERRED STOCK</w:t>
      </w:r>
    </w:p>
    <w:p>
      <w:pPr>
        <w:spacing w:after="0" w:line="212" w:lineRule="exact"/>
        <w:rPr>
          <w:sz w:val="20"/>
          <w:szCs w:val="20"/>
          <w:color w:val="auto"/>
        </w:rPr>
      </w:pPr>
    </w:p>
    <w:p>
      <w:pPr>
        <w:jc w:val="both"/>
        <w:ind w:firstLine="606"/>
        <w:spacing w:after="0" w:line="256" w:lineRule="auto"/>
        <w:tabs>
          <w:tab w:leader="none" w:pos="78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Designation and Number of Shar</w:t>
      </w:r>
      <w:r>
        <w:rPr>
          <w:rFonts w:ascii="Times New Roman" w:cs="Times New Roman" w:eastAsia="Times New Roman" w:hAnsi="Times New Roman"/>
          <w:sz w:val="17"/>
          <w:szCs w:val="17"/>
          <w:color w:val="auto"/>
        </w:rPr>
        <w:t>es. There shall hereby be created and established a series of preferred stock of the Company designated as “Series A Convertible Preferred Stock” (the “</w:t>
      </w:r>
      <w:r>
        <w:rPr>
          <w:rFonts w:ascii="Times New Roman" w:cs="Times New Roman" w:eastAsia="Times New Roman" w:hAnsi="Times New Roman"/>
          <w:sz w:val="17"/>
          <w:szCs w:val="17"/>
          <w:b w:val="1"/>
          <w:bCs w:val="1"/>
          <w:color w:val="auto"/>
        </w:rPr>
        <w:t>Series A Convertible Preferred Stock</w:t>
      </w:r>
      <w:r>
        <w:rPr>
          <w:rFonts w:ascii="Times New Roman" w:cs="Times New Roman" w:eastAsia="Times New Roman" w:hAnsi="Times New Roman"/>
          <w:sz w:val="17"/>
          <w:szCs w:val="17"/>
          <w:color w:val="auto"/>
        </w:rPr>
        <w:t>”). The authorized number of shares of Series A Convertible Preferred Stock (the “</w:t>
      </w:r>
      <w:r>
        <w:rPr>
          <w:rFonts w:ascii="Times New Roman" w:cs="Times New Roman" w:eastAsia="Times New Roman" w:hAnsi="Times New Roman"/>
          <w:sz w:val="17"/>
          <w:szCs w:val="17"/>
          <w:b w:val="1"/>
          <w:bCs w:val="1"/>
          <w:color w:val="auto"/>
        </w:rPr>
        <w:t>Preferred Shares</w:t>
      </w:r>
      <w:r>
        <w:rPr>
          <w:rFonts w:ascii="Times New Roman" w:cs="Times New Roman" w:eastAsia="Times New Roman" w:hAnsi="Times New Roman"/>
          <w:sz w:val="17"/>
          <w:szCs w:val="17"/>
          <w:color w:val="auto"/>
        </w:rPr>
        <w:t>”) shall be five thousand (5,000) shares. Each Preferred Share shall have a par value of $0.0001 per share. Capitalized terms not defined herein shall have the meaning as set forth in Section 32 below.</w:t>
      </w:r>
    </w:p>
    <w:p>
      <w:pPr>
        <w:spacing w:after="0" w:line="174" w:lineRule="exact"/>
        <w:rPr>
          <w:rFonts w:ascii="Times New Roman" w:cs="Times New Roman" w:eastAsia="Times New Roman" w:hAnsi="Times New Roman"/>
          <w:sz w:val="17"/>
          <w:szCs w:val="17"/>
          <w:color w:val="auto"/>
        </w:rPr>
      </w:pPr>
    </w:p>
    <w:p>
      <w:pPr>
        <w:jc w:val="both"/>
        <w:ind w:firstLine="606"/>
        <w:spacing w:after="0" w:line="249" w:lineRule="auto"/>
        <w:tabs>
          <w:tab w:leader="none" w:pos="77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Ranking</w:t>
      </w:r>
      <w:r>
        <w:rPr>
          <w:rFonts w:ascii="Times New Roman" w:cs="Times New Roman" w:eastAsia="Times New Roman" w:hAnsi="Times New Roman"/>
          <w:sz w:val="17"/>
          <w:szCs w:val="17"/>
          <w:color w:val="auto"/>
        </w:rPr>
        <w:t>. Except to the extent that the Required Holder expressly consents to the creation of Parity Stock (as defined below) or Senior Preferred Stock (as defined below) in accordance with Section 16, all shares of capital stock of the Company shall be junior in rank to all Preferred Shares with respect to the preferences as to dividends, distributions and payments upon the liquidation, dissolution and winding up of the Company (such junior stock is referred to herein collectively as “</w:t>
      </w:r>
      <w:r>
        <w:rPr>
          <w:rFonts w:ascii="Times New Roman" w:cs="Times New Roman" w:eastAsia="Times New Roman" w:hAnsi="Times New Roman"/>
          <w:sz w:val="17"/>
          <w:szCs w:val="17"/>
          <w:b w:val="1"/>
          <w:bCs w:val="1"/>
          <w:color w:val="auto"/>
        </w:rPr>
        <w:t>Junior Stock</w:t>
      </w:r>
      <w:r>
        <w:rPr>
          <w:rFonts w:ascii="Times New Roman" w:cs="Times New Roman" w:eastAsia="Times New Roman" w:hAnsi="Times New Roman"/>
          <w:sz w:val="17"/>
          <w:szCs w:val="17"/>
          <w:color w:val="auto"/>
        </w:rPr>
        <w:t>”). For the avoidance of doubt, the Preferred Shares will, with respect to dividend rights and rights on liquidation, winding-up and dissolution, rank (A) junior to the Senior Preferred Stock, (B) on parity with the Parity Stock and (C) senior to the Junior Stock. The rights of all such shares of capital stock of the Company shall be subject to the rights, powers, preferences and privileges of the Preferred Shares. Without limiting any other provision of this Certificate of Designation, without the prior express consent of the Required Holder, voting separately as a single class, the Company shall not hereafter authorize or issue any additional or other shares of capital stock that is (i) of senior rank to the Preferred Shares in respect of the preferences as to dividends, distributions and payments upon the liquidation, dissolution and winding up of the Company (collectively, the “</w:t>
      </w:r>
      <w:r>
        <w:rPr>
          <w:rFonts w:ascii="Times New Roman" w:cs="Times New Roman" w:eastAsia="Times New Roman" w:hAnsi="Times New Roman"/>
          <w:sz w:val="17"/>
          <w:szCs w:val="17"/>
          <w:b w:val="1"/>
          <w:bCs w:val="1"/>
          <w:color w:val="auto"/>
        </w:rPr>
        <w:t>Senior Preferred Stock</w:t>
      </w:r>
      <w:r>
        <w:rPr>
          <w:rFonts w:ascii="Times New Roman" w:cs="Times New Roman" w:eastAsia="Times New Roman" w:hAnsi="Times New Roman"/>
          <w:sz w:val="17"/>
          <w:szCs w:val="17"/>
          <w:color w:val="auto"/>
        </w:rPr>
        <w:t>”), (ii) of pari passu rank to the Preferred Shares in respect of the preferences as to dividends, distributions and payments upon the liquidation, dissolution and winding up of the Company (collectively, the “</w:t>
      </w:r>
      <w:r>
        <w:rPr>
          <w:rFonts w:ascii="Times New Roman" w:cs="Times New Roman" w:eastAsia="Times New Roman" w:hAnsi="Times New Roman"/>
          <w:sz w:val="17"/>
          <w:szCs w:val="17"/>
          <w:b w:val="1"/>
          <w:bCs w:val="1"/>
          <w:color w:val="auto"/>
        </w:rPr>
        <w:t>Parity Stock</w:t>
      </w:r>
      <w:r>
        <w:rPr>
          <w:rFonts w:ascii="Times New Roman" w:cs="Times New Roman" w:eastAsia="Times New Roman" w:hAnsi="Times New Roman"/>
          <w:sz w:val="17"/>
          <w:szCs w:val="17"/>
          <w:color w:val="auto"/>
        </w:rPr>
        <w:t>”) or (iii) any Junior Stock having a maturity date or any other date requiring redemption or repayment of such shares of Junior Stock that is prior to the ninety-first calendar day after the date no Preferred Shares remain outstanding. In the event of the merger or consolidation of the Company with or into another corporation, unless the Company redeems the outstanding Preferred Shares in full pursuant to Section 9, the Preferred Shares shall maintain their relative rights, powers, designations, privileges and preferences provided for herein and no such merger or consolidation shall result inconsistent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257175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5" w:name="page16"/>
    <w:bookmarkEnd w:id="15"/>
    <w:p>
      <w:pPr>
        <w:jc w:val="both"/>
        <w:ind w:firstLine="606"/>
        <w:spacing w:after="0" w:line="255" w:lineRule="auto"/>
        <w:tabs>
          <w:tab w:leader="none" w:pos="78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 In addition to Section 7, Section 8 and/or Section 15 below, from and after the first date of issuance of any Preferred Shares (the “</w:t>
      </w:r>
      <w:r>
        <w:rPr>
          <w:rFonts w:ascii="Times New Roman" w:cs="Times New Roman" w:eastAsia="Times New Roman" w:hAnsi="Times New Roman"/>
          <w:sz w:val="17"/>
          <w:szCs w:val="17"/>
          <w:b w:val="1"/>
          <w:bCs w:val="1"/>
          <w:color w:val="auto"/>
        </w:rPr>
        <w:t>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Issuance Date</w:t>
      </w:r>
      <w:r>
        <w:rPr>
          <w:rFonts w:ascii="Times New Roman" w:cs="Times New Roman" w:eastAsia="Times New Roman" w:hAnsi="Times New Roman"/>
          <w:sz w:val="17"/>
          <w:szCs w:val="17"/>
          <w:color w:val="auto"/>
        </w:rPr>
        <w:t>”), and at all times subject to the restrictions set forth in NRS 78, including but not limited to NRS 78.288, each holder of a Preferred Share (each,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Holders</w:t>
      </w:r>
      <w:r>
        <w:rPr>
          <w:rFonts w:ascii="Times New Roman" w:cs="Times New Roman" w:eastAsia="Times New Roman" w:hAnsi="Times New Roman"/>
          <w:sz w:val="17"/>
          <w:szCs w:val="17"/>
          <w:color w:val="auto"/>
        </w:rPr>
        <w:t>”) shall be entitled to receive dividends (“</w:t>
      </w:r>
      <w:r>
        <w:rPr>
          <w:rFonts w:ascii="Times New Roman" w:cs="Times New Roman" w:eastAsia="Times New Roman" w:hAnsi="Times New Roman"/>
          <w:sz w:val="17"/>
          <w:szCs w:val="17"/>
          <w:b w:val="1"/>
          <w:bCs w:val="1"/>
          <w:color w:val="auto"/>
        </w:rPr>
        <w:t>Dividends</w:t>
      </w:r>
      <w:r>
        <w:rPr>
          <w:rFonts w:ascii="Times New Roman" w:cs="Times New Roman" w:eastAsia="Times New Roman" w:hAnsi="Times New Roman"/>
          <w:sz w:val="17"/>
          <w:szCs w:val="17"/>
          <w:color w:val="auto"/>
        </w:rPr>
        <w:t>”), which Dividends shall be computed on the basis of a 360-day year and the actual number of days elapsed in each month and shall be payable in arrears on the first Trading Day of each Fiscal Quarter (each, an “</w:t>
      </w:r>
      <w:r>
        <w:rPr>
          <w:rFonts w:ascii="Times New Roman" w:cs="Times New Roman" w:eastAsia="Times New Roman" w:hAnsi="Times New Roman"/>
          <w:sz w:val="17"/>
          <w:szCs w:val="17"/>
          <w:b w:val="1"/>
          <w:bCs w:val="1"/>
          <w:color w:val="auto"/>
        </w:rPr>
        <w:t>Dividend Date</w:t>
      </w:r>
      <w:r>
        <w:rPr>
          <w:rFonts w:ascii="Times New Roman" w:cs="Times New Roman" w:eastAsia="Times New Roman" w:hAnsi="Times New Roman"/>
          <w:sz w:val="17"/>
          <w:szCs w:val="17"/>
          <w:color w:val="auto"/>
        </w:rPr>
        <w:t>”) with the first Dividend Date being the first Trading Day of the initial Fiscal Quarter commencing after the Initial Issuance Date.</w:t>
      </w:r>
    </w:p>
    <w:p>
      <w:pPr>
        <w:spacing w:after="0" w:line="175" w:lineRule="exact"/>
        <w:rPr>
          <w:rFonts w:ascii="Times New Roman" w:cs="Times New Roman" w:eastAsia="Times New Roman" w:hAnsi="Times New Roman"/>
          <w:sz w:val="17"/>
          <w:szCs w:val="17"/>
          <w:color w:val="auto"/>
        </w:rPr>
      </w:pPr>
    </w:p>
    <w:p>
      <w:pPr>
        <w:jc w:val="both"/>
        <w:ind w:left="600" w:firstLine="611"/>
        <w:spacing w:after="0" w:line="267" w:lineRule="auto"/>
        <w:tabs>
          <w:tab w:leader="none" w:pos="1436"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 of funds legally available for the payment of dividends or as otherwise legally permitted, at all times in accordance with restrictions set forth under Nevada law, including but not limited to NRS 78.288, dividends shall be payable on each Dividend Date, to each record holder of Preferred Shares on the applicable Dividend Date, in cash (“</w:t>
      </w:r>
      <w:r>
        <w:rPr>
          <w:rFonts w:ascii="Times New Roman" w:cs="Times New Roman" w:eastAsia="Times New Roman" w:hAnsi="Times New Roman"/>
          <w:sz w:val="16"/>
          <w:szCs w:val="16"/>
          <w:b w:val="1"/>
          <w:bCs w:val="1"/>
          <w:color w:val="auto"/>
        </w:rPr>
        <w:t>Cash Dividend</w:t>
      </w:r>
      <w:r>
        <w:rPr>
          <w:rFonts w:ascii="Times New Roman" w:cs="Times New Roman" w:eastAsia="Times New Roman" w:hAnsi="Times New Roman"/>
          <w:sz w:val="16"/>
          <w:szCs w:val="16"/>
          <w:color w:val="auto"/>
        </w:rPr>
        <w:t>”); provided however, that the Company may, at its option following notice to each Holder, instead add the amount of Dividends payable on such Dividend Date to the aggregate Stated Value of such Holder’s Preferred Share (“</w:t>
      </w:r>
      <w:r>
        <w:rPr>
          <w:rFonts w:ascii="Times New Roman" w:cs="Times New Roman" w:eastAsia="Times New Roman" w:hAnsi="Times New Roman"/>
          <w:sz w:val="16"/>
          <w:szCs w:val="16"/>
          <w:b w:val="1"/>
          <w:bCs w:val="1"/>
          <w:color w:val="auto"/>
        </w:rPr>
        <w:t>PIK Dividends</w:t>
      </w:r>
      <w:r>
        <w:rPr>
          <w:rFonts w:ascii="Times New Roman" w:cs="Times New Roman" w:eastAsia="Times New Roman" w:hAnsi="Times New Roman"/>
          <w:sz w:val="16"/>
          <w:szCs w:val="16"/>
          <w:color w:val="auto"/>
        </w:rPr>
        <w:t>”) on the applicable Dividend Date or elect a combination of Cash Dividends and PIK Dividends. The Company shall deliver a written notice (each, an “</w:t>
      </w:r>
      <w:r>
        <w:rPr>
          <w:rFonts w:ascii="Times New Roman" w:cs="Times New Roman" w:eastAsia="Times New Roman" w:hAnsi="Times New Roman"/>
          <w:sz w:val="16"/>
          <w:szCs w:val="16"/>
          <w:b w:val="1"/>
          <w:bCs w:val="1"/>
          <w:color w:val="auto"/>
        </w:rPr>
        <w:t>Dividend</w:t>
      </w:r>
    </w:p>
    <w:p>
      <w:pPr>
        <w:spacing w:after="0" w:line="1" w:lineRule="exact"/>
        <w:rPr>
          <w:sz w:val="20"/>
          <w:szCs w:val="20"/>
          <w:color w:val="auto"/>
        </w:rPr>
      </w:pPr>
    </w:p>
    <w:p>
      <w:pPr>
        <w:jc w:val="both"/>
        <w:ind w:left="600"/>
        <w:spacing w:after="0" w:line="243" w:lineRule="auto"/>
        <w:rPr>
          <w:sz w:val="20"/>
          <w:szCs w:val="20"/>
          <w:color w:val="auto"/>
        </w:rPr>
      </w:pPr>
      <w:r>
        <w:rPr>
          <w:rFonts w:ascii="Times New Roman" w:cs="Times New Roman" w:eastAsia="Times New Roman" w:hAnsi="Times New Roman"/>
          <w:sz w:val="16"/>
          <w:szCs w:val="16"/>
          <w:b w:val="1"/>
          <w:bCs w:val="1"/>
          <w:color w:val="auto"/>
        </w:rPr>
        <w:t>Election Notice</w:t>
      </w:r>
      <w:r>
        <w:rPr>
          <w:rFonts w:ascii="Times New Roman" w:cs="Times New Roman" w:eastAsia="Times New Roman" w:hAnsi="Times New Roman"/>
          <w:sz w:val="16"/>
          <w:szCs w:val="16"/>
          <w:color w:val="auto"/>
        </w:rPr>
        <w:t>”) to each Holder of the Preferred Shares on or prior to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Trading Day immediately prior to the applicable Dividend Date (each,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w:t>
      </w:r>
      <w:r>
        <w:rPr>
          <w:rFonts w:ascii="Times New Roman" w:cs="Times New Roman" w:eastAsia="Times New Roman" w:hAnsi="Times New Roman"/>
          <w:sz w:val="16"/>
          <w:szCs w:val="16"/>
          <w:b w:val="1"/>
          <w:bCs w:val="1"/>
          <w:color w:val="auto"/>
        </w:rPr>
        <w:t>Dividend Notice Due Date</w:t>
      </w:r>
      <w:r>
        <w:rPr>
          <w:rFonts w:ascii="Times New Roman" w:cs="Times New Roman" w:eastAsia="Times New Roman" w:hAnsi="Times New Roman"/>
          <w:sz w:val="16"/>
          <w:szCs w:val="16"/>
          <w:color w:val="auto"/>
        </w:rPr>
        <w:t>”) (the date such notice is delivered to all of the Holders, the “</w:t>
      </w:r>
      <w:r>
        <w:rPr>
          <w:rFonts w:ascii="Times New Roman" w:cs="Times New Roman" w:eastAsia="Times New Roman" w:hAnsi="Times New Roman"/>
          <w:sz w:val="16"/>
          <w:szCs w:val="16"/>
          <w:b w:val="1"/>
          <w:bCs w:val="1"/>
          <w:color w:val="auto"/>
        </w:rPr>
        <w:t>Dividend Notice Date</w:t>
      </w:r>
      <w:r>
        <w:rPr>
          <w:rFonts w:ascii="Times New Roman" w:cs="Times New Roman" w:eastAsia="Times New Roman" w:hAnsi="Times New Roman"/>
          <w:sz w:val="16"/>
          <w:szCs w:val="16"/>
          <w:color w:val="auto"/>
        </w:rPr>
        <w:t>”) which notice either (A) confirms that Dividend to be paid on such Dividend Date shall be paid entirely in Cash Dividends or (B) elects to effect a PIK Dividend or a combination of Cash Dividends and PIK Dividends and specifies the amount of Dividend that shall be a Cash Dividend and the amount of Dividend, if any, that shall be a PIK Dividend. Notwithstanding the foregoing, until such time as the Company notifies each Holder of a change in such election, the Dividend payments hereunder shall be paid as PIK Dividends. In the event the Company elects to change such election to a Cash Dividend or combination of Cash Dividends and</w:t>
      </w:r>
    </w:p>
    <w:p>
      <w:pPr>
        <w:spacing w:after="0" w:line="2" w:lineRule="exact"/>
        <w:rPr>
          <w:sz w:val="20"/>
          <w:szCs w:val="20"/>
          <w:color w:val="auto"/>
        </w:rPr>
      </w:pPr>
    </w:p>
    <w:p>
      <w:pPr>
        <w:jc w:val="both"/>
        <w:ind w:left="600"/>
        <w:spacing w:after="0" w:line="216" w:lineRule="auto"/>
        <w:rPr>
          <w:sz w:val="20"/>
          <w:szCs w:val="20"/>
          <w:color w:val="auto"/>
        </w:rPr>
      </w:pPr>
      <w:r>
        <w:rPr>
          <w:rFonts w:ascii="Times New Roman" w:cs="Times New Roman" w:eastAsia="Times New Roman" w:hAnsi="Times New Roman"/>
          <w:sz w:val="17"/>
          <w:szCs w:val="17"/>
          <w:color w:val="auto"/>
        </w:rPr>
        <w:t>PIK Dividends, in accordance with the provisions above, the Company shall notify the Holder prior to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Trading Day immediately prior to the applicable Dividend Date on which the Company elects to make a Dividend payment hereunder as a Cash Dividend or a combination of Cash Dividends and PIK Dividends.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 w:name="page17"/>
    <w:bookmarkEnd w:id="16"/>
    <w:p>
      <w:pPr>
        <w:jc w:val="both"/>
        <w:ind w:left="600" w:firstLine="611"/>
        <w:spacing w:after="0" w:line="250" w:lineRule="auto"/>
        <w:tabs>
          <w:tab w:leader="none" w:pos="1452"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payment of Dividends on a Dividend Date, Dividends on the Preferred Shares shall accrue at the Dividend Rate and be payable by way of inclusion of the Dividends in the Conversion Amount on each Conversion Date in accordance with Section 4(b) or upon any redemption in accordance with Section 9 or upon any required payment upon any Mandatory Redemption Triggering Event, subject at all times to and except as may be restricted by Nevada law, including NRS 78.288. From and after the occurrence and during the continuance of any Triggering Event, the Dividend Rate in effect with respect to such determination shall automatically be increased to the lesser of 18% per annum or the maximum rate permitted under applicable law (the “</w:t>
      </w:r>
      <w:r>
        <w:rPr>
          <w:rFonts w:ascii="Times New Roman" w:cs="Times New Roman" w:eastAsia="Times New Roman" w:hAnsi="Times New Roman"/>
          <w:sz w:val="17"/>
          <w:szCs w:val="17"/>
          <w:b w:val="1"/>
          <w:bCs w:val="1"/>
          <w:color w:val="auto"/>
        </w:rPr>
        <w:t>Default Rate</w:t>
      </w:r>
      <w:r>
        <w:rPr>
          <w:rFonts w:ascii="Times New Roman" w:cs="Times New Roman" w:eastAsia="Times New Roman" w:hAnsi="Times New Roman"/>
          <w:sz w:val="17"/>
          <w:szCs w:val="17"/>
          <w:color w:val="auto"/>
        </w:rPr>
        <w:t>”). In the event that such Triggering Event is subsequently cured (and no other Triggering Event then exists (including, without limitation, for the Company’s failure to pay such Dividends at the Default Rate on the applicable Dividend Date)), the adjustment referred to in the preceding sentence shall cease to be effective as of the calendar day immediately following the date of such cure; provided that the Dividends as calculated and unpaid at such increased rate during the continuance of such Triggering Event shall continue to apply to the extent relating to the days after the occurrence of such Triggering Event through and including the date of such cure of such Triggering Event.</w:t>
      </w:r>
    </w:p>
    <w:p>
      <w:pPr>
        <w:spacing w:after="0" w:line="182" w:lineRule="exact"/>
        <w:rPr>
          <w:rFonts w:ascii="Times New Roman" w:cs="Times New Roman" w:eastAsia="Times New Roman" w:hAnsi="Times New Roman"/>
          <w:sz w:val="17"/>
          <w:szCs w:val="17"/>
          <w:color w:val="auto"/>
        </w:rPr>
      </w:pPr>
    </w:p>
    <w:p>
      <w:pPr>
        <w:ind w:firstLine="606"/>
        <w:spacing w:after="0" w:line="274" w:lineRule="auto"/>
        <w:tabs>
          <w:tab w:leader="none" w:pos="77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At any time after the Initial Issuance Date, each Preferred Share shall be convertible into validly issued, fully paid and non-assessable shares of Common Stock (the “</w:t>
      </w:r>
      <w:r>
        <w:rPr>
          <w:rFonts w:ascii="Times New Roman" w:cs="Times New Roman" w:eastAsia="Times New Roman" w:hAnsi="Times New Roman"/>
          <w:sz w:val="17"/>
          <w:szCs w:val="17"/>
          <w:b w:val="1"/>
          <w:bCs w:val="1"/>
          <w:color w:val="auto"/>
        </w:rPr>
        <w:t>Conversion Shares</w:t>
      </w:r>
      <w:r>
        <w:rPr>
          <w:rFonts w:ascii="Times New Roman" w:cs="Times New Roman" w:eastAsia="Times New Roman" w:hAnsi="Times New Roman"/>
          <w:sz w:val="17"/>
          <w:szCs w:val="17"/>
          <w:color w:val="auto"/>
        </w:rPr>
        <w:t>”), on the terms and conditions set forth in this Section 4.</w:t>
      </w:r>
    </w:p>
    <w:p>
      <w:pPr>
        <w:spacing w:after="0" w:line="158" w:lineRule="exact"/>
        <w:rPr>
          <w:rFonts w:ascii="Times New Roman" w:cs="Times New Roman" w:eastAsia="Times New Roman" w:hAnsi="Times New Roman"/>
          <w:sz w:val="17"/>
          <w:szCs w:val="17"/>
          <w:color w:val="auto"/>
        </w:rPr>
      </w:pPr>
    </w:p>
    <w:p>
      <w:pPr>
        <w:jc w:val="both"/>
        <w:ind w:left="600" w:firstLine="611"/>
        <w:spacing w:after="0" w:line="252" w:lineRule="auto"/>
        <w:tabs>
          <w:tab w:leader="none" w:pos="1434"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Conversion Right</w:t>
      </w:r>
      <w:r>
        <w:rPr>
          <w:rFonts w:ascii="Times New Roman" w:cs="Times New Roman" w:eastAsia="Times New Roman" w:hAnsi="Times New Roman"/>
          <w:sz w:val="17"/>
          <w:szCs w:val="17"/>
          <w:color w:val="auto"/>
        </w:rPr>
        <w:t>. Subject to the provisions of Section 4(d), at any time or times on or after the Initial Issuance Date, each Holder shall be entitled to convert any portion of the outstanding Preferred Shares held by such Holder into validly issued, fully paid and non-assessable Conversion Shares in accordance with Section 4(c)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that may be payable with respect to the issuance and delivery of Common Stock upon conversion of any Preferred Shares.</w:t>
      </w:r>
    </w:p>
    <w:p>
      <w:pPr>
        <w:spacing w:after="0" w:line="177" w:lineRule="exact"/>
        <w:rPr>
          <w:rFonts w:ascii="Times New Roman" w:cs="Times New Roman" w:eastAsia="Times New Roman" w:hAnsi="Times New Roman"/>
          <w:sz w:val="17"/>
          <w:szCs w:val="17"/>
          <w:color w:val="auto"/>
        </w:rPr>
      </w:pPr>
    </w:p>
    <w:p>
      <w:pPr>
        <w:jc w:val="both"/>
        <w:ind w:left="600" w:firstLine="611"/>
        <w:spacing w:after="0" w:line="261" w:lineRule="auto"/>
        <w:tabs>
          <w:tab w:leader="none" w:pos="1468"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Rate</w:t>
      </w:r>
      <w:r>
        <w:rPr>
          <w:rFonts w:ascii="Times New Roman" w:cs="Times New Roman" w:eastAsia="Times New Roman" w:hAnsi="Times New Roman"/>
          <w:sz w:val="17"/>
          <w:szCs w:val="17"/>
          <w:color w:val="auto"/>
        </w:rPr>
        <w:t>. Except as otherwise provided herein, the number of Conversion Shares issuable upon conversion of any Preferred Share pursuant to this Section 4 shall be determined by dividing (x) the Conversion Amount of such Preferred Share by (y) the Conversion Price (the “</w:t>
      </w:r>
      <w:r>
        <w:rPr>
          <w:rFonts w:ascii="Times New Roman" w:cs="Times New Roman" w:eastAsia="Times New Roman" w:hAnsi="Times New Roman"/>
          <w:sz w:val="17"/>
          <w:szCs w:val="17"/>
          <w:b w:val="1"/>
          <w:bCs w:val="1"/>
          <w:color w:val="auto"/>
        </w:rPr>
        <w:t>Conversion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Rate</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left="600" w:firstLine="605"/>
        <w:spacing w:after="0" w:line="258" w:lineRule="auto"/>
        <w:rPr>
          <w:sz w:val="20"/>
          <w:szCs w:val="20"/>
          <w:color w:val="auto"/>
        </w:rPr>
      </w:pPr>
      <w:r>
        <w:rPr>
          <w:rFonts w:ascii="Times New Roman" w:cs="Times New Roman" w:eastAsia="Times New Roman" w:hAnsi="Times New Roman"/>
          <w:sz w:val="17"/>
          <w:szCs w:val="17"/>
          <w:color w:val="auto"/>
        </w:rPr>
        <w:t>For purposes of this Certificate of Designation, the term “</w:t>
      </w:r>
      <w:r>
        <w:rPr>
          <w:rFonts w:ascii="Times New Roman" w:cs="Times New Roman" w:eastAsia="Times New Roman" w:hAnsi="Times New Roman"/>
          <w:sz w:val="17"/>
          <w:szCs w:val="17"/>
          <w:b w:val="1"/>
          <w:bCs w:val="1"/>
          <w:color w:val="auto"/>
        </w:rPr>
        <w:t>Conversion Amount</w:t>
      </w:r>
      <w:r>
        <w:rPr>
          <w:rFonts w:ascii="Times New Roman" w:cs="Times New Roman" w:eastAsia="Times New Roman" w:hAnsi="Times New Roman"/>
          <w:sz w:val="17"/>
          <w:szCs w:val="17"/>
          <w:color w:val="auto"/>
        </w:rPr>
        <w:t xml:space="preserve">” means, with respect to each Preferred Share, as of the applicable date of determination, the sum of (1) 120% of the sum of (A) the Stated Value thereof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(B) any Additional Amount thereon as of such date of determination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(2) any other amounts thereon owed to such Holder, pursuant to this Certificate of Designation or any other Transaction Document that have not otherwise been paid or satisfied.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7" w:name="page18"/>
    <w:bookmarkEnd w:id="17"/>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For purposes of this Certificate of Designation, the term “</w:t>
      </w:r>
      <w:r>
        <w:rPr>
          <w:rFonts w:ascii="Times New Roman" w:cs="Times New Roman" w:eastAsia="Times New Roman" w:hAnsi="Times New Roman"/>
          <w:sz w:val="17"/>
          <w:szCs w:val="17"/>
          <w:b w:val="1"/>
          <w:bCs w:val="1"/>
          <w:color w:val="auto"/>
        </w:rPr>
        <w:t>Conversion Price</w:t>
      </w:r>
      <w:r>
        <w:rPr>
          <w:rFonts w:ascii="Times New Roman" w:cs="Times New Roman" w:eastAsia="Times New Roman" w:hAnsi="Times New Roman"/>
          <w:sz w:val="17"/>
          <w:szCs w:val="17"/>
          <w:color w:val="auto"/>
        </w:rPr>
        <w:t>” means, (i) with respect to each Preferred Share funded on the Initial Issuance Date as of any Conversion Date or other date of determination, $2.332 (the “</w:t>
      </w:r>
      <w:r>
        <w:rPr>
          <w:rFonts w:ascii="Times New Roman" w:cs="Times New Roman" w:eastAsia="Times New Roman" w:hAnsi="Times New Roman"/>
          <w:sz w:val="17"/>
          <w:szCs w:val="17"/>
          <w:b w:val="1"/>
          <w:bCs w:val="1"/>
          <w:color w:val="auto"/>
        </w:rPr>
        <w:t>Initial Conversion Price</w:t>
      </w:r>
      <w:r>
        <w:rPr>
          <w:rFonts w:ascii="Times New Roman" w:cs="Times New Roman" w:eastAsia="Times New Roman" w:hAnsi="Times New Roman"/>
          <w:sz w:val="17"/>
          <w:szCs w:val="17"/>
          <w:color w:val="auto"/>
        </w:rPr>
        <w:t>”), (ii) with respect to each Preferred Share funded on or after the Holdback Date (as defined in the Purchase Agreement) or issued upon exercise of an Incremental Warrant, other than pursuant to the holder’s right to exercise of the Incremental Warrant when certain equity conditions have been waived, as of any Conversion Date or other date of determination, the lower of (x) the Initial Conversion Price and (y) 110% of the Closing Sale Price on the Trading Day immediately preceding the Holdback Date, any applicable Funding Date (as defined in the Incremental Warrant) or any applicable Exercise Date (as defined in the Incremental Warrant), as the case may be, (iii) with respect to each Preferred Share issued upon exercise of an Incremental Warrant (as defined in the Purchase Agreement), as of any Conversion Date or other date of determination, the lower of (A) $3.50 and (B) 110% of the Closing Sale Price on the Trading Day immediately preceding the delivery or deemed delivery of the applicable Exercise Notice or Call Notice (each as defined in the Incremental Warrant) (as the case may be) and (iv) with respect to each Preferred Share issued upon exercise of an Incremental Warrant at any time following the Registration Effectiveness Date when the Closing Sale Price exceeds $10.00 for twenty (20) consecutive Trading Days, as of any Conversion Date or other date of determination, 110% of the Closing Sale Price on the Trading Day immediately preceding the delivery or deemed delivery of the applicable Exercise Notice or Call Notice (each as defined in the Incremental Warrant) (as the case may be), in each case, subject to adjustment as provided herein; provided, that subsections (iii) and (iv) shall only apply in the event that the equity conditions specified in Section 2(c)(iv) of the Incremental Warrant are not met on the applicable Funding Date.</w:t>
      </w:r>
    </w:p>
    <w:p>
      <w:pPr>
        <w:spacing w:after="0" w:line="179" w:lineRule="exact"/>
        <w:rPr>
          <w:sz w:val="20"/>
          <w:szCs w:val="20"/>
          <w:color w:val="auto"/>
        </w:rPr>
      </w:pPr>
    </w:p>
    <w:p>
      <w:pPr>
        <w:ind w:left="840" w:hanging="229"/>
        <w:spacing w:after="0"/>
        <w:tabs>
          <w:tab w:leader="none" w:pos="8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Conversion</w:t>
      </w:r>
      <w:r>
        <w:rPr>
          <w:rFonts w:ascii="Times New Roman" w:cs="Times New Roman" w:eastAsia="Times New Roman" w:hAnsi="Times New Roman"/>
          <w:sz w:val="17"/>
          <w:szCs w:val="17"/>
          <w:color w:val="auto"/>
        </w:rPr>
        <w:t>. The conversion of each Preferred Share shall be conducted in the following manner:</w:t>
      </w:r>
    </w:p>
    <w:p>
      <w:pPr>
        <w:spacing w:after="0" w:line="203" w:lineRule="exact"/>
        <w:rPr>
          <w:rFonts w:ascii="Times New Roman" w:cs="Times New Roman" w:eastAsia="Times New Roman" w:hAnsi="Times New Roman"/>
          <w:sz w:val="17"/>
          <w:szCs w:val="17"/>
          <w:color w:val="auto"/>
        </w:rPr>
      </w:pPr>
    </w:p>
    <w:p>
      <w:pPr>
        <w:jc w:val="both"/>
        <w:ind w:left="620" w:firstLine="596"/>
        <w:spacing w:after="0" w:line="249" w:lineRule="auto"/>
        <w:tabs>
          <w:tab w:leader="none" w:pos="1438"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Optional Conversion</w:t>
      </w:r>
      <w:r>
        <w:rPr>
          <w:rFonts w:ascii="Times New Roman" w:cs="Times New Roman" w:eastAsia="Times New Roman" w:hAnsi="Times New Roman"/>
          <w:sz w:val="16"/>
          <w:szCs w:val="16"/>
          <w:color w:val="auto"/>
        </w:rPr>
        <w:t>. To convert one or more Preferred Shares into Conversion Shares on any date (a “</w:t>
      </w:r>
      <w:r>
        <w:rPr>
          <w:rFonts w:ascii="Times New Roman" w:cs="Times New Roman" w:eastAsia="Times New Roman" w:hAnsi="Times New Roman"/>
          <w:sz w:val="16"/>
          <w:szCs w:val="16"/>
          <w:b w:val="1"/>
          <w:bCs w:val="1"/>
          <w:color w:val="auto"/>
        </w:rPr>
        <w:t>Conversion Date</w:t>
      </w:r>
      <w:r>
        <w:rPr>
          <w:rFonts w:ascii="Times New Roman" w:cs="Times New Roman" w:eastAsia="Times New Roman" w:hAnsi="Times New Roman"/>
          <w:sz w:val="16"/>
          <w:szCs w:val="16"/>
          <w:color w:val="auto"/>
        </w:rPr>
        <w:t xml:space="preserve">”), a Holder shall deliver (whether via electronic mail or otherwise), for receipt on or prior to 11:59 p.m., New York time, on such date, a copy of an executed notice of conversion of the Preferred Share(s) subject to such conversion in the form attached hereto as </w:t>
      </w:r>
      <w:r>
        <w:rPr>
          <w:rFonts w:ascii="Times New Roman" w:cs="Times New Roman" w:eastAsia="Times New Roman" w:hAnsi="Times New Roman"/>
          <w:sz w:val="16"/>
          <w:szCs w:val="16"/>
          <w:b w:val="1"/>
          <w:bCs w:val="1"/>
          <w:u w:val="single" w:color="auto"/>
          <w:color w:val="auto"/>
        </w:rPr>
        <w:t>Exhibit I</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b w:val="1"/>
          <w:bCs w:val="1"/>
          <w:color w:val="auto"/>
        </w:rPr>
        <w:t>Conversion Notice</w:t>
      </w:r>
      <w:r>
        <w:rPr>
          <w:rFonts w:ascii="Times New Roman" w:cs="Times New Roman" w:eastAsia="Times New Roman" w:hAnsi="Times New Roman"/>
          <w:sz w:val="16"/>
          <w:szCs w:val="16"/>
          <w:color w:val="auto"/>
        </w:rPr>
        <w:t>”) to the Company. If required by Section 4(c)(ii), within two (2) Trading Days following a conversion of any such Preferred Shares as aforesaid, such Holder shall surrender to a nationally recognized overnight delivery service for delivery to the Company the original certificates, if any, representing the Preferred Shares (the “</w:t>
      </w:r>
      <w:r>
        <w:rPr>
          <w:rFonts w:ascii="Times New Roman" w:cs="Times New Roman" w:eastAsia="Times New Roman" w:hAnsi="Times New Roman"/>
          <w:sz w:val="16"/>
          <w:szCs w:val="16"/>
          <w:b w:val="1"/>
          <w:bCs w:val="1"/>
          <w:color w:val="auto"/>
        </w:rPr>
        <w:t>Preferred Share Certificates</w:t>
      </w:r>
      <w:r>
        <w:rPr>
          <w:rFonts w:ascii="Times New Roman" w:cs="Times New Roman" w:eastAsia="Times New Roman" w:hAnsi="Times New Roman"/>
          <w:sz w:val="16"/>
          <w:szCs w:val="16"/>
          <w:color w:val="auto"/>
        </w:rPr>
        <w:t>”) so converted as aforesaid (or an indemnification undertaking with respect to the Preferred Shares in the case of its loss, theft or destruction as contemplated by Section 18(b)). On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Trading Day following receipt of a Conversion</w:t>
      </w:r>
    </w:p>
    <w:p>
      <w:pPr>
        <w:spacing w:after="0" w:line="4" w:lineRule="exact"/>
        <w:rPr>
          <w:sz w:val="20"/>
          <w:szCs w:val="20"/>
          <w:color w:val="auto"/>
        </w:rPr>
      </w:pPr>
    </w:p>
    <w:p>
      <w:pPr>
        <w:jc w:val="both"/>
        <w:ind w:left="620"/>
        <w:spacing w:after="0" w:line="243" w:lineRule="auto"/>
        <w:rPr>
          <w:sz w:val="20"/>
          <w:szCs w:val="20"/>
          <w:color w:val="auto"/>
        </w:rPr>
      </w:pPr>
      <w:r>
        <w:rPr>
          <w:rFonts w:ascii="Times New Roman" w:cs="Times New Roman" w:eastAsia="Times New Roman" w:hAnsi="Times New Roman"/>
          <w:sz w:val="16"/>
          <w:szCs w:val="16"/>
          <w:color w:val="auto"/>
        </w:rPr>
        <w:t>Notice; provided, such Conversion Notice is received by 4:00 p.m. New York time on a Trading Day, otherwise on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6"/>
          <w:szCs w:val="16"/>
          <w:color w:val="auto"/>
        </w:rPr>
        <w:t xml:space="preserve">) Trading Day following receipt of such Conversion Notice, the Company shall transmit by electronic mail an acknowledgment of confirmation and representation as to whether such shares of Common Stock may then be resold pursuant to Rule 144 or Section 4(a)(1) of the 1933 Act or an effective and available registration statement, in the form attached hereto as </w:t>
      </w:r>
      <w:r>
        <w:rPr>
          <w:rFonts w:ascii="Times New Roman" w:cs="Times New Roman" w:eastAsia="Times New Roman" w:hAnsi="Times New Roman"/>
          <w:sz w:val="16"/>
          <w:szCs w:val="16"/>
          <w:b w:val="1"/>
          <w:bCs w:val="1"/>
          <w:u w:val="single" w:color="auto"/>
          <w:color w:val="auto"/>
        </w:rPr>
        <w:t>Exhibit II</w:t>
      </w:r>
      <w:r>
        <w:rPr>
          <w:rFonts w:ascii="Times New Roman" w:cs="Times New Roman" w:eastAsia="Times New Roman" w:hAnsi="Times New Roman"/>
          <w:sz w:val="16"/>
          <w:szCs w:val="16"/>
          <w:color w:val="auto"/>
        </w:rPr>
        <w:t>, of receipt of such Conversion Notice to such Holder and the Transfer Agent, which confirmation shall constitute an instruction to the Transfer Agent to process such Conversion Notice in accordance with the terms set forth herein. On or before the First (1st) Trading Day following each date on which the Company has received a Conversion Notice; provided, such Conversion</w:t>
      </w:r>
    </w:p>
    <w:p>
      <w:pPr>
        <w:spacing w:after="0" w:line="1" w:lineRule="exact"/>
        <w:rPr>
          <w:sz w:val="20"/>
          <w:szCs w:val="20"/>
          <w:color w:val="auto"/>
        </w:rPr>
      </w:pPr>
    </w:p>
    <w:p>
      <w:pPr>
        <w:jc w:val="both"/>
        <w:ind w:left="620"/>
        <w:spacing w:after="0" w:line="258" w:lineRule="auto"/>
        <w:rPr>
          <w:sz w:val="20"/>
          <w:szCs w:val="20"/>
          <w:color w:val="auto"/>
        </w:rPr>
      </w:pPr>
      <w:r>
        <w:rPr>
          <w:rFonts w:ascii="Times New Roman" w:cs="Times New Roman" w:eastAsia="Times New Roman" w:hAnsi="Times New Roman"/>
          <w:sz w:val="16"/>
          <w:szCs w:val="16"/>
          <w:color w:val="auto"/>
        </w:rPr>
        <w:t>Notice is received by 4:00 p.m. New York time on a Trading Day, otherwise on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6"/>
          <w:szCs w:val="16"/>
          <w:color w:val="auto"/>
        </w:rPr>
        <w:t>) Trading Day following receipt of such Conversion Notice (the “</w:t>
      </w:r>
      <w:r>
        <w:rPr>
          <w:rFonts w:ascii="Times New Roman" w:cs="Times New Roman" w:eastAsia="Times New Roman" w:hAnsi="Times New Roman"/>
          <w:sz w:val="16"/>
          <w:szCs w:val="16"/>
          <w:b w:val="1"/>
          <w:bCs w:val="1"/>
          <w:color w:val="auto"/>
        </w:rPr>
        <w:t>Share Delivery Deadline</w:t>
      </w:r>
      <w:r>
        <w:rPr>
          <w:rFonts w:ascii="Times New Roman" w:cs="Times New Roman" w:eastAsia="Times New Roman" w:hAnsi="Times New Roman"/>
          <w:sz w:val="16"/>
          <w:szCs w:val="16"/>
          <w:color w:val="auto"/>
        </w:rPr>
        <w:t>”), the Company shall (1) provided that the Transfer Agent is participating in the Depository Trust Company (“</w:t>
      </w:r>
      <w:r>
        <w:rPr>
          <w:rFonts w:ascii="Times New Roman" w:cs="Times New Roman" w:eastAsia="Times New Roman" w:hAnsi="Times New Roman"/>
          <w:sz w:val="16"/>
          <w:szCs w:val="16"/>
          <w:b w:val="1"/>
          <w:bCs w:val="1"/>
          <w:color w:val="auto"/>
        </w:rPr>
        <w:t>DTC</w:t>
      </w:r>
      <w:r>
        <w:rPr>
          <w:rFonts w:ascii="Times New Roman" w:cs="Times New Roman" w:eastAsia="Times New Roman" w:hAnsi="Times New Roman"/>
          <w:sz w:val="16"/>
          <w:szCs w:val="16"/>
          <w:color w:val="auto"/>
        </w:rPr>
        <w:t>”) Fast Automated Securities Transfer Program (“</w:t>
      </w:r>
      <w:r>
        <w:rPr>
          <w:rFonts w:ascii="Times New Roman" w:cs="Times New Roman" w:eastAsia="Times New Roman" w:hAnsi="Times New Roman"/>
          <w:sz w:val="16"/>
          <w:szCs w:val="16"/>
          <w:b w:val="1"/>
          <w:bCs w:val="1"/>
          <w:color w:val="auto"/>
        </w:rPr>
        <w:t>FAST</w:t>
      </w:r>
      <w:r>
        <w:rPr>
          <w:rFonts w:ascii="Times New Roman" w:cs="Times New Roman" w:eastAsia="Times New Roman" w:hAnsi="Times New Roman"/>
          <w:sz w:val="16"/>
          <w:szCs w:val="16"/>
          <w:color w:val="auto"/>
        </w:rPr>
        <w:t>”) and such shares of Common Stock (i) (A) may then be sold by the applicable Holder pursuant to an available and effective registration statement and (B) such Holder provides such documentation or other information evidencing the sale of the shares of Common Stock as the Company, the Transfer Agent or legal counsel to the Company shall reasonably request (which, for the avoidance of doubt, shall not include the requirement of a medallion guarantee) or (ii) may be sold by such Holder pursuant to Rule 144 of the 1933 Act, as applicable, including the requirements under Rule 144(i) or Section 4(a)(1) of the 1933 Act (the “</w:t>
      </w:r>
      <w:r>
        <w:rPr>
          <w:rFonts w:ascii="Times New Roman" w:cs="Times New Roman" w:eastAsia="Times New Roman" w:hAnsi="Times New Roman"/>
          <w:sz w:val="16"/>
          <w:szCs w:val="16"/>
          <w:b w:val="1"/>
          <w:bCs w:val="1"/>
          <w:color w:val="auto"/>
        </w:rPr>
        <w:t>Resale Eligibility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Conditions</w:t>
      </w:r>
      <w:r>
        <w:rPr>
          <w:rFonts w:ascii="Times New Roman" w:cs="Times New Roman" w:eastAsia="Times New Roman" w:hAnsi="Times New Roman"/>
          <w:sz w:val="16"/>
          <w:szCs w:val="16"/>
          <w:color w:val="auto"/>
        </w:rPr>
        <w:t>”), credit such aggregate number of Conversion Shares to which such Holder shall be entitled pursuant to such conversion to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Holder’s or its designee’s balance account with DTC through its Deposit/Withdrawal at Custodian system, or (2) if the Transfer Agent is not participating in FAST or the Resale Eligibility Conditions are not satisfied, upon the request of such Holder, issue and deliver (via reputable overnight courier) to the address as specified in such Conversion Notice, a certificate, registered in the name of such Holder or its designee, for the number of Conversion Shares to which such Holder shall be entitled. If the number of Preferred Shares represented by the Preferred Share Certificate(s) submitted for conversion pursuant to Section 4(c)(ii) is greater than the number of Preferred Shares being converted, then the Company shall, as soon as practicable and in no event later than two (2) Trading Days after receipt of the Preferred Share Certificate(s) and at its own expense, issue and mail to such Holder (or its designee) by overnight courier service a new Preferred Share Certificate or a new Book-Entry (in either case, in accordance with Section 18(d)) representing the number of Preferred Shares not converted. The Person or Persons entitled to receive the Conversion Shares issuable upon a conversion of Preferred Shares shall be treated for all purposes as the record holder or holders of such Conversion Shares on the Conversion Date; provided, that such Person shall be deemed to have waived any voting rights of any such Conversion Shares that may arise during the period commencing on such Conversion Date, through, and including, such applicable Share Delivery Deadline, as necessary, such that the aggregate voting rights of any Common Stock (including such Conversion Shares) beneficially owned by such Person and/or any of its Attribution Parties, collectively, on any such date of determination shall not exceed the Maximum Percentage (as defined below) as a result of any such conversion of such applicable Preferred Shares with respect thereto. Notwithstanding the foregoing, if a Holder delivers a Conversion Notice to the Company prior to the date of issuance of Preferred Shares to such Holder, whereby such Holder elects to convert such Preferred Shares</w:t>
      </w:r>
    </w:p>
    <w:p>
      <w:pPr>
        <w:spacing w:after="0" w:line="190" w:lineRule="exact"/>
        <w:rPr>
          <w:sz w:val="20"/>
          <w:szCs w:val="20"/>
          <w:color w:val="auto"/>
        </w:rPr>
      </w:pPr>
    </w:p>
    <w:p>
      <w:pPr>
        <w:jc w:val="both"/>
        <w:ind w:left="620"/>
        <w:spacing w:after="0" w:line="204" w:lineRule="auto"/>
        <w:rPr>
          <w:sz w:val="20"/>
          <w:szCs w:val="20"/>
          <w:color w:val="auto"/>
        </w:rPr>
      </w:pPr>
      <w:r>
        <w:rPr>
          <w:rFonts w:ascii="Times New Roman" w:cs="Times New Roman" w:eastAsia="Times New Roman" w:hAnsi="Times New Roman"/>
          <w:sz w:val="17"/>
          <w:szCs w:val="17"/>
          <w:color w:val="auto"/>
        </w:rPr>
        <w:t>pursuant to such Conversion Notice, the Share Delivery Deadline with respect to any such Conversion Notice shall be the later of (x)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Trading Day after the date of issuance of such Preferred Shares and (y) the first (1st) Trading Day after the date of such Conversion Notice;</w:t>
      </w:r>
    </w:p>
    <w:p>
      <w:pPr>
        <w:spacing w:after="0" w:line="1" w:lineRule="exact"/>
        <w:rPr>
          <w:sz w:val="20"/>
          <w:szCs w:val="20"/>
          <w:color w:val="auto"/>
        </w:rPr>
      </w:pPr>
    </w:p>
    <w:p>
      <w:pPr>
        <w:jc w:val="both"/>
        <w:ind w:left="620"/>
        <w:spacing w:after="0" w:line="204" w:lineRule="auto"/>
        <w:rPr>
          <w:sz w:val="20"/>
          <w:szCs w:val="20"/>
          <w:color w:val="auto"/>
        </w:rPr>
      </w:pPr>
      <w:r>
        <w:rPr>
          <w:rFonts w:ascii="Times New Roman" w:cs="Times New Roman" w:eastAsia="Times New Roman" w:hAnsi="Times New Roman"/>
          <w:sz w:val="17"/>
          <w:szCs w:val="17"/>
          <w:color w:val="auto"/>
        </w:rPr>
        <w:t>provided, such Conversion Notice is received by 4:00 p.m. New York time on a Trading Day, otherwise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Trading Day following receipt of such Conversion Notice.</w:t>
      </w:r>
    </w:p>
    <w:p>
      <w:pPr>
        <w:spacing w:after="0" w:line="18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49" w:right="339" w:bottom="1440" w:gutter="0" w:footer="0" w:header="0"/>
        </w:sectPr>
      </w:pPr>
    </w:p>
    <w:bookmarkStart w:id="18" w:name="page19"/>
    <w:bookmarkEnd w:id="18"/>
    <w:p>
      <w:pPr>
        <w:jc w:val="both"/>
        <w:ind w:left="100" w:firstLine="596"/>
        <w:spacing w:after="0" w:line="264" w:lineRule="auto"/>
        <w:tabs>
          <w:tab w:leader="none" w:pos="965"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Company’s Failure to Timely Convert</w:t>
      </w:r>
      <w:r>
        <w:rPr>
          <w:rFonts w:ascii="Times New Roman" w:cs="Times New Roman" w:eastAsia="Times New Roman" w:hAnsi="Times New Roman"/>
          <w:sz w:val="16"/>
          <w:szCs w:val="16"/>
          <w:color w:val="auto"/>
        </w:rPr>
        <w:t>. If the Company shall fail, for any reason or for no reason, on or prior to the applicable Share Delivery Deadline, if the Transfer Agent is not participating in FAST or the Resale Eligibility Conditions are not satisfied, to issue and deliver to such Holder (or its designee) a certificate for the number of Conversion Shares to which such Holder is entitled and register such Conversion Shares on the Company’s share register or, if the Transfer Agent is participating in FAST and the Resale Eligibility Conditions are satisfied, to credit such Holder’s or its designee’s balance account with DTC for such number of Conversion Shares to which such Holder is entitled upon such Holder’s conversion of any Conversion Amount (as the case may be) (each, a “</w:t>
      </w:r>
      <w:r>
        <w:rPr>
          <w:rFonts w:ascii="Times New Roman" w:cs="Times New Roman" w:eastAsia="Times New Roman" w:hAnsi="Times New Roman"/>
          <w:sz w:val="16"/>
          <w:szCs w:val="16"/>
          <w:b w:val="1"/>
          <w:bCs w:val="1"/>
          <w:color w:val="auto"/>
        </w:rPr>
        <w:t>Conversion Failure</w:t>
      </w:r>
      <w:r>
        <w:rPr>
          <w:rFonts w:ascii="Times New Roman" w:cs="Times New Roman" w:eastAsia="Times New Roman" w:hAnsi="Times New Roman"/>
          <w:sz w:val="16"/>
          <w:szCs w:val="16"/>
          <w:color w:val="auto"/>
        </w:rPr>
        <w:t>”), and if on or after such Share Delivery Deadline such Holder acquires (in an open market transaction, stock loan or otherwise) shares of Common Stock corresponding to all or any portion of the number of Conversion Shares issuable upon such conversion that such Holder is entitled to receive from the Company and has not received from the Company in connection with such Conversion Failure (a “</w:t>
      </w:r>
      <w:r>
        <w:rPr>
          <w:rFonts w:ascii="Times New Roman" w:cs="Times New Roman" w:eastAsia="Times New Roman" w:hAnsi="Times New Roman"/>
          <w:sz w:val="16"/>
          <w:szCs w:val="16"/>
          <w:b w:val="1"/>
          <w:bCs w:val="1"/>
          <w:color w:val="auto"/>
        </w:rPr>
        <w:t>Buy-In</w:t>
      </w:r>
      <w:r>
        <w:rPr>
          <w:rFonts w:ascii="Times New Roman" w:cs="Times New Roman" w:eastAsia="Times New Roman" w:hAnsi="Times New Roman"/>
          <w:sz w:val="16"/>
          <w:szCs w:val="16"/>
          <w:color w:val="auto"/>
        </w:rPr>
        <w:t>”), then, in addition to all other remedies available to such Holder, the Company shall, within one (1) Business Day after receipt of such Holder’s request and in such Holder’s discretion, either: (I) pay cash to such Holder in an amount equal to such Holder’s total purchase price (including brokerage commissions, stock loan costs and other out-of-pocket expenses, if any) for the shares of Common Stock so acquired (including, without limitation, by any other Person in respect, or on behalf, of such Holder) (the “</w:t>
      </w:r>
      <w:r>
        <w:rPr>
          <w:rFonts w:ascii="Times New Roman" w:cs="Times New Roman" w:eastAsia="Times New Roman" w:hAnsi="Times New Roman"/>
          <w:sz w:val="16"/>
          <w:szCs w:val="16"/>
          <w:b w:val="1"/>
          <w:bCs w:val="1"/>
          <w:color w:val="auto"/>
        </w:rPr>
        <w:t>Buy-In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Price</w:t>
      </w:r>
      <w:r>
        <w:rPr>
          <w:rFonts w:ascii="Times New Roman" w:cs="Times New Roman" w:eastAsia="Times New Roman" w:hAnsi="Times New Roman"/>
          <w:sz w:val="16"/>
          <w:szCs w:val="16"/>
          <w:color w:val="auto"/>
        </w:rPr>
        <w:t>”), at which point the Company’s obligation to so issue and deliver such certificate (and to issue such Conversion Shares) or credit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balance account of such Holder or such Holder’s designee, as applicable, with DTC for the number of Conversion Shares to which such Holder is entitled upon such Holder’s conversion hereunder (as the case may be) (and to issue such Conversion Shares) shall terminate, or (II) promptly honor its obligation to so issue and deliver to such Holder a certificate or certificates representing such Conversion Shares or credit the balance account of such Holder or such Holder’s designee, as applicable, with DTC for the number of Conversion Shares to which such Holder is entitled upon such Holder’s conversion hereunder (as the case may be) and pay cash to such Holder in an amount equal to the excess (if any) of the Buy-In Price over the product of (x) such number of shares of Common Stock multiplied by (y) the lowest Closing Sale Price of the Common Stock on any Trading Day during the period commencing on the date of the applicable Conversion Notice and ending on the date of such issuance and payment under this clause (II) (each, a “</w:t>
      </w:r>
      <w:r>
        <w:rPr>
          <w:rFonts w:ascii="Times New Roman" w:cs="Times New Roman" w:eastAsia="Times New Roman" w:hAnsi="Times New Roman"/>
          <w:sz w:val="16"/>
          <w:szCs w:val="16"/>
          <w:b w:val="1"/>
          <w:bCs w:val="1"/>
          <w:color w:val="auto"/>
        </w:rPr>
        <w:t>Buy-In Payment Amount</w:t>
      </w:r>
      <w:r>
        <w:rPr>
          <w:rFonts w:ascii="Times New Roman" w:cs="Times New Roman" w:eastAsia="Times New Roman" w:hAnsi="Times New Roman"/>
          <w:sz w:val="16"/>
          <w:szCs w:val="16"/>
          <w:color w:val="auto"/>
        </w:rPr>
        <w:t>”). In addition to the foregoing, if on or prior to the Share Delivery Deadline the Transfer Agent is not participating in FAST or the Resale Eligibility Conditions are not satisfied, the Company shall fail to issue and deliver to such Holder (or its designee) a certificate and register such Conversion Shares on the Company’s share register or, if the Transfer Agent is participating in the FAST and the Resale Eligibility Conditions are satisfied, the Transfer Agent shall fail to credit the balance account of such Holder or such Holder’s designee, as applicable, with DTC for the number of Conversion Shares to which such Holder is entitled upon such Holder’s conversion hereunder or pursuant to the Company’s obligation pursuant to clause (ii) below, then, in addition to all other remedies available to such Holder, (X) the Company shall pay to such Holder, in cash, as liquidated damages and not as a penalty, for each $1,000 of Conversion Amount of the Preferred Shares being converted, $10 per Trading Day (increasing to $20 per Trading Day on the second Trading Day and increasing to $40 per Trading Day on the fifth Trading Day after such damages begin to accrue) for each Trading Day after the Share Delivery Deadline until such Conversion Shares are delivered or Holder rescinds such conversion and (Y) such Holder, upon written notice to the Company, may void its Conversion Notice with respect to, and retain or have returned, as the case may be, all, or any portion, of such Preferred Shares that has not been converted pursuant to such Conversion Notice; provided that the voiding of a Conversion Notice shall not affect the Company’s obligations to make any payments which have accrued prior to the date of such notice pursuant to this Section 4(c)(ii) or otherwise.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Conversion Shares (or to electronically deliver such Conversion Shares) upon the conversion of the Preferred Shares as required pursuant to the terms hereof. Notwithstanding anything herein to the contrary, with respect to any given Conversion Failure, this Section 4(c)(ii) shall not apply to a Holder to the extent the Company has already paid such amounts in full to such Holder with respect to such Conversion Failure pursuant to the analogous sections of the Purchase Agreement.</w:t>
      </w:r>
    </w:p>
    <w:p>
      <w:pPr>
        <w:spacing w:after="0" w:line="37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19" w:name="page20"/>
    <w:bookmarkEnd w:id="19"/>
    <w:p>
      <w:pPr>
        <w:jc w:val="both"/>
        <w:ind w:left="100" w:firstLine="596"/>
        <w:spacing w:after="0" w:line="265" w:lineRule="auto"/>
        <w:tabs>
          <w:tab w:leader="none" w:pos="999" w:val="left"/>
        </w:tabs>
        <w:numPr>
          <w:ilvl w:val="1"/>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Registration; Book-Entry</w:t>
      </w:r>
      <w:r>
        <w:rPr>
          <w:rFonts w:ascii="Times New Roman" w:cs="Times New Roman" w:eastAsia="Times New Roman" w:hAnsi="Times New Roman"/>
          <w:sz w:val="16"/>
          <w:szCs w:val="16"/>
          <w:color w:val="auto"/>
        </w:rPr>
        <w:t>. At the time of issuance of any Preferred Shares hereunder, the Preferred Shares shall be uncertificated and in Book-Entry form, but the applicable Holder may, by written request (including by electronic-mail) to the Company, elect to receive such Preferred Shares in the form of one or more Preferred Share Certificates. The Company (or the Transfer Agent, as custodian for the Preferred Shares) shall maintain a register (the “</w:t>
      </w:r>
      <w:r>
        <w:rPr>
          <w:rFonts w:ascii="Times New Roman" w:cs="Times New Roman" w:eastAsia="Times New Roman" w:hAnsi="Times New Roman"/>
          <w:sz w:val="16"/>
          <w:szCs w:val="16"/>
          <w:b w:val="1"/>
          <w:bCs w:val="1"/>
          <w:color w:val="auto"/>
        </w:rPr>
        <w:t>Register</w:t>
      </w:r>
      <w:r>
        <w:rPr>
          <w:rFonts w:ascii="Times New Roman" w:cs="Times New Roman" w:eastAsia="Times New Roman" w:hAnsi="Times New Roman"/>
          <w:sz w:val="16"/>
          <w:szCs w:val="16"/>
          <w:color w:val="auto"/>
        </w:rPr>
        <w:t>”) for the recordation of the names and addresses of the Holders of each Preferred Share and the Stated Value of the Preferred Shares and whether the Preferred Shares are held by such Holder in Preferred Share Certificates or in Book-Entry form (the “</w:t>
      </w:r>
      <w:r>
        <w:rPr>
          <w:rFonts w:ascii="Times New Roman" w:cs="Times New Roman" w:eastAsia="Times New Roman" w:hAnsi="Times New Roman"/>
          <w:sz w:val="16"/>
          <w:szCs w:val="16"/>
          <w:b w:val="1"/>
          <w:bCs w:val="1"/>
          <w:color w:val="auto"/>
        </w:rPr>
        <w:t>Registered Preferred Shares</w:t>
      </w:r>
      <w:r>
        <w:rPr>
          <w:rFonts w:ascii="Times New Roman" w:cs="Times New Roman" w:eastAsia="Times New Roman" w:hAnsi="Times New Roman"/>
          <w:sz w:val="16"/>
          <w:szCs w:val="16"/>
          <w:color w:val="auto"/>
        </w:rPr>
        <w:t>”). The entries in the Register shall be conclusive and binding for all purposes absent manifest error. The Company and each Holder of the Preferred Shares shall treat each Person whose name is recorded in the Register as the owner of a Preferred Share for all purposes (including, without limitation, the right to receive payments and Dividends hereunder) notwithstanding notice to the contrary. Provided that the Company receives appropriate documentation for an assignment, transfer or sale, a Registered Preferred Share may be assigned, transferred or sold only by registration of such assignment or sale on the Register. Upon its receipt of a written request to assign, transfer or sell one or more Registered Preferred Shares by such Holder thereof, the Company shall record the information contained therein in the Register and issue one or more new Registered Preferred Shares in the same aggregate Stated Value as the Stated Value of the surrendered Registered Preferred Shares to the designated assignee or transferee pursuant to Section 18, provided that if the Company does not so record an assignment, transfer or sale (as the case may be) of such Registered Preferred Shares within two (2) Business Days of such a request, then the Register shall be automatically deemed updated to reflect such assignment, transfer or sale (as the case may be). Notwithstanding anything to the contrary set forth in this Section 4, following conversion of any Preferred Shares in accordance with the terms hereof, the applicable Holder shall not be required to physically surrender such Preferred Shares held in the form of a Preferred Share Certificate to the Company unless (A) the full or remaining number of Preferred Shares represented by the applicable Preferred Share Certificate are being converted (in which event such certificate(s) shall be delivered to the Company as contemplated by this Section 4(c)(ii)) or (B) such Holder has provided the Company with prior written notice (which notice may be included in a Conversion Notice) requesting reissuance of Preferred Shares upon physical surrender of the applicable Preferred Share Certificate. Each Holder and the Company shall maintain records showing the Stated Value and Dividends converted and/or paid (as the case may be) and the dates of such conversions and/or payments (as the case may be) or shall use such other method, reasonably satisfactory to such Holder and the Company, so as not to require physical surrender of a Preferred Share Certificate upon conversion. If the Company does not update the Register to record such Stated Value and Dividends converted and/or paid (as the case may be) and the dates of such conversions and/or payments (as the case may be) within one</w:t>
      </w:r>
    </w:p>
    <w:p>
      <w:pPr>
        <w:spacing w:after="0" w:line="184" w:lineRule="exact"/>
        <w:rPr>
          <w:rFonts w:ascii="Times New Roman" w:cs="Times New Roman" w:eastAsia="Times New Roman" w:hAnsi="Times New Roman"/>
          <w:sz w:val="16"/>
          <w:szCs w:val="16"/>
          <w:color w:val="auto"/>
        </w:rPr>
      </w:pPr>
    </w:p>
    <w:p>
      <w:pPr>
        <w:jc w:val="both"/>
        <w:ind w:left="100" w:hanging="9"/>
        <w:spacing w:after="0" w:line="249"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 of such occurrence, then the Register shall be automatically deemed updated to reflect such occurrence. In the event of any dispute or discrepancy, the records of the Company establishing the number of Preferred Shares to which the record holder is entitled shall be controlling and determinative in the absence of manifest error. A Holder and any transferee or assignee, by acceptance of a certificate, acknowledge and agree that, by reason of the provisions of this paragraph, following conversion of any Preferred Shares, the number of Preferred Shares represented by such certificate may be less than the number of Preferred Shares stated on the face thereof. Each Preferred Share Certificate shall bear the following legend:</w:t>
      </w:r>
    </w:p>
    <w:p>
      <w:pPr>
        <w:spacing w:after="0" w:line="179" w:lineRule="exact"/>
        <w:rPr>
          <w:sz w:val="20"/>
          <w:szCs w:val="20"/>
          <w:color w:val="auto"/>
        </w:rPr>
      </w:pPr>
    </w:p>
    <w:p>
      <w:pPr>
        <w:jc w:val="both"/>
        <w:ind w:left="700" w:right="600"/>
        <w:spacing w:after="0" w:line="252" w:lineRule="auto"/>
        <w:rPr>
          <w:sz w:val="20"/>
          <w:szCs w:val="20"/>
          <w:color w:val="auto"/>
        </w:rPr>
      </w:pPr>
      <w:r>
        <w:rPr>
          <w:rFonts w:ascii="Times New Roman" w:cs="Times New Roman" w:eastAsia="Times New Roman" w:hAnsi="Times New Roman"/>
          <w:sz w:val="17"/>
          <w:szCs w:val="17"/>
          <w:color w:val="auto"/>
        </w:rPr>
        <w:t>ANY TRANSFEREE OR ASSIGNEE OF THIS CERTIFICATE SHOULD CAREFULLY REVIEW THE TERMS OF THE CORPORATION’S CERTIFICATE OF DESIGNATION RELATING TO THE SHARES OF SERIES A CONVERTIBLE PREFERRED STOCK REPRESENTED BY THIS CERTIFICATE, INCLUDING SECTION 4(c)(ii) THEREOF. THE NUMBER OF SHARES OF SERIES A CONVERTIBLE PREFERRED STOCK REPRESENTED BY THIS CERTIFICATE MAY BE LESS THAN THE NUMBER OF SHARES OF SERIES A CONVERTIBLE PREFERRED STOCK STATED ON THE FACE HEREOF PURSUANT TO SECTION 4(c)(ii) OF THE CERTIFICATE OF DESIGNATION RELATING TO THE SHARES OF SERIES A CONVERTIBLE PREFERRED STOCK REPRESENTED BY THIS CERTIFICATE.</w:t>
      </w:r>
    </w:p>
    <w:p>
      <w:pPr>
        <w:spacing w:after="0" w:line="17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20" w:name="page21"/>
    <w:bookmarkEnd w:id="20"/>
    <w:p>
      <w:pPr>
        <w:jc w:val="both"/>
        <w:ind w:left="100" w:firstLine="596"/>
        <w:spacing w:after="0" w:line="268" w:lineRule="auto"/>
        <w:tabs>
          <w:tab w:leader="none" w:pos="990" w:val="left"/>
        </w:tabs>
        <w:numPr>
          <w:ilvl w:val="1"/>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 Rata Conversion; Disputes</w:t>
      </w:r>
      <w:r>
        <w:rPr>
          <w:rFonts w:ascii="Times New Roman" w:cs="Times New Roman" w:eastAsia="Times New Roman" w:hAnsi="Times New Roman"/>
          <w:sz w:val="16"/>
          <w:szCs w:val="16"/>
          <w:color w:val="auto"/>
        </w:rPr>
        <w:t>. In the event that the Company receives a Conversion Notice from more than one Holder for the same Conversion Date and the Company can convert some, but not all, of such Preferred Shares submitted for conversion, the Company shall use commercially reasonable efforts to convert from each Holder electing to have Preferred Shares converted on such date a pro rata amount of such Holder’s Preferred Shares submitted for conversion on such date based on the number of Preferred Shares submitted for conversion on such date by such Holder relative to the aggregate number of Preferred Shares submitted for conversion on such date. In the event of a dispute as to the number of Conversion Shares issuable to a Holder in connection with a conversion of Preferred Shares, the Company shall issue to such Holder the number of Conversion Shares not in dispute and resolve such dispute in accordance with Section 23. If a Conversion Notice delivered to the Company would result in a breach of Section 4(d) below, and the applicable Holder does not elect in writing to withdraw, in whole, such Conversion Notice, the Company shall hold such Conversion Notice in abeyance until such time as such Conversion Notice may be satisfied without violating Section 4(d) below (with such calculations thereunder made as of the date such Conversion Notice was initially delivered to the Company).</w:t>
      </w:r>
    </w:p>
    <w:p>
      <w:pPr>
        <w:spacing w:after="0" w:line="164" w:lineRule="exact"/>
        <w:rPr>
          <w:rFonts w:ascii="Times New Roman" w:cs="Times New Roman" w:eastAsia="Times New Roman" w:hAnsi="Times New Roman"/>
          <w:sz w:val="16"/>
          <w:szCs w:val="16"/>
          <w:color w:val="auto"/>
        </w:rPr>
      </w:pPr>
    </w:p>
    <w:p>
      <w:pPr>
        <w:ind w:left="320" w:hanging="229"/>
        <w:spacing w:after="0"/>
        <w:tabs>
          <w:tab w:leader="none" w:pos="3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on Beneficial Ownership</w:t>
      </w:r>
    </w:p>
    <w:p>
      <w:pPr>
        <w:spacing w:after="0" w:line="207" w:lineRule="exact"/>
        <w:rPr>
          <w:rFonts w:ascii="Times New Roman" w:cs="Times New Roman" w:eastAsia="Times New Roman" w:hAnsi="Times New Roman"/>
          <w:sz w:val="17"/>
          <w:szCs w:val="17"/>
          <w:color w:val="auto"/>
        </w:rPr>
      </w:pPr>
    </w:p>
    <w:p>
      <w:pPr>
        <w:jc w:val="both"/>
        <w:ind w:left="100" w:firstLine="596"/>
        <w:spacing w:after="0" w:line="248" w:lineRule="auto"/>
        <w:tabs>
          <w:tab w:leader="none" w:pos="906"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The Company shall not effect the conversion of any of the Preferred Shares held by a Holder, and such Holder shall not have the right to convert any of the Preferred Shares held by such Holder pursuant to the terms and conditions of this Certificate of Designation and any such conversion shall be null and void and treated as if never made, to the extent that after giving effect to such conversion, such Holder together with the other Attribution Parties collectively would beneficially own in excess of 4.99%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xml:space="preserve">”) of the shares of Common Stock outstanding immediately after giving effect to such conversion. For purposes of the foregoing sentence, the aggregate number of shares of Common Stock beneficially owned by such Holder and the other Attribution Parties shall include the number of shares of Common Stock held by such Holder and all other Attribution Parties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number of shares of Common Stock issuable upon conversion of the Preferred Shares with respect to which the determination of such sentence is being made, but shall exclude shares of Common Stock which would be issuable upon (A) conversion of the remaining, nonconverted Preferred Shares beneficially owned by such Holder or any of the other Attribution Parties and (B) exercise or conversion of the unexercised or nonconverted portion of any other securities of the Company (including, without limitation, any convertible notes, convertible preferred stock or warrants, including the Preferred Shares) beneficially owned by such Holder or any other Attribution Party subject to a limitation on conversion or exercise analogous to the limitation contained in this Section 4(d). For purposes of this Section 4(d), beneficial ownership shall be calculated in accordance with Section 13(d) of the 1934 Act. For the avoidance of doubt, the calculation of the Maximum Percentage shall take into account the concurrent exercise and/or conversion, as applicable, of the unexercised or unconverted portion of any other securities of the Company beneficially owned by such Holder and/or any other Attribution Party, as applicable. For purposes of determining the number of outstanding shares of Common Stock a Holder may acquire upon the conversion of such Preferred Shares without exceeding the Maximum Percentage, such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7"/>
          <w:szCs w:val="17"/>
          <w:b w:val="1"/>
          <w:bCs w:val="1"/>
          <w:color w:val="auto"/>
        </w:rPr>
        <w:t>Reported Outstanding Share Number</w:t>
      </w:r>
      <w:r>
        <w:rPr>
          <w:rFonts w:ascii="Times New Roman" w:cs="Times New Roman" w:eastAsia="Times New Roman" w:hAnsi="Times New Roman"/>
          <w:sz w:val="17"/>
          <w:szCs w:val="17"/>
          <w:color w:val="auto"/>
        </w:rPr>
        <w:t>”). If the Company receives a Conversion Notice from a Holder at a time when the actual number of outstanding shares of Common Stock is less than the Reported Outstanding Share Number, the Company shall notify such Holder in writing of the number of shares of Common Stock then outstanding and, to the extent that such Conversion Notice would otherwise cause such Holder’s beneficial ownership, as determined pursuant to this Section 4(d), to exceed the Maximum Percentage, such Holder must notify the Company of a reduced number of shares of Common Stock to be purchased pursuant to such Conversion Notice. For any reason at any time, upon the written or oral request of any Holder, the Company shall within one (1) Business Day confirm orally and in writing or by electronic mail to such Holder the number of shares of Common Stock then outstanding. In any case, the number of outstanding shares of Common Stock shall be determined after giving effect to the conversion or exercise of securities of the Company, including such Preferred Shares, by such Holder and any other Attribution Party since the date as of which the Reported Outstanding Share Number was reported. In the event that the issuance of shares of Common Stock to a Holder upon conversion of such Preferred Shares results in such Holder and the other Attribution Parties being deemed to beneficially own, in the aggregate, more than the Maximum Percentage of the number of outstanding shares of Common Stock (as determined under Section 13(d) of the 1934 Act), the number of shares so issued by which such Holder’s and the other Attribution Parties’ aggregate beneficial ownership exceeds the Maximum Percentage (the “</w:t>
      </w:r>
      <w:r>
        <w:rPr>
          <w:rFonts w:ascii="Times New Roman" w:cs="Times New Roman" w:eastAsia="Times New Roman" w:hAnsi="Times New Roman"/>
          <w:sz w:val="17"/>
          <w:szCs w:val="17"/>
          <w:b w:val="1"/>
          <w:bCs w:val="1"/>
          <w:color w:val="auto"/>
        </w:rPr>
        <w:t>Excess Shares</w:t>
      </w:r>
      <w:r>
        <w:rPr>
          <w:rFonts w:ascii="Times New Roman" w:cs="Times New Roman" w:eastAsia="Times New Roman" w:hAnsi="Times New Roman"/>
          <w:sz w:val="17"/>
          <w:szCs w:val="17"/>
          <w:color w:val="auto"/>
        </w:rPr>
        <w:t>”) shall be deemed null and void and shall be cancelled ab initio, and such Holder shall not have the power to vote or to transfer the Excess Shares. Upon delivery of a written notice to the Company, any Holder may from time to time increase (with such increase not effective until the sixty-first (61st) day after delivery of such notice) or decrease the Maximum Percentage of such Holder to any other percentage not in excess of 4.99% as specified in such notice; provided that (i) any such increase in the Maximum Percentage will not be effective until the sixty-first (61st) day after such notice is delivered to the Company and (ii) any such increase or decrease will apply only to such Holder and the other Attribution Parties and not to any other Holder that is not an Attribution Party of such Holder. For purposes of clarity, the shares of Common Stock issuable to a Holder pursuant to the terms of this Certificate of Designation in excess of the Maximum Percentage shall not be deemed to be beneficially owned by such Holder for any purpose including for purposes of Section 13(d) or Rule 16a-1(a)(1) of the 1934 Act. No prior inability to convert such Preferred Shares pursuant to this paragraph shall have any effect on the applicability of the provisions of this paragraph with respect to any subsequent determination of convertibility. The provisions of this paragraph shall not be construed and implemented in a manner otherwise than in strict conformity with the terms of this Section 4(d) to the extent necessary to correct this paragraph (or any portion of this paragraph) which may be defective or inconsistent with the intended beneficial ownership limitation contained in this Section 4(d) or to make changes or supplements necessary or desirable to properly give effect to such limitation. The limitation contained in this paragraph may not be amended, modified or waived and shall apply to a successor holder of such Preferred Shares.</w:t>
      </w:r>
    </w:p>
    <w:p>
      <w:pPr>
        <w:spacing w:after="0" w:line="18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21" w:name="page22"/>
    <w:bookmarkEnd w:id="21"/>
    <w:p>
      <w:pPr>
        <w:jc w:val="both"/>
        <w:ind w:left="100" w:firstLine="596"/>
        <w:spacing w:after="0" w:line="249" w:lineRule="auto"/>
        <w:tabs>
          <w:tab w:leader="none" w:pos="952"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Principal Market Regulation</w:t>
      </w:r>
      <w:r>
        <w:rPr>
          <w:rFonts w:ascii="Times New Roman" w:cs="Times New Roman" w:eastAsia="Times New Roman" w:hAnsi="Times New Roman"/>
          <w:sz w:val="17"/>
          <w:szCs w:val="17"/>
          <w:color w:val="auto"/>
        </w:rPr>
        <w:t xml:space="preserve">. The Company shall not issue any shares of Common Stock upon conversion of any Preferred Shares or otherwise pursuant to the terms of this Certificate of Designation if the issuance of such shares of Common Stock would exceed the aggregate number of shares of Common Stock which the Company may issue upon conversion of the Preferred Shares without breaching the Company’s obligations under the rules and regulations the listing rules of the Principal Market (the maximum number of shares of Common Stock which may be issued without violating such rules and regulations, the </w:t>
      </w:r>
      <w:r>
        <w:rPr>
          <w:rFonts w:ascii="Times New Roman" w:cs="Times New Roman" w:eastAsia="Times New Roman" w:hAnsi="Times New Roman"/>
          <w:sz w:val="17"/>
          <w:szCs w:val="17"/>
          <w:b w:val="1"/>
          <w:bCs w:val="1"/>
          <w:color w:val="auto"/>
        </w:rPr>
        <w:t>“Exchange Cap”</w:t>
      </w:r>
      <w:r>
        <w:rPr>
          <w:rFonts w:ascii="Times New Roman" w:cs="Times New Roman" w:eastAsia="Times New Roman" w:hAnsi="Times New Roman"/>
          <w:sz w:val="17"/>
          <w:szCs w:val="17"/>
          <w:color w:val="auto"/>
        </w:rPr>
        <w:t>), except that such limitation shall not apply in the event that the Company obtains the approval of its stockholders as required by the applicable rules and regulations of the Principal Market for issuances of shares of Common Stock in excess of such amount. Until such approval is obtained, no Holder shall be issued in the aggregate, upon conversion of any Preferred Shares, shares of Common Stock in an amount greater than the product of (i) the Exchange Cap as of the Initial Issuance Date multiplied by (ii) the quotient of (1) the aggregate number of Preferred Shares issued to such Holder on the Initial Issuance Date, divided by (2) the aggregate number of shares of Preferred Shares outstanding as of the Initial Issuance Date (with respect to each Holder, the “</w:t>
      </w:r>
      <w:r>
        <w:rPr>
          <w:rFonts w:ascii="Times New Roman" w:cs="Times New Roman" w:eastAsia="Times New Roman" w:hAnsi="Times New Roman"/>
          <w:sz w:val="17"/>
          <w:szCs w:val="17"/>
          <w:b w:val="1"/>
          <w:bCs w:val="1"/>
          <w:color w:val="auto"/>
        </w:rPr>
        <w:t>Exchange Cap Allocation</w:t>
      </w:r>
      <w:r>
        <w:rPr>
          <w:rFonts w:ascii="Times New Roman" w:cs="Times New Roman" w:eastAsia="Times New Roman" w:hAnsi="Times New Roman"/>
          <w:sz w:val="17"/>
          <w:szCs w:val="17"/>
          <w:color w:val="auto"/>
        </w:rPr>
        <w:t>”). In the event that any Holder shall sell or otherwise transfer any of such Holder’s Preferred Shares, the transferee shall be allocated a pro rata portion of such Holder’s Exchange Cap Allocation with respect to such portion of such Preferred Shares so transferred, and the restrictions of the prior sentence shall apply to such transferee with respect to the portion of the Exchange Cap Allocation so allocated to such transferee. .</w:t>
      </w:r>
    </w:p>
    <w:p>
      <w:pPr>
        <w:spacing w:after="0" w:line="187" w:lineRule="exact"/>
        <w:rPr>
          <w:rFonts w:ascii="Times New Roman" w:cs="Times New Roman" w:eastAsia="Times New Roman" w:hAnsi="Times New Roman"/>
          <w:sz w:val="17"/>
          <w:szCs w:val="17"/>
          <w:color w:val="auto"/>
        </w:rPr>
      </w:pPr>
    </w:p>
    <w:p>
      <w:pPr>
        <w:ind w:left="320" w:hanging="229"/>
        <w:spacing w:after="0"/>
        <w:tabs>
          <w:tab w:leader="none" w:pos="3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 of Alternate Conversion</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100" w:firstLine="596"/>
        <w:spacing w:after="0" w:line="254" w:lineRule="auto"/>
        <w:tabs>
          <w:tab w:leader="none" w:pos="918"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Alternate Optional Conversion</w:t>
      </w:r>
      <w:r>
        <w:rPr>
          <w:rFonts w:ascii="Times New Roman" w:cs="Times New Roman" w:eastAsia="Times New Roman" w:hAnsi="Times New Roman"/>
          <w:sz w:val="17"/>
          <w:szCs w:val="17"/>
          <w:color w:val="auto"/>
        </w:rPr>
        <w:t>. Subject to Section 4(d), at any time, at the option of any Holder, such Holder may convert (each, an “</w:t>
      </w:r>
      <w:r>
        <w:rPr>
          <w:rFonts w:ascii="Times New Roman" w:cs="Times New Roman" w:eastAsia="Times New Roman" w:hAnsi="Times New Roman"/>
          <w:sz w:val="17"/>
          <w:szCs w:val="17"/>
          <w:b w:val="1"/>
          <w:bCs w:val="1"/>
          <w:color w:val="auto"/>
        </w:rPr>
        <w:t>Alternate Optional Conversion</w:t>
      </w:r>
      <w:r>
        <w:rPr>
          <w:rFonts w:ascii="Times New Roman" w:cs="Times New Roman" w:eastAsia="Times New Roman" w:hAnsi="Times New Roman"/>
          <w:sz w:val="17"/>
          <w:szCs w:val="17"/>
          <w:color w:val="auto"/>
        </w:rPr>
        <w:t>”, and the date of such Alternate Optional Conversion, an “</w:t>
      </w:r>
      <w:r>
        <w:rPr>
          <w:rFonts w:ascii="Times New Roman" w:cs="Times New Roman" w:eastAsia="Times New Roman" w:hAnsi="Times New Roman"/>
          <w:sz w:val="17"/>
          <w:szCs w:val="17"/>
          <w:b w:val="1"/>
          <w:bCs w:val="1"/>
          <w:color w:val="auto"/>
        </w:rPr>
        <w:t>Alternate Optional Conversion Date</w:t>
      </w:r>
      <w:r>
        <w:rPr>
          <w:rFonts w:ascii="Times New Roman" w:cs="Times New Roman" w:eastAsia="Times New Roman" w:hAnsi="Times New Roman"/>
          <w:sz w:val="17"/>
          <w:szCs w:val="17"/>
          <w:color w:val="auto"/>
        </w:rPr>
        <w:t>”) all, or any number, of Preferred Shares into shares of Common Stock (such aggregate Conversion Amount of the Preferred Shares to be converted pursuant to this Section 4(e)(i), the “</w:t>
      </w:r>
      <w:r>
        <w:rPr>
          <w:rFonts w:ascii="Times New Roman" w:cs="Times New Roman" w:eastAsia="Times New Roman" w:hAnsi="Times New Roman"/>
          <w:sz w:val="17"/>
          <w:szCs w:val="17"/>
          <w:b w:val="1"/>
          <w:bCs w:val="1"/>
          <w:color w:val="auto"/>
        </w:rPr>
        <w:t>Alternate Optional Conversion Amoun</w:t>
      </w:r>
      <w:r>
        <w:rPr>
          <w:rFonts w:ascii="Times New Roman" w:cs="Times New Roman" w:eastAsia="Times New Roman" w:hAnsi="Times New Roman"/>
          <w:sz w:val="17"/>
          <w:szCs w:val="17"/>
          <w:color w:val="auto"/>
        </w:rPr>
        <w:t>t”) at the Alternate Conversion Price (each, an “</w:t>
      </w:r>
      <w:r>
        <w:rPr>
          <w:rFonts w:ascii="Times New Roman" w:cs="Times New Roman" w:eastAsia="Times New Roman" w:hAnsi="Times New Roman"/>
          <w:sz w:val="17"/>
          <w:szCs w:val="17"/>
          <w:b w:val="1"/>
          <w:bCs w:val="1"/>
          <w:color w:val="auto"/>
        </w:rPr>
        <w:t>Alternate Optional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Conversion</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22" w:name="page23"/>
    <w:bookmarkEnd w:id="22"/>
    <w:p>
      <w:pPr>
        <w:jc w:val="both"/>
        <w:ind w:left="614" w:firstLine="596"/>
        <w:spacing w:after="0" w:line="250" w:lineRule="auto"/>
        <w:tabs>
          <w:tab w:leader="none" w:pos="1479"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Alternate Conversion</w:t>
      </w:r>
      <w:r>
        <w:rPr>
          <w:rFonts w:ascii="Times New Roman" w:cs="Times New Roman" w:eastAsia="Times New Roman" w:hAnsi="Times New Roman"/>
          <w:sz w:val="17"/>
          <w:szCs w:val="17"/>
          <w:color w:val="auto"/>
        </w:rPr>
        <w:t>. On any Alternate Conversion Date, a Holder may voluntarily convert any number of Preferred Shares held by such Holder pursuant to Section 4(c) (with “Alternate Conversion Price” replacing “Conversion Price” for all purposes hereunder with respect to such Alternate Conversion) by designating in the Conversion Notice delivered pursuant to this Section 4(e) of this Certificate of Designation that such Holder is electing to use the Alternate Conversion Price for such conversion; provided that in the event of the Conversion Floor Price Condition, on the applicable Alternate Conversion Date the Stated Value of the remaining Preferred Shares of such Holder shall automatically increase, pro rata, by the applicable Alternate Conversion Floor Amount or, at the Company’s option, the Company shall deliver the applicable Alternate Conversion Floor Amount to such applicable Holder on the applicable Alternate Conversion Date. In the event of an Alternate Conversion pursuant to this Section 4(e) of all, or any portion, of any Preferred Shares of a Holder, such Holder’s damages would be uncertain and difficult to estimate because of the parties’ inability to predict future interest rates and the uncertainty of the availability of a suitable substitute investment opportunity for such Holder.</w:t>
      </w:r>
    </w:p>
    <w:p>
      <w:pPr>
        <w:spacing w:after="0" w:line="182" w:lineRule="exact"/>
        <w:rPr>
          <w:rFonts w:ascii="Times New Roman" w:cs="Times New Roman" w:eastAsia="Times New Roman" w:hAnsi="Times New Roman"/>
          <w:sz w:val="17"/>
          <w:szCs w:val="17"/>
          <w:color w:val="auto"/>
        </w:rPr>
      </w:pPr>
    </w:p>
    <w:p>
      <w:pPr>
        <w:ind w:left="174" w:hanging="174"/>
        <w:spacing w:after="0"/>
        <w:tabs>
          <w:tab w:leader="none" w:pos="17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Triggering Events</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ind w:left="-6" w:firstLine="611"/>
        <w:spacing w:after="0" w:line="279" w:lineRule="auto"/>
        <w:tabs>
          <w:tab w:leader="none" w:pos="828"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Unless waived by the Holder, each of the following events shall constitute a “</w:t>
      </w:r>
      <w:r>
        <w:rPr>
          <w:rFonts w:ascii="Times New Roman" w:cs="Times New Roman" w:eastAsia="Times New Roman" w:hAnsi="Times New Roman"/>
          <w:sz w:val="17"/>
          <w:szCs w:val="17"/>
          <w:b w:val="1"/>
          <w:bCs w:val="1"/>
          <w:color w:val="auto"/>
        </w:rPr>
        <w:t>Triggering Event</w:t>
      </w:r>
      <w:r>
        <w:rPr>
          <w:rFonts w:ascii="Times New Roman" w:cs="Times New Roman" w:eastAsia="Times New Roman" w:hAnsi="Times New Roman"/>
          <w:sz w:val="17"/>
          <w:szCs w:val="17"/>
          <w:color w:val="auto"/>
        </w:rPr>
        <w:t>” and each of the events in clauses 5(a) (i), 5(a)(vii) and 5(a)(xv), shall constitute a “</w:t>
      </w:r>
      <w:r>
        <w:rPr>
          <w:rFonts w:ascii="Times New Roman" w:cs="Times New Roman" w:eastAsia="Times New Roman" w:hAnsi="Times New Roman"/>
          <w:sz w:val="17"/>
          <w:szCs w:val="17"/>
          <w:b w:val="1"/>
          <w:bCs w:val="1"/>
          <w:color w:val="auto"/>
        </w:rPr>
        <w:t>Mandatory Redemption Triggering Event</w:t>
      </w:r>
      <w:r>
        <w:rPr>
          <w:rFonts w:ascii="Times New Roman" w:cs="Times New Roman" w:eastAsia="Times New Roman" w:hAnsi="Times New Roman"/>
          <w:sz w:val="17"/>
          <w:szCs w:val="17"/>
          <w:color w:val="auto"/>
        </w:rPr>
        <w:t>”:</w:t>
      </w:r>
    </w:p>
    <w:p>
      <w:pPr>
        <w:spacing w:after="0" w:line="154" w:lineRule="exact"/>
        <w:rPr>
          <w:rFonts w:ascii="Times New Roman" w:cs="Times New Roman" w:eastAsia="Times New Roman" w:hAnsi="Times New Roman"/>
          <w:sz w:val="17"/>
          <w:szCs w:val="17"/>
          <w:color w:val="auto"/>
        </w:rPr>
      </w:pPr>
    </w:p>
    <w:p>
      <w:pPr>
        <w:jc w:val="both"/>
        <w:ind w:left="614" w:firstLine="596"/>
        <w:spacing w:after="0" w:line="261" w:lineRule="auto"/>
        <w:tabs>
          <w:tab w:leader="none" w:pos="1434"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suspension from trading or the delisting of the Common Stock on an Eligible Market for a period of five (5) consecutive Trading Days or the delisting, removal or withdrawal, as applicable, of registration of the Common Stock under the 1934 Act with respect to a going-private transaction;</w:t>
      </w:r>
    </w:p>
    <w:p>
      <w:pPr>
        <w:spacing w:after="0" w:line="169" w:lineRule="exact"/>
        <w:rPr>
          <w:sz w:val="20"/>
          <w:szCs w:val="20"/>
          <w:color w:val="auto"/>
        </w:rPr>
      </w:pPr>
    </w:p>
    <w:p>
      <w:pPr>
        <w:jc w:val="both"/>
        <w:ind w:left="614" w:firstLine="596"/>
        <w:spacing w:after="0" w:line="254" w:lineRule="auto"/>
        <w:tabs>
          <w:tab w:leader="none" w:pos="147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 failure to cure a Conversion Failure by delivery of the required number of shares of Common Stock within five (5) Trading Days after the applicable Conversion Date or exercise date (as the case may be) or (B) notice, written or oral, to any holder of Preferred Shares, including, without limitation, by way of public announcement or through any of its agents, at any time, of its intention not to comply, as required, with a request for conversion of any Preferred Shares into shares of Common Stock that is requested in accordance with the provisions of this Certificate of Designation, other than pursuant to Section 4(d) hereof;</w:t>
      </w:r>
    </w:p>
    <w:p>
      <w:pPr>
        <w:spacing w:after="0" w:line="176" w:lineRule="exact"/>
        <w:rPr>
          <w:sz w:val="20"/>
          <w:szCs w:val="20"/>
          <w:color w:val="auto"/>
        </w:rPr>
      </w:pPr>
    </w:p>
    <w:p>
      <w:pPr>
        <w:ind w:left="4974"/>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23" w:name="page24"/>
    <w:bookmarkEnd w:id="23"/>
    <w:p>
      <w:pPr>
        <w:jc w:val="both"/>
        <w:ind w:left="100" w:firstLine="596"/>
        <w:spacing w:after="0" w:line="252" w:lineRule="auto"/>
        <w:tabs>
          <w:tab w:leader="none" w:pos="102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to the extent the Company is in compliance with Section 11(b) below with respect to holding a meeting of stockholders to address an Authorized Share Failure, at any time following the tenth (10th) consecutive day that a Holder’s Authorized Share Allocation (as defined in Section 11(a) below) is less than 100% of the number of shares of Common Stock that such Holder would be entitled to receive upon a conversion, in full, of all of the Preferred Shares then held by such Holder (assuming for purposes hereof that (x) the Preferred Shares are convertible at the Floor Price then in effect, (y) dividends on the Preferred Shares shall accrue through August 26, 2026 and will be converted in shares of Common Stock at a dividend conversion price equal to the Floor Price then in effect, and (z) any such conversion shall not take into account any limitations on the conversion of the Preferred Shares set forth herein);</w:t>
      </w:r>
    </w:p>
    <w:p>
      <w:pPr>
        <w:spacing w:after="0" w:line="177" w:lineRule="exact"/>
        <w:rPr>
          <w:rFonts w:ascii="Times New Roman" w:cs="Times New Roman" w:eastAsia="Times New Roman" w:hAnsi="Times New Roman"/>
          <w:sz w:val="17"/>
          <w:szCs w:val="17"/>
          <w:color w:val="auto"/>
        </w:rPr>
      </w:pPr>
    </w:p>
    <w:p>
      <w:pPr>
        <w:ind w:left="980" w:hanging="284"/>
        <w:spacing w:after="0"/>
        <w:tabs>
          <w:tab w:leader="none" w:pos="9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07" w:lineRule="exact"/>
        <w:rPr>
          <w:rFonts w:ascii="Times New Roman" w:cs="Times New Roman" w:eastAsia="Times New Roman" w:hAnsi="Times New Roman"/>
          <w:sz w:val="17"/>
          <w:szCs w:val="17"/>
          <w:color w:val="auto"/>
        </w:rPr>
      </w:pPr>
    </w:p>
    <w:p>
      <w:pPr>
        <w:jc w:val="both"/>
        <w:ind w:left="100" w:firstLine="596"/>
        <w:spacing w:after="0" w:line="254" w:lineRule="auto"/>
        <w:tabs>
          <w:tab w:leader="none" w:pos="94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failure to pay to any Holder any Dividend when required to be paid hereunder (whether or not declared by the Board) or any other amount when and as due under this Certificate of Designation (including, without limitation, the Company’s failure to pay any redemption payments or amounts hereunder)(in each case, subject to the restrictions set forth in NRS 78, including but not limited to NRS 78.288), except, in the case of a failure to pay Dividends when and as due, in each such case only if such failure remains uncured for a period of at least five (5) Trading Days;</w:t>
      </w:r>
    </w:p>
    <w:p>
      <w:pPr>
        <w:spacing w:after="0" w:line="175" w:lineRule="exact"/>
        <w:rPr>
          <w:rFonts w:ascii="Times New Roman" w:cs="Times New Roman" w:eastAsia="Times New Roman" w:hAnsi="Times New Roman"/>
          <w:sz w:val="17"/>
          <w:szCs w:val="17"/>
          <w:color w:val="auto"/>
        </w:rPr>
      </w:pPr>
    </w:p>
    <w:p>
      <w:pPr>
        <w:jc w:val="both"/>
        <w:ind w:left="100" w:firstLine="596"/>
        <w:spacing w:after="0" w:line="254" w:lineRule="auto"/>
        <w:tabs>
          <w:tab w:leader="none" w:pos="99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fails to remove any restrictive legend on any certificate or any shares of Common Stock issued to the applicable Holder upon conversion or exercise (as the case may be) of any Securities acquired by such Holder under the Transaction Documents as and when required by such Securities or the Purchase Agreement, as applicable, unless otherwise then prohibited by applicable federal securities laws, and any such failure remains uncured for at least three (3) Trading Days; provided that such Holder is compliance with the terms and conditions of this Certificate of Designation and other Transaction Documents with respect to the conditions for such legend removal;</w:t>
      </w:r>
    </w:p>
    <w:p>
      <w:pPr>
        <w:spacing w:after="0" w:line="175" w:lineRule="exact"/>
        <w:rPr>
          <w:rFonts w:ascii="Times New Roman" w:cs="Times New Roman" w:eastAsia="Times New Roman" w:hAnsi="Times New Roman"/>
          <w:sz w:val="17"/>
          <w:szCs w:val="17"/>
          <w:color w:val="auto"/>
        </w:rPr>
      </w:pPr>
    </w:p>
    <w:p>
      <w:pPr>
        <w:jc w:val="both"/>
        <w:ind w:left="100" w:firstLine="596"/>
        <w:spacing w:after="0" w:line="261" w:lineRule="auto"/>
        <w:tabs>
          <w:tab w:leader="none" w:pos="1043"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redemption of or acceleration prior to maturity of at least an aggregate of $750,000 of Indebtedness (as defined in the Purchase Agreement) of the Company or any of its Subsidiaries and such failure remains uncured for a period of at least three (3) Trading Days;</w:t>
      </w:r>
    </w:p>
    <w:p>
      <w:pPr>
        <w:spacing w:after="0" w:line="169" w:lineRule="exact"/>
        <w:rPr>
          <w:rFonts w:ascii="Times New Roman" w:cs="Times New Roman" w:eastAsia="Times New Roman" w:hAnsi="Times New Roman"/>
          <w:sz w:val="17"/>
          <w:szCs w:val="17"/>
          <w:color w:val="auto"/>
        </w:rPr>
      </w:pPr>
    </w:p>
    <w:p>
      <w:pPr>
        <w:jc w:val="both"/>
        <w:ind w:left="100" w:firstLine="596"/>
        <w:spacing w:after="0" w:line="273" w:lineRule="auto"/>
        <w:tabs>
          <w:tab w:leader="none" w:pos="1083"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bankruptcy, insolvency, reorganization or liquidation proceedings or other proceedings for the relief of debtors shall be instituted by or against the Company or any Subsidiary and, if instituted against the Company or any Subsidiary by a third party, shall not be dismissed within thirty</w:t>
      </w:r>
    </w:p>
    <w:p>
      <w:pPr>
        <w:ind w:left="420" w:hanging="329"/>
        <w:spacing w:after="0"/>
        <w:tabs>
          <w:tab w:leader="none" w:pos="4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of their initiation;</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24" w:name="page25"/>
    <w:bookmarkEnd w:id="24"/>
    <w:p>
      <w:pPr>
        <w:jc w:val="both"/>
        <w:ind w:left="100" w:firstLine="596"/>
        <w:spacing w:after="0" w:line="267" w:lineRule="auto"/>
        <w:tabs>
          <w:tab w:leader="none" w:pos="995"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p>
    <w:p>
      <w:pPr>
        <w:spacing w:after="0" w:line="169" w:lineRule="exact"/>
        <w:rPr>
          <w:rFonts w:ascii="Times New Roman" w:cs="Times New Roman" w:eastAsia="Times New Roman" w:hAnsi="Times New Roman"/>
          <w:sz w:val="16"/>
          <w:szCs w:val="16"/>
          <w:color w:val="auto"/>
        </w:rPr>
      </w:pPr>
    </w:p>
    <w:p>
      <w:pPr>
        <w:jc w:val="both"/>
        <w:ind w:left="100" w:firstLine="596"/>
        <w:spacing w:after="0" w:line="251" w:lineRule="auto"/>
        <w:tabs>
          <w:tab w:leader="none" w:pos="96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spacing w:after="0" w:line="180" w:lineRule="exact"/>
        <w:rPr>
          <w:rFonts w:ascii="Times New Roman" w:cs="Times New Roman" w:eastAsia="Times New Roman" w:hAnsi="Times New Roman"/>
          <w:sz w:val="17"/>
          <w:szCs w:val="17"/>
          <w:color w:val="auto"/>
        </w:rPr>
      </w:pPr>
    </w:p>
    <w:p>
      <w:pPr>
        <w:jc w:val="both"/>
        <w:ind w:left="100" w:firstLine="596"/>
        <w:spacing w:after="0" w:line="251" w:lineRule="auto"/>
        <w:tabs>
          <w:tab w:leader="none" w:pos="100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with respect to any intellectual property disputes disclosed on Schedule 3(t) of the Purchase Agreement, a final judgment or judgments for the payment of money aggregating in excess of $2,000,000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$2,000,000 amount set forth above so long as the Company provides each Holder a written statement from such insurer or indemnity provider (which written statement shall be reasonably satisfactory to each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25" w:name="page26"/>
    <w:bookmarkEnd w:id="25"/>
    <w:p>
      <w:pPr>
        <w:jc w:val="both"/>
        <w:ind w:left="100" w:firstLine="596"/>
        <w:spacing w:after="0" w:line="251" w:lineRule="auto"/>
        <w:tabs>
          <w:tab w:leader="none" w:pos="1046"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Company and/or any Subsidiary, individually or in the aggregate, either fails to pay, when due, or within any applicable grace period, any payment with respect to any Indebtedness in excess of $2,000,000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$2,000,000, which breach or violation permits the other party thereto to declare a default or otherwise accelerate amounts due thereunder, or (ii) an event of default occurs under any Indebtedness of the Company or any Subsidiary in excess of $2,000,000 and such event of default causes (or results in the holder of such Indebtedness causing) such Indebtedness to become due prior to its stated maturity;</w:t>
      </w:r>
    </w:p>
    <w:p>
      <w:pPr>
        <w:spacing w:after="0" w:line="167" w:lineRule="exact"/>
        <w:rPr>
          <w:rFonts w:ascii="Times New Roman" w:cs="Times New Roman" w:eastAsia="Times New Roman" w:hAnsi="Times New Roman"/>
          <w:sz w:val="17"/>
          <w:szCs w:val="17"/>
          <w:color w:val="auto"/>
        </w:rPr>
      </w:pPr>
    </w:p>
    <w:p>
      <w:pPr>
        <w:jc w:val="both"/>
        <w:ind w:left="100" w:firstLine="596"/>
        <w:spacing w:after="0" w:line="256" w:lineRule="auto"/>
        <w:tabs>
          <w:tab w:leader="none" w:pos="109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as specifically set forth in another clause of this Section 5(a), the Company or any Subsidiary breaches any representation or warranty in any material respect (other than representations or warranties subject to material adverse effect or materiality, which may not be breached in any respect) or any covenant or other term or condition of any Transaction Document, except, in the case of a breach of a covenant or other term or condition that is curable, only if such breach remains uncured for a period of three (3) consecutive Trading Days;</w:t>
      </w:r>
    </w:p>
    <w:p>
      <w:pPr>
        <w:spacing w:after="0" w:line="174" w:lineRule="exact"/>
        <w:rPr>
          <w:rFonts w:ascii="Times New Roman" w:cs="Times New Roman" w:eastAsia="Times New Roman" w:hAnsi="Times New Roman"/>
          <w:sz w:val="17"/>
          <w:szCs w:val="17"/>
          <w:color w:val="auto"/>
        </w:rPr>
      </w:pPr>
    </w:p>
    <w:p>
      <w:pPr>
        <w:ind w:left="1060" w:hanging="364"/>
        <w:spacing w:after="0"/>
        <w:tabs>
          <w:tab w:leader="none" w:pos="10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false or inaccurate certification by the Company as to whether any Triggering Event has occurred;</w:t>
      </w:r>
    </w:p>
    <w:p>
      <w:pPr>
        <w:spacing w:after="0" w:line="207" w:lineRule="exact"/>
        <w:rPr>
          <w:rFonts w:ascii="Times New Roman" w:cs="Times New Roman" w:eastAsia="Times New Roman" w:hAnsi="Times New Roman"/>
          <w:sz w:val="17"/>
          <w:szCs w:val="17"/>
          <w:color w:val="auto"/>
        </w:rPr>
      </w:pPr>
    </w:p>
    <w:p>
      <w:pPr>
        <w:ind w:left="100" w:firstLine="596"/>
        <w:spacing w:after="0" w:line="274" w:lineRule="auto"/>
        <w:tabs>
          <w:tab w:leader="none" w:pos="105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the Registration Effectiveness Date has not occurred by </w:t>
      </w:r>
      <w:r>
        <w:rPr>
          <w:rFonts w:ascii="Times New Roman" w:cs="Times New Roman" w:eastAsia="Times New Roman" w:hAnsi="Times New Roman"/>
          <w:sz w:val="17"/>
          <w:szCs w:val="17"/>
          <w:u w:val="single" w:color="auto"/>
          <w:color w:val="auto"/>
        </w:rPr>
        <w:t>August 26, 2026</w:t>
      </w:r>
      <w:r>
        <w:rPr>
          <w:rFonts w:ascii="Times New Roman" w:cs="Times New Roman" w:eastAsia="Times New Roman" w:hAnsi="Times New Roman"/>
          <w:sz w:val="17"/>
          <w:szCs w:val="17"/>
          <w:color w:val="auto"/>
        </w:rPr>
        <w:t xml:space="preserve"> and (ii) the Stockholder Approval (as defined in the Purchase Agreement) has not been obtained by </w:t>
      </w:r>
      <w:r>
        <w:rPr>
          <w:rFonts w:ascii="Times New Roman" w:cs="Times New Roman" w:eastAsia="Times New Roman" w:hAnsi="Times New Roman"/>
          <w:sz w:val="17"/>
          <w:szCs w:val="17"/>
          <w:u w:val="single" w:color="auto"/>
          <w:color w:val="auto"/>
        </w:rPr>
        <w:t>August 26, 2026</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ind w:left="100" w:firstLine="596"/>
        <w:spacing w:after="0" w:line="274" w:lineRule="auto"/>
        <w:tabs>
          <w:tab w:leader="none" w:pos="107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or failure in any respect by the Company or any Subsidiary to comply with any provision of Section 13 of this Certificate of Designation and such failure remains uncured for a period of at least three (3) Trading Days;</w:t>
      </w:r>
    </w:p>
    <w:p>
      <w:pPr>
        <w:spacing w:after="0" w:line="158" w:lineRule="exact"/>
        <w:rPr>
          <w:rFonts w:ascii="Times New Roman" w:cs="Times New Roman" w:eastAsia="Times New Roman" w:hAnsi="Times New Roman"/>
          <w:sz w:val="17"/>
          <w:szCs w:val="17"/>
          <w:color w:val="auto"/>
        </w:rPr>
      </w:pPr>
    </w:p>
    <w:p>
      <w:pPr>
        <w:ind w:left="100" w:firstLine="596"/>
        <w:spacing w:after="0" w:line="274" w:lineRule="auto"/>
        <w:tabs>
          <w:tab w:leader="none" w:pos="113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electronic transfer by the Company of shares of Common Stock through the Depository Trust Company or another established clearing corporation is no longer available or is subject to a “chill”; or</w:t>
      </w:r>
    </w:p>
    <w:p>
      <w:pPr>
        <w:spacing w:after="0" w:line="158" w:lineRule="exact"/>
        <w:rPr>
          <w:rFonts w:ascii="Times New Roman" w:cs="Times New Roman" w:eastAsia="Times New Roman" w:hAnsi="Times New Roman"/>
          <w:sz w:val="17"/>
          <w:szCs w:val="17"/>
          <w:color w:val="auto"/>
        </w:rPr>
      </w:pPr>
    </w:p>
    <w:p>
      <w:pPr>
        <w:ind w:left="1160" w:hanging="464"/>
        <w:spacing w:after="0"/>
        <w:tabs>
          <w:tab w:leader="none" w:pos="11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Adverse Effect (as defined in the Purchase Agreement) occurs.</w:t>
      </w:r>
    </w:p>
    <w:p>
      <w:pPr>
        <w:spacing w:after="0" w:line="207" w:lineRule="exact"/>
        <w:rPr>
          <w:rFonts w:ascii="Times New Roman" w:cs="Times New Roman" w:eastAsia="Times New Roman" w:hAnsi="Times New Roman"/>
          <w:sz w:val="17"/>
          <w:szCs w:val="17"/>
          <w:color w:val="auto"/>
        </w:rPr>
      </w:pPr>
    </w:p>
    <w:p>
      <w:pPr>
        <w:jc w:val="both"/>
        <w:ind w:left="-520" w:firstLine="611"/>
        <w:spacing w:after="0" w:line="261" w:lineRule="auto"/>
        <w:tabs>
          <w:tab w:leader="none" w:pos="323"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a Triggering Event</w:t>
      </w:r>
      <w:r>
        <w:rPr>
          <w:rFonts w:ascii="Times New Roman" w:cs="Times New Roman" w:eastAsia="Times New Roman" w:hAnsi="Times New Roman"/>
          <w:sz w:val="17"/>
          <w:szCs w:val="17"/>
          <w:color w:val="auto"/>
        </w:rPr>
        <w:t>. Upon the occurrence of a Triggering Event with respect to the Preferred Shares, the Company shall within two (2) Business Days deliver written notice thereof via electronic mail and overnight courier (with next day delivery specified) (a “</w:t>
      </w:r>
      <w:r>
        <w:rPr>
          <w:rFonts w:ascii="Times New Roman" w:cs="Times New Roman" w:eastAsia="Times New Roman" w:hAnsi="Times New Roman"/>
          <w:sz w:val="17"/>
          <w:szCs w:val="17"/>
          <w:b w:val="1"/>
          <w:bCs w:val="1"/>
          <w:color w:val="auto"/>
        </w:rPr>
        <w:t>Triggering Event Notice</w:t>
      </w:r>
      <w:r>
        <w:rPr>
          <w:rFonts w:ascii="Times New Roman" w:cs="Times New Roman" w:eastAsia="Times New Roman" w:hAnsi="Times New Roman"/>
          <w:sz w:val="17"/>
          <w:szCs w:val="17"/>
          <w:color w:val="auto"/>
        </w:rPr>
        <w:t>”) to each Holder.</w:t>
      </w:r>
    </w:p>
    <w:p>
      <w:pPr>
        <w:spacing w:after="0" w:line="16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26" w:name="page27"/>
    <w:bookmarkEnd w:id="26"/>
    <w:p>
      <w:pPr>
        <w:jc w:val="both"/>
        <w:ind w:left="-6" w:firstLine="611"/>
        <w:spacing w:after="0" w:line="252" w:lineRule="auto"/>
        <w:tabs>
          <w:tab w:leader="none" w:pos="828"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Redemption upon Certain Triggering Events</w:t>
      </w:r>
      <w:r>
        <w:rPr>
          <w:rFonts w:ascii="Times New Roman" w:cs="Times New Roman" w:eastAsia="Times New Roman" w:hAnsi="Times New Roman"/>
          <w:sz w:val="17"/>
          <w:szCs w:val="17"/>
          <w:color w:val="auto"/>
        </w:rPr>
        <w:t>. Notwithstanding anything to the contrary herein, but at all times subject to restrictions set forth in Nevada law, including but not limited to NRS 78.288, and notwithstanding any conversion that is then required or in process, upon any Mandatory Redemption Triggering Event, the Company shall immediately redeem, in cash, each of the Preferred Shares then outstanding at a redemption price equal to the Conversion Amount to be redeemed, without the requirement for any notice or demand or other action by any Holder or any other person or entity, provided that a Holder may, in its sole discretion, waive such right to receive payment upon a Mandatory Redemption Triggering Event, in whole or in part, and any such waiver shall not affect any other rights of such Holder or any other Holder hereunder, including any other rights in respect of such Mandatory Redemption Triggering Event or any right to conversion (or Alternate Conversion), as applicable.</w:t>
      </w:r>
    </w:p>
    <w:p>
      <w:pPr>
        <w:spacing w:after="0" w:line="177" w:lineRule="exact"/>
        <w:rPr>
          <w:rFonts w:ascii="Times New Roman" w:cs="Times New Roman" w:eastAsia="Times New Roman" w:hAnsi="Times New Roman"/>
          <w:sz w:val="17"/>
          <w:szCs w:val="17"/>
          <w:color w:val="auto"/>
        </w:rPr>
      </w:pPr>
    </w:p>
    <w:p>
      <w:pPr>
        <w:ind w:left="174" w:hanging="174"/>
        <w:spacing w:after="0"/>
        <w:tabs>
          <w:tab w:leader="none" w:pos="17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Upon Fundamental Transactions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 w:firstLine="611"/>
        <w:spacing w:after="0" w:line="248" w:lineRule="auto"/>
        <w:tabs>
          <w:tab w:leader="none" w:pos="865"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Assumption</w:t>
      </w:r>
      <w:r>
        <w:rPr>
          <w:rFonts w:ascii="Times New Roman" w:cs="Times New Roman" w:eastAsia="Times New Roman" w:hAnsi="Times New Roman"/>
          <w:sz w:val="17"/>
          <w:szCs w:val="17"/>
          <w:color w:val="auto"/>
        </w:rPr>
        <w:t>. Unless the Company redeems the then outstanding Preferred Shares in full pursuant to Section 9, the Company shall not consummate a Fundamental Transaction unless the Successor Entity assumes in writing all of the obligations of the Company under this Certificate of Designation and the other Transaction Documents in accordance with the provisions of this Section 6(a) pursuant to written agreements in form and substance reasonably satisfactory to the Required Holder, including agreements to deliver to each holder of Preferred Shares in exchange for such Preferred Shares a security of the Successor Entity evidenced by a written instrument substantially similar in form and substance to this Certificate of Designation, including, without limitation, having a stated value and dividend rate equal to the stated value and dividend rate of the Preferred Shares held by the Holders and having similar ranking to the Preferred Shares, and reasonably satisfactory to the Required Holder. Upon the occurrence of any Fundamental Transaction, the Successor Entity shall succeed to, and be substituted for (so that from and after the date of such Fundamental Transaction, the provisions of this Certificate of Designation and the other Transaction Documents referring to the “Company” shall refer instead to the Successor Entity), and may exercise every right and power of the Company and shall assume all of the obligations of the Company under this Certificate of Designation and the other Transaction Documents with the same effect as if such Successor Entity had been named as the Company herein and therein. In addition to the foregoing, upon consummation of a Fundamental Transaction, the Successor Entity shall deliver to each Holder confirmation that there shall be issued upon conversion or redemption of the Preferred Shares at any time after the consummation of such Fundamental Transaction, in lieu of the shares of Common Stock (or other securities, cash, assets or other property (except such items still issuable under Sections 7 and 15, which shall continue to be receivable thereafter)) issuable upon the conversion or redemption of the Preferred Shares prior to such Fundamental Transaction, such shares of the publicly traded common stock (or their equivalent) of the Successor Entity (including its Parent Entity) which each Holder would have been entitled to receive upon the happening of such Fundamental Transaction had all the Preferred Shares held by each Holder been converted immediately prior to such Fundamental Transaction (without regard to any limitations on the conversion of the Preferred Shares contained in this Certificate of Designation), as adjusted in accordance with the provisions of this Certificate of Designation. Notwithstanding the foregoing, such Holder may elect, at its sole option, by delivery of written notice to the Company to waive this Section 6(a) to permit the Fundamental Transaction without the assumption of the Preferred Shares. The provisions of this Section 6 shall apply similarly and equally to successive Fundamental Transactions and shall be applied without regard to any limitations on the conversion or redemption of the Preferred Shares.</w:t>
      </w:r>
    </w:p>
    <w:p>
      <w:pPr>
        <w:spacing w:after="0" w:line="196"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27" w:name="page28"/>
    <w:bookmarkEnd w:id="27"/>
    <w:p>
      <w:pPr>
        <w:jc w:val="both"/>
        <w:ind w:left="-6" w:firstLine="611"/>
        <w:spacing w:after="0" w:line="265" w:lineRule="auto"/>
        <w:tabs>
          <w:tab w:leader="none" w:pos="837"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of a Change of Control; Change of Control Election Notice</w:t>
      </w:r>
      <w:r>
        <w:rPr>
          <w:rFonts w:ascii="Times New Roman" w:cs="Times New Roman" w:eastAsia="Times New Roman" w:hAnsi="Times New Roman"/>
          <w:sz w:val="16"/>
          <w:szCs w:val="16"/>
          <w:color w:val="auto"/>
        </w:rPr>
        <w:t>. Unless the Company redeems the then outstanding Preferred Shares in full pursuant to Section 9, no sooner than the earlier of (x) twenty (20) Trading Days prior to the consummation of a Change of Control or (y) the public announcement of the entry into an agreement with respect to a Change of Control (the time of such public announcement, the “</w:t>
      </w:r>
      <w:r>
        <w:rPr>
          <w:rFonts w:ascii="Times New Roman" w:cs="Times New Roman" w:eastAsia="Times New Roman" w:hAnsi="Times New Roman"/>
          <w:sz w:val="16"/>
          <w:szCs w:val="16"/>
          <w:b w:val="1"/>
          <w:bCs w:val="1"/>
          <w:color w:val="auto"/>
        </w:rPr>
        <w:t>Announcement Time</w:t>
      </w:r>
      <w:r>
        <w:rPr>
          <w:rFonts w:ascii="Times New Roman" w:cs="Times New Roman" w:eastAsia="Times New Roman" w:hAnsi="Times New Roman"/>
          <w:sz w:val="16"/>
          <w:szCs w:val="16"/>
          <w:color w:val="auto"/>
        </w:rPr>
        <w:t>”), nor later than ten (10) Trading Days prior to the consummation of a Change of Control (the “</w:t>
      </w:r>
      <w:r>
        <w:rPr>
          <w:rFonts w:ascii="Times New Roman" w:cs="Times New Roman" w:eastAsia="Times New Roman" w:hAnsi="Times New Roman"/>
          <w:sz w:val="16"/>
          <w:szCs w:val="16"/>
          <w:b w:val="1"/>
          <w:bCs w:val="1"/>
          <w:color w:val="auto"/>
        </w:rPr>
        <w:t>Change of Control Date</w:t>
      </w:r>
      <w:r>
        <w:rPr>
          <w:rFonts w:ascii="Times New Roman" w:cs="Times New Roman" w:eastAsia="Times New Roman" w:hAnsi="Times New Roman"/>
          <w:sz w:val="16"/>
          <w:szCs w:val="16"/>
          <w:color w:val="auto"/>
        </w:rPr>
        <w:t>”), the Company shall deliver written notice thereof via electronic mail and overnight courier to each Holder (a “</w:t>
      </w:r>
      <w:r>
        <w:rPr>
          <w:rFonts w:ascii="Times New Roman" w:cs="Times New Roman" w:eastAsia="Times New Roman" w:hAnsi="Times New Roman"/>
          <w:sz w:val="16"/>
          <w:szCs w:val="16"/>
          <w:b w:val="1"/>
          <w:bCs w:val="1"/>
          <w:color w:val="auto"/>
        </w:rPr>
        <w:t>Change of Control Notice</w:t>
      </w:r>
      <w:r>
        <w:rPr>
          <w:rFonts w:ascii="Times New Roman" w:cs="Times New Roman" w:eastAsia="Times New Roman" w:hAnsi="Times New Roman"/>
          <w:sz w:val="16"/>
          <w:szCs w:val="16"/>
          <w:color w:val="auto"/>
        </w:rPr>
        <w:t>”). At any time during the period beginning after a Holder’s receipt of a Change of Control Notice or such Holder becoming aware of a Change of Control if a Change of Control Notice is not delivered to such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such Holder may require, by delivering written notice thereof (“</w:t>
      </w:r>
      <w:r>
        <w:rPr>
          <w:rFonts w:ascii="Times New Roman" w:cs="Times New Roman" w:eastAsia="Times New Roman" w:hAnsi="Times New Roman"/>
          <w:sz w:val="16"/>
          <w:szCs w:val="16"/>
          <w:b w:val="1"/>
          <w:bCs w:val="1"/>
          <w:color w:val="auto"/>
        </w:rPr>
        <w:t>Change of Control Election Notice</w:t>
      </w:r>
      <w:r>
        <w:rPr>
          <w:rFonts w:ascii="Times New Roman" w:cs="Times New Roman" w:eastAsia="Times New Roman" w:hAnsi="Times New Roman"/>
          <w:sz w:val="16"/>
          <w:szCs w:val="16"/>
          <w:color w:val="auto"/>
        </w:rPr>
        <w:t xml:space="preserve">”) to the Company (which Change of Control Election Notice shall indicate the number of Preferred Shares subject to such election), to have the Company exchange, at or after (but not before) the closing of such Change of Control, such Holder’s Preferred Shares designated in such Change of Control Election Notice for consideration equal to the Conversion Amount (or (1) the Stated Value thereof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(2) any Additional Amount thereon as of such date of determination </w:t>
      </w:r>
      <w:r>
        <w:rPr>
          <w:rFonts w:ascii="Times New Roman" w:cs="Times New Roman" w:eastAsia="Times New Roman" w:hAnsi="Times New Roman"/>
          <w:sz w:val="16"/>
          <w:szCs w:val="16"/>
          <w:u w:val="single" w:color="auto"/>
          <w:color w:val="auto"/>
        </w:rPr>
        <w:t>plus</w:t>
      </w:r>
      <w:r>
        <w:rPr>
          <w:rFonts w:ascii="Times New Roman" w:cs="Times New Roman" w:eastAsia="Times New Roman" w:hAnsi="Times New Roman"/>
          <w:sz w:val="16"/>
          <w:szCs w:val="16"/>
          <w:color w:val="auto"/>
        </w:rPr>
        <w:t xml:space="preserve"> (3) any other amounts thereon owed to such Holder, pursuant to this Certificate of Designation or any other Transaction Document that have not otherwise been paid or satisfied, in the case of any Preferred Shares funded following the Announcement Time but prior to the Change of Control Date). In the event of the Company’s repayment or exchange, as applicable, of any of the Preferred Shares under this Section 6(b), such Holder’s damages would be uncertain and difficult to estimate because of the parties’ inability to predict future interest rates and the uncertainty of the availability of a suitable substitute investment opportunity for a Holder. Notwithstanding anything herein to the contrary, in connection with any redemption hereunder at a time a Holder is entitled to receive a cash payment that has not otherwise been paid or satisfied under any of the other Transaction Documents, at the option of such Holder delivered in writing to the Company, the applicable redemption price hereunder shall be increased by the amount of such cash payment owed to such Holder under such other Transaction Document and, upon payment in full or conversion in accordance herewith, shall satisfy the Company’s payment obligation under such other Transaction Document.</w:t>
      </w:r>
    </w:p>
    <w:p>
      <w:pPr>
        <w:spacing w:after="0" w:line="376" w:lineRule="exact"/>
        <w:rPr>
          <w:rFonts w:ascii="Times New Roman" w:cs="Times New Roman" w:eastAsia="Times New Roman" w:hAnsi="Times New Roman"/>
          <w:sz w:val="16"/>
          <w:szCs w:val="16"/>
          <w:color w:val="auto"/>
        </w:rPr>
      </w:pPr>
    </w:p>
    <w:p>
      <w:pPr>
        <w:ind w:left="174" w:hanging="174"/>
        <w:spacing w:after="0"/>
        <w:tabs>
          <w:tab w:leader="none" w:pos="17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Upon Issuance of Purchase Rights and Other Corporate Events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 w:firstLine="611"/>
        <w:spacing w:after="0" w:line="249" w:lineRule="auto"/>
        <w:tabs>
          <w:tab w:leader="none" w:pos="828"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Rights</w:t>
      </w:r>
      <w:r>
        <w:rPr>
          <w:rFonts w:ascii="Times New Roman" w:cs="Times New Roman" w:eastAsia="Times New Roman" w:hAnsi="Times New Roman"/>
          <w:sz w:val="17"/>
          <w:szCs w:val="17"/>
          <w:color w:val="auto"/>
        </w:rPr>
        <w:t>. In addition to any adjustments pursuant to Section 8 and Section 15 below, if at any time the Company grants, issues or sells any Options, Convertible Securities or rights to purchase stock, warrants, securities or other property pro rata to all or substantially all of the record holders of any class of Common Stock (the “</w:t>
      </w:r>
      <w:r>
        <w:rPr>
          <w:rFonts w:ascii="Times New Roman" w:cs="Times New Roman" w:eastAsia="Times New Roman" w:hAnsi="Times New Roman"/>
          <w:sz w:val="17"/>
          <w:szCs w:val="17"/>
          <w:b w:val="1"/>
          <w:bCs w:val="1"/>
          <w:color w:val="auto"/>
        </w:rPr>
        <w:t>Purchase Rights</w:t>
      </w:r>
      <w:r>
        <w:rPr>
          <w:rFonts w:ascii="Times New Roman" w:cs="Times New Roman" w:eastAsia="Times New Roman" w:hAnsi="Times New Roman"/>
          <w:sz w:val="17"/>
          <w:szCs w:val="17"/>
          <w:color w:val="auto"/>
        </w:rPr>
        <w:t>”), then each Holder will be entitled to acquire, upon the terms applicable to such Purchase Rights, the aggregate Purchase Rights which such Holder could have acquired if such Holder had held the number of shares of Common Stock acquirable upon complete conversion of all the Preferred Shares (without taking into account any limitations or restrictions on the convertibility of the Preferred Shares and assuming for such purpose that all the Preferred Shares were converted at the Alternate Conversion Price as of the applicable record date) held by such Holder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such Holder’s right to participate in any such Purchase Right would result in such Holder and the other Attribution Parties exceeding the Maximum Percentage, then such Holder shall not be entitled to participate in such Purchase Right to such extent of the Maximum Percentage (and shall not be entitled to beneficial ownership of such shares of Common Stock as a result of such Purchase Right (and beneficial ownership) to such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such Holder until such time or times, if ever, as its right thereto would not result in such Holder and the other Attribution Parties exceeding the Maximum Percentage, at which time or times such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spacing w:after="0" w:line="183"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28" w:name="page29"/>
    <w:bookmarkEnd w:id="28"/>
    <w:p>
      <w:pPr>
        <w:jc w:val="both"/>
        <w:ind w:left="-6" w:firstLine="611"/>
        <w:spacing w:after="0" w:line="249" w:lineRule="auto"/>
        <w:tabs>
          <w:tab w:leader="none" w:pos="83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Corporate Events</w:t>
      </w:r>
      <w:r>
        <w:rPr>
          <w:rFonts w:ascii="Times New Roman" w:cs="Times New Roman" w:eastAsia="Times New Roman" w:hAnsi="Times New Roman"/>
          <w:sz w:val="17"/>
          <w:szCs w:val="17"/>
          <w:color w:val="auto"/>
        </w:rPr>
        <w:t>. Unless the Company redeems the then outstanding Preferred Shares in full pursuant to Section 9, in addition to and not in substitution for any other rights hereunder or under the NRS, prior to the consummation of any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7"/>
          <w:szCs w:val="17"/>
          <w:b w:val="1"/>
          <w:bCs w:val="1"/>
          <w:color w:val="auto"/>
        </w:rPr>
        <w:t>Corporate Event</w:t>
      </w:r>
      <w:r>
        <w:rPr>
          <w:rFonts w:ascii="Times New Roman" w:cs="Times New Roman" w:eastAsia="Times New Roman" w:hAnsi="Times New Roman"/>
          <w:sz w:val="17"/>
          <w:szCs w:val="17"/>
          <w:color w:val="auto"/>
        </w:rPr>
        <w:t>”), the Company shall make appropriate provision to ensure that each Holder will thereafter have the right, at such Holder’s option and in addition to any other rights a Holder may have under the NRS, to receive upon a conversion of all the Preferred Shares held by such Holder (i) such securities or other assets (the “</w:t>
      </w:r>
      <w:r>
        <w:rPr>
          <w:rFonts w:ascii="Times New Roman" w:cs="Times New Roman" w:eastAsia="Times New Roman" w:hAnsi="Times New Roman"/>
          <w:sz w:val="17"/>
          <w:szCs w:val="17"/>
          <w:b w:val="1"/>
          <w:bCs w:val="1"/>
          <w:color w:val="auto"/>
        </w:rPr>
        <w:t>Corporate Event Consideration</w:t>
      </w:r>
      <w:r>
        <w:rPr>
          <w:rFonts w:ascii="Times New Roman" w:cs="Times New Roman" w:eastAsia="Times New Roman" w:hAnsi="Times New Roman"/>
          <w:sz w:val="17"/>
          <w:szCs w:val="17"/>
          <w:color w:val="auto"/>
        </w:rPr>
        <w:t>”) to which such Holder would have been entitled with respect to such shares of Common Stock had such shares of Common Stock been held by such Holder upon the consummation of such Corporate Event (without taking into account any limitations or restrictions on the convertibility of the Preferred Shares set forth in this Certificate of Designation) or (ii) in lieu of the shares of Common Stock otherwise receivable upon such conversion, such securities or other assets received by the holders of shares of Common Stock in connection with the consummation of such Corporate Event in such amounts as such Holder would have been entitled to receive had the Preferred Shares held by such Holder initially been issued with conversion rights for the form of such consideration (as opposed to shares of Common Stock) at a conversion rate for such consideration commensurate with the Conversion Rate of an Alternate Conversion. Provision made pursuant the preceding sentence shall be in a form and substance reasonably satisfactory to the Required Holder, and in all respects subject to compliance with and subject to limitations set forth in the NRS. The provisions of this Section 7 shall apply similarly and equally to successive Corporate Events, in compliance at all times with the NRS, and shall be applied without regard to any limitations on the conversion or redemption of the Preferred Shares set forth in this Certificate of Designation.</w:t>
      </w:r>
    </w:p>
    <w:p>
      <w:pPr>
        <w:spacing w:after="0" w:line="185" w:lineRule="exact"/>
        <w:rPr>
          <w:rFonts w:ascii="Times New Roman" w:cs="Times New Roman" w:eastAsia="Times New Roman" w:hAnsi="Times New Roman"/>
          <w:sz w:val="17"/>
          <w:szCs w:val="17"/>
          <w:color w:val="auto"/>
        </w:rPr>
      </w:pPr>
    </w:p>
    <w:p>
      <w:pPr>
        <w:ind w:left="174" w:hanging="174"/>
        <w:spacing w:after="0"/>
        <w:tabs>
          <w:tab w:leader="none" w:pos="17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Rights Upon Issuance of Other Securities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 w:firstLine="611"/>
        <w:spacing w:after="0" w:line="251" w:lineRule="auto"/>
        <w:tabs>
          <w:tab w:leader="none" w:pos="82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of Conversion Price upon Issuance of Common Stock</w:t>
      </w:r>
      <w:r>
        <w:rPr>
          <w:rFonts w:ascii="Times New Roman" w:cs="Times New Roman" w:eastAsia="Times New Roman" w:hAnsi="Times New Roman"/>
          <w:sz w:val="17"/>
          <w:szCs w:val="17"/>
          <w:color w:val="auto"/>
        </w:rPr>
        <w:t>. If and whenever on or after the Closing Date the Company grants, issues or sells (or enters into any agreement to grant, issue or sell), or in accordance with this Section 8(a) is deemed to have granted, issued or sold, any shares of Common Stock (including the granting, issuance or sale of shares of Common Stock owned or held by or for the account of the Company, but excluding any Excluded Securities granted, issued or sold or deemed to have been granted, issued or sold) for a consideration per share (the “</w:t>
      </w:r>
      <w:r>
        <w:rPr>
          <w:rFonts w:ascii="Times New Roman" w:cs="Times New Roman" w:eastAsia="Times New Roman" w:hAnsi="Times New Roman"/>
          <w:sz w:val="17"/>
          <w:szCs w:val="17"/>
          <w:b w:val="1"/>
          <w:bCs w:val="1"/>
          <w:color w:val="auto"/>
        </w:rPr>
        <w:t>New Issuance Price</w:t>
      </w:r>
      <w:r>
        <w:rPr>
          <w:rFonts w:ascii="Times New Roman" w:cs="Times New Roman" w:eastAsia="Times New Roman" w:hAnsi="Times New Roman"/>
          <w:sz w:val="17"/>
          <w:szCs w:val="17"/>
          <w:color w:val="auto"/>
        </w:rPr>
        <w:t>”) less than a price equal to the Conversion Price in effect immediately prior to such granting, issuance or sale or deemed granting, issuance or sale (such Conversion Price then in effect is referred to herein as the “</w:t>
      </w:r>
      <w:r>
        <w:rPr>
          <w:rFonts w:ascii="Times New Roman" w:cs="Times New Roman" w:eastAsia="Times New Roman" w:hAnsi="Times New Roman"/>
          <w:sz w:val="17"/>
          <w:szCs w:val="17"/>
          <w:b w:val="1"/>
          <w:bCs w:val="1"/>
          <w:color w:val="auto"/>
        </w:rPr>
        <w:t>Applicable Price</w:t>
      </w:r>
      <w:r>
        <w:rPr>
          <w:rFonts w:ascii="Times New Roman" w:cs="Times New Roman" w:eastAsia="Times New Roman" w:hAnsi="Times New Roman"/>
          <w:sz w:val="17"/>
          <w:szCs w:val="17"/>
          <w:color w:val="auto"/>
        </w:rPr>
        <w:t>”) (the foregoing a “</w:t>
      </w:r>
      <w:r>
        <w:rPr>
          <w:rFonts w:ascii="Times New Roman" w:cs="Times New Roman" w:eastAsia="Times New Roman" w:hAnsi="Times New Roman"/>
          <w:sz w:val="17"/>
          <w:szCs w:val="17"/>
          <w:b w:val="1"/>
          <w:bCs w:val="1"/>
          <w:color w:val="auto"/>
        </w:rPr>
        <w:t>Dilutive Issuance</w:t>
      </w:r>
      <w:r>
        <w:rPr>
          <w:rFonts w:ascii="Times New Roman" w:cs="Times New Roman" w:eastAsia="Times New Roman" w:hAnsi="Times New Roman"/>
          <w:sz w:val="17"/>
          <w:szCs w:val="17"/>
          <w:color w:val="auto"/>
        </w:rPr>
        <w:t>”), then, immediately after such Dilutive Issuance, the Conversion Price then in effect shall be reduced to an amount equal to the New Issuance Price. For all purposes of the foregoing (including, without limitation, determining the adjusted Conversion Price and the New Issuance Price under this Section 8(a)), the following shall be applicable:</w:t>
      </w:r>
    </w:p>
    <w:p>
      <w:pPr>
        <w:spacing w:after="0" w:line="180" w:lineRule="exact"/>
        <w:rPr>
          <w:rFonts w:ascii="Times New Roman" w:cs="Times New Roman" w:eastAsia="Times New Roman" w:hAnsi="Times New Roman"/>
          <w:sz w:val="17"/>
          <w:szCs w:val="17"/>
          <w:color w:val="auto"/>
        </w:rPr>
      </w:pPr>
    </w:p>
    <w:p>
      <w:pPr>
        <w:jc w:val="both"/>
        <w:ind w:left="614" w:firstLine="596"/>
        <w:spacing w:after="0" w:line="249" w:lineRule="auto"/>
        <w:tabs>
          <w:tab w:leader="none" w:pos="1432"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Options</w:t>
      </w:r>
      <w:r>
        <w:rPr>
          <w:rFonts w:ascii="Times New Roman" w:cs="Times New Roman" w:eastAsia="Times New Roman" w:hAnsi="Times New Roman"/>
          <w:sz w:val="17"/>
          <w:szCs w:val="17"/>
          <w:color w:val="auto"/>
        </w:rPr>
        <w:t>. If the Company in any manner grants, issues or sells (or enters into any agreement to grant, issue or sell) any Options and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is less than the Applicable Price, then such share of Common Stock shall be deemed to be outstanding and to have been issued and sold by the Company at the time of the granting, issuance or sale of such Option for such price per share. For purposes of this Section 8(a)(i), the “lowest price per share for which one share of Common Stock is at any time issuable upon the exercise of any such Option or upon conversion, exercise or exchange of any Convertible Securities issuable upon exercise of any such Option or otherwise pursuant to the terms thereof” shall be equal to (1) the lower of (x) the sum of the lowest amounts of consideration (if any) received or receivable by the Company with respect to any one share of Common Stock upon the granting, issuance or sale of such Option, upon exercise of such Option and upon conversion, exercise or exchange of any Convertible Security issuable upon exercise of such Option or otherwise pursuant to the terms thereof and (y) the lowest exercise price set forth in such Option for which one share of Common Stock is issuable (or may become issuable assuming all possible market conditions) upon the exercise of any such Options or upon conversion, exercise or exchange of any Convertible Securities issuable upon exercise of any such Option or otherwise pursuant to the terms thereof, minus (2) the sum of all amounts paid or payable to the holder of such Option (or any other Person) with respect to any one share of Common Stock upon the granting, issuance or sale of such Option, upon exercise of such Option and upon conversion, exercise or exchange of any Convertible Security issuable upon exercise of such Option or otherwise pursuant to the terms thereof plus the value of any other consideration (including, without limitation, consideration consisting of cash, debt forgiveness, assets or any other property) received or receivable by, or benefit conferred on, the holder of such Option (or any other Person). Except as contemplated in clause (iii) below, no further adjustment of the Conversion Price shall be made upon the actual issuance of such share of Common Stock or of such Convertible Securities upon the exercise of such Options or otherwise pursuant to the terms thereof or upon the actual issuance of such shares of Common Stock upon conversion, exercise or exchange of such Convertible Securities.</w:t>
      </w:r>
    </w:p>
    <w:p>
      <w:pPr>
        <w:spacing w:after="0" w:line="180"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29" w:name="page30"/>
    <w:bookmarkEnd w:id="29"/>
    <w:p>
      <w:pPr>
        <w:jc w:val="both"/>
        <w:ind w:left="100" w:firstLine="596"/>
        <w:spacing w:after="0" w:line="265" w:lineRule="auto"/>
        <w:tabs>
          <w:tab w:leader="none" w:pos="965"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of Convertible Securities</w:t>
      </w:r>
      <w:r>
        <w:rPr>
          <w:rFonts w:ascii="Times New Roman" w:cs="Times New Roman" w:eastAsia="Times New Roman" w:hAnsi="Times New Roman"/>
          <w:sz w:val="16"/>
          <w:szCs w:val="16"/>
          <w:color w:val="auto"/>
        </w:rPr>
        <w:t>. If the Company in any manner issues or sells (or enters into any agreement to issue or sell) any Convertible Securities and the lowest price per share for which one share of Common Stock is at any time issuable upon the conversion, exercise or exchange thereof or otherwise pursuant to the terms thereof is less than the Applicable Price, then such share of Common Stock shall be deemed to be outstanding and to have been issued and sold by the Company at the time of the issuance or sale (or the time of execution of such agreement to issue or sell, as applicable) of such Convertible Securities for such price per share. For the purposes of this Section 8(a)(ii), the “lowest price per share for which one share of Common Stock is at any time issuable upon the conversion, exercise or exchange thereof or otherwise pursuant to the terms thereof” shall be equal to (1) the lower of (x) the sum of the lowest amounts of consideration (if any) received or receivable by the Company with respect to one share of Common Stock upon the issuance or sale (or pursuant to the agreement to issue or sell, as applicable) of the Convertible Security and upon conversion, exercise or exchange of such Convertible Security or otherwise pursuant to the terms thereof and (y) the lowest conversion price set forth in such Convertible Security for which one share of Common Stock is issuable (or may become issuable assuming all possible market conditions) upon conversion, exercise or exchange thereof or otherwise pursuant to the terms thereof minus (2) the sum of all amounts paid or payable to the holder of such Convertible Security (or any other Person) with respect to any one share of Common Stock upon the issuance or sale (or the agreement to issue or sell, as applicable) of such Convertible Security plus the value of any other consideration received or receivable (including, without limitation, any consideration consisting of cash, debt forgiveness, assets or other property) by, or benefit conferred on, the holder of such Convertible Security (or any other Person). Except as contemplated in clause (iii) below, no further adjustment of the Conversion Price shall be made upon the actual issuance of such shares of Common Stock upon conversion, exercise or exchange of such Convertible Securities or otherwise pursuant to the terms thereof, and if any such issuance or sale of such Convertible Securities is made upon exercise of any Options for which adjustment of the Conversion Price has been or is to be made pursuant to other provisions of this Section 8(a), except as contemplated in clause (iii) below, no further adjustment of the Conversion Price shall be made by reason of such issuance or sale.</w:t>
      </w:r>
    </w:p>
    <w:p>
      <w:pPr>
        <w:spacing w:after="0" w:line="377" w:lineRule="exact"/>
        <w:rPr>
          <w:rFonts w:ascii="Times New Roman" w:cs="Times New Roman" w:eastAsia="Times New Roman" w:hAnsi="Times New Roman"/>
          <w:sz w:val="16"/>
          <w:szCs w:val="16"/>
          <w:color w:val="auto"/>
        </w:rPr>
      </w:pPr>
    </w:p>
    <w:p>
      <w:pPr>
        <w:jc w:val="both"/>
        <w:ind w:left="100" w:firstLine="596"/>
        <w:spacing w:after="0" w:line="250" w:lineRule="auto"/>
        <w:tabs>
          <w:tab w:leader="none" w:pos="1037"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Option Price or Rate of Conversion</w:t>
      </w:r>
      <w:r>
        <w:rPr>
          <w:rFonts w:ascii="Times New Roman" w:cs="Times New Roman" w:eastAsia="Times New Roman" w:hAnsi="Times New Roman"/>
          <w:sz w:val="17"/>
          <w:szCs w:val="17"/>
          <w:color w:val="auto"/>
        </w:rPr>
        <w:t>. 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8(a) below), the Conversion Price in effect at the time of such increase or decrease shall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8(a)(iii), if the terms of any Option or Convertible Security (including, without limitation, any Option or Convertible Security that was outstanding as of the Closing Date) are increased or decreased in the manner described in the immediately preceding sentence, then such Option or Convertible Security and the shares of Common Stock deemed issuable upon exercise, conversion or exchange thereof shall be deemed to have been issued as of the date of such increase or decrease. No adjustment pursuant to this Section 8(a) shall be made if such adjustment would result in an increase of the Conversion Price then in effect.</w:t>
      </w:r>
    </w:p>
    <w:p>
      <w:pPr>
        <w:spacing w:after="0" w:line="17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30" w:name="page31"/>
    <w:bookmarkEnd w:id="30"/>
    <w:p>
      <w:pPr>
        <w:jc w:val="both"/>
        <w:ind w:left="100" w:firstLine="596"/>
        <w:spacing w:after="0" w:line="248" w:lineRule="auto"/>
        <w:tabs>
          <w:tab w:leader="none" w:pos="99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 of Consideration Received</w:t>
      </w:r>
      <w:r>
        <w:rPr>
          <w:rFonts w:ascii="Times New Roman" w:cs="Times New Roman" w:eastAsia="Times New Roman" w:hAnsi="Times New Roman"/>
          <w:sz w:val="17"/>
          <w:szCs w:val="17"/>
          <w:color w:val="auto"/>
        </w:rPr>
        <w:t>. If any Option and/or Convertible Security and/or Adjustment Right is issued in connection with the issuance or sale or deemed issuance or sale of any other securities of the Company (as determined by the Required Holder, the “</w:t>
      </w:r>
      <w:r>
        <w:rPr>
          <w:rFonts w:ascii="Times New Roman" w:cs="Times New Roman" w:eastAsia="Times New Roman" w:hAnsi="Times New Roman"/>
          <w:sz w:val="17"/>
          <w:szCs w:val="17"/>
          <w:b w:val="1"/>
          <w:bCs w:val="1"/>
          <w:color w:val="auto"/>
        </w:rPr>
        <w:t>Primary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Security</w:t>
      </w:r>
      <w:r>
        <w:rPr>
          <w:rFonts w:ascii="Times New Roman" w:cs="Times New Roman" w:eastAsia="Times New Roman" w:hAnsi="Times New Roman"/>
          <w:sz w:val="17"/>
          <w:szCs w:val="17"/>
          <w:color w:val="auto"/>
        </w:rPr>
        <w:t>”, and such Option and/or Convertible Security and/or Adjustment Right, the “</w:t>
      </w:r>
      <w:r>
        <w:rPr>
          <w:rFonts w:ascii="Times New Roman" w:cs="Times New Roman" w:eastAsia="Times New Roman" w:hAnsi="Times New Roman"/>
          <w:sz w:val="17"/>
          <w:szCs w:val="17"/>
          <w:b w:val="1"/>
          <w:bCs w:val="1"/>
          <w:color w:val="auto"/>
        </w:rPr>
        <w:t>Secondary Securities</w:t>
      </w:r>
      <w:r>
        <w:rPr>
          <w:rFonts w:ascii="Times New Roman" w:cs="Times New Roman" w:eastAsia="Times New Roman" w:hAnsi="Times New Roman"/>
          <w:sz w:val="17"/>
          <w:szCs w:val="17"/>
          <w:color w:val="auto"/>
        </w:rPr>
        <w:t>”), together comprising one integrated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 (or one or more transactions if such issuances or sales or deemed issuances or sales of securities of the Company either (A) have at least one investor or purchaser in common, (B) are consummated in reasonable proximity to each other and/or (C) are consummated under the same plan of financing), the aggregate consideration per share of Common Stock with respect to such Primary Security shall be deemed to be equal to the difference of (x) the lowest price per share for which one share of Common Stock was issued (or was deemed to be issued pursuant to Section 8(a)(i) or 8(a)(ii) above, as applicable) in such integrated transaction solely with respect to such Primary Security, minus (y) with respect to such Secondary Securities, the sum of (I) the Black Scholes Consideration Value of each such Option, if any, (II) the fair market value (as determined by the Required Holder in good faith) or the Black Scholes Consideration Value, as applicable, of such Adjustment Right, if any, and (III) the fair market value (as determined by the Required Holder) of such Convertible Security, if any, in each case, as determined on a per share basis in accordance with this Section 8(a)(iv). If any shares of Common Stock, Options or Convertible Securities are issued or sold or deemed to have been issued or sold for cash, the consideration received therefor (for the purpose of determining the consideration paid for such Common Stock, Option or Convertible Security, but not for the purpose of the calculation of the Black Scholes Consideration Value) will be deemed to be the net amount of consideration received by the Company therefor. If any shares of Common Stock, Options or Convertible Securities are issued or sold for a consideration other than cash, the amount of such consideration received by the Company (for the purpose of determining the consideration paid for such Common Stock, Option or Convertible Security, but not for the purpose of the calculation of the Black Scholes Consideration Value)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(for the purpose of determining the consideration paid for such Common Stock, Option or Convertible Security, but not for the purpose of the calculation of the Black Scholes Consideration Value)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Required Holder. If such parties are unable to reach agreement within ten (10) days after the occurrence of an event requiring valuation (the “</w:t>
      </w:r>
      <w:r>
        <w:rPr>
          <w:rFonts w:ascii="Times New Roman" w:cs="Times New Roman" w:eastAsia="Times New Roman" w:hAnsi="Times New Roman"/>
          <w:sz w:val="17"/>
          <w:szCs w:val="17"/>
          <w:b w:val="1"/>
          <w:bCs w:val="1"/>
          <w:color w:val="auto"/>
        </w:rPr>
        <w:t>Valuation Event</w:t>
      </w:r>
      <w:r>
        <w:rPr>
          <w:rFonts w:ascii="Times New Roman" w:cs="Times New Roman" w:eastAsia="Times New Roman" w:hAnsi="Times New Roman"/>
          <w:sz w:val="17"/>
          <w:szCs w:val="17"/>
          <w:color w:val="auto"/>
        </w:rPr>
        <w:t>”), the fair value of such consideration will be determined within five (5) Trading Days after the tenth (10th) day following such Valuation Event by an independent, reputable appraiser jointly selected by the Company and the Required Holder. The determination of such appraiser shall be final and binding upon all parties absent manifest error and the fees and expenses of such appraiser shall be borne by the Company.</w:t>
      </w:r>
    </w:p>
    <w:p>
      <w:pPr>
        <w:spacing w:after="0" w:line="193" w:lineRule="exact"/>
        <w:rPr>
          <w:rFonts w:ascii="Times New Roman" w:cs="Times New Roman" w:eastAsia="Times New Roman" w:hAnsi="Times New Roman"/>
          <w:sz w:val="17"/>
          <w:szCs w:val="17"/>
          <w:color w:val="auto"/>
        </w:rPr>
      </w:pPr>
    </w:p>
    <w:p>
      <w:pPr>
        <w:jc w:val="both"/>
        <w:ind w:left="100" w:firstLine="596"/>
        <w:spacing w:after="0" w:line="254" w:lineRule="auto"/>
        <w:tabs>
          <w:tab w:leader="none" w:pos="943"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Record Date</w:t>
      </w:r>
      <w:r>
        <w:rPr>
          <w:rFonts w:ascii="Times New Roman" w:cs="Times New Roman" w:eastAsia="Times New Roman" w:hAnsi="Times New Roman"/>
          <w:sz w:val="17"/>
          <w:szCs w:val="17"/>
          <w:color w:val="auto"/>
        </w:rPr>
        <w:t>. If the Company takes a record of the holders of shares of Common Stock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issuance or sale of the shares of Common Stock deemed to have been issued or sold upon the declaration of such dividend or the making of such other distribution or the date of the granting of such right of subscription or purchase (as the case may be).</w:t>
      </w:r>
    </w:p>
    <w:p>
      <w:pPr>
        <w:spacing w:after="0" w:line="175" w:lineRule="exact"/>
        <w:rPr>
          <w:rFonts w:ascii="Times New Roman" w:cs="Times New Roman" w:eastAsia="Times New Roman" w:hAnsi="Times New Roman"/>
          <w:sz w:val="17"/>
          <w:szCs w:val="17"/>
          <w:color w:val="auto"/>
        </w:rPr>
      </w:pPr>
    </w:p>
    <w:p>
      <w:pPr>
        <w:jc w:val="both"/>
        <w:ind w:left="-520" w:firstLine="611"/>
        <w:spacing w:after="0" w:line="251" w:lineRule="auto"/>
        <w:tabs>
          <w:tab w:leader="none" w:pos="323"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of Conversion Price upon Subdivision or Combination of Common Stock</w:t>
      </w:r>
      <w:r>
        <w:rPr>
          <w:rFonts w:ascii="Times New Roman" w:cs="Times New Roman" w:eastAsia="Times New Roman" w:hAnsi="Times New Roman"/>
          <w:sz w:val="17"/>
          <w:szCs w:val="17"/>
          <w:color w:val="auto"/>
        </w:rPr>
        <w:t>. Without limiting any provision of Section 7 or Section 15, if the Company at any time on or after the Closing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Section 7 or Section 15, if the Company at any time on or after the Closing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8(a) shall become effective immediately after the effective date of such subdivision or combination. If any event requiring an adjustment under this Section 8(a) occurs during the period that a Conversion Price is calculated hereunder, then the calculation of such Conversion Price shall be adjusted appropriately to reflect such event.</w:t>
      </w:r>
    </w:p>
    <w:p>
      <w:pPr>
        <w:spacing w:after="0" w:line="17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31" w:name="page32"/>
    <w:bookmarkEnd w:id="31"/>
    <w:p>
      <w:pPr>
        <w:jc w:val="both"/>
        <w:ind w:left="-520" w:firstLine="611"/>
        <w:spacing w:after="0" w:line="250" w:lineRule="auto"/>
        <w:tabs>
          <w:tab w:leader="none" w:pos="31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Right of Adjusted Conversion Price</w:t>
      </w:r>
      <w:r>
        <w:rPr>
          <w:rFonts w:ascii="Times New Roman" w:cs="Times New Roman" w:eastAsia="Times New Roman" w:hAnsi="Times New Roman"/>
          <w:sz w:val="17"/>
          <w:szCs w:val="17"/>
          <w:color w:val="auto"/>
        </w:rPr>
        <w:t>. In addition to and not in limitation of the other provisions of this Section 8(c), if the Company in any manner issues or sells or enters into any agreement to issue or sell, any Common Stock, Options or Convertible Securities (excluding any Excluded Securities) (any such securities, “</w:t>
      </w:r>
      <w:r>
        <w:rPr>
          <w:rFonts w:ascii="Times New Roman" w:cs="Times New Roman" w:eastAsia="Times New Roman" w:hAnsi="Times New Roman"/>
          <w:sz w:val="17"/>
          <w:szCs w:val="17"/>
          <w:b w:val="1"/>
          <w:bCs w:val="1"/>
          <w:color w:val="auto"/>
        </w:rPr>
        <w:t>Variable Price Securities</w:t>
      </w:r>
      <w:r>
        <w:rPr>
          <w:rFonts w:ascii="Times New Roman" w:cs="Times New Roman" w:eastAsia="Times New Roman" w:hAnsi="Times New Roman"/>
          <w:sz w:val="17"/>
          <w:szCs w:val="17"/>
          <w:color w:val="auto"/>
        </w:rPr>
        <w:t>”) after the Closing Date that are issuable pursuant to such agreement or convertible into or exchangeable or exercisable for shares of Common Stock at a price which varies or may vary with the market price of the shares of Common Stock, including by way of one or more reset(s) to a fixed price, but exclusive of such formulations reflecting share splits, share combinations, and share dividends (each of the formulations for such variable price being herein referred to as, the “</w:t>
      </w:r>
      <w:r>
        <w:rPr>
          <w:rFonts w:ascii="Times New Roman" w:cs="Times New Roman" w:eastAsia="Times New Roman" w:hAnsi="Times New Roman"/>
          <w:sz w:val="17"/>
          <w:szCs w:val="17"/>
          <w:b w:val="1"/>
          <w:bCs w:val="1"/>
          <w:color w:val="auto"/>
        </w:rPr>
        <w:t>Variable Price</w:t>
      </w:r>
      <w:r>
        <w:rPr>
          <w:rFonts w:ascii="Times New Roman" w:cs="Times New Roman" w:eastAsia="Times New Roman" w:hAnsi="Times New Roman"/>
          <w:sz w:val="17"/>
          <w:szCs w:val="17"/>
          <w:color w:val="auto"/>
        </w:rPr>
        <w:t>”), the Company shall provide written notice thereof via electronic mail and overnight courier to each Holder on the date of such agreement and/or the issuance of such shares of Common Stock, Convertible Securities or Options, as applicable. From and after the date the Company enters into such agreement or issues any such Variable Price Securities, each Holder shall have the right, but not the obligation, in its sole discretion to substitute the Variable Price for the Conversion Price upon conversion of the Preferred Shares by designating in the Conversion Notice delivered upon any conversion of Preferred Shares that solely for purposes of such conversion such Holder is relying on the Variable Price rather than the Conversion Price then in effect. A Holder’s election to rely on a Variable Price for a particular conversion of Preferred Shares shall not obligate such Holder to rely on a Variable Price for any future conversions of Preferred Shares.</w:t>
      </w:r>
    </w:p>
    <w:p>
      <w:pPr>
        <w:spacing w:after="0" w:line="178" w:lineRule="exact"/>
        <w:rPr>
          <w:rFonts w:ascii="Times New Roman" w:cs="Times New Roman" w:eastAsia="Times New Roman" w:hAnsi="Times New Roman"/>
          <w:sz w:val="17"/>
          <w:szCs w:val="17"/>
          <w:color w:val="auto"/>
        </w:rPr>
      </w:pPr>
    </w:p>
    <w:p>
      <w:pPr>
        <w:jc w:val="both"/>
        <w:ind w:left="-520" w:firstLine="611"/>
        <w:spacing w:after="0" w:line="261" w:lineRule="auto"/>
        <w:tabs>
          <w:tab w:leader="none" w:pos="32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Calculations</w:t>
      </w:r>
      <w:r>
        <w:rPr>
          <w:rFonts w:ascii="Times New Roman" w:cs="Times New Roman" w:eastAsia="Times New Roman" w:hAnsi="Times New Roman"/>
          <w:sz w:val="17"/>
          <w:szCs w:val="17"/>
          <w:color w:val="auto"/>
        </w:rPr>
        <w:t>. All calculations under this Section 8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69" w:lineRule="exact"/>
        <w:rPr>
          <w:rFonts w:ascii="Times New Roman" w:cs="Times New Roman" w:eastAsia="Times New Roman" w:hAnsi="Times New Roman"/>
          <w:sz w:val="17"/>
          <w:szCs w:val="17"/>
          <w:color w:val="auto"/>
        </w:rPr>
      </w:pPr>
    </w:p>
    <w:p>
      <w:pPr>
        <w:jc w:val="both"/>
        <w:ind w:left="-520" w:firstLine="611"/>
        <w:spacing w:after="0" w:line="261" w:lineRule="auto"/>
        <w:tabs>
          <w:tab w:leader="none" w:pos="32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Adjustment by Company</w:t>
      </w:r>
      <w:r>
        <w:rPr>
          <w:rFonts w:ascii="Times New Roman" w:cs="Times New Roman" w:eastAsia="Times New Roman" w:hAnsi="Times New Roman"/>
          <w:sz w:val="17"/>
          <w:szCs w:val="17"/>
          <w:color w:val="auto"/>
        </w:rPr>
        <w:t>. Subject to the rules and regulations of the Principal Market, the Company may at any time any Preferred Shares remain outstanding, with the prior written consent of the Required Holder, reduce the then current Conversion Price to any amount and for any period of time deemed appropriate by the Board.</w:t>
      </w:r>
    </w:p>
    <w:p>
      <w:pPr>
        <w:spacing w:after="0" w:line="16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32" w:name="page33"/>
    <w:bookmarkEnd w:id="32"/>
    <w:p>
      <w:pPr>
        <w:jc w:val="both"/>
        <w:ind w:firstLine="606"/>
        <w:spacing w:after="0" w:line="249" w:lineRule="auto"/>
        <w:tabs>
          <w:tab w:leader="none" w:pos="77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Redemption at the Company’s Election</w:t>
      </w:r>
      <w:r>
        <w:rPr>
          <w:rFonts w:ascii="Times New Roman" w:cs="Times New Roman" w:eastAsia="Times New Roman" w:hAnsi="Times New Roman"/>
          <w:sz w:val="17"/>
          <w:szCs w:val="17"/>
          <w:color w:val="auto"/>
        </w:rPr>
        <w:t>. At any time the Company shall have the right to redeem all or any part of the Preferred Shares then outstanding (the “</w:t>
      </w:r>
      <w:r>
        <w:rPr>
          <w:rFonts w:ascii="Times New Roman" w:cs="Times New Roman" w:eastAsia="Times New Roman" w:hAnsi="Times New Roman"/>
          <w:sz w:val="17"/>
          <w:szCs w:val="17"/>
          <w:b w:val="1"/>
          <w:bCs w:val="1"/>
          <w:color w:val="auto"/>
        </w:rPr>
        <w:t>Company Optional Redemption Amount</w:t>
      </w:r>
      <w:r>
        <w:rPr>
          <w:rFonts w:ascii="Times New Roman" w:cs="Times New Roman" w:eastAsia="Times New Roman" w:hAnsi="Times New Roman"/>
          <w:sz w:val="17"/>
          <w:szCs w:val="17"/>
          <w:color w:val="auto"/>
        </w:rPr>
        <w:t>”) on the Company Optional Redemption Date (each as defined below) (a “</w:t>
      </w:r>
      <w:r>
        <w:rPr>
          <w:rFonts w:ascii="Times New Roman" w:cs="Times New Roman" w:eastAsia="Times New Roman" w:hAnsi="Times New Roman"/>
          <w:sz w:val="17"/>
          <w:szCs w:val="17"/>
          <w:b w:val="1"/>
          <w:bCs w:val="1"/>
          <w:color w:val="auto"/>
        </w:rPr>
        <w:t>Company Optional Redemption</w:t>
      </w:r>
      <w:r>
        <w:rPr>
          <w:rFonts w:ascii="Times New Roman" w:cs="Times New Roman" w:eastAsia="Times New Roman" w:hAnsi="Times New Roman"/>
          <w:sz w:val="17"/>
          <w:szCs w:val="17"/>
          <w:color w:val="auto"/>
        </w:rPr>
        <w:t>”). The Preferred Shares subject to redemption pursuant to this Section 9 shall be redeemed by the Company in cash at a price (the “</w:t>
      </w:r>
      <w:r>
        <w:rPr>
          <w:rFonts w:ascii="Times New Roman" w:cs="Times New Roman" w:eastAsia="Times New Roman" w:hAnsi="Times New Roman"/>
          <w:sz w:val="17"/>
          <w:szCs w:val="17"/>
          <w:b w:val="1"/>
          <w:bCs w:val="1"/>
          <w:color w:val="auto"/>
        </w:rPr>
        <w:t>Company Optional Redemption Price</w:t>
      </w:r>
      <w:r>
        <w:rPr>
          <w:rFonts w:ascii="Times New Roman" w:cs="Times New Roman" w:eastAsia="Times New Roman" w:hAnsi="Times New Roman"/>
          <w:sz w:val="17"/>
          <w:szCs w:val="17"/>
          <w:color w:val="auto"/>
        </w:rPr>
        <w:t>”) equal to the Conversion Amount being redeemed as of the Company Optional Redemption Date (or, if a Triggering Event has occurred and is continuing on the Company Optional Redemption Date or occurs on or after the Company Optional Redemption Notice Date but prior to the Company Optional Redemption Date, the greater of (i) the Conversion Amount being redeemed as of the Company Optional Redemption Date and (ii) the product of (1) the Conversion Rate with respect to the Conversion Amount being redeemed as of the Company Optional Redemption Date multiplied by (2) the average of the five (5) highest daily VWAPs of the Common Stock during the period commencing on the date immediately preceding such Company Optional Redemption Notice Date and ending on the Trading Day immediately prior to the date the Company makes the entire payment required to be made under this Section 9). The Company may exercise its right to require redemption under this Section 9 by delivering a written notice thereof by electronic mail and overnight courier to all, but not less than all, of the Holders (the “</w:t>
      </w:r>
      <w:r>
        <w:rPr>
          <w:rFonts w:ascii="Times New Roman" w:cs="Times New Roman" w:eastAsia="Times New Roman" w:hAnsi="Times New Roman"/>
          <w:sz w:val="17"/>
          <w:szCs w:val="17"/>
          <w:b w:val="1"/>
          <w:bCs w:val="1"/>
          <w:color w:val="auto"/>
        </w:rPr>
        <w:t>Company Optional Redemption Notice</w:t>
      </w:r>
      <w:r>
        <w:rPr>
          <w:rFonts w:ascii="Times New Roman" w:cs="Times New Roman" w:eastAsia="Times New Roman" w:hAnsi="Times New Roman"/>
          <w:sz w:val="17"/>
          <w:szCs w:val="17"/>
          <w:color w:val="auto"/>
        </w:rPr>
        <w:t>” and the date all of the Holders received such notice is referred to as the “</w:t>
      </w:r>
      <w:r>
        <w:rPr>
          <w:rFonts w:ascii="Times New Roman" w:cs="Times New Roman" w:eastAsia="Times New Roman" w:hAnsi="Times New Roman"/>
          <w:sz w:val="17"/>
          <w:szCs w:val="17"/>
          <w:b w:val="1"/>
          <w:bCs w:val="1"/>
          <w:color w:val="auto"/>
        </w:rPr>
        <w:t>Company Optional Redemption Notice Date</w:t>
      </w:r>
      <w:r>
        <w:rPr>
          <w:rFonts w:ascii="Times New Roman" w:cs="Times New Roman" w:eastAsia="Times New Roman" w:hAnsi="Times New Roman"/>
          <w:sz w:val="17"/>
          <w:szCs w:val="17"/>
          <w:color w:val="auto"/>
        </w:rPr>
        <w:t>”). Such Company Optional Redemption Notice shall be irrevocable; provided that the Company Optional Redemption Notice may be conditioned upon the consummation of a refinancing transaction, a Change of Control or a Going Private Transaction. The Company Optional Redemption Notice shall (x) state the date on which the Company Optional Redemption shall occur (the “</w:t>
      </w:r>
      <w:r>
        <w:rPr>
          <w:rFonts w:ascii="Times New Roman" w:cs="Times New Roman" w:eastAsia="Times New Roman" w:hAnsi="Times New Roman"/>
          <w:sz w:val="17"/>
          <w:szCs w:val="17"/>
          <w:b w:val="1"/>
          <w:bCs w:val="1"/>
          <w:color w:val="auto"/>
        </w:rPr>
        <w:t>Company Optional Redemption Date</w:t>
      </w:r>
      <w:r>
        <w:rPr>
          <w:rFonts w:ascii="Times New Roman" w:cs="Times New Roman" w:eastAsia="Times New Roman" w:hAnsi="Times New Roman"/>
          <w:sz w:val="17"/>
          <w:szCs w:val="17"/>
          <w:color w:val="auto"/>
        </w:rPr>
        <w:t>”) which date shall not be less than twenty (20) Trading Days following the Company Optional Redemption Notice Date, and (y) state the aggregate Conversion Amount of the Preferred Shares which is being redeemed in such Company Optional Redemption from such Holder and all of the other Holders of the Preferred Shares pursuant to this Section 9 on the Company Optional Redemption Date. The Company shall deliver the applicable Company Optional Redemption Price to each Holder in cash on the applicable Company Optional Redemption Date. Notwithstanding anything herein to the contrary, at any time prior to the date the Company Optional Redemption Price is paid, in full, the Company Optional Redemption Amount may be converted, in whole or in part, by any Holder into shares of Common Stock pursuant to Section 4. All Conversion Amounts converted by a Holder after the Company Optional Redemption Notice Date shall reduce the Company Optional Redemption Amount of the Preferred Shares of such Holder required to be redeemed on the Company Optional Redemption Date.</w:t>
      </w:r>
    </w:p>
    <w:p>
      <w:pPr>
        <w:spacing w:after="0" w:line="178" w:lineRule="exact"/>
        <w:rPr>
          <w:rFonts w:ascii="Times New Roman" w:cs="Times New Roman" w:eastAsia="Times New Roman" w:hAnsi="Times New Roman"/>
          <w:sz w:val="17"/>
          <w:szCs w:val="17"/>
          <w:color w:val="auto"/>
        </w:rPr>
      </w:pPr>
    </w:p>
    <w:p>
      <w:pPr>
        <w:jc w:val="both"/>
        <w:ind w:firstLine="606"/>
        <w:spacing w:after="0" w:line="249" w:lineRule="auto"/>
        <w:tabs>
          <w:tab w:leader="none" w:pos="857"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Noncircumvention</w:t>
      </w:r>
      <w:r>
        <w:rPr>
          <w:rFonts w:ascii="Times New Roman" w:cs="Times New Roman" w:eastAsia="Times New Roman" w:hAnsi="Times New Roman"/>
          <w:sz w:val="17"/>
          <w:szCs w:val="17"/>
          <w:color w:val="auto"/>
        </w:rPr>
        <w:t>. The Company hereby covenants and agrees that the Company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Certificate of Designation, and will at all times in good faith carry out all the provisions of this Certificate of Designation and take all action as may be required to protect the rights of the Holders hereunder. Without limiting the generality of the foregoing or any other provision of this Certificate of Designation or the other Transaction Documents, the Company (a) shall not increase the par value of any shares of Common Stock receivable upon the conversion of any Preferred Shares above the Conversion Price then in effect, (b) shall take all such actions as may be necessary or appropriate in order that the Company may validly and legally issue fully paid and non-assessable shares of Common Stock upon the conversion of Preferred Shares and (c) shall, so long as any Preferred Shares are outstanding, take all action necessary to reserve and keep available out of its authorized and unissued shares of Common Stock, solely for the purpose of effecting the conversion of the Preferred Shares, the maximum number of shares of Common Stock as shall from time to time be necessary to effect the conversion of the Preferred Shares then outstanding (without regard to any limitations on conversion contained herein). Notwithstanding anything herein to the contrary, if after the one hundred and twenty (120) calendar day anniversary of the Initial Issuance Date, each Holder is not permitted to convert such Holder’s Preferred Shares in full for any reason (other than pursuant to restrictions set forth in Section 4(d) hereof), the Company shall use its best efforts to promptly remedy such failure, including, without limitation, obtaining such consents or approvals as necessary to effect such conversion into shares of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3" w:name="page34"/>
    <w:bookmarkEnd w:id="33"/>
    <w:p>
      <w:pPr>
        <w:ind w:left="254" w:hanging="254"/>
        <w:spacing w:after="0"/>
        <w:tabs>
          <w:tab w:leader="none" w:pos="25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Shares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 w:firstLine="611"/>
        <w:spacing w:after="0" w:line="250" w:lineRule="auto"/>
        <w:tabs>
          <w:tab w:leader="none" w:pos="828"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Reservation</w:t>
      </w:r>
      <w:r>
        <w:rPr>
          <w:rFonts w:ascii="Times New Roman" w:cs="Times New Roman" w:eastAsia="Times New Roman" w:hAnsi="Times New Roman"/>
          <w:sz w:val="17"/>
          <w:szCs w:val="17"/>
          <w:color w:val="auto"/>
        </w:rPr>
        <w:t>. So long as any Preferred Shares remain outstanding, the Company shall at all times reserve at least 100% of the number of shares of Common Stock as shall from time to time be necessary to effect the conversion, including without limitation, Alternate Conversions, of all of the Preferred Shares then outstanding (assuming for purposes hereof that (x) the Preferred Shares are convertible at the Floor Price then in effect, (y) dividends on the Preferred Shares shall accrue through August 26, 2026 and will be converted in shares of Common Stock at a dividend conversion price equal to the Floor Price then in effect, and (z) any such conversion shall not take into account any limitations on the conversion of the Preferred Shares set forth herein) (the “</w:t>
      </w:r>
      <w:r>
        <w:rPr>
          <w:rFonts w:ascii="Times New Roman" w:cs="Times New Roman" w:eastAsia="Times New Roman" w:hAnsi="Times New Roman"/>
          <w:sz w:val="17"/>
          <w:szCs w:val="17"/>
          <w:b w:val="1"/>
          <w:bCs w:val="1"/>
          <w:color w:val="auto"/>
        </w:rPr>
        <w:t>Required Reserve Amount</w:t>
      </w:r>
      <w:r>
        <w:rPr>
          <w:rFonts w:ascii="Times New Roman" w:cs="Times New Roman" w:eastAsia="Times New Roman" w:hAnsi="Times New Roman"/>
          <w:sz w:val="17"/>
          <w:szCs w:val="17"/>
          <w:color w:val="auto"/>
        </w:rPr>
        <w:t>”). The Required Reserve Amount (including, without limitation, each increase in the number of shares so reserved) shall be allocated pro rata among the Holders based on the number of the Preferred Shares held by each Holder on the Initial Issuance Date or increase in the number of reserved shares, as the case may be (the “</w:t>
      </w:r>
      <w:r>
        <w:rPr>
          <w:rFonts w:ascii="Times New Roman" w:cs="Times New Roman" w:eastAsia="Times New Roman" w:hAnsi="Times New Roman"/>
          <w:sz w:val="17"/>
          <w:szCs w:val="17"/>
          <w:b w:val="1"/>
          <w:bCs w:val="1"/>
          <w:color w:val="auto"/>
        </w:rPr>
        <w:t>Authorized Share Allocation</w:t>
      </w:r>
      <w:r>
        <w:rPr>
          <w:rFonts w:ascii="Times New Roman" w:cs="Times New Roman" w:eastAsia="Times New Roman" w:hAnsi="Times New Roman"/>
          <w:sz w:val="17"/>
          <w:szCs w:val="17"/>
          <w:color w:val="auto"/>
        </w:rPr>
        <w:t>”). In the event that a Holder shall sell or otherwise transfer any of such Holder’s Preferred Shares, each transferee shall be allocated a pro rata portion of such Holder’s Authorized Share Allocation. Any shares of Common Stock reserved and allocated to any Person which ceases to hold any Preferred Shares shall be allocated to the remaining Holders of Preferred Shares, pro rata based on the number of the Preferred Shares then held by the Holders. Notwithstanding the foregoing, a Holder may allocate its Authorized Share Allocation to any other of the securities of the Company held by such Holder (or any of its designees) by delivery of a written notice to the Company.</w:t>
      </w:r>
    </w:p>
    <w:p>
      <w:pPr>
        <w:spacing w:after="0" w:line="178" w:lineRule="exact"/>
        <w:rPr>
          <w:rFonts w:ascii="Times New Roman" w:cs="Times New Roman" w:eastAsia="Times New Roman" w:hAnsi="Times New Roman"/>
          <w:sz w:val="17"/>
          <w:szCs w:val="17"/>
          <w:color w:val="auto"/>
        </w:rPr>
      </w:pPr>
    </w:p>
    <w:p>
      <w:pPr>
        <w:jc w:val="both"/>
        <w:ind w:left="-6" w:firstLine="611"/>
        <w:spacing w:after="0" w:line="265" w:lineRule="auto"/>
        <w:tabs>
          <w:tab w:leader="none" w:pos="85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Insufficient Authorized Shares</w:t>
      </w:r>
      <w:r>
        <w:rPr>
          <w:rFonts w:ascii="Times New Roman" w:cs="Times New Roman" w:eastAsia="Times New Roman" w:hAnsi="Times New Roman"/>
          <w:sz w:val="16"/>
          <w:szCs w:val="16"/>
          <w:color w:val="auto"/>
        </w:rPr>
        <w:t>. If, notwithstanding Section 11(a) and not in limitation thereof, at any time while any of the Preferred Shares remain outstanding the Company does not have a sufficient number of authorized and unreserved shares of Common Stock to satisfy its obligation to reserve for issuance upon conversion of the Preferred Shares at least a number of shares of Common Stock equal to the Required Reserve Amount (an “</w:t>
      </w:r>
      <w:r>
        <w:rPr>
          <w:rFonts w:ascii="Times New Roman" w:cs="Times New Roman" w:eastAsia="Times New Roman" w:hAnsi="Times New Roman"/>
          <w:sz w:val="16"/>
          <w:szCs w:val="16"/>
          <w:b w:val="1"/>
          <w:bCs w:val="1"/>
          <w:color w:val="auto"/>
        </w:rPr>
        <w:t>Authorized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Share Failure</w:t>
      </w:r>
      <w:r>
        <w:rPr>
          <w:rFonts w:ascii="Times New Roman" w:cs="Times New Roman" w:eastAsia="Times New Roman" w:hAnsi="Times New Roman"/>
          <w:sz w:val="16"/>
          <w:szCs w:val="16"/>
          <w:color w:val="auto"/>
        </w:rPr>
        <w:t>”), then the Company shall immediately take all action reasonably necessary to increase the Company’s authorized shares of Common Stock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 amount sufficient to allow the Company to reserve the Required Reserve Amount for the Preferred Shares then outstanding (or deemed outstanding pursuant to Section 11(a) above).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(or, if a majority of the voting power then in effect of the capital stock of the Company consents to such increase, in lieu of such proxy statement, deliver to the stockholders of the Company an information statement that has been filed with (and either approved by or not subject to comments from) the SEC with respect thereto). In the event that the Company is prohibited from issuing shares of Common Stock to a Holder upon any conversion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6"/>
          <w:szCs w:val="16"/>
          <w:b w:val="1"/>
          <w:bCs w:val="1"/>
          <w:color w:val="auto"/>
        </w:rPr>
        <w:t>Authorized Failure Shares</w:t>
      </w:r>
      <w:r>
        <w:rPr>
          <w:rFonts w:ascii="Times New Roman" w:cs="Times New Roman" w:eastAsia="Times New Roman" w:hAnsi="Times New Roman"/>
          <w:sz w:val="16"/>
          <w:szCs w:val="16"/>
          <w:color w:val="auto"/>
        </w:rPr>
        <w:t>”), in lieu of delivering such Authorized Failure Shares to such Holder, the Company, if permitted under the restrictions set forth in NRS 78.288, shall pay cash in exchange for the redemption of such portion of the Conversion Amount of the Preferred Shares convertible into such Authorized Failure Shares at a price equal to the sum of (i) the product of (x) such number of Authorized Failure Shares and (y) the greatest Closing Sale Price of the Common Stock on any Trading Day during the period commencing on the date such Holder delivers the applicable Conversion Notice with respect to such Authorized Failure Shares to the Company and ending on the date of such issuance and payment under this Section 11(b); and (ii) to the extent such Holder purchases (in an open market transaction or otherwise) shares of Common Stock to deliver in satisfaction of a sale by such Holder of Authorized Failure Shares, any brokerage commissions and other out-of-pocket expenses, if any, of such Holder incurred in connection therewith. Nothing contained in Section 11(a) or this Section 11(b) shall limit any obligations of the Company under any provision of the Purchase Agreement.</w:t>
      </w:r>
    </w:p>
    <w:p>
      <w:pPr>
        <w:spacing w:after="0" w:line="374"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34" w:name="page35"/>
    <w:bookmarkEnd w:id="34"/>
    <w:p>
      <w:pPr>
        <w:jc w:val="both"/>
        <w:ind w:firstLine="606"/>
        <w:spacing w:after="0" w:line="250" w:lineRule="auto"/>
        <w:tabs>
          <w:tab w:leader="none" w:pos="85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 Rights</w:t>
      </w:r>
      <w:r>
        <w:rPr>
          <w:rFonts w:ascii="Times New Roman" w:cs="Times New Roman" w:eastAsia="Times New Roman" w:hAnsi="Times New Roman"/>
          <w:sz w:val="17"/>
          <w:szCs w:val="17"/>
          <w:color w:val="auto"/>
        </w:rPr>
        <w:t>. The holders of the Preferred Shares shall have no voting power and no right to vote on any matter at any time, either as a separate series or class or together with any other series or class of share of capital stock, and shall not be entitled to call a meeting of such holders for any purpose nor shall they be entitled to participate in any meeting of the holders of Common Stock, except as provided in this Section 12 and Section 16 or as otherwise required by the NRS. To the extent that under the NRS the vote of the holders of the Preferred Shares, voting separately as a class or series, as applicable, is required to authorize a given action of the Company, the affirmative vote or consent of the Required Holder of the Preferred Shares, voting together in the aggregate and not in separate series unless required under the NRS, represented at a duly held meeting at which a quorum is presented or by written consent of the Required Holder (except as otherwise may be required under the NRS), voting together in the aggregate and not in separate series unless required under the NRS, shall constitute the approval of such action by both the class or the series, as applicable. Holders of the Preferred Shares shall be entitled to written notice of all stockholder meetings or written consents (and copies of proxy materials and other information sent to stockholders) with respect to which they would be entitled to vote, which notice would be provided pursuant to the Company’s bylaws (the “</w:t>
      </w:r>
      <w:r>
        <w:rPr>
          <w:rFonts w:ascii="Times New Roman" w:cs="Times New Roman" w:eastAsia="Times New Roman" w:hAnsi="Times New Roman"/>
          <w:sz w:val="17"/>
          <w:szCs w:val="17"/>
          <w:b w:val="1"/>
          <w:bCs w:val="1"/>
          <w:color w:val="auto"/>
        </w:rPr>
        <w:t>Bylaws</w:t>
      </w:r>
      <w:r>
        <w:rPr>
          <w:rFonts w:ascii="Times New Roman" w:cs="Times New Roman" w:eastAsia="Times New Roman" w:hAnsi="Times New Roman"/>
          <w:sz w:val="17"/>
          <w:szCs w:val="17"/>
          <w:color w:val="auto"/>
        </w:rPr>
        <w:t>”) and the NRS.</w:t>
      </w:r>
    </w:p>
    <w:p>
      <w:pPr>
        <w:spacing w:after="0" w:line="182" w:lineRule="exact"/>
        <w:rPr>
          <w:rFonts w:ascii="Times New Roman" w:cs="Times New Roman" w:eastAsia="Times New Roman" w:hAnsi="Times New Roman"/>
          <w:sz w:val="17"/>
          <w:szCs w:val="17"/>
          <w:color w:val="auto"/>
        </w:rPr>
      </w:pPr>
    </w:p>
    <w:p>
      <w:pPr>
        <w:ind w:left="860" w:hanging="254"/>
        <w:spacing w:after="0"/>
        <w:tabs>
          <w:tab w:leader="none" w:pos="8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Covenants</w:t>
      </w:r>
      <w:r>
        <w:rPr>
          <w:rFonts w:ascii="Times New Roman" w:cs="Times New Roman" w:eastAsia="Times New Roman" w:hAnsi="Times New Roman"/>
          <w:sz w:val="17"/>
          <w:szCs w:val="17"/>
          <w:color w:val="auto"/>
        </w:rPr>
        <w:t>. Without the prior consent of the Required Holder:</w:t>
      </w:r>
    </w:p>
    <w:p>
      <w:pPr>
        <w:spacing w:after="0" w:line="207" w:lineRule="exact"/>
        <w:rPr>
          <w:rFonts w:ascii="Times New Roman" w:cs="Times New Roman" w:eastAsia="Times New Roman" w:hAnsi="Times New Roman"/>
          <w:sz w:val="17"/>
          <w:szCs w:val="17"/>
          <w:color w:val="auto"/>
        </w:rPr>
      </w:pPr>
    </w:p>
    <w:p>
      <w:pPr>
        <w:jc w:val="both"/>
        <w:ind w:left="600" w:firstLine="611"/>
        <w:spacing w:after="0" w:line="261" w:lineRule="auto"/>
        <w:tabs>
          <w:tab w:leader="none" w:pos="1434"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Incurrence of Indebtedness</w:t>
      </w:r>
      <w:r>
        <w:rPr>
          <w:rFonts w:ascii="Times New Roman" w:cs="Times New Roman" w:eastAsia="Times New Roman" w:hAnsi="Times New Roman"/>
          <w:sz w:val="17"/>
          <w:szCs w:val="17"/>
          <w:color w:val="auto"/>
        </w:rPr>
        <w:t>. As long as Preferred Shares with a Stated Value of at least $500,000 remain outstanding, the Company shall not, and the Company shall cause each of its Subsidiaries to not, directly or indirectly, incur or guarantee, assume or suffer to exist any Indebtedness (other than Permitted Indebtedness).</w:t>
      </w:r>
    </w:p>
    <w:p>
      <w:pPr>
        <w:spacing w:after="0" w:line="169" w:lineRule="exact"/>
        <w:rPr>
          <w:rFonts w:ascii="Times New Roman" w:cs="Times New Roman" w:eastAsia="Times New Roman" w:hAnsi="Times New Roman"/>
          <w:sz w:val="17"/>
          <w:szCs w:val="17"/>
          <w:color w:val="auto"/>
        </w:rPr>
      </w:pPr>
    </w:p>
    <w:p>
      <w:pPr>
        <w:jc w:val="both"/>
        <w:ind w:left="600" w:firstLine="611"/>
        <w:spacing w:after="0" w:line="256" w:lineRule="auto"/>
        <w:tabs>
          <w:tab w:leader="none" w:pos="1456"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Existence of Liens</w:t>
      </w:r>
      <w:r>
        <w:rPr>
          <w:rFonts w:ascii="Times New Roman" w:cs="Times New Roman" w:eastAsia="Times New Roman" w:hAnsi="Times New Roman"/>
          <w:sz w:val="17"/>
          <w:szCs w:val="17"/>
          <w:color w:val="auto"/>
        </w:rPr>
        <w:t>. As long as Preferred Shares with a Stated Value of at least $500,000 remain outstanding,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 w:cs="Times New Roman" w:eastAsia="Times New Roman" w:hAnsi="Times New Roman"/>
          <w:sz w:val="17"/>
          <w:szCs w:val="17"/>
          <w:b w:val="1"/>
          <w:bCs w:val="1"/>
          <w:color w:val="auto"/>
        </w:rPr>
        <w:t>Liens</w:t>
      </w:r>
      <w:r>
        <w:rPr>
          <w:rFonts w:ascii="Times New Roman" w:cs="Times New Roman" w:eastAsia="Times New Roman" w:hAnsi="Times New Roman"/>
          <w:sz w:val="17"/>
          <w:szCs w:val="17"/>
          <w:color w:val="auto"/>
        </w:rPr>
        <w:t>”) other than Permitted Liens.</w:t>
      </w:r>
    </w:p>
    <w:p>
      <w:pPr>
        <w:spacing w:after="0" w:line="174" w:lineRule="exact"/>
        <w:rPr>
          <w:rFonts w:ascii="Times New Roman" w:cs="Times New Roman" w:eastAsia="Times New Roman" w:hAnsi="Times New Roman"/>
          <w:sz w:val="17"/>
          <w:szCs w:val="17"/>
          <w:color w:val="auto"/>
        </w:rPr>
      </w:pPr>
    </w:p>
    <w:p>
      <w:pPr>
        <w:jc w:val="both"/>
        <w:ind w:left="600" w:firstLine="611"/>
        <w:spacing w:after="0" w:line="252" w:lineRule="auto"/>
        <w:tabs>
          <w:tab w:leader="none" w:pos="1434"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Payments and Investments</w:t>
      </w:r>
      <w:r>
        <w:rPr>
          <w:rFonts w:ascii="Times New Roman" w:cs="Times New Roman" w:eastAsia="Times New Roman" w:hAnsi="Times New Roman"/>
          <w:sz w:val="17"/>
          <w:szCs w:val="17"/>
          <w:color w:val="auto"/>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(x) Permitted Term Loan Indebtedness and (y) pursuant to this Certificate of Designation)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(i) an event constituting a Triggering Event has occurred and is continuing or (ii) an event that with the passage of time and without being cured would constitute a Triggering Event has occurred and is continuing.</w:t>
      </w:r>
    </w:p>
    <w:p>
      <w:pPr>
        <w:spacing w:after="0" w:line="177" w:lineRule="exact"/>
        <w:rPr>
          <w:rFonts w:ascii="Times New Roman" w:cs="Times New Roman" w:eastAsia="Times New Roman" w:hAnsi="Times New Roman"/>
          <w:sz w:val="17"/>
          <w:szCs w:val="17"/>
          <w:color w:val="auto"/>
        </w:rPr>
      </w:pPr>
    </w:p>
    <w:p>
      <w:pPr>
        <w:jc w:val="both"/>
        <w:ind w:left="600" w:firstLine="611"/>
        <w:spacing w:after="0" w:line="261" w:lineRule="auto"/>
        <w:tabs>
          <w:tab w:leader="none" w:pos="1443"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 on Redemption and Cash Dividends</w:t>
      </w:r>
      <w:r>
        <w:rPr>
          <w:rFonts w:ascii="Times New Roman" w:cs="Times New Roman" w:eastAsia="Times New Roman" w:hAnsi="Times New Roman"/>
          <w:sz w:val="17"/>
          <w:szCs w:val="17"/>
          <w:color w:val="auto"/>
        </w:rPr>
        <w:t>. The Company shall not, and the Company shall cause each of its Subsidiaries to not, directly or indirectly, redeem, repurchase or declare or pay any cash dividend or distribution on any of its capital stock (other than as required by this Certificate of Designation).</w:t>
      </w:r>
    </w:p>
    <w:p>
      <w:pPr>
        <w:spacing w:after="0" w:line="169" w:lineRule="exact"/>
        <w:rPr>
          <w:rFonts w:ascii="Times New Roman" w:cs="Times New Roman" w:eastAsia="Times New Roman" w:hAnsi="Times New Roman"/>
          <w:sz w:val="17"/>
          <w:szCs w:val="17"/>
          <w:color w:val="auto"/>
        </w:rPr>
      </w:pPr>
    </w:p>
    <w:p>
      <w:pPr>
        <w:ind w:left="1440" w:hanging="229"/>
        <w:spacing w:after="0"/>
        <w:tabs>
          <w:tab w:leader="none" w:pos="144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00" w:firstLine="611"/>
        <w:spacing w:after="0" w:line="256" w:lineRule="auto"/>
        <w:tabs>
          <w:tab w:leader="none" w:pos="141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Nature of Business</w:t>
      </w:r>
      <w:r>
        <w:rPr>
          <w:rFonts w:ascii="Times New Roman" w:cs="Times New Roman" w:eastAsia="Times New Roman" w:hAnsi="Times New Roman"/>
          <w:sz w:val="17"/>
          <w:szCs w:val="17"/>
          <w:color w:val="auto"/>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Closing Date or any business substantially related or incidental thereto. The Company shall not, and the Company shall cause each of its Subsidiaries to not, directly or indirectly, modify its or their corporate structure or purpose.</w:t>
      </w:r>
    </w:p>
    <w:p>
      <w:pPr>
        <w:spacing w:after="0" w:line="174" w:lineRule="exact"/>
        <w:rPr>
          <w:rFonts w:ascii="Times New Roman" w:cs="Times New Roman" w:eastAsia="Times New Roman" w:hAnsi="Times New Roman"/>
          <w:sz w:val="17"/>
          <w:szCs w:val="17"/>
          <w:color w:val="auto"/>
        </w:rPr>
      </w:pPr>
    </w:p>
    <w:p>
      <w:pPr>
        <w:jc w:val="both"/>
        <w:ind w:left="600" w:firstLine="611"/>
        <w:spacing w:after="0" w:line="256" w:lineRule="auto"/>
        <w:tabs>
          <w:tab w:leader="none" w:pos="1468"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Preservation of Existence, Etc</w:t>
      </w:r>
      <w:r>
        <w:rPr>
          <w:rFonts w:ascii="Times New Roman" w:cs="Times New Roman" w:eastAsia="Times New Roman" w:hAnsi="Times New Roman"/>
          <w:sz w:val="17"/>
          <w:szCs w:val="17"/>
          <w:color w:val="auto"/>
        </w:rPr>
        <w:t>.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except where the failure to become or remain duly qualified or in good standing could not reasonably be expected to result in a Material Adverse Effect.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5" w:name="page36"/>
    <w:bookmarkEnd w:id="35"/>
    <w:p>
      <w:pPr>
        <w:jc w:val="both"/>
        <w:ind w:left="-6" w:firstLine="611"/>
        <w:spacing w:after="0" w:line="254" w:lineRule="auto"/>
        <w:tabs>
          <w:tab w:leader="none" w:pos="83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Maintenance of Properties, Etc</w:t>
      </w:r>
      <w:r>
        <w:rPr>
          <w:rFonts w:ascii="Times New Roman" w:cs="Times New Roman" w:eastAsia="Times New Roman" w:hAnsi="Times New Roman"/>
          <w:sz w:val="17"/>
          <w:szCs w:val="17"/>
          <w:color w:val="auto"/>
        </w:rPr>
        <w:t>. The Company shall maintain and preserve, and cause each of its Subsidiaries to maintain and preserve, all of its material properties which are necessary or useful in the proper conduct of its business in good working order and condition, ordinary wear and tear excepted, and comply, and cause each of its Subsidiaries to materially comply, at all times with the provisions of all leases to which it is a party as lessee or under which it occupies property, so as to prevent any loss or forfeiture thereof or thereunder, except where the failure to maintain and preserve such material properties could not reasonably be expected to result in a Material Adverse Effect.</w:t>
      </w:r>
    </w:p>
    <w:p>
      <w:pPr>
        <w:spacing w:after="0" w:line="175" w:lineRule="exact"/>
        <w:rPr>
          <w:rFonts w:ascii="Times New Roman" w:cs="Times New Roman" w:eastAsia="Times New Roman" w:hAnsi="Times New Roman"/>
          <w:sz w:val="17"/>
          <w:szCs w:val="17"/>
          <w:color w:val="auto"/>
        </w:rPr>
      </w:pPr>
    </w:p>
    <w:p>
      <w:pPr>
        <w:jc w:val="both"/>
        <w:ind w:left="-6" w:firstLine="611"/>
        <w:spacing w:after="0" w:line="256" w:lineRule="auto"/>
        <w:tabs>
          <w:tab w:leader="none" w:pos="812"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Maintenance of Intellectual Property</w:t>
      </w:r>
      <w:r>
        <w:rPr>
          <w:rFonts w:ascii="Times New Roman" w:cs="Times New Roman" w:eastAsia="Times New Roman" w:hAnsi="Times New Roman"/>
          <w:sz w:val="17"/>
          <w:szCs w:val="17"/>
          <w:color w:val="auto"/>
        </w:rPr>
        <w:t>. The Company will, and will cause each of its Subsidiaries to, take all action necessary or advisable to maintain all of the Intellectual Property Rights of the Company and/or any of its Subsidiaries that are necessary or material to the conduct of its business in full force and effect, except where the failure to maintain such Intellectual Property Rights could not reasonably be expected to result in a Material Adverse Effect.</w:t>
      </w:r>
    </w:p>
    <w:p>
      <w:pPr>
        <w:spacing w:after="0" w:line="174" w:lineRule="exact"/>
        <w:rPr>
          <w:rFonts w:ascii="Times New Roman" w:cs="Times New Roman" w:eastAsia="Times New Roman" w:hAnsi="Times New Roman"/>
          <w:sz w:val="17"/>
          <w:szCs w:val="17"/>
          <w:color w:val="auto"/>
        </w:rPr>
      </w:pPr>
    </w:p>
    <w:p>
      <w:pPr>
        <w:jc w:val="both"/>
        <w:ind w:left="-6" w:firstLine="611"/>
        <w:spacing w:after="0" w:line="274" w:lineRule="auto"/>
        <w:tabs>
          <w:tab w:leader="none" w:pos="800" w:val="left"/>
        </w:tabs>
        <w:numPr>
          <w:ilvl w:val="1"/>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Maintenance of Insurance</w:t>
      </w:r>
      <w:r>
        <w:rPr>
          <w:rFonts w:ascii="Times New Roman" w:cs="Times New Roman" w:eastAsia="Times New Roman" w:hAnsi="Times New Roman"/>
          <w:sz w:val="16"/>
          <w:szCs w:val="16"/>
          <w:color w:val="auto"/>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 except where the failure to maintain such insurance could not reasonably be expected to result in a Material Adverse Effect.</w:t>
      </w:r>
    </w:p>
    <w:p>
      <w:pPr>
        <w:spacing w:after="0" w:line="160" w:lineRule="exact"/>
        <w:rPr>
          <w:rFonts w:ascii="Times New Roman" w:cs="Times New Roman" w:eastAsia="Times New Roman" w:hAnsi="Times New Roman"/>
          <w:sz w:val="16"/>
          <w:szCs w:val="16"/>
          <w:color w:val="auto"/>
        </w:rPr>
      </w:pPr>
    </w:p>
    <w:p>
      <w:pPr>
        <w:jc w:val="both"/>
        <w:ind w:left="-6" w:firstLine="611"/>
        <w:spacing w:after="0" w:line="254" w:lineRule="auto"/>
        <w:tabs>
          <w:tab w:leader="none" w:pos="83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Transactions with Affiliates</w:t>
      </w:r>
      <w:r>
        <w:rPr>
          <w:rFonts w:ascii="Times New Roman" w:cs="Times New Roman" w:eastAsia="Times New Roman" w:hAnsi="Times New Roman"/>
          <w:sz w:val="17"/>
          <w:szCs w:val="17"/>
          <w:color w:val="auto"/>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w:t>
      </w:r>
    </w:p>
    <w:p>
      <w:pPr>
        <w:spacing w:after="0" w:line="175" w:lineRule="exact"/>
        <w:rPr>
          <w:rFonts w:ascii="Times New Roman" w:cs="Times New Roman" w:eastAsia="Times New Roman" w:hAnsi="Times New Roman"/>
          <w:sz w:val="17"/>
          <w:szCs w:val="17"/>
          <w:color w:val="auto"/>
        </w:rPr>
      </w:pPr>
    </w:p>
    <w:p>
      <w:pPr>
        <w:jc w:val="both"/>
        <w:ind w:left="-6" w:firstLine="611"/>
        <w:spacing w:after="0" w:line="254" w:lineRule="auto"/>
        <w:tabs>
          <w:tab w:leader="none" w:pos="82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Issuances</w:t>
      </w:r>
      <w:r>
        <w:rPr>
          <w:rFonts w:ascii="Times New Roman" w:cs="Times New Roman" w:eastAsia="Times New Roman" w:hAnsi="Times New Roman"/>
          <w:sz w:val="17"/>
          <w:szCs w:val="17"/>
          <w:color w:val="auto"/>
        </w:rPr>
        <w:t>. The Company shall not, directly or indirectly, without the prior written consent of the Required Holder, (i) issue any Preferred Shares (other than as contemplated by the Purchase Agreement and this Certificate of Designation), (ii) issue any other securities (other than the Permitted Approved Stock Plan Issuances and the Permitted Penny Warrants) that would cause a breach or default under this Certificate of Designation or</w:t>
      </w:r>
    </w:p>
    <w:p>
      <w:pPr>
        <w:ind w:left="-6" w:firstLine="6"/>
        <w:spacing w:after="0" w:line="255" w:lineRule="auto"/>
        <w:tabs>
          <w:tab w:leader="none" w:pos="29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any securities (other than the Permitted Approved Stock Plan Issuances and the Permitted Penny Warrants) at a New Issuance Price less than the lowest Floor Price then in effect of any outstanding Preferred Share.</w:t>
      </w:r>
    </w:p>
    <w:p>
      <w:pPr>
        <w:spacing w:after="0" w:line="174"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36" w:name="page37"/>
    <w:bookmarkEnd w:id="36"/>
    <w:p>
      <w:pPr>
        <w:jc w:val="both"/>
        <w:ind w:left="600" w:firstLine="611"/>
        <w:spacing w:after="0" w:line="254" w:lineRule="auto"/>
        <w:tabs>
          <w:tab w:leader="none" w:pos="149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Stay, Extension and Usury Laws</w:t>
      </w:r>
      <w:r>
        <w:rPr>
          <w:rFonts w:ascii="Times New Roman" w:cs="Times New Roman" w:eastAsia="Times New Roman" w:hAnsi="Times New Roman"/>
          <w:sz w:val="17"/>
          <w:szCs w:val="17"/>
          <w:color w:val="auto"/>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Certificate of Designation; and (B) expressly waives all benefits or advantages of any such law and agrees that it will not, by resort to any such law, hinder, delay or impede the execution of any power granted to the Holders by this Certificate of Designation, but will suffer and permit the execution of every such power as though no such law has been enacted.</w:t>
      </w:r>
    </w:p>
    <w:p>
      <w:pPr>
        <w:spacing w:after="0" w:line="175" w:lineRule="exact"/>
        <w:rPr>
          <w:rFonts w:ascii="Times New Roman" w:cs="Times New Roman" w:eastAsia="Times New Roman" w:hAnsi="Times New Roman"/>
          <w:sz w:val="17"/>
          <w:szCs w:val="17"/>
          <w:color w:val="auto"/>
        </w:rPr>
      </w:pPr>
    </w:p>
    <w:p>
      <w:pPr>
        <w:jc w:val="both"/>
        <w:ind w:left="600" w:firstLine="611"/>
        <w:spacing w:after="0" w:line="252" w:lineRule="auto"/>
        <w:tabs>
          <w:tab w:leader="none" w:pos="1443"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The Company and its Subsidiaries shall pay when due all material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p>
    <w:p>
      <w:pPr>
        <w:spacing w:after="0" w:line="177" w:lineRule="exact"/>
        <w:rPr>
          <w:rFonts w:ascii="Times New Roman" w:cs="Times New Roman" w:eastAsia="Times New Roman" w:hAnsi="Times New Roman"/>
          <w:sz w:val="17"/>
          <w:szCs w:val="17"/>
          <w:color w:val="auto"/>
        </w:rPr>
      </w:pPr>
    </w:p>
    <w:p>
      <w:pPr>
        <w:ind w:left="600" w:firstLine="611"/>
        <w:spacing w:after="0" w:line="274" w:lineRule="auto"/>
        <w:tabs>
          <w:tab w:leader="none" w:pos="1443"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PCAOB Registered Auditor</w:t>
      </w:r>
      <w:r>
        <w:rPr>
          <w:rFonts w:ascii="Times New Roman" w:cs="Times New Roman" w:eastAsia="Times New Roman" w:hAnsi="Times New Roman"/>
          <w:sz w:val="17"/>
          <w:szCs w:val="17"/>
          <w:color w:val="auto"/>
        </w:rPr>
        <w:t>. At all times any Preferred Shares remain outstanding, the Company shall have engaged an independent auditor to audit its financial statements that is registered with (and in compliance with the rules and regulations of) the Public Company Accounting Oversight Board.</w:t>
      </w:r>
    </w:p>
    <w:p>
      <w:pPr>
        <w:spacing w:after="0" w:line="158" w:lineRule="exact"/>
        <w:rPr>
          <w:rFonts w:ascii="Times New Roman" w:cs="Times New Roman" w:eastAsia="Times New Roman" w:hAnsi="Times New Roman"/>
          <w:sz w:val="17"/>
          <w:szCs w:val="17"/>
          <w:color w:val="auto"/>
        </w:rPr>
      </w:pPr>
    </w:p>
    <w:p>
      <w:pPr>
        <w:jc w:val="both"/>
        <w:ind w:firstLine="606"/>
        <w:spacing w:after="0" w:line="250" w:lineRule="auto"/>
        <w:tabs>
          <w:tab w:leader="none" w:pos="88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Dissolution, Winding-Up</w:t>
      </w:r>
      <w:r>
        <w:rPr>
          <w:rFonts w:ascii="Times New Roman" w:cs="Times New Roman" w:eastAsia="Times New Roman" w:hAnsi="Times New Roman"/>
          <w:sz w:val="17"/>
          <w:szCs w:val="17"/>
          <w:color w:val="auto"/>
        </w:rPr>
        <w:t>. In the event of a Liquidation Event, the Holders shall be entitled to receive in cash out of the assets of the Company, whether from capital or from earnings available for distribution to its stockholders (the “</w:t>
      </w:r>
      <w:r>
        <w:rPr>
          <w:rFonts w:ascii="Times New Roman" w:cs="Times New Roman" w:eastAsia="Times New Roman" w:hAnsi="Times New Roman"/>
          <w:sz w:val="17"/>
          <w:szCs w:val="17"/>
          <w:b w:val="1"/>
          <w:bCs w:val="1"/>
          <w:color w:val="auto"/>
        </w:rPr>
        <w:t>Liquidation Funds</w:t>
      </w:r>
      <w:r>
        <w:rPr>
          <w:rFonts w:ascii="Times New Roman" w:cs="Times New Roman" w:eastAsia="Times New Roman" w:hAnsi="Times New Roman"/>
          <w:sz w:val="17"/>
          <w:szCs w:val="17"/>
          <w:color w:val="auto"/>
        </w:rPr>
        <w:t>”), before any amount shall be paid to the holders of any of shares of Junior Stock, but pari passu with any Parity Stock then outstanding, an amount per Preferred Share equal to the greater of (A) the Conversion Amount of such Preferred Share on the date of such payment and (B) the amount per share such Holder would receive if such Holder converted such Preferred Share into Common Stock immediately prior to the date of such payment, provided that if the Liquidation Funds are insufficient to pay the full amount due to the Holders and holders of shares of Parity Stock, then each Holder and each holder of Parity Stock shall receive a percentage of the Liquidation Funds equal to the full amount of Liquidation Funds payable to such Holder and such holder of Parity Stock as a liquidation preference, in accordance with their respective Certificate of Designation (or equivalent), as a percentage of the full amount of Liquidation Funds payable to all holders of Preferred Shares and all holders of shares of Parity Stock. To the extent necessary, the Company shall cause such actions to be taken by each of its Subsidiaries so as to enable, to the maximum extent permitted by law, the proceeds of a Liquidation Event to be distributed to the Holders in accordance with this Section 14. All the preferential amounts to be paid to the Holders under this Section 14 shall be paid or set apart for payment before the payment or setting apart for payment of any amount for, or the distribution of any Liquidation Funds of the Company to the holders of shares of Junior Stock in connection with a Liquidation Event as to which this Section 14 applies.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7" w:name="page38"/>
    <w:bookmarkEnd w:id="37"/>
    <w:p>
      <w:pPr>
        <w:jc w:val="both"/>
        <w:ind w:firstLine="606"/>
        <w:spacing w:after="0" w:line="249" w:lineRule="auto"/>
        <w:tabs>
          <w:tab w:leader="none" w:pos="85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Distribution of Assets</w:t>
      </w:r>
      <w:r>
        <w:rPr>
          <w:rFonts w:ascii="Times New Roman" w:cs="Times New Roman" w:eastAsia="Times New Roman" w:hAnsi="Times New Roman"/>
          <w:sz w:val="17"/>
          <w:szCs w:val="17"/>
          <w:color w:val="auto"/>
        </w:rPr>
        <w:t>. In addition to any adjustments pursuant to Section 7 and Section 8,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 w:cs="Times New Roman" w:eastAsia="Times New Roman" w:hAnsi="Times New Roman"/>
          <w:sz w:val="17"/>
          <w:szCs w:val="17"/>
          <w:b w:val="1"/>
          <w:bCs w:val="1"/>
          <w:color w:val="auto"/>
        </w:rPr>
        <w:t>Distributions</w:t>
      </w:r>
      <w:r>
        <w:rPr>
          <w:rFonts w:ascii="Times New Roman" w:cs="Times New Roman" w:eastAsia="Times New Roman" w:hAnsi="Times New Roman"/>
          <w:sz w:val="17"/>
          <w:szCs w:val="17"/>
          <w:color w:val="auto"/>
        </w:rPr>
        <w:t>”), then each Holder, as holders of Preferred Shares, will be entitled to such Distributions as if such Holder had held the number of shares of Common Stock acquirable upon complete conversion of the Preferred Shares (without taking into account any limitations or restrictions on the convertibility of the Preferred Shares and assuming for such purpose that the Preferred Share was converted at the Alternate Conversion Price as of the applicable record date) immediately prior to the date on which a record is taken for such Distribution or, if no such record is taken, the date as of which the record holders of Common Stock are to be determined for such Distributions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to the extent that such Holder’s right to participate in any such Distribution would result in such Holder and the other Attribution Parties exceeding the Maximum Percentage, then such Holder shall not be entitled to participate in such Distribution to such extent of the Maximum Percentage (and shall not be entitled to beneficial ownership of such shares of Common Stock as a result of such Distribution (and beneficial ownership) to such extent of any such excess) and the portion of such Distribution shall be held in abeyance for the benefit of such Holder until such time or times as its right thereto would not result in such Holder and the other Attribution Parties exceeding the Maximum Percentage, at which time or times, if any, such Holder shall be granted such Distribution (and any Distributions declared or made on such initial Distribution or on any subsequent Distribution held similarly in abeyance) to the same extent as if there had been no such limitation).</w:t>
      </w:r>
    </w:p>
    <w:p>
      <w:pPr>
        <w:spacing w:after="0" w:line="186" w:lineRule="exact"/>
        <w:rPr>
          <w:rFonts w:ascii="Times New Roman" w:cs="Times New Roman" w:eastAsia="Times New Roman" w:hAnsi="Times New Roman"/>
          <w:sz w:val="17"/>
          <w:szCs w:val="17"/>
          <w:color w:val="auto"/>
        </w:rPr>
      </w:pPr>
    </w:p>
    <w:p>
      <w:pPr>
        <w:jc w:val="both"/>
        <w:ind w:firstLine="606"/>
        <w:spacing w:after="0" w:line="249" w:lineRule="auto"/>
        <w:tabs>
          <w:tab w:leader="none" w:pos="85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Vote to Change the Terms of or Issue Preferred Shares</w:t>
      </w:r>
      <w:r>
        <w:rPr>
          <w:rFonts w:ascii="Times New Roman" w:cs="Times New Roman" w:eastAsia="Times New Roman" w:hAnsi="Times New Roman"/>
          <w:sz w:val="17"/>
          <w:szCs w:val="17"/>
          <w:color w:val="auto"/>
        </w:rPr>
        <w:t>. In addition to any other rights provided by law, except where the vote or written consent of the holders of a greater number of shares is required by law or by another provision of the Certificate of Incorporation, without first obtaining the affirmative vote at a meeting duly called for such purpose or the written consent without a meeting of the Required Holder, voting together as a single class, the Company shall not: (a) amend or repeal any provision of, or add any provision to, its Certificate of Incorporation or bylaws, or file any Certificate of Designation or articles of amendment of any series of shares of preferred stock, if such action would adversely alter or change in any respect the preferences, rights, privileges or powers, or restrictions provided for the benefit of the Preferred Shares hereunder, regardless of whether any such action shall be by means of amendment to the Certificate of Incorporation or by merger, consolidation or otherwise; (b) increase or decrease (other than by conversion) the authorized number of shares of Series A Convertible Preferred Stock; (c) without limiting any provision of Section 2, create or authorize (by reclassification or otherwise) any new class or series of Senior Preferred Stock or Parity Stock; (d) purchase, repurchase or redeem any shares of Junior Stock (other than pursuant to the terms of the Company’s equity incentive plans and options and other equity awards granted under such plans (that have in good faith been approved by the Board)); (e) without limiting any provision of Section 2, pay dividends or make any other distribution on any shares of any Junior Stock; (f) issue any Preferred Shares other than as contemplated hereby or pursuant to the Purchase Agreement and the Incremental Warrants; or (g) without limiting any provision of Section 10, whether or not prohibited by the terms of the Preferred Shares, circumvent a right of the Preferred Shares hereunder.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8" w:name="page39"/>
    <w:bookmarkEnd w:id="38"/>
    <w:p>
      <w:pPr>
        <w:ind w:firstLine="606"/>
        <w:spacing w:after="0" w:line="274" w:lineRule="auto"/>
        <w:tabs>
          <w:tab w:leader="none" w:pos="85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of Preferred Shares</w:t>
      </w:r>
      <w:r>
        <w:rPr>
          <w:rFonts w:ascii="Times New Roman" w:cs="Times New Roman" w:eastAsia="Times New Roman" w:hAnsi="Times New Roman"/>
          <w:sz w:val="17"/>
          <w:szCs w:val="17"/>
          <w:color w:val="auto"/>
        </w:rPr>
        <w:t>. A Holder may offer, sell or transfer some or all of its Preferred Shares without the consent of the Company subject only to the provisions of Section 5 of the Purchase Agreement.</w:t>
      </w:r>
    </w:p>
    <w:p>
      <w:pPr>
        <w:spacing w:after="0" w:line="158" w:lineRule="exact"/>
        <w:rPr>
          <w:rFonts w:ascii="Times New Roman" w:cs="Times New Roman" w:eastAsia="Times New Roman" w:hAnsi="Times New Roman"/>
          <w:sz w:val="17"/>
          <w:szCs w:val="17"/>
          <w:color w:val="auto"/>
        </w:rPr>
      </w:pPr>
    </w:p>
    <w:p>
      <w:pPr>
        <w:ind w:left="860" w:hanging="254"/>
        <w:spacing w:after="0"/>
        <w:tabs>
          <w:tab w:leader="none" w:pos="8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Reissuance of Preferred Share Certificates and Book Entries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00" w:firstLine="611"/>
        <w:spacing w:after="0" w:line="250" w:lineRule="auto"/>
        <w:tabs>
          <w:tab w:leader="none" w:pos="1446"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If any Preferred Shares are to be transferred, the applicable Holder shall surrender the applicable Preferred Share Certificate to the Company (or, if the Preferred Shares are held in Book-Entry form, a written instruction letter to the Company), whereupon the Company will forthwith issue and deliver upon the order of such Holder a new Preferred Share Certificate (in accordance with Section 18(d)) (or evidence of the transfer of such Book-Entry), registered as such Holder may request, representing the outstanding number of Preferred Shares being transferred by such Holder and, if less than the entire outstanding number of Preferred Shares is being transferred, a new Preferred Share Certificate (in accordance with Section 18(d)) to such Holder representing the outstanding number of Preferred Shares not being transferred (or evidence of such remaining Preferred Shares in a Book-Entry for such Holder). Such Holder and any assignee, by acceptance of the Preferred Share Certificate or evidence of Book-Entry issuance, as applicable, acknowledge and agree that, by reason of the provisions of Section 4(c)(i) following conversion or redemption of any of the Preferred Shares, the outstanding number of Preferred Shares represented by the Preferred Share Certificates or Book-Entry may be less than the number of Preferred Shares stated on the face of the Preferred Share Certificates or Book-Entry.</w:t>
      </w:r>
    </w:p>
    <w:p>
      <w:pPr>
        <w:spacing w:after="0" w:line="182" w:lineRule="exact"/>
        <w:rPr>
          <w:rFonts w:ascii="Times New Roman" w:cs="Times New Roman" w:eastAsia="Times New Roman" w:hAnsi="Times New Roman"/>
          <w:sz w:val="17"/>
          <w:szCs w:val="17"/>
          <w:color w:val="auto"/>
        </w:rPr>
      </w:pPr>
    </w:p>
    <w:p>
      <w:pPr>
        <w:jc w:val="both"/>
        <w:ind w:left="600" w:firstLine="611"/>
        <w:spacing w:after="0" w:line="253" w:lineRule="auto"/>
        <w:tabs>
          <w:tab w:leader="none" w:pos="1443"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Lost, Stolen or Mutilated Preferred Share Certificate</w:t>
      </w:r>
      <w:r>
        <w:rPr>
          <w:rFonts w:ascii="Times New Roman" w:cs="Times New Roman" w:eastAsia="Times New Roman" w:hAnsi="Times New Roman"/>
          <w:sz w:val="17"/>
          <w:szCs w:val="17"/>
          <w:color w:val="auto"/>
        </w:rPr>
        <w:t>. Upon receipt by the Company of evidence reasonably satisfactory to the Company of the loss, theft, destruction or mutilation of a Preferred Share Certificate (as to which a written certification and the indemnification contemplated below shall suffice as such evidence), and, in the case of loss, theft or destruction, of any indemnification undertaking by the applicable Holder to the Company in customary and reasonable form and, in the case of mutilation, upon surrender and cancellation of such Preferred Share Certificate, the Company shall execute and deliver to such Holder a new Preferred Share Certificate (in accordance with Section 18(d)) representing the applicable outstanding number of Preferred Shares.</w:t>
      </w:r>
    </w:p>
    <w:p>
      <w:pPr>
        <w:spacing w:after="0" w:line="175" w:lineRule="exact"/>
        <w:rPr>
          <w:rFonts w:ascii="Times New Roman" w:cs="Times New Roman" w:eastAsia="Times New Roman" w:hAnsi="Times New Roman"/>
          <w:sz w:val="17"/>
          <w:szCs w:val="17"/>
          <w:color w:val="auto"/>
        </w:rPr>
      </w:pPr>
    </w:p>
    <w:p>
      <w:pPr>
        <w:jc w:val="both"/>
        <w:ind w:left="600" w:firstLine="611"/>
        <w:spacing w:after="0" w:line="268" w:lineRule="auto"/>
        <w:tabs>
          <w:tab w:leader="none" w:pos="1471"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Preferred Share Certificate and Book-Entries Exchangeable for Different Denominations and Forms</w:t>
      </w:r>
      <w:r>
        <w:rPr>
          <w:rFonts w:ascii="Times New Roman" w:cs="Times New Roman" w:eastAsia="Times New Roman" w:hAnsi="Times New Roman"/>
          <w:sz w:val="16"/>
          <w:szCs w:val="16"/>
          <w:color w:val="auto"/>
        </w:rPr>
        <w:t>. Each Preferred Share Certificate is exchangeable, upon the surrender hereof by the applicable Holder at the principal office of the Company, for a new Preferred Share Certificate or Preferred Share Certificate(s) or new Book-Entry (in accordance with Section 18(d)) representing, in the aggregate, the outstanding number of the Preferred Shares in the original Preferred Share Certificate, and each such new Preferred Share Certificate and/or new Book-Entry, as applicable, will represent such portion of such outstanding number of Preferred Shares from the original Preferred Share Certificate as is designated in writing by such Holder at the time of such surrender. Each Book-Entry may be exchanged into one or more new Preferred Share Certificates or split by the applicable Holder by delivery of a written notice to the Company into two or more new Book-Entries (in accordance with Section 18(d)) representing, in the aggregate, the outstanding number of the Preferred Shares in the original Book-Entry, and each such new Book-Entry and/or new Preferred Share Certificate, as applicable, will represent such portion of such outstanding number of Preferred Shares from the original Book-Entry as is designated in writing by such Holder at the time of such surrender.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9" w:name="page40"/>
    <w:bookmarkEnd w:id="39"/>
    <w:p>
      <w:pPr>
        <w:jc w:val="both"/>
        <w:ind w:left="600" w:firstLine="611"/>
        <w:spacing w:after="0" w:line="251" w:lineRule="auto"/>
        <w:tabs>
          <w:tab w:leader="none" w:pos="1443"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New Preferred Share Certificate or Book-Entry</w:t>
      </w:r>
      <w:r>
        <w:rPr>
          <w:rFonts w:ascii="Times New Roman" w:cs="Times New Roman" w:eastAsia="Times New Roman" w:hAnsi="Times New Roman"/>
          <w:sz w:val="17"/>
          <w:szCs w:val="17"/>
          <w:color w:val="auto"/>
        </w:rPr>
        <w:t>. Whenever the Company is required to issue a new Preferred Share Certificate or a new Book-Entry pursuant to the terms of this Certificate of Designation, such new Preferred Share Certificate or new Book-Entry (i) shall represent, as indicated on the face of such Preferred Share Certificate or in such Book-Entry, as applicable, the number of Preferred Shares remaining outstanding (or in the case of a new Preferred Share Certificate or new Book-Entry being issued pursuant to Section 18(a) or Section 18(c), the number of Preferred Shares designated by such Holder) which, when added to the number of Preferred Shares represented by the other new Preferred Share Certificates or other new Book-Entry, as applicable, issued in connection with such issuance, does not exceed the number of Preferred Shares remaining outstanding under the original Preferred Share Certificate or original Book-Entry, as applicable, immediately prior to such issuance of new Preferred Share Certificate or new Book-Entry, as applicable, and (ii) shall have an issuance date, as indicated on the face of such new Preferred Share Certificate or in such new Book-Entry, as applicable, which is the same as the issuance date of the original Preferred Share Certificate or in such original Book-Entry, as applicable.</w:t>
      </w:r>
    </w:p>
    <w:p>
      <w:pPr>
        <w:spacing w:after="0" w:line="177" w:lineRule="exact"/>
        <w:rPr>
          <w:rFonts w:ascii="Times New Roman" w:cs="Times New Roman" w:eastAsia="Times New Roman" w:hAnsi="Times New Roman"/>
          <w:sz w:val="17"/>
          <w:szCs w:val="17"/>
          <w:color w:val="auto"/>
        </w:rPr>
      </w:pPr>
    </w:p>
    <w:p>
      <w:pPr>
        <w:jc w:val="both"/>
        <w:ind w:firstLine="606"/>
        <w:spacing w:after="0" w:line="249" w:lineRule="auto"/>
        <w:tabs>
          <w:tab w:leader="none" w:pos="88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 Characterizations, Other Obligations, Breaches and Injunctive Relief</w:t>
      </w:r>
      <w:r>
        <w:rPr>
          <w:rFonts w:ascii="Times New Roman" w:cs="Times New Roman" w:eastAsia="Times New Roman" w:hAnsi="Times New Roman"/>
          <w:sz w:val="17"/>
          <w:szCs w:val="17"/>
          <w:color w:val="auto"/>
        </w:rPr>
        <w:t>. The remedies provided in this Certificate of Designation shall be cumulative and in addition to all other remedies available under this Certificate of Designation and any of the other Transaction Documents, at law or in equity (including a decree of specific performance and/or other injunctive relief), and nothing herein shall limit any Holder’s right to pursue actual and consequential damages for any failure by the Company to comply with the terms of this Certificate of Designation. No failure on the part of a Holder to exercise, and no delay in exercising, any right, power or remedy hereunder shall operate as a waiver thereof; nor shall any single or partial exercise by such Holder of any right, power or remedy preclude any other or further exercise thereof or the exercise of any other right, power or remedy. In addition, the exercise of any right or remedy of a Holder at law or equity or under this Certificate of Designation or any of the documents shall not be deemed to be an election of such Holder’s rights or remedies under such documents or at law or equity. The Company covenants to each Holder that there shall be no characterization concerning this instrument other than as expressly provided herein. Amounts set forth or provided for herein with respect to payments, conversion and the like (and the computation thereof) shall be the amounts to be received by a Holder and shall not, except as expressly provided herein, be subject to any other obligation of the Company (or the performance thereof). No failure on the part of a Holder to exercise, and no delay in exercising, any right, power or remedy hereunder shall operate as a waiver thereof; nor shall any single or partial exercise by such Holder of any right, power or remedy preclude any other or further exercise thereof or the exercise of any other right, power or remedy. In addition, the exercise of any right or remedy of any Holder at law or equity or under Preferred Shares or any of the documents shall not be deemed to be an election of such Holder’s rights or remedies under such documents or at law or equity. The Company acknowledges that a breach by it of its obligations hereunder will cause irreparable harm to the Holders and that the remedy at law for any such breach may be inadequate. The Company therefore agrees that, in the event of any such breach or threatened breach, each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in each case, at all times subject to restrictions set forth in the NRS and Certificate of Incorporation. The Company shall provide all information and documentation to a Holder that is reasonably requested by such Holder to enable such Holder to confirm the Company’s compliance with the terms and conditions of this Certificate of Designation.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0" w:name="page41"/>
    <w:bookmarkEnd w:id="40"/>
    <w:p>
      <w:pPr>
        <w:jc w:val="both"/>
        <w:ind w:firstLine="606"/>
        <w:spacing w:after="0" w:line="253" w:lineRule="auto"/>
        <w:tabs>
          <w:tab w:leader="none" w:pos="85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Collection, Enforcement and Other Costs</w:t>
      </w:r>
      <w:r>
        <w:rPr>
          <w:rFonts w:ascii="Times New Roman" w:cs="Times New Roman" w:eastAsia="Times New Roman" w:hAnsi="Times New Roman"/>
          <w:sz w:val="17"/>
          <w:szCs w:val="17"/>
          <w:color w:val="auto"/>
        </w:rPr>
        <w:t>. If (a) any Preferred Shares are placed in the hands of an attorney for collection or enforcement or is collected or enforced through any legal proceeding or a Holder otherwise takes action to collect amounts due under this Certificate of Designation with respect to the Preferred Shares or to enforce the provisions of this Certificate of Designation or (b) there occurs any bankruptcy, reorganization, receivership of the Company or other proceedings affecting Company creditors’ rights and involving a claim under this Certificate of Designation, then the Company shall pay the costs reasonably incurred by such Holder for such collection, enforcement or action or in connection with such bankruptcy, reorganization, receivership or other proceeding, including, without limitation, attorneys’ fees and disbursements.</w:t>
      </w:r>
    </w:p>
    <w:p>
      <w:pPr>
        <w:spacing w:after="0" w:line="175" w:lineRule="exact"/>
        <w:rPr>
          <w:rFonts w:ascii="Times New Roman" w:cs="Times New Roman" w:eastAsia="Times New Roman" w:hAnsi="Times New Roman"/>
          <w:sz w:val="17"/>
          <w:szCs w:val="17"/>
          <w:color w:val="auto"/>
        </w:rPr>
      </w:pPr>
    </w:p>
    <w:p>
      <w:pPr>
        <w:jc w:val="both"/>
        <w:ind w:firstLine="606"/>
        <w:spacing w:after="0" w:line="251" w:lineRule="auto"/>
        <w:tabs>
          <w:tab w:leader="none" w:pos="85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 Headings</w:t>
      </w:r>
      <w:r>
        <w:rPr>
          <w:rFonts w:ascii="Times New Roman" w:cs="Times New Roman" w:eastAsia="Times New Roman" w:hAnsi="Times New Roman"/>
          <w:sz w:val="17"/>
          <w:szCs w:val="17"/>
          <w:color w:val="auto"/>
        </w:rPr>
        <w:t>. This Certificate of Designation shall be deemed to be jointly drafted by the Company and the Holders and shall not be construed against any such Person as the drafter hereof. The headings of this Certificate of Designation are for convenience of reference and shall not form part of, or affect the interpretation of, this Certificate of Designation.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 The terms “herein,” “hereunder,” “hereof” and words of like import refer to this entire Certificate of Designation instead of just the provision in which they are found. Unless expressly indicated otherwise, all section references are to sections of this Certificate of Designation. Terms used in this Certificate of Designation and not otherwise defined herein, but defined in the other Transaction Documents, shall have the meanings ascribed to such terms on the Initial Issuance Date in such other Transaction Documents unless otherwise consented to in writing by the Required Holder.</w:t>
      </w:r>
    </w:p>
    <w:p>
      <w:pPr>
        <w:spacing w:after="0" w:line="180" w:lineRule="exact"/>
        <w:rPr>
          <w:rFonts w:ascii="Times New Roman" w:cs="Times New Roman" w:eastAsia="Times New Roman" w:hAnsi="Times New Roman"/>
          <w:sz w:val="17"/>
          <w:szCs w:val="17"/>
          <w:color w:val="auto"/>
        </w:rPr>
      </w:pPr>
    </w:p>
    <w:p>
      <w:pPr>
        <w:jc w:val="both"/>
        <w:ind w:firstLine="606"/>
        <w:spacing w:after="0" w:line="256" w:lineRule="auto"/>
        <w:tabs>
          <w:tab w:leader="none" w:pos="85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Failure or Indulgence Not Waiver</w:t>
      </w:r>
      <w:r>
        <w:rPr>
          <w:rFonts w:ascii="Times New Roman" w:cs="Times New Roman" w:eastAsia="Times New Roman" w:hAnsi="Times New Roman"/>
          <w:sz w:val="17"/>
          <w:szCs w:val="17"/>
          <w:color w:val="auto"/>
        </w:rPr>
        <w:t>. No failure or delay on the part of a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22 shall permit any waiver of any provision of Section 4(d).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1" w:name="page42"/>
    <w:bookmarkEnd w:id="41"/>
    <w:p>
      <w:pPr>
        <w:ind w:left="254" w:hanging="254"/>
        <w:spacing w:after="0"/>
        <w:tabs>
          <w:tab w:leader="none" w:pos="25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Dispute Resolution.</w:t>
      </w:r>
    </w:p>
    <w:p>
      <w:pPr>
        <w:spacing w:after="0" w:line="207" w:lineRule="exact"/>
        <w:rPr>
          <w:rFonts w:ascii="Times New Roman" w:cs="Times New Roman" w:eastAsia="Times New Roman" w:hAnsi="Times New Roman"/>
          <w:sz w:val="17"/>
          <w:szCs w:val="17"/>
          <w:color w:val="auto"/>
        </w:rPr>
      </w:pPr>
    </w:p>
    <w:p>
      <w:pPr>
        <w:ind w:left="834" w:hanging="229"/>
        <w:spacing w:after="0"/>
        <w:tabs>
          <w:tab w:leader="none" w:pos="834"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Submission to Dispute Resolution</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14" w:firstLine="596"/>
        <w:spacing w:after="0" w:line="250" w:lineRule="auto"/>
        <w:tabs>
          <w:tab w:leader="none" w:pos="1420" w:val="left"/>
        </w:tabs>
        <w:numPr>
          <w:ilvl w:val="2"/>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dispute relating to a Closing Bid Price, a Closing Sale Price, a Conversion Price, an Alternate Conversion Price, a VWAP or a fair market value or the arithmetic calculation of a Conversion Rate, or the applicable redemption price (as the case may be) (including, without limitation, a dispute relating to the determination of any of the foregoing), the Company or the applicable Holder (as the case may be) shall submit written notice of the dispute to the other party via electronic mail (A) if by the Company, within two (2) Business Days after the Company becoming aware of an occurrence of the circumstances giving rise to such dispute or (B) if by such Holder at any time after such Holder learned of the circumstances giving rise to such dispute. If such Holder and the Company are unable to promptly resolve such dispute relating to such Closing Bid Price, such Closing Sale Price, such Conversion Price, such Alternate Conversion Price, such VWAP or such fair market value, or the arithmetic calculation of such Conversion Rate or such applicable redemption price (as the case may be), at any time after the second (2nd) Business Day following such initial notice by the Company or such Holder (as the case may be) of such dispute to the Company or such Holder (as the case may be), then such Holder may, with the consent of the Company (not to be unreasonably withheld, conditioned or delayed), select an independent, reputable investment bank to resolve such dispute.</w:t>
      </w:r>
    </w:p>
    <w:p>
      <w:pPr>
        <w:spacing w:after="0" w:line="180" w:lineRule="exact"/>
        <w:rPr>
          <w:rFonts w:ascii="Times New Roman" w:cs="Times New Roman" w:eastAsia="Times New Roman" w:hAnsi="Times New Roman"/>
          <w:sz w:val="17"/>
          <w:szCs w:val="17"/>
          <w:color w:val="auto"/>
        </w:rPr>
      </w:pPr>
    </w:p>
    <w:p>
      <w:pPr>
        <w:jc w:val="both"/>
        <w:ind w:left="614" w:firstLine="596"/>
        <w:spacing w:after="0" w:line="250" w:lineRule="auto"/>
        <w:tabs>
          <w:tab w:leader="none" w:pos="1477" w:val="left"/>
        </w:tabs>
        <w:numPr>
          <w:ilvl w:val="2"/>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and the Company shall each deliver to such investment bank (A) a copy of the initial dispute submission so delivered in accordance with the first sentence of this Section 23 and (B) written documentation supporting its position with respect to such dispute, in each case, no later than 5:00 p.m. (New York time) by the fifth (5th) Business Day immediately following the date on which such Holder selected such investment bank (the “</w:t>
      </w:r>
      <w:r>
        <w:rPr>
          <w:rFonts w:ascii="Times New Roman" w:cs="Times New Roman" w:eastAsia="Times New Roman" w:hAnsi="Times New Roman"/>
          <w:sz w:val="17"/>
          <w:szCs w:val="17"/>
          <w:b w:val="1"/>
          <w:bCs w:val="1"/>
          <w:color w:val="auto"/>
        </w:rPr>
        <w:t>Dispute Submission Deadline</w:t>
      </w:r>
      <w:r>
        <w:rPr>
          <w:rFonts w:ascii="Times New Roman" w:cs="Times New Roman" w:eastAsia="Times New Roman" w:hAnsi="Times New Roman"/>
          <w:sz w:val="17"/>
          <w:szCs w:val="17"/>
          <w:color w:val="auto"/>
        </w:rPr>
        <w:t>”) (the documents referred to in the immediately preceding clauses (A) and (B) are collectively referred to herein as the “</w:t>
      </w:r>
      <w:r>
        <w:rPr>
          <w:rFonts w:ascii="Times New Roman" w:cs="Times New Roman" w:eastAsia="Times New Roman" w:hAnsi="Times New Roman"/>
          <w:sz w:val="17"/>
          <w:szCs w:val="17"/>
          <w:b w:val="1"/>
          <w:bCs w:val="1"/>
          <w:color w:val="auto"/>
        </w:rPr>
        <w:t>Required Dispute Documentation</w:t>
      </w:r>
      <w:r>
        <w:rPr>
          <w:rFonts w:ascii="Times New Roman" w:cs="Times New Roman" w:eastAsia="Times New Roman" w:hAnsi="Times New Roman"/>
          <w:sz w:val="17"/>
          <w:szCs w:val="17"/>
          <w:color w:val="auto"/>
        </w:rPr>
        <w:t>”) (it being understood and agreed that if either such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such Holder or otherwise requested by such investment bank, neither the Company nor such Holder shall be entitled to deliver or submit any written documentation or other support to such investment bank in connection with such dispute (other than the Required Dispute Documentation).</w:t>
      </w:r>
    </w:p>
    <w:p>
      <w:pPr>
        <w:spacing w:after="0" w:line="178" w:lineRule="exact"/>
        <w:rPr>
          <w:rFonts w:ascii="Times New Roman" w:cs="Times New Roman" w:eastAsia="Times New Roman" w:hAnsi="Times New Roman"/>
          <w:sz w:val="17"/>
          <w:szCs w:val="17"/>
          <w:color w:val="auto"/>
        </w:rPr>
      </w:pPr>
    </w:p>
    <w:p>
      <w:pPr>
        <w:jc w:val="both"/>
        <w:ind w:left="614" w:firstLine="596"/>
        <w:spacing w:after="0" w:line="251" w:lineRule="auto"/>
        <w:tabs>
          <w:tab w:leader="none" w:pos="1522" w:val="left"/>
        </w:tabs>
        <w:numPr>
          <w:ilvl w:val="2"/>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such Holder shall cause such investment bank to determine the resolution of such dispute and notify the Company and such Holder of such resolution no later than ten (10) Business Days immediately following the Dispute Submission Deadline. The dispute shall be governed by the laws of the state of Nevada, and hearings held by the arbitrator, if any, shall take place in Reno, Nevada or such other location as mutually agreed between the parties. The fees and expenses of such investment bank shall be borne by the party in whose favor the investment bank decides such dispute or, in the event that the investment bank determines that the applicable calculation is in between the amounts submitted by the Company and such Holder, then half of such fees and expenses shall be borne by the Company and half of such fees and expenses shall be borne by the Holder, and such investment bank’s resolution of such dispute shall be final and binding upon all parties, subject to NRS 38.241 and NRS 38.242.</w:t>
      </w:r>
    </w:p>
    <w:p>
      <w:pPr>
        <w:spacing w:after="0" w:line="180"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42" w:name="page43"/>
    <w:bookmarkEnd w:id="42"/>
    <w:p>
      <w:pPr>
        <w:jc w:val="both"/>
        <w:ind w:left="-6" w:firstLine="611"/>
        <w:spacing w:after="0" w:line="250" w:lineRule="auto"/>
        <w:tabs>
          <w:tab w:leader="none" w:pos="862"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The Company expressly acknowledges and agrees that (i) this Section 23 constitutes an agreement to arbitrate between the Company and each Holder (and constitutes an arbitration agreement) under the rules then in effect under the Nevada Uniform Arbitration Act of 2000, (ii) the terms of this Certificate of Designation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Certificate of Designation and any other applicable Transaction Documents, (iii) the applicable Holder (and only such Holder with respect to disputes solely relating to such Holder), in its sole discretion, shall have the right to submit any dispute described in this Section 23 to any state or federal court sitting in Reno, Nevada, in lieu of utilizing the procedures set forth in this Section 23 and (iv) nothing in this Section 23 shall limit such Holder from obtaining any injunctive relief or other equitable remedies (including, without limitation, with respect to any matters described in this Section 23). The parties hereunder expressly consent to the terms of arbitration set forth herein:</w:t>
      </w:r>
    </w:p>
    <w:p>
      <w:pPr>
        <w:spacing w:after="0" w:line="181" w:lineRule="exact"/>
        <w:rPr>
          <w:sz w:val="20"/>
          <w:szCs w:val="20"/>
          <w:color w:val="auto"/>
        </w:rPr>
      </w:pPr>
    </w:p>
    <w:p>
      <w:pPr>
        <w:ind w:left="614"/>
        <w:spacing w:after="0"/>
        <w:rPr>
          <w:sz w:val="20"/>
          <w:szCs w:val="20"/>
          <w:color w:val="auto"/>
        </w:rPr>
      </w:pPr>
      <w:r>
        <w:rPr>
          <w:rFonts w:ascii="Times New Roman" w:cs="Times New Roman" w:eastAsia="Times New Roman" w:hAnsi="Times New Roman"/>
          <w:sz w:val="17"/>
          <w:szCs w:val="17"/>
          <w:color w:val="auto"/>
        </w:rPr>
        <w:t>_____________________</w:t>
      </w:r>
    </w:p>
    <w:p>
      <w:pPr>
        <w:spacing w:after="0" w:line="208" w:lineRule="exact"/>
        <w:rPr>
          <w:sz w:val="20"/>
          <w:szCs w:val="20"/>
          <w:color w:val="auto"/>
        </w:rPr>
      </w:pPr>
    </w:p>
    <w:p>
      <w:pPr>
        <w:ind w:left="614"/>
        <w:spacing w:after="0"/>
        <w:rPr>
          <w:sz w:val="20"/>
          <w:szCs w:val="20"/>
          <w:color w:val="auto"/>
        </w:rPr>
      </w:pPr>
      <w:r>
        <w:rPr>
          <w:rFonts w:ascii="Times New Roman" w:cs="Times New Roman" w:eastAsia="Times New Roman" w:hAnsi="Times New Roman"/>
          <w:sz w:val="17"/>
          <w:szCs w:val="17"/>
          <w:color w:val="auto"/>
        </w:rPr>
        <w:t>_____________________</w:t>
      </w:r>
    </w:p>
    <w:p>
      <w:pPr>
        <w:spacing w:after="0" w:line="208" w:lineRule="exact"/>
        <w:rPr>
          <w:sz w:val="20"/>
          <w:szCs w:val="20"/>
          <w:color w:val="auto"/>
        </w:rPr>
      </w:pPr>
    </w:p>
    <w:p>
      <w:pPr>
        <w:ind w:left="614"/>
        <w:spacing w:after="0"/>
        <w:rPr>
          <w:sz w:val="20"/>
          <w:szCs w:val="20"/>
          <w:color w:val="auto"/>
        </w:rPr>
      </w:pPr>
      <w:r>
        <w:rPr>
          <w:rFonts w:ascii="Times New Roman" w:cs="Times New Roman" w:eastAsia="Times New Roman" w:hAnsi="Times New Roman"/>
          <w:sz w:val="17"/>
          <w:szCs w:val="17"/>
          <w:color w:val="auto"/>
        </w:rPr>
        <w:t>_____________________</w:t>
      </w:r>
    </w:p>
    <w:p>
      <w:pPr>
        <w:spacing w:after="0" w:line="208" w:lineRule="exact"/>
        <w:rPr>
          <w:sz w:val="20"/>
          <w:szCs w:val="20"/>
          <w:color w:val="auto"/>
        </w:rPr>
      </w:pPr>
    </w:p>
    <w:p>
      <w:pPr>
        <w:ind w:left="254" w:hanging="254"/>
        <w:spacing w:after="0"/>
        <w:tabs>
          <w:tab w:leader="none" w:pos="25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 Currency; Payments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 w:firstLine="611"/>
        <w:spacing w:after="0" w:line="249" w:lineRule="auto"/>
        <w:tabs>
          <w:tab w:leader="none" w:pos="82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notices, consents, waivers or other communications required or permitted to be given under the terms of this Certificate of Designation must be in writing and will be deemed to have been delivered on the earliest of: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 and e-mail address for any such communications to the Company shall be: Dragonfly Energy Holdings Corp., 12915 Old Virginia Road, Reno, Nevada 89521, Attention: Denis Phares, Ph.D., CEO and President, e-mail address: denis@dragonfly.com, or such other mailing address and/or e-mail address as the Company has specified by written notice given to each of the Holders in accordance with this Section 24(a) not later than five (5) days prior to the effectiveness of such change. The mailing address and e-mail address for any such communications to any Holder shall be as set forth on such Holder’s respective signature page to the Purchase Agreement, or such other mailing address and/or e-mail address as such Holder has specified by written notice given to the Company in accordance with this Section 24(a) not later than five (5) days prior to the effectiveness of such change. Written confirmation of receipt (A) given by the recipient of such notice, consent, waiver or other communication, (B) mechanically or electronically generated by the sender’s e-mail containing the time, date and recipient’s e-mail or (C) provided by an overnight courier service shall be rebuttable evidence of personal service, receipt by e-mail or receipt from an overnight courier service in accordance with clause (i), (ii) or (iii) above, respectively.</w:t>
      </w:r>
    </w:p>
    <w:p>
      <w:pPr>
        <w:spacing w:after="0" w:line="187"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43" w:name="page44"/>
    <w:bookmarkEnd w:id="43"/>
    <w:p>
      <w:pPr>
        <w:jc w:val="both"/>
        <w:ind w:left="600" w:firstLine="611"/>
        <w:spacing w:after="0" w:line="253" w:lineRule="auto"/>
        <w:tabs>
          <w:tab w:leader="none" w:pos="145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provide each Holder with prompt written notice of all actions taken pursuant to this Certificate of Designation, including in reasonable detail a description of such action. Without limiting the generality of the foregoing, the Company shall give written notice to each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or (B) for determining rights to vote with respect to any Fundamental Transaction, dissolution or liquidation, provided in each case that such information shall be made known to the public prior to or in conjunction with such notice being provided to such Holder.</w:t>
      </w:r>
    </w:p>
    <w:p>
      <w:pPr>
        <w:spacing w:after="0" w:line="171" w:lineRule="exact"/>
        <w:rPr>
          <w:rFonts w:ascii="Times New Roman" w:cs="Times New Roman" w:eastAsia="Times New Roman" w:hAnsi="Times New Roman"/>
          <w:sz w:val="17"/>
          <w:szCs w:val="17"/>
          <w:color w:val="auto"/>
        </w:rPr>
      </w:pPr>
    </w:p>
    <w:p>
      <w:pPr>
        <w:jc w:val="both"/>
        <w:ind w:left="600" w:firstLine="611"/>
        <w:spacing w:after="0" w:line="254" w:lineRule="auto"/>
        <w:tabs>
          <w:tab w:leader="none" w:pos="1434"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Currency</w:t>
      </w:r>
      <w:r>
        <w:rPr>
          <w:rFonts w:ascii="Times New Roman" w:cs="Times New Roman" w:eastAsia="Times New Roman" w:hAnsi="Times New Roman"/>
          <w:sz w:val="17"/>
          <w:szCs w:val="17"/>
          <w:color w:val="auto"/>
        </w:rPr>
        <w:t>. All dollar amounts referred to in this Certificate of Designation are in United States Dollars (“</w:t>
      </w:r>
      <w:r>
        <w:rPr>
          <w:rFonts w:ascii="Times New Roman" w:cs="Times New Roman" w:eastAsia="Times New Roman" w:hAnsi="Times New Roman"/>
          <w:sz w:val="17"/>
          <w:szCs w:val="17"/>
          <w:b w:val="1"/>
          <w:bCs w:val="1"/>
          <w:color w:val="auto"/>
        </w:rPr>
        <w:t>U.S. Dollars</w:t>
      </w:r>
      <w:r>
        <w:rPr>
          <w:rFonts w:ascii="Times New Roman" w:cs="Times New Roman" w:eastAsia="Times New Roman" w:hAnsi="Times New Roman"/>
          <w:sz w:val="17"/>
          <w:szCs w:val="17"/>
          <w:color w:val="auto"/>
        </w:rPr>
        <w:t>”), and all amounts owing under this Certificate of Designation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7"/>
          <w:szCs w:val="17"/>
          <w:b w:val="1"/>
          <w:bCs w:val="1"/>
          <w:color w:val="auto"/>
        </w:rPr>
        <w:t>Exchange Rate</w:t>
      </w:r>
      <w:r>
        <w:rPr>
          <w:rFonts w:ascii="Times New Roman" w:cs="Times New Roman" w:eastAsia="Times New Roman" w:hAnsi="Times New Roman"/>
          <w:sz w:val="17"/>
          <w:szCs w:val="17"/>
          <w:color w:val="auto"/>
        </w:rPr>
        <w:t>” means, in relation to any amount of currency to be converted into U.S. Dollars pursuant to this Certificate of Designation,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spacing w:after="0" w:line="174" w:lineRule="exact"/>
        <w:rPr>
          <w:rFonts w:ascii="Times New Roman" w:cs="Times New Roman" w:eastAsia="Times New Roman" w:hAnsi="Times New Roman"/>
          <w:sz w:val="17"/>
          <w:szCs w:val="17"/>
          <w:color w:val="auto"/>
        </w:rPr>
      </w:pPr>
    </w:p>
    <w:p>
      <w:pPr>
        <w:jc w:val="both"/>
        <w:ind w:left="600" w:firstLine="611"/>
        <w:spacing w:after="0" w:line="254" w:lineRule="auto"/>
        <w:tabs>
          <w:tab w:leader="none" w:pos="1456"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Whenever any payment of cash is to be made by the Company to any Person pursuant to this Certificate of Designation, unless otherwise expressly set forth herein, such payment shall be made in lawful money of the United States of America by wire transfer of immediately available funds pursuant to wire transfer instructions that Holder shall provide to the Company in writing from time to time. Whenever any amount expressed to be due by the terms of this Certificate of Designation is due on any day which is not a Business Day, the same shall instead be due on the next succeeding day which is a Business Day.</w:t>
      </w:r>
    </w:p>
    <w:p>
      <w:pPr>
        <w:spacing w:after="0" w:line="175" w:lineRule="exact"/>
        <w:rPr>
          <w:rFonts w:ascii="Times New Roman" w:cs="Times New Roman" w:eastAsia="Times New Roman" w:hAnsi="Times New Roman"/>
          <w:sz w:val="17"/>
          <w:szCs w:val="17"/>
          <w:color w:val="auto"/>
        </w:rPr>
      </w:pPr>
    </w:p>
    <w:p>
      <w:pPr>
        <w:jc w:val="both"/>
        <w:ind w:firstLine="606"/>
        <w:spacing w:after="0" w:line="261" w:lineRule="auto"/>
        <w:tabs>
          <w:tab w:leader="none" w:pos="88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of Notice</w:t>
      </w:r>
      <w:r>
        <w:rPr>
          <w:rFonts w:ascii="Times New Roman" w:cs="Times New Roman" w:eastAsia="Times New Roman" w:hAnsi="Times New Roman"/>
          <w:sz w:val="17"/>
          <w:szCs w:val="17"/>
          <w:color w:val="auto"/>
        </w:rPr>
        <w:t>. To the extent permitted by law, the Company hereby irrevocably waives demand, presentment, protest and all other demands in connection with the delivery, acceptance, performance, default or enforcement of this Certificate of Designation and the Purchase Agreement. For the avoidance of doubt, without limitation, the foregoing shall not waive a party’s rights to notice of arbitration.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4" w:name="page45"/>
    <w:bookmarkEnd w:id="44"/>
    <w:p>
      <w:pPr>
        <w:jc w:val="both"/>
        <w:ind w:firstLine="606"/>
        <w:spacing w:after="0" w:line="264" w:lineRule="auto"/>
        <w:tabs>
          <w:tab w:leader="none" w:pos="882"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Certificate of Designation shall be construed and enforced in accordance with, and all questions concerning the construction, validity, interpretation and performance of this Certificate of Designation shall be governed by, the internal laws of the State of Nevada, without giving effect to any choice of law or conflict of law provision or rule (whether of the State of Nevada or any other jurisdictions) that would cause the application of the laws of any jurisdictions other than the State of Nevada. Notwithstanding anything to the contrary herein, this Certificate of Designation is meant at all times to be compliant with the non-waivable limitations and restrictions applicable to the Company set forth in the Nevada Revised Statutes, including but not limited to shareholders’ rights with respect to Nevada’s Control Shares Act, and is not intended to take any action which would have required the approval of shareholders of common stock in the Company prior to adoption and filing of the Certificate of Designation. Except as otherwise required by Section 23 above, the Company hereby irrevocably submits to the exclusive jurisdiction of the state and federal courts sitting in the City of Reno, County of Washoe, State of Nevada,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w:t>
      </w:r>
    </w:p>
    <w:p>
      <w:pPr>
        <w:spacing w:after="0" w:line="8" w:lineRule="exact"/>
        <w:rPr>
          <w:rFonts w:ascii="Times New Roman" w:cs="Times New Roman" w:eastAsia="Times New Roman" w:hAnsi="Times New Roman"/>
          <w:sz w:val="16"/>
          <w:szCs w:val="16"/>
          <w:color w:val="auto"/>
        </w:rPr>
      </w:pPr>
    </w:p>
    <w:p>
      <w:pPr>
        <w:jc w:val="both"/>
        <w:ind w:firstLine="1"/>
        <w:spacing w:after="0" w:line="247" w:lineRule="auto"/>
        <w:tabs>
          <w:tab w:leader="none" w:pos="211"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be deemed or operate to preclude any Holder from bringing suit or taking other legal action against the Company in any other jurisdiction to collect on the Company’s obligations to such Holder, to realize on any collateral or any other security for such obligations, or to enforce a judgment or other court ruling in favor of such Holder or (ii) shall limit, or shall be deemed or construed to limit, any provision of Section 23 above. </w:t>
      </w:r>
      <w:r>
        <w:rPr>
          <w:rFonts w:ascii="Times New Roman" w:cs="Times New Roman" w:eastAsia="Times New Roman" w:hAnsi="Times New Roman"/>
          <w:sz w:val="17"/>
          <w:szCs w:val="17"/>
          <w:b w:val="1"/>
          <w:bCs w:val="1"/>
          <w:color w:val="auto"/>
        </w:rPr>
        <w:t>THE COMPANY AND EACH HOLDER HEREBY</w:t>
      </w:r>
    </w:p>
    <w:p>
      <w:pPr>
        <w:spacing w:after="0" w:line="1"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IRREVOCABLY WAIVES ANY RIGHT IT MAY HAVE TO, AND AGREES NOT TO REQUEST, A JURY TRIAL FOR THE ADJUDICATION OF ANY DISPUTE HEREUNDER OR IN CONNECTION WITH OR ARISING OUT OF THIS CERTIFICATE OF DESIGNATION OR ANY TRANSACTION CONTEMPLATED HEREBY</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ind w:left="860" w:hanging="254"/>
        <w:spacing w:after="0"/>
        <w:tabs>
          <w:tab w:leader="none" w:pos="86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00" w:firstLine="611"/>
        <w:spacing w:after="0" w:line="261" w:lineRule="auto"/>
        <w:tabs>
          <w:tab w:leader="none" w:pos="1441" w:val="left"/>
        </w:tabs>
        <w:numPr>
          <w:ilvl w:val="2"/>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for the purpose of obtaining or enforcing judgment against the Company in any court in any jurisdiction it becomes necessary to convert into any other currency (such other currency being hereinafter in this Section 27 referred to as the “J</w:t>
      </w:r>
      <w:r>
        <w:rPr>
          <w:rFonts w:ascii="Times New Roman" w:cs="Times New Roman" w:eastAsia="Times New Roman" w:hAnsi="Times New Roman"/>
          <w:sz w:val="17"/>
          <w:szCs w:val="17"/>
          <w:b w:val="1"/>
          <w:bCs w:val="1"/>
          <w:color w:val="auto"/>
        </w:rPr>
        <w:t>udgment Currency</w:t>
      </w:r>
      <w:r>
        <w:rPr>
          <w:rFonts w:ascii="Times New Roman" w:cs="Times New Roman" w:eastAsia="Times New Roman" w:hAnsi="Times New Roman"/>
          <w:sz w:val="17"/>
          <w:szCs w:val="17"/>
          <w:color w:val="auto"/>
        </w:rPr>
        <w:t>”) an amount due in U.S. Dollars under this Certificate of Designation, the conversion shall be made at the Exchange Rate prevailing on the Trading Day immediately preceding:</w:t>
      </w:r>
    </w:p>
    <w:p>
      <w:pPr>
        <w:spacing w:after="0" w:line="169" w:lineRule="exact"/>
        <w:rPr>
          <w:sz w:val="20"/>
          <w:szCs w:val="20"/>
          <w:color w:val="auto"/>
        </w:rPr>
      </w:pPr>
    </w:p>
    <w:p>
      <w:pPr>
        <w:ind w:left="1220" w:firstLine="596"/>
        <w:spacing w:after="0" w:line="274" w:lineRule="auto"/>
        <w:tabs>
          <w:tab w:leader="none" w:pos="204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actual payment of the amount due, in the case of any proceeding in the courts of New York or in the courts of any other jurisdiction that will give effect to such conversion being made on such date: or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5" w:name="page46"/>
    <w:bookmarkEnd w:id="45"/>
    <w:p>
      <w:pPr>
        <w:ind w:left="1220" w:firstLine="596"/>
        <w:spacing w:after="0" w:line="274" w:lineRule="auto"/>
        <w:tabs>
          <w:tab w:leader="none" w:pos="2073" w:val="left"/>
        </w:tabs>
        <w:numPr>
          <w:ilvl w:val="2"/>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foreign court determines, in the case of any proceeding in the courts of any other jurisdiction (the date as of which such conversion is made pursuant to this Section 27(a)(ii) being hereinafter referred to as the “</w:t>
      </w:r>
      <w:r>
        <w:rPr>
          <w:rFonts w:ascii="Times New Roman" w:cs="Times New Roman" w:eastAsia="Times New Roman" w:hAnsi="Times New Roman"/>
          <w:sz w:val="17"/>
          <w:szCs w:val="17"/>
          <w:b w:val="1"/>
          <w:bCs w:val="1"/>
          <w:color w:val="auto"/>
        </w:rPr>
        <w:t>Judgment Conversion Date</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jc w:val="both"/>
        <w:ind w:left="600" w:firstLine="611"/>
        <w:spacing w:after="0" w:line="254" w:lineRule="auto"/>
        <w:tabs>
          <w:tab w:leader="none" w:pos="1458"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the case of any proceeding in the court of any jurisdiction referred to in Section 27(a)(ii)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75" w:lineRule="exact"/>
        <w:rPr>
          <w:rFonts w:ascii="Times New Roman" w:cs="Times New Roman" w:eastAsia="Times New Roman" w:hAnsi="Times New Roman"/>
          <w:sz w:val="17"/>
          <w:szCs w:val="17"/>
          <w:color w:val="auto"/>
        </w:rPr>
      </w:pPr>
    </w:p>
    <w:p>
      <w:pPr>
        <w:ind w:left="600" w:firstLine="611"/>
        <w:spacing w:after="0" w:line="274" w:lineRule="auto"/>
        <w:tabs>
          <w:tab w:leader="none" w:pos="143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due from the Company under this provision shall be due as a separate debt and shall not be affected by judgment being obtained for any other amounts due under or in respect of this Certificate of Designation.</w:t>
      </w:r>
    </w:p>
    <w:p>
      <w:pPr>
        <w:spacing w:after="0" w:line="158" w:lineRule="exact"/>
        <w:rPr>
          <w:rFonts w:ascii="Times New Roman" w:cs="Times New Roman" w:eastAsia="Times New Roman" w:hAnsi="Times New Roman"/>
          <w:sz w:val="17"/>
          <w:szCs w:val="17"/>
          <w:color w:val="auto"/>
        </w:rPr>
      </w:pPr>
    </w:p>
    <w:p>
      <w:pPr>
        <w:ind w:left="860" w:hanging="254"/>
        <w:spacing w:after="0"/>
        <w:tabs>
          <w:tab w:leader="none" w:pos="8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firstLine="606"/>
        <w:spacing w:after="0" w:line="251" w:lineRule="auto"/>
        <w:tabs>
          <w:tab w:leader="none" w:pos="85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Certificate of Designation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Certificate of Designation so long as this Certificate of Designation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80" w:lineRule="exact"/>
        <w:rPr>
          <w:rFonts w:ascii="Times New Roman" w:cs="Times New Roman" w:eastAsia="Times New Roman" w:hAnsi="Times New Roman"/>
          <w:sz w:val="17"/>
          <w:szCs w:val="17"/>
          <w:color w:val="auto"/>
        </w:rPr>
      </w:pPr>
    </w:p>
    <w:p>
      <w:pPr>
        <w:jc w:val="both"/>
        <w:ind w:firstLine="606"/>
        <w:spacing w:after="0" w:line="256" w:lineRule="auto"/>
        <w:tabs>
          <w:tab w:leader="none" w:pos="87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Maximum Payments</w:t>
      </w:r>
      <w:r>
        <w:rPr>
          <w:rFonts w:ascii="Times New Roman" w:cs="Times New Roman" w:eastAsia="Times New Roman" w:hAnsi="Times New Roman"/>
          <w:sz w:val="17"/>
          <w:szCs w:val="17"/>
          <w:color w:val="auto"/>
        </w:rPr>
        <w:t>. Including, without limitation, Section 9(d) of the Purchase Agreement,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applicable Holder and thus refunded to the Company.</w:t>
      </w:r>
    </w:p>
    <w:p>
      <w:pPr>
        <w:spacing w:after="0" w:line="174" w:lineRule="exact"/>
        <w:rPr>
          <w:rFonts w:ascii="Times New Roman" w:cs="Times New Roman" w:eastAsia="Times New Roman" w:hAnsi="Times New Roman"/>
          <w:sz w:val="17"/>
          <w:szCs w:val="17"/>
          <w:color w:val="auto"/>
        </w:rPr>
      </w:pPr>
    </w:p>
    <w:p>
      <w:pPr>
        <w:ind w:left="860" w:hanging="254"/>
        <w:spacing w:after="0"/>
        <w:tabs>
          <w:tab w:leader="none" w:pos="8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Matters; Amendment</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00" w:firstLine="611"/>
        <w:spacing w:after="0" w:line="254" w:lineRule="auto"/>
        <w:tabs>
          <w:tab w:leader="none" w:pos="1434"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Stockholder Matters</w:t>
      </w:r>
      <w:r>
        <w:rPr>
          <w:rFonts w:ascii="Times New Roman" w:cs="Times New Roman" w:eastAsia="Times New Roman" w:hAnsi="Times New Roman"/>
          <w:sz w:val="17"/>
          <w:szCs w:val="17"/>
          <w:color w:val="auto"/>
        </w:rPr>
        <w:t>. Any stockholder action, approval or consent required, desired or otherwise sought by the Company pursuant to the NRS, the Certificate of Incorporation, this Certificate of Designation or otherwise with respect to the issuance of Preferred Shares may be effected at a duly called meeting of the Company’s stockholders or, with respect to preferred stockholder approval only, by written consent of the Company’s preferred stockholders, all in accordance with the applicable rules and regulations of the NRS. This provision is intended to comply with the applicable sections of the NRS permitting stockholder action, approval and consent affected by written consent in lieu of a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6" w:name="page47"/>
    <w:bookmarkEnd w:id="46"/>
    <w:p>
      <w:pPr>
        <w:jc w:val="both"/>
        <w:ind w:left="-6" w:firstLine="611"/>
        <w:spacing w:after="0" w:line="249" w:lineRule="auto"/>
        <w:tabs>
          <w:tab w:leader="none" w:pos="85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Except for Section 4(d) and this Section 31(b), which may not be amended, modified or waived hereunder, this Certificate of Designation or any provision hereof may be amended by obtaining the affirmative vote at a meeting duly called for such purpose, or, with respect to preferred stockholder approval only, by written consent without a meeting in accordance with the NRS, of the Required Holder, voting separate as a single class, and with such other preferred or common stockholder approval, if any, as may then be required pursuant to the NRS, Bylaws, and/or the Certificate of Incorporation; provided, however, and notwithstanding anything this Certificate of Designation or the Transaction Documents to the contrary, no provision of the Preferred Shares or this Certificate of Designation shall be amended, modified or waived, and no consent, approval, objection, determination or selection shall be made by the Required Holder thereunder or hereunder, in each case, to the extent any such amendment, modification, waiver, consent, approval, objection, determination or selection would disproportionately and materially adversely affect any rights of any Holder of the Preferred Shares (for the avoidance of doubt, excluding the payment by the Company or any of its Subsidiaries of any legal fees and/or expenses of any Holder in connection therewith), unless any such Holder shall have previously consented in writing to such amendment, modification, waiver, consent, approval, objection, determination or selection. Except (a) to the extent otherwise expressly provided in this Certificate of Designation or the Certificate of Incorporation with respect to voting or approval rights of a particular class or series of capital stock or (b) to the extent otherwise provided pursuant to the NRS, the holders of each outstanding class or series of shares of the Company shall not be entitled to vote as a separate voting group on any amendment to the terms of this Certificate of Designation with respect to which such class or series would otherwise be entitled under the NRS to vote as a separate voting group.</w:t>
      </w:r>
    </w:p>
    <w:p>
      <w:pPr>
        <w:spacing w:after="0" w:line="186" w:lineRule="exact"/>
        <w:rPr>
          <w:rFonts w:ascii="Times New Roman" w:cs="Times New Roman" w:eastAsia="Times New Roman" w:hAnsi="Times New Roman"/>
          <w:sz w:val="17"/>
          <w:szCs w:val="17"/>
          <w:color w:val="auto"/>
        </w:rPr>
      </w:pPr>
    </w:p>
    <w:p>
      <w:pPr>
        <w:ind w:left="254" w:hanging="254"/>
        <w:spacing w:after="0"/>
        <w:tabs>
          <w:tab w:leader="none" w:pos="25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Defined Terms</w:t>
      </w:r>
      <w:r>
        <w:rPr>
          <w:rFonts w:ascii="Times New Roman" w:cs="Times New Roman" w:eastAsia="Times New Roman" w:hAnsi="Times New Roman"/>
          <w:sz w:val="17"/>
          <w:szCs w:val="17"/>
          <w:color w:val="auto"/>
        </w:rPr>
        <w:t>. For purposes of this Certificate of Designation, the following terms shall have the following meanings:</w:t>
      </w:r>
    </w:p>
    <w:p>
      <w:pPr>
        <w:spacing w:after="0" w:line="203" w:lineRule="exact"/>
        <w:rPr>
          <w:rFonts w:ascii="Times New Roman" w:cs="Times New Roman" w:eastAsia="Times New Roman" w:hAnsi="Times New Roman"/>
          <w:sz w:val="17"/>
          <w:szCs w:val="17"/>
          <w:color w:val="auto"/>
        </w:rPr>
      </w:pPr>
    </w:p>
    <w:p>
      <w:pPr>
        <w:ind w:left="834" w:hanging="229"/>
        <w:spacing w:after="0"/>
        <w:tabs>
          <w:tab w:leader="none" w:pos="834"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1933 Act</w:t>
      </w:r>
      <w:r>
        <w:rPr>
          <w:rFonts w:ascii="Times New Roman" w:cs="Times New Roman" w:eastAsia="Times New Roman" w:hAnsi="Times New Roman"/>
          <w:sz w:val="17"/>
          <w:szCs w:val="17"/>
          <w:color w:val="auto"/>
        </w:rPr>
        <w:t>” means the Securities Act of 1933, as amended, and the rules and regulations thereunder.</w:t>
      </w:r>
    </w:p>
    <w:p>
      <w:pPr>
        <w:spacing w:after="0" w:line="207" w:lineRule="exact"/>
        <w:rPr>
          <w:rFonts w:ascii="Times New Roman" w:cs="Times New Roman" w:eastAsia="Times New Roman" w:hAnsi="Times New Roman"/>
          <w:sz w:val="17"/>
          <w:szCs w:val="17"/>
          <w:color w:val="auto"/>
        </w:rPr>
      </w:pPr>
    </w:p>
    <w:p>
      <w:pPr>
        <w:ind w:left="834" w:hanging="229"/>
        <w:spacing w:after="0"/>
        <w:tabs>
          <w:tab w:leader="none" w:pos="834"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1934 Act</w:t>
      </w:r>
      <w:r>
        <w:rPr>
          <w:rFonts w:ascii="Times New Roman" w:cs="Times New Roman" w:eastAsia="Times New Roman" w:hAnsi="Times New Roman"/>
          <w:sz w:val="17"/>
          <w:szCs w:val="17"/>
          <w:color w:val="auto"/>
        </w:rPr>
        <w:t>” means the Securities Exchange Act of 1934, as amended, and the rules and regulations thereunder.</w:t>
      </w:r>
    </w:p>
    <w:p>
      <w:pPr>
        <w:spacing w:after="0" w:line="207" w:lineRule="exact"/>
        <w:rPr>
          <w:rFonts w:ascii="Times New Roman" w:cs="Times New Roman" w:eastAsia="Times New Roman" w:hAnsi="Times New Roman"/>
          <w:sz w:val="17"/>
          <w:szCs w:val="17"/>
          <w:color w:val="auto"/>
        </w:rPr>
      </w:pPr>
    </w:p>
    <w:p>
      <w:pPr>
        <w:ind w:left="-6" w:firstLine="611"/>
        <w:spacing w:after="0" w:line="279" w:lineRule="auto"/>
        <w:tabs>
          <w:tab w:leader="none" w:pos="828"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Amount</w:t>
      </w:r>
      <w:r>
        <w:rPr>
          <w:rFonts w:ascii="Times New Roman" w:cs="Times New Roman" w:eastAsia="Times New Roman" w:hAnsi="Times New Roman"/>
          <w:sz w:val="17"/>
          <w:szCs w:val="17"/>
          <w:color w:val="auto"/>
        </w:rPr>
        <w:t>” means, as of the applicable date of determination, with respect to each Preferred Share, all declared and unpaid Dividends on such Preferred Share.</w:t>
      </w:r>
    </w:p>
    <w:p>
      <w:pPr>
        <w:spacing w:after="0" w:line="150" w:lineRule="exact"/>
        <w:rPr>
          <w:rFonts w:ascii="Times New Roman" w:cs="Times New Roman" w:eastAsia="Times New Roman" w:hAnsi="Times New Roman"/>
          <w:sz w:val="17"/>
          <w:szCs w:val="17"/>
          <w:color w:val="auto"/>
        </w:rPr>
      </w:pPr>
    </w:p>
    <w:p>
      <w:pPr>
        <w:jc w:val="both"/>
        <w:ind w:left="-6" w:firstLine="611"/>
        <w:spacing w:after="0" w:line="251" w:lineRule="auto"/>
        <w:tabs>
          <w:tab w:leader="none" w:pos="85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Adjusted Floor Price</w:t>
      </w:r>
      <w:r>
        <w:rPr>
          <w:rFonts w:ascii="Times New Roman" w:cs="Times New Roman" w:eastAsia="Times New Roman" w:hAnsi="Times New Roman"/>
          <w:sz w:val="17"/>
          <w:szCs w:val="17"/>
          <w:color w:val="auto"/>
        </w:rPr>
        <w:t>” means (i) as determined on any Adjustment Date, the lower of (a) the Floor Price then in effect and (b) 20% of the lower of (x) the closing price of the Common Stock of the Principal Market (as reported by Bloomberg) as of the Trading Day ended immediately prior to such applicable Adjustment Date and (y) the quotient of (I) the sum of each closing price of the Common Stock of the Principal Market (as reported by Bloomberg) on each Trading Day for the five (5) Trading Day period ended on, and including, the Trading Day ended immediately prior to such applicable Adjustment Date, divided by (II) five (5) and (ii) as determined on each Exercise Date and Call Date (each as defined in the Incremental Warrant (as defined in the Purchase Agreement)), as applicable, the lower of (a) the Floor Price then in effect and (b) 20% of the closing price of the Common Stock of the Principal Market (as reported by Bloomberg) as of the Trading Day ended immediately prior to such applicable Exercise Date or Call Date. All such determinations to be appropriately adjusted for any stock split, stock dividend, stock combination or other similar transaction during any such measuring period.</w:t>
      </w:r>
    </w:p>
    <w:p>
      <w:pPr>
        <w:spacing w:after="0" w:line="181"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47" w:name="page48"/>
    <w:bookmarkEnd w:id="47"/>
    <w:p>
      <w:pPr>
        <w:jc w:val="both"/>
        <w:ind w:left="-520" w:firstLine="611"/>
        <w:spacing w:after="0" w:line="258" w:lineRule="auto"/>
        <w:tabs>
          <w:tab w:leader="none" w:pos="31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Adjustment Right</w:t>
      </w:r>
      <w:r>
        <w:rPr>
          <w:rFonts w:ascii="Times New Roman" w:cs="Times New Roman" w:eastAsia="Times New Roman" w:hAnsi="Times New Roman"/>
          <w:sz w:val="17"/>
          <w:szCs w:val="17"/>
          <w:color w:val="auto"/>
        </w:rPr>
        <w:t>” means any right granted with respect to any securities issued in connection with, or with respect to, any issuance or sale (or deemed issuance or sale in accordance with Section 8(a)) of shares of Common Stock (other than rights of the type described in Section 7(a) hereof) that could result in a decrease in the net consideration received by the Company in connection with, or with respect to, such securities (including, without limitation, any cash settlement rights, cash adjustment or other similar rights).</w:t>
      </w:r>
    </w:p>
    <w:p>
      <w:pPr>
        <w:spacing w:after="0" w:line="168" w:lineRule="exact"/>
        <w:rPr>
          <w:rFonts w:ascii="Times New Roman" w:cs="Times New Roman" w:eastAsia="Times New Roman" w:hAnsi="Times New Roman"/>
          <w:sz w:val="17"/>
          <w:szCs w:val="17"/>
          <w:color w:val="auto"/>
        </w:rPr>
      </w:pPr>
    </w:p>
    <w:p>
      <w:pPr>
        <w:ind w:left="-520" w:firstLine="611"/>
        <w:spacing w:after="0" w:line="279" w:lineRule="auto"/>
        <w:tabs>
          <w:tab w:leader="none" w:pos="29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Affiliated</w:t>
      </w:r>
      <w:r>
        <w:rPr>
          <w:rFonts w:ascii="Times New Roman" w:cs="Times New Roman" w:eastAsia="Times New Roman" w:hAnsi="Times New Roman"/>
          <w:sz w:val="17"/>
          <w:szCs w:val="17"/>
          <w:color w:val="auto"/>
        </w:rPr>
        <w:t>” means, with respect to any Person, any Person that, directly or indirectly through one or more intermediaries, controls or is controlled by or is under common control with a Person, as such terms are used in and construed under Rule 405 under the 1933 Act.</w:t>
      </w:r>
    </w:p>
    <w:p>
      <w:pPr>
        <w:spacing w:after="0" w:line="150" w:lineRule="exact"/>
        <w:rPr>
          <w:rFonts w:ascii="Times New Roman" w:cs="Times New Roman" w:eastAsia="Times New Roman" w:hAnsi="Times New Roman"/>
          <w:sz w:val="17"/>
          <w:szCs w:val="17"/>
          <w:color w:val="auto"/>
        </w:rPr>
      </w:pPr>
    </w:p>
    <w:p>
      <w:pPr>
        <w:jc w:val="both"/>
        <w:ind w:left="-520" w:firstLine="611"/>
        <w:spacing w:after="0" w:line="254" w:lineRule="auto"/>
        <w:tabs>
          <w:tab w:leader="none" w:pos="34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Alternate Conversion Price</w:t>
      </w:r>
      <w:r>
        <w:rPr>
          <w:rFonts w:ascii="Times New Roman" w:cs="Times New Roman" w:eastAsia="Times New Roman" w:hAnsi="Times New Roman"/>
          <w:sz w:val="17"/>
          <w:szCs w:val="17"/>
          <w:color w:val="auto"/>
        </w:rPr>
        <w:t>” means, with respect to any Alternate Conversion that price which shall be the lower of (i) the applicable Conversion Price as in effect on the applicable Conversion Date of the applicable Alternate Conversion, and (ii) the greater of (x) the Floor Price and (y) 90% of the lowest VWAP of the Common Stock during the ten (10) consecutive Trading Day period ending and including the Trading Day immediately preceding the delivery or deemed delivery of the applicable Conversion Notice (such period, the “</w:t>
      </w:r>
      <w:r>
        <w:rPr>
          <w:rFonts w:ascii="Times New Roman" w:cs="Times New Roman" w:eastAsia="Times New Roman" w:hAnsi="Times New Roman"/>
          <w:sz w:val="17"/>
          <w:szCs w:val="17"/>
          <w:b w:val="1"/>
          <w:bCs w:val="1"/>
          <w:color w:val="auto"/>
        </w:rPr>
        <w:t>Alternate Conversion Measuring Period</w:t>
      </w:r>
      <w:r>
        <w:rPr>
          <w:rFonts w:ascii="Times New Roman" w:cs="Times New Roman" w:eastAsia="Times New Roman" w:hAnsi="Times New Roman"/>
          <w:sz w:val="17"/>
          <w:szCs w:val="17"/>
          <w:color w:val="auto"/>
        </w:rPr>
        <w:t>”). All such determinations to be appropriately adjusted for any stock dividend, stock split, stock combination, reclassification or similar transaction that proportionately decreases or increases the Common Stock during such Alternate Conversion Measuring Period.</w:t>
      </w:r>
    </w:p>
    <w:p>
      <w:pPr>
        <w:spacing w:after="0" w:line="170" w:lineRule="exact"/>
        <w:rPr>
          <w:rFonts w:ascii="Times New Roman" w:cs="Times New Roman" w:eastAsia="Times New Roman" w:hAnsi="Times New Roman"/>
          <w:sz w:val="17"/>
          <w:szCs w:val="17"/>
          <w:color w:val="auto"/>
        </w:rPr>
      </w:pPr>
    </w:p>
    <w:p>
      <w:pPr>
        <w:jc w:val="both"/>
        <w:ind w:left="-520" w:firstLine="611"/>
        <w:spacing w:after="0" w:line="254" w:lineRule="auto"/>
        <w:tabs>
          <w:tab w:leader="none" w:pos="32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Alternate Conversion Floor Amount</w:t>
      </w:r>
      <w:r>
        <w:rPr>
          <w:rFonts w:ascii="Times New Roman" w:cs="Times New Roman" w:eastAsia="Times New Roman" w:hAnsi="Times New Roman"/>
          <w:sz w:val="17"/>
          <w:szCs w:val="17"/>
          <w:color w:val="auto"/>
        </w:rPr>
        <w:t>” means an amount equal to the product obtained by multiplying (A) the higher of (I) the highest price that the Common Stock trades at on the Trading Day immediately preceding the relevant Alternate Conversion Date and (II) the applicable Alternate Conversion Price and (B) the difference obtained by subtracting (I) the number of shares of Common Stock delivered (or to be delivered) to such Holder on the applicable Share Delivery Deadline with respect to such Alternate Conversion from (II) the quotient obtained by dividing (x) the applicable Conversion Amount that such Holder has elected to be the subject of the applicable Alternate Conversion, by (y) the applicable Alternate Conversion Price without giving effect to clause (x) of such definition.</w:t>
      </w:r>
    </w:p>
    <w:p>
      <w:pPr>
        <w:spacing w:after="0" w:line="17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49" w:right="339" w:bottom="1440" w:gutter="0" w:footer="0" w:header="0"/>
        </w:sectPr>
      </w:pPr>
    </w:p>
    <w:bookmarkStart w:id="48" w:name="page49"/>
    <w:bookmarkEnd w:id="48"/>
    <w:p>
      <w:pPr>
        <w:jc w:val="both"/>
        <w:ind w:left="-520" w:firstLine="611"/>
        <w:spacing w:after="0" w:line="263" w:lineRule="auto"/>
        <w:tabs>
          <w:tab w:leader="none" w:pos="298"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Approved Stock Plan</w:t>
      </w:r>
      <w:r>
        <w:rPr>
          <w:rFonts w:ascii="Times New Roman" w:cs="Times New Roman" w:eastAsia="Times New Roman" w:hAnsi="Times New Roman"/>
          <w:sz w:val="17"/>
          <w:szCs w:val="17"/>
          <w:color w:val="auto"/>
        </w:rPr>
        <w:t>” means any employee benefit plan or agreement which has been approved by the Board prior to or subsequent to the Closing Date pursuant to which shares of Common Stock and standard options to purchase Common Stock may be issued to any employee, officer, consultant or director for services provided to the Company in their capacity as such.</w:t>
      </w:r>
    </w:p>
    <w:p>
      <w:pPr>
        <w:spacing w:after="0" w:line="164" w:lineRule="exact"/>
        <w:rPr>
          <w:rFonts w:ascii="Times New Roman" w:cs="Times New Roman" w:eastAsia="Times New Roman" w:hAnsi="Times New Roman"/>
          <w:sz w:val="17"/>
          <w:szCs w:val="17"/>
          <w:color w:val="auto"/>
        </w:rPr>
      </w:pPr>
    </w:p>
    <w:p>
      <w:pPr>
        <w:jc w:val="both"/>
        <w:ind w:left="-520" w:firstLine="611"/>
        <w:spacing w:after="0" w:line="254" w:lineRule="auto"/>
        <w:tabs>
          <w:tab w:leader="none" w:pos="28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Attribution Parties</w:t>
      </w:r>
      <w:r>
        <w:rPr>
          <w:rFonts w:ascii="Times New Roman" w:cs="Times New Roman" w:eastAsia="Times New Roman" w:hAnsi="Times New Roman"/>
          <w:sz w:val="17"/>
          <w:szCs w:val="17"/>
          <w:color w:val="auto"/>
        </w:rPr>
        <w:t>” means, collectively, the following Persons and entities: (i) any investment vehicle, including, any funds, feeder funds or managed accounts, currently, or from time to time after the Initial Issuance Date, directly or indirectly managed or advised by a Holder’s investment manager or any of its Affiliates or principals, (ii) any direct or indirect Affiliates of such Holder or any of the foregoing, (iii) any Person acting or who could be deemed to be acting as a Group together with such Holder or any of the foregoing and (iv) any other Persons whose beneficial ownership of the Company’s Common Stock would or could be aggregated with such Holder’s and the other Attribution Parties for purposes of Section 13(d) of the 1934 Act. For clarity, the purpose of the foregoing is to subject collectively such Holder and all other Attribution Parties to the Maximum Percentage.</w:t>
      </w:r>
    </w:p>
    <w:p>
      <w:pPr>
        <w:spacing w:after="0" w:line="170" w:lineRule="exact"/>
        <w:rPr>
          <w:rFonts w:ascii="Times New Roman" w:cs="Times New Roman" w:eastAsia="Times New Roman" w:hAnsi="Times New Roman"/>
          <w:sz w:val="17"/>
          <w:szCs w:val="17"/>
          <w:color w:val="auto"/>
        </w:rPr>
      </w:pPr>
    </w:p>
    <w:p>
      <w:pPr>
        <w:jc w:val="both"/>
        <w:ind w:left="-520" w:firstLine="611"/>
        <w:spacing w:after="0" w:line="251" w:lineRule="auto"/>
        <w:tabs>
          <w:tab w:leader="none" w:pos="323"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Black Scholes Consideration Value</w:t>
      </w:r>
      <w:r>
        <w:rPr>
          <w:rFonts w:ascii="Times New Roman" w:cs="Times New Roman" w:eastAsia="Times New Roman" w:hAnsi="Times New Roman"/>
          <w:sz w:val="17"/>
          <w:szCs w:val="17"/>
          <w:color w:val="auto"/>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p>
    <w:p>
      <w:pPr>
        <w:spacing w:after="0" w:line="177" w:lineRule="exact"/>
        <w:rPr>
          <w:rFonts w:ascii="Times New Roman" w:cs="Times New Roman" w:eastAsia="Times New Roman" w:hAnsi="Times New Roman"/>
          <w:sz w:val="17"/>
          <w:szCs w:val="17"/>
          <w:color w:val="auto"/>
        </w:rPr>
      </w:pPr>
    </w:p>
    <w:p>
      <w:pPr>
        <w:ind w:left="300" w:hanging="209"/>
        <w:spacing w:after="0"/>
        <w:tabs>
          <w:tab w:leader="none" w:pos="3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Bloomberg</w:t>
      </w:r>
      <w:r>
        <w:rPr>
          <w:rFonts w:ascii="Times New Roman" w:cs="Times New Roman" w:eastAsia="Times New Roman" w:hAnsi="Times New Roman"/>
          <w:sz w:val="17"/>
          <w:szCs w:val="17"/>
          <w:color w:val="auto"/>
        </w:rPr>
        <w:t>” means Bloomberg, L.P.</w:t>
      </w:r>
    </w:p>
    <w:p>
      <w:pPr>
        <w:spacing w:after="0" w:line="207" w:lineRule="exact"/>
        <w:rPr>
          <w:rFonts w:ascii="Times New Roman" w:cs="Times New Roman" w:eastAsia="Times New Roman" w:hAnsi="Times New Roman"/>
          <w:sz w:val="17"/>
          <w:szCs w:val="17"/>
          <w:color w:val="auto"/>
        </w:rPr>
      </w:pPr>
    </w:p>
    <w:p>
      <w:pPr>
        <w:ind w:left="-520" w:firstLine="611"/>
        <w:spacing w:after="0" w:line="279" w:lineRule="auto"/>
        <w:tabs>
          <w:tab w:leader="none" w:pos="39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Book-Entry</w:t>
      </w:r>
      <w:r>
        <w:rPr>
          <w:rFonts w:ascii="Times New Roman" w:cs="Times New Roman" w:eastAsia="Times New Roman" w:hAnsi="Times New Roman"/>
          <w:sz w:val="17"/>
          <w:szCs w:val="17"/>
          <w:color w:val="auto"/>
        </w:rPr>
        <w:t>” means each entry on the Register evidencing one or more Preferred Shares held by a Holder in lieu of a Preferred Share Certificate issuable hereunder.</w:t>
      </w:r>
    </w:p>
    <w:p>
      <w:pPr>
        <w:spacing w:after="0" w:line="150" w:lineRule="exact"/>
        <w:rPr>
          <w:rFonts w:ascii="Times New Roman" w:cs="Times New Roman" w:eastAsia="Times New Roman" w:hAnsi="Times New Roman"/>
          <w:sz w:val="17"/>
          <w:szCs w:val="17"/>
          <w:color w:val="auto"/>
        </w:rPr>
      </w:pPr>
    </w:p>
    <w:p>
      <w:pPr>
        <w:jc w:val="both"/>
        <w:ind w:left="-520" w:firstLine="611"/>
        <w:spacing w:after="0" w:line="255" w:lineRule="auto"/>
        <w:tabs>
          <w:tab w:leader="none" w:pos="323"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49" w:right="339" w:bottom="1440" w:gutter="0" w:footer="0" w:header="0"/>
        </w:sectPr>
      </w:pPr>
    </w:p>
    <w:bookmarkStart w:id="49" w:name="page50"/>
    <w:bookmarkEnd w:id="49"/>
    <w:p>
      <w:pPr>
        <w:jc w:val="both"/>
        <w:ind w:left="-520" w:firstLine="611"/>
        <w:spacing w:after="0" w:line="253" w:lineRule="auto"/>
        <w:tabs>
          <w:tab w:leader="none" w:pos="33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w:t>
      </w:r>
    </w:p>
    <w:p>
      <w:pPr>
        <w:spacing w:after="0" w:line="171" w:lineRule="exact"/>
        <w:rPr>
          <w:rFonts w:ascii="Times New Roman" w:cs="Times New Roman" w:eastAsia="Times New Roman" w:hAnsi="Times New Roman"/>
          <w:sz w:val="17"/>
          <w:szCs w:val="17"/>
          <w:color w:val="auto"/>
        </w:rPr>
      </w:pPr>
    </w:p>
    <w:p>
      <w:pPr>
        <w:jc w:val="both"/>
        <w:ind w:left="-520" w:firstLine="611"/>
        <w:spacing w:after="0" w:line="250" w:lineRule="auto"/>
        <w:tabs>
          <w:tab w:leader="none" w:pos="33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Closing Bid Price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Closing Sale Price</w:t>
      </w:r>
      <w:r>
        <w:rPr>
          <w:rFonts w:ascii="Times New Roman" w:cs="Times New Roman" w:eastAsia="Times New Roman" w:hAnsi="Times New Roman"/>
          <w:sz w:val="17"/>
          <w:szCs w:val="17"/>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Required Holder. If the Company and the Required Holder are unable to agree upon the fair market value of such security, then such dispute shall be resolved in accordance with the procedures in Section 23. All such determinations shall be appropriately adjusted for any stock splits, stock dividends, stock combinations, recapitalizations or other similar transactions during such period.</w:t>
      </w:r>
    </w:p>
    <w:p>
      <w:pPr>
        <w:spacing w:after="0" w:line="175" w:lineRule="exact"/>
        <w:rPr>
          <w:rFonts w:ascii="Times New Roman" w:cs="Times New Roman" w:eastAsia="Times New Roman" w:hAnsi="Times New Roman"/>
          <w:sz w:val="17"/>
          <w:szCs w:val="17"/>
          <w:color w:val="auto"/>
        </w:rPr>
      </w:pPr>
    </w:p>
    <w:p>
      <w:pPr>
        <w:ind w:left="-520" w:firstLine="611"/>
        <w:spacing w:after="0" w:line="279" w:lineRule="auto"/>
        <w:tabs>
          <w:tab w:leader="none" w:pos="323"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Closing Date</w:t>
      </w:r>
      <w:r>
        <w:rPr>
          <w:rFonts w:ascii="Times New Roman" w:cs="Times New Roman" w:eastAsia="Times New Roman" w:hAnsi="Times New Roman"/>
          <w:sz w:val="17"/>
          <w:szCs w:val="17"/>
          <w:color w:val="auto"/>
        </w:rPr>
        <w:t>” shall have the meaning set forth in the Purchase Agreement, which date is the date the Company initially issued the Preferred Shares pursuant to the terms of the Purchase Agreement.</w:t>
      </w:r>
    </w:p>
    <w:p>
      <w:pPr>
        <w:spacing w:after="0" w:line="150" w:lineRule="exact"/>
        <w:rPr>
          <w:rFonts w:ascii="Times New Roman" w:cs="Times New Roman" w:eastAsia="Times New Roman" w:hAnsi="Times New Roman"/>
          <w:sz w:val="17"/>
          <w:szCs w:val="17"/>
          <w:color w:val="auto"/>
        </w:rPr>
      </w:pPr>
    </w:p>
    <w:p>
      <w:pPr>
        <w:ind w:left="300" w:hanging="209"/>
        <w:spacing w:after="0"/>
        <w:tabs>
          <w:tab w:leader="none" w:pos="3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means the Internal Revenue Code of 1986, as amended.</w:t>
      </w: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49" w:right="339" w:bottom="1440" w:gutter="0" w:footer="0" w:header="0"/>
        </w:sectPr>
      </w:pPr>
    </w:p>
    <w:bookmarkStart w:id="50" w:name="page51"/>
    <w:bookmarkEnd w:id="50"/>
    <w:p>
      <w:pPr>
        <w:ind w:firstLine="611"/>
        <w:spacing w:after="0" w:line="279" w:lineRule="auto"/>
        <w:tabs>
          <w:tab w:leader="none" w:pos="837"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(i) the Company’s shares of common stock, $0.0001 par value per share, and (ii) any capital stock into which such common stock shall have been changed or any share capital resulting from a reclassification of such common stock.</w:t>
      </w:r>
    </w:p>
    <w:p>
      <w:pPr>
        <w:spacing w:after="0" w:line="150" w:lineRule="exact"/>
        <w:rPr>
          <w:rFonts w:ascii="Times New Roman" w:cs="Times New Roman" w:eastAsia="Times New Roman" w:hAnsi="Times New Roman"/>
          <w:sz w:val="17"/>
          <w:szCs w:val="17"/>
          <w:color w:val="auto"/>
        </w:rPr>
      </w:pPr>
    </w:p>
    <w:p>
      <w:pPr>
        <w:jc w:val="both"/>
        <w:ind w:firstLine="611"/>
        <w:spacing w:after="0" w:line="258" w:lineRule="auto"/>
        <w:tabs>
          <w:tab w:leader="none" w:pos="818"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Contingent Obligation</w:t>
      </w:r>
      <w:r>
        <w:rPr>
          <w:rFonts w:ascii="Times New Roman" w:cs="Times New Roman" w:eastAsia="Times New Roman" w:hAnsi="Times New Roman"/>
          <w:sz w:val="17"/>
          <w:szCs w:val="17"/>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68" w:lineRule="exact"/>
        <w:rPr>
          <w:rFonts w:ascii="Times New Roman" w:cs="Times New Roman" w:eastAsia="Times New Roman" w:hAnsi="Times New Roman"/>
          <w:sz w:val="17"/>
          <w:szCs w:val="17"/>
          <w:color w:val="auto"/>
        </w:rPr>
      </w:pPr>
    </w:p>
    <w:p>
      <w:pPr>
        <w:ind w:left="880" w:hanging="269"/>
        <w:spacing w:after="0"/>
        <w:tabs>
          <w:tab w:leader="none" w:pos="88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 Floor Price Condition</w:t>
      </w:r>
      <w:r>
        <w:rPr>
          <w:rFonts w:ascii="Times New Roman" w:cs="Times New Roman" w:eastAsia="Times New Roman" w:hAnsi="Times New Roman"/>
          <w:sz w:val="17"/>
          <w:szCs w:val="17"/>
          <w:color w:val="auto"/>
        </w:rPr>
        <w:t>” means that the relevant Alternate Conversion Price is being determined based on clause (x) of such</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definitions.</w:t>
      </w:r>
    </w:p>
    <w:p>
      <w:pPr>
        <w:spacing w:after="0" w:line="187" w:lineRule="exact"/>
        <w:rPr>
          <w:rFonts w:ascii="Times New Roman" w:cs="Times New Roman" w:eastAsia="Times New Roman" w:hAnsi="Times New Roman"/>
          <w:sz w:val="17"/>
          <w:szCs w:val="17"/>
          <w:color w:val="auto"/>
        </w:rPr>
      </w:pPr>
    </w:p>
    <w:p>
      <w:pPr>
        <w:ind w:firstLine="611"/>
        <w:spacing w:after="0" w:line="279" w:lineRule="auto"/>
        <w:tabs>
          <w:tab w:leader="none" w:pos="856"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Convertible Securities</w:t>
      </w:r>
      <w:r>
        <w:rPr>
          <w:rFonts w:ascii="Times New Roman" w:cs="Times New Roman" w:eastAsia="Times New Roman" w:hAnsi="Times New Roman"/>
          <w:sz w:val="17"/>
          <w:szCs w:val="17"/>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50" w:lineRule="exact"/>
        <w:rPr>
          <w:rFonts w:ascii="Times New Roman" w:cs="Times New Roman" w:eastAsia="Times New Roman" w:hAnsi="Times New Roman"/>
          <w:sz w:val="17"/>
          <w:szCs w:val="17"/>
          <w:color w:val="auto"/>
        </w:rPr>
      </w:pPr>
    </w:p>
    <w:p>
      <w:pPr>
        <w:ind w:left="880" w:hanging="269"/>
        <w:spacing w:after="0"/>
        <w:tabs>
          <w:tab w:leader="none" w:pos="88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Current Public Information Failure</w:t>
      </w:r>
      <w:r>
        <w:rPr>
          <w:rFonts w:ascii="Times New Roman" w:cs="Times New Roman" w:eastAsia="Times New Roman" w:hAnsi="Times New Roman"/>
          <w:sz w:val="17"/>
          <w:szCs w:val="17"/>
          <w:color w:val="auto"/>
        </w:rPr>
        <w:t>” means either (x) the failure by the Company for any reason to satisfy the requirements of Rule 144(c)</w:t>
      </w:r>
    </w:p>
    <w:p>
      <w:pPr>
        <w:spacing w:after="0" w:line="26" w:lineRule="exact"/>
        <w:rPr>
          <w:rFonts w:ascii="Times New Roman" w:cs="Times New Roman" w:eastAsia="Times New Roman" w:hAnsi="Times New Roman"/>
          <w:sz w:val="17"/>
          <w:szCs w:val="17"/>
          <w:color w:val="auto"/>
        </w:rPr>
      </w:pPr>
    </w:p>
    <w:p>
      <w:pPr>
        <w:jc w:val="both"/>
        <w:ind w:firstLine="6"/>
        <w:spacing w:after="0" w:line="251" w:lineRule="auto"/>
        <w:tabs>
          <w:tab w:leader="none" w:pos="24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1933 Act, including, without limitation, the failure to satisfy the current public information requirement under Rule 144(c) of the 1933 Act or (y) if the Company has ever been an issuer described in Rule 144(i)(1)(i) of the 1933 Act or becomes such an issuer in the future, and the Company shall fail to satisfy any condition set forth in Rule 144(i)(2) of the 1933 Act.</w:t>
      </w:r>
    </w:p>
    <w:p>
      <w:pPr>
        <w:spacing w:after="0" w:line="173" w:lineRule="exact"/>
        <w:rPr>
          <w:rFonts w:ascii="Times New Roman" w:cs="Times New Roman" w:eastAsia="Times New Roman" w:hAnsi="Times New Roman"/>
          <w:sz w:val="17"/>
          <w:szCs w:val="17"/>
          <w:color w:val="auto"/>
        </w:rPr>
      </w:pPr>
    </w:p>
    <w:p>
      <w:pPr>
        <w:ind w:firstLine="611"/>
        <w:spacing w:after="0" w:line="279" w:lineRule="auto"/>
        <w:tabs>
          <w:tab w:leader="none" w:pos="856"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Dividend Rate</w:t>
      </w:r>
      <w:r>
        <w:rPr>
          <w:rFonts w:ascii="Times New Roman" w:cs="Times New Roman" w:eastAsia="Times New Roman" w:hAnsi="Times New Roman"/>
          <w:sz w:val="17"/>
          <w:szCs w:val="17"/>
          <w:color w:val="auto"/>
        </w:rPr>
        <w:t>” means, as of any date of determination, eight percent (8%) per annum; provided, further, that such Divided Rate shall be subject to adjustment from time to time in accordance with Section 3.</w:t>
      </w:r>
    </w:p>
    <w:p>
      <w:pPr>
        <w:spacing w:after="0" w:line="150" w:lineRule="exact"/>
        <w:rPr>
          <w:rFonts w:ascii="Times New Roman" w:cs="Times New Roman" w:eastAsia="Times New Roman" w:hAnsi="Times New Roman"/>
          <w:sz w:val="17"/>
          <w:szCs w:val="17"/>
          <w:color w:val="auto"/>
        </w:rPr>
      </w:pPr>
    </w:p>
    <w:p>
      <w:pPr>
        <w:ind w:firstLine="611"/>
        <w:spacing w:after="0" w:line="279" w:lineRule="auto"/>
        <w:tabs>
          <w:tab w:leader="none" w:pos="843"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Eligible Market</w:t>
      </w:r>
      <w:r>
        <w:rPr>
          <w:rFonts w:ascii="Times New Roman" w:cs="Times New Roman" w:eastAsia="Times New Roman" w:hAnsi="Times New Roman"/>
          <w:sz w:val="17"/>
          <w:szCs w:val="17"/>
          <w:color w:val="auto"/>
        </w:rPr>
        <w:t>” means The New York Stock Exchange, the NYSE American, the Nasdaq Global Select Market, the Nasdaq Global Market, the Nasdaq Capital Market.</w:t>
      </w:r>
    </w:p>
    <w:p>
      <w:pPr>
        <w:spacing w:after="0" w:line="15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49" w:right="339" w:bottom="1440" w:gutter="0" w:footer="0" w:header="0"/>
        </w:sectPr>
      </w:pPr>
    </w:p>
    <w:bookmarkStart w:id="51" w:name="page52"/>
    <w:bookmarkEnd w:id="51"/>
    <w:p>
      <w:pPr>
        <w:jc w:val="both"/>
        <w:ind w:left="-520" w:firstLine="611"/>
        <w:spacing w:after="0" w:line="264" w:lineRule="auto"/>
        <w:tabs>
          <w:tab w:leader="none" w:pos="326"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Equity Conditions</w:t>
      </w:r>
      <w:r>
        <w:rPr>
          <w:rFonts w:ascii="Times New Roman" w:cs="Times New Roman" w:eastAsia="Times New Roman" w:hAnsi="Times New Roman"/>
          <w:sz w:val="16"/>
          <w:szCs w:val="16"/>
          <w:color w:val="auto"/>
        </w:rPr>
        <w:t>” means, with respect to an given date of determination: (i) on each day during the period beginning thirty calendar days prior to such applicable date of determination and ending on and including such applicable date of determination all shares of Common Stock to be issued in connection with the event requiring this determination, (without regard to any limitations on conversion set forth herein)) (each, a “</w:t>
      </w:r>
      <w:r>
        <w:rPr>
          <w:rFonts w:ascii="Times New Roman" w:cs="Times New Roman" w:eastAsia="Times New Roman" w:hAnsi="Times New Roman"/>
          <w:sz w:val="16"/>
          <w:szCs w:val="16"/>
          <w:b w:val="1"/>
          <w:bCs w:val="1"/>
          <w:color w:val="auto"/>
        </w:rPr>
        <w:t>Required Minimum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Securities Amount</w:t>
      </w:r>
      <w:r>
        <w:rPr>
          <w:rFonts w:ascii="Times New Roman" w:cs="Times New Roman" w:eastAsia="Times New Roman" w:hAnsi="Times New Roman"/>
          <w:sz w:val="16"/>
          <w:szCs w:val="16"/>
          <w:color w:val="auto"/>
        </w:rPr>
        <w:t>”) shall be eligible for sale pursuant to a resale registration statement or pursuant to Rule 144 (as defined in the Purchase Agreement)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without the need for registration under any applicable federal or state securities laws (in each case, disregarding any limitation on conversion of the Preferred Shares, other issuance of securities with respect to the Preferred Shares) and no Current Public Information Failure exists or is continuing; (ii) on each day during the period beginning thirty calendar days prior to the applicable date of determination and ending on and including the applicable date of determination (the “</w:t>
      </w:r>
      <w:r>
        <w:rPr>
          <w:rFonts w:ascii="Times New Roman" w:cs="Times New Roman" w:eastAsia="Times New Roman" w:hAnsi="Times New Roman"/>
          <w:sz w:val="16"/>
          <w:szCs w:val="16"/>
          <w:b w:val="1"/>
          <w:bCs w:val="1"/>
          <w:color w:val="auto"/>
        </w:rPr>
        <w:t>Equity Conditions Measuring Period</w:t>
      </w:r>
      <w:r>
        <w:rPr>
          <w:rFonts w:ascii="Times New Roman" w:cs="Times New Roman" w:eastAsia="Times New Roman" w:hAnsi="Times New Roman"/>
          <w:sz w:val="16"/>
          <w:szCs w:val="16"/>
          <w:color w:val="auto"/>
        </w:rPr>
        <w:t>”), the Common Stock (including all shares of Common Stock issued or issuable upon conversion of the Preferred Shares) is listed or designated for quotation (as applicable) on an Eligible Market and shall not have been suspended from trading on an Eligible Market (other than suspensions of not more than two (2) days and occurring prior to the applicable date of determination due to business announcements by the Company) nor shall delisting or suspension by an Eligible Market have been threatened (with a reasonable prospect of delisting occurring after giving effect to all applicable notice, appeal, compliance and hearing periods) or reasonably likely to occur or pending as evidenced by (A) a writing by such Eligible Market or (B) the Company falling below the minimum listing maintenance requirements of the Eligible Market on which the Common Stock is then listed or designated for quotation, as applicable; provided that the Company is not eligible for extension or appeal of such listing deficiency; (iii) during the Equity Conditions Measuring Period, the Company shall have delivered all shares of Common Stock issuable upon conversion of the Preferred Shares on a timely basis as set forth in Section 4 hereof and all other shares of capital stock required to be delivered by the Company on a timely basis as set forth in the other Transaction Documents; (iv) any shares of Common Stock to be issued in connection with the event requiring determination may be issued in full without violating Section 4(d) hereof; (v) any shares of Common Stock to be issued in connection with the event requiring determination may be issued in full without violating the rules or regulations of the Eligible Market on which the Common Stock is then listed or designated for quotation (as applicable); (vi) on each day during the Equity Conditions Measuring Period, no public announcement of a pending, proposed or intended Fundamental Transaction shall have occurred which has not been abandoned, terminated or consummated; (vii) the Company shall have no knowledge of any fact that would reasonably be expected to cause the applicable Required Minimum Securities Amount of shares of Common Stock issuable in connection with the event requiring such determination to not be eligible for sale pursuant to a resale registration statement or pursuant to Rule 144 without the need for registration under any applicable federal or state securities laws (in each case, disregarding any limitation on conversion of the Preferred Shares, other issuance of securities with respect to the Preferred Shares), (viii) none of the Holders shall be in possession of any material, non-public information provided to any of them by the Company, any of its Subsidiaries or any of their respective affiliates, employees, officers, representatives, agents or the like; (ix) on each day during the Equity Conditions Measuring Period, the Company otherwise shall have been in compliance with each, and shall not have breached any representation or warranty in any material respect (other than representations or warranties subject to material adverse effect or materiality, which may not be breached in any respect) or any covenant or other term or condition of any Transaction Document, including, without limitation, the Company shall not have failed to timely make any payment pursuant to any Transaction Document; (x) on the applicable date of determination (A) no Authorized Share Failure shall exist or be continuing and the applicable Required Minimum Securities Amount of shares of Common Stock are available under the Certificate of Incorporation and reserved by the Company to be issued pursuant to this Certificate of Designation and (B) all shares of Common Stock to be issued in connection with the event requiring this determination may be issued in full without resulting in an Authorized Share Failure; (xi) on each day during the Equity Conditions Measuring Period, there shall not have occurred and there shall not exist a Triggering Event or an event that with the passage of time or giving of notice would constitute a Triggering Event; or (xii) the shares of Common Stock issuable pursuant to the event requiring the satisfaction of the Equity Conditions are duly authorized and listed and eligible for trading without restriction on an Eligible Market.</w:t>
      </w:r>
    </w:p>
    <w:p>
      <w:pPr>
        <w:spacing w:after="0" w:line="200" w:lineRule="exact"/>
        <w:rPr>
          <w:sz w:val="20"/>
          <w:szCs w:val="20"/>
          <w:color w:val="auto"/>
        </w:rPr>
      </w:pPr>
    </w:p>
    <w:p>
      <w:pPr>
        <w:spacing w:after="0" w:line="383" w:lineRule="exact"/>
        <w:rPr>
          <w:sz w:val="20"/>
          <w:szCs w:val="20"/>
          <w:color w:val="auto"/>
        </w:rPr>
      </w:pPr>
    </w:p>
    <w:p>
      <w:pPr>
        <w:ind w:left="-520" w:firstLine="611"/>
        <w:spacing w:after="0" w:line="279" w:lineRule="auto"/>
        <w:tabs>
          <w:tab w:leader="none" w:pos="38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Equity Conditions Failure</w:t>
      </w:r>
      <w:r>
        <w:rPr>
          <w:rFonts w:ascii="Times New Roman" w:cs="Times New Roman" w:eastAsia="Times New Roman" w:hAnsi="Times New Roman"/>
          <w:sz w:val="17"/>
          <w:szCs w:val="17"/>
          <w:color w:val="auto"/>
        </w:rPr>
        <w:t>” means that on any day during the period commencing twenty (20) Trading Days prior to such applicable date of determination, the Equity Conditions have not been satisfied (or waived in writing by the applicable Holder).</w:t>
      </w:r>
    </w:p>
    <w:p>
      <w:pPr>
        <w:spacing w:after="0" w:line="15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49" w:right="339" w:bottom="1440" w:gutter="0" w:footer="0" w:header="0"/>
        </w:sectPr>
      </w:pPr>
    </w:p>
    <w:bookmarkStart w:id="52" w:name="page53"/>
    <w:bookmarkEnd w:id="52"/>
    <w:p>
      <w:pPr>
        <w:jc w:val="both"/>
        <w:ind w:left="-6" w:firstLine="611"/>
        <w:spacing w:after="0" w:line="269" w:lineRule="auto"/>
        <w:tabs>
          <w:tab w:leader="none" w:pos="946" w:val="left"/>
        </w:tabs>
        <w:numPr>
          <w:ilvl w:val="1"/>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Excluded Securities</w:t>
      </w:r>
      <w:r>
        <w:rPr>
          <w:rFonts w:ascii="Times New Roman" w:cs="Times New Roman" w:eastAsia="Times New Roman" w:hAnsi="Times New Roman"/>
          <w:sz w:val="16"/>
          <w:szCs w:val="16"/>
          <w:color w:val="auto"/>
        </w:rPr>
        <w:t>” means (i) shares of Common Stock or standard options to purchase Common Stock issued to directors, officers, employees or consultants of the Company for services rendered to the Company in their capacity as such pursuant to an Approved Stock Plan (as defined above), provided that the exercise price of any such options is not lowered, none of such options are amended to increase the number of shares issuable thereunder and none of the terms or conditions of any such options are otherwise materially changed in any manner that adversely affects any of the Holders;</w:t>
      </w:r>
    </w:p>
    <w:p>
      <w:pPr>
        <w:spacing w:after="0" w:line="2" w:lineRule="exact"/>
        <w:rPr>
          <w:rFonts w:ascii="Times New Roman" w:cs="Times New Roman" w:eastAsia="Times New Roman" w:hAnsi="Times New Roman"/>
          <w:sz w:val="16"/>
          <w:szCs w:val="16"/>
          <w:color w:val="auto"/>
        </w:rPr>
      </w:pPr>
    </w:p>
    <w:p>
      <w:pPr>
        <w:jc w:val="both"/>
        <w:ind w:left="-6" w:firstLine="6"/>
        <w:spacing w:after="0" w:line="263" w:lineRule="auto"/>
        <w:tabs>
          <w:tab w:leader="none" w:pos="263"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Common Stock issued upon the conversion or exercise, as applicable, of Convertible Securities or Options (other than standard options to purchase Common Stock issued pursuant to an Approved Stock Plan that are covered by clause (i) above) issued prior to the Closing Date, provided that the conversion price or exercise price, as applicable, of any such Convertible Securities or Options (other than standard options to purchase Common Stock issued pursuant to an Approved Stock Plan that are covered by clause (i) above) is not lowered, none of such Convertible Securities or Options (other than standard options to purchase Common Stock issued pursuant to an Approved Stock Plan that are covered by clause (i) above) are amended to increase the number of shares issuable thereunder and none of the terms or conditions of any such Convertible Securities or Options (other than standard options to purchase Common Stock issued pursuant to an Approved Stock Plan that are covered by clause (i) above) are otherwise materially changed in any manner that adversely affects any of the Holders (such shares of Common Stock issuable pursuant to clause (i) above and this clause (ii), collectively, the “</w:t>
      </w:r>
      <w:r>
        <w:rPr>
          <w:rFonts w:ascii="Times New Roman" w:cs="Times New Roman" w:eastAsia="Times New Roman" w:hAnsi="Times New Roman"/>
          <w:sz w:val="16"/>
          <w:szCs w:val="16"/>
          <w:b w:val="1"/>
          <w:bCs w:val="1"/>
          <w:color w:val="auto"/>
        </w:rPr>
        <w:t>Permitted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Approved Stock Plan Issuances</w:t>
      </w:r>
      <w:r>
        <w:rPr>
          <w:rFonts w:ascii="Times New Roman" w:cs="Times New Roman" w:eastAsia="Times New Roman" w:hAnsi="Times New Roman"/>
          <w:sz w:val="16"/>
          <w:szCs w:val="16"/>
          <w:color w:val="auto"/>
        </w:rPr>
        <w:t>”); (iii) the Preferred Shares, the Incremental Warrants and the Incremental Warrant Shares and the shares of Common Stock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issuable upon conversion of the Preferred Shares, the Preferred Shares issuable upon exercise or cancellation of the Incremental Warrants or otherwise pursuant to the terms of this Certificate of Designation; provided, that the terms of this Certificate of Designation are not amended, modified or changed on or after the Closing Date (other than antidilution adjustments pursuant to the terms thereof in effect as of the Closing Date); (iv) up to 3,130,000 of “penny warrants” to purchase shares of Common Stock issued to the Term Loan Lenders in connection with the Term Loan (the “</w:t>
      </w:r>
      <w:r>
        <w:rPr>
          <w:rFonts w:ascii="Times New Roman" w:cs="Times New Roman" w:eastAsia="Times New Roman" w:hAnsi="Times New Roman"/>
          <w:sz w:val="16"/>
          <w:szCs w:val="16"/>
          <w:b w:val="1"/>
          <w:bCs w:val="1"/>
          <w:color w:val="auto"/>
        </w:rPr>
        <w:t>Permitted Penny Warrants</w:t>
      </w:r>
      <w:r>
        <w:rPr>
          <w:rFonts w:ascii="Times New Roman" w:cs="Times New Roman" w:eastAsia="Times New Roman" w:hAnsi="Times New Roman"/>
          <w:sz w:val="16"/>
          <w:szCs w:val="16"/>
          <w:color w:val="auto"/>
        </w:rPr>
        <w:t>”); and</w:t>
      </w:r>
    </w:p>
    <w:p>
      <w:pPr>
        <w:spacing w:after="0" w:line="1" w:lineRule="exact"/>
        <w:rPr>
          <w:rFonts w:ascii="Times New Roman" w:cs="Times New Roman" w:eastAsia="Times New Roman" w:hAnsi="Times New Roman"/>
          <w:sz w:val="16"/>
          <w:szCs w:val="16"/>
          <w:color w:val="auto"/>
        </w:rPr>
      </w:pPr>
    </w:p>
    <w:p>
      <w:pPr>
        <w:ind w:left="234" w:hanging="234"/>
        <w:spacing w:after="0"/>
        <w:tabs>
          <w:tab w:leader="none" w:pos="23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Permitted Facility.</w:t>
      </w:r>
    </w:p>
    <w:p>
      <w:pPr>
        <w:spacing w:after="0" w:line="187" w:lineRule="exact"/>
        <w:rPr>
          <w:rFonts w:ascii="Times New Roman" w:cs="Times New Roman" w:eastAsia="Times New Roman" w:hAnsi="Times New Roman"/>
          <w:sz w:val="17"/>
          <w:szCs w:val="17"/>
          <w:color w:val="auto"/>
        </w:rPr>
      </w:pPr>
    </w:p>
    <w:p>
      <w:pPr>
        <w:jc w:val="both"/>
        <w:ind w:left="-6" w:firstLine="611"/>
        <w:spacing w:after="0" w:line="258" w:lineRule="auto"/>
        <w:tabs>
          <w:tab w:leader="none" w:pos="915"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FATCA</w:t>
      </w:r>
      <w:r>
        <w:rPr>
          <w:rFonts w:ascii="Times New Roman" w:cs="Times New Roman" w:eastAsia="Times New Roman" w:hAnsi="Times New Roman"/>
          <w:sz w:val="17"/>
          <w:szCs w:val="17"/>
          <w:color w:val="auto"/>
        </w:rPr>
        <w:t>” means Sections 1471 through 1474 of the Code, as of the date of this Certificate of Designation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2"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49" w:right="339" w:bottom="1440" w:gutter="0" w:footer="0" w:header="0"/>
        </w:sectPr>
      </w:pPr>
    </w:p>
    <w:bookmarkStart w:id="53" w:name="page54"/>
    <w:bookmarkEnd w:id="53"/>
    <w:p>
      <w:pPr>
        <w:jc w:val="both"/>
        <w:ind w:left="-6" w:firstLine="611"/>
        <w:spacing w:after="0" w:line="269" w:lineRule="auto"/>
        <w:tabs>
          <w:tab w:leader="none" w:pos="921"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Floor Price</w:t>
      </w:r>
      <w:r>
        <w:rPr>
          <w:rFonts w:ascii="Times New Roman" w:cs="Times New Roman" w:eastAsia="Times New Roman" w:hAnsi="Times New Roman"/>
          <w:sz w:val="16"/>
          <w:szCs w:val="16"/>
          <w:color w:val="auto"/>
        </w:rPr>
        <w:t>” means, (i) for any Preferred Shares issued on the Initial Issuance Date pursuant to the Company Shelf Registration Statement (as defined in the Purchase Agreement), $1.00, (ii) for any Preferred Shares issued on the Initial Issuance Date that are not otherwise registered for sale pursuant to the Company Shelf Registration Statement, $0.424 and (iii) for any Preferred Shares issued after the Initial Issuance Date, 20% of the Nasdaq Minimum Price of the Common Stock (as defined by Nasdaq) as of the Trading Day ended immediately prior to the date such Preferred Shares are issued (in each case, as adjusted for stock splits, stock dividends, stock combinations, recapitalizations and similar events)); provided that, on any date following the six (6) month anniversary of the Issuance Date (each, an “</w:t>
      </w:r>
      <w:r>
        <w:rPr>
          <w:rFonts w:ascii="Times New Roman" w:cs="Times New Roman" w:eastAsia="Times New Roman" w:hAnsi="Times New Roman"/>
          <w:sz w:val="16"/>
          <w:szCs w:val="16"/>
          <w:b w:val="1"/>
          <w:bCs w:val="1"/>
          <w:color w:val="auto"/>
        </w:rPr>
        <w:t>Adjustment Date</w:t>
      </w:r>
      <w:r>
        <w:rPr>
          <w:rFonts w:ascii="Times New Roman" w:cs="Times New Roman" w:eastAsia="Times New Roman" w:hAnsi="Times New Roman"/>
          <w:sz w:val="16"/>
          <w:szCs w:val="16"/>
          <w:color w:val="auto"/>
        </w:rPr>
        <w:t>”), if the Floor Price then in effect is higher than the Adjusted Floor Price with respect to the Adjustment Date, on such Adjustment Date the Required Holder may elect to reduce the Floor Price to such applicable Adjusted Floor Price; provided, that in the event the Company, at its discretion, seeks the approval of the Principal Market to lower the Floor Price to such applicable Adjusted Floor Price on such Adjustment Date and the Principal Market prohibits such adjustment, the Floor Price shall not be lowered to such applicable Adjusted Floor Price.</w:t>
      </w:r>
    </w:p>
    <w:p>
      <w:pPr>
        <w:spacing w:after="0" w:line="161" w:lineRule="exact"/>
        <w:rPr>
          <w:rFonts w:ascii="Times New Roman" w:cs="Times New Roman" w:eastAsia="Times New Roman" w:hAnsi="Times New Roman"/>
          <w:sz w:val="16"/>
          <w:szCs w:val="16"/>
          <w:color w:val="auto"/>
        </w:rPr>
      </w:pPr>
    </w:p>
    <w:p>
      <w:pPr>
        <w:jc w:val="both"/>
        <w:ind w:left="-6" w:firstLine="611"/>
        <w:spacing w:after="0" w:line="276" w:lineRule="auto"/>
        <w:tabs>
          <w:tab w:leader="none" w:pos="902"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Fundamental Transaction</w:t>
      </w:r>
      <w:r>
        <w:rPr>
          <w:rFonts w:ascii="Times New Roman" w:cs="Times New Roman" w:eastAsia="Times New Roman" w:hAnsi="Times New Roman"/>
          <w:sz w:val="16"/>
          <w:szCs w:val="16"/>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w:t>
      </w:r>
    </w:p>
    <w:p>
      <w:pPr>
        <w:jc w:val="both"/>
        <w:ind w:left="-6" w:firstLine="6"/>
        <w:spacing w:after="0" w:line="247" w:lineRule="auto"/>
        <w:tabs>
          <w:tab w:leader="none" w:pos="27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Certificate of Designation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1" w:lineRule="exact"/>
        <w:rPr>
          <w:sz w:val="20"/>
          <w:szCs w:val="20"/>
          <w:color w:val="auto"/>
        </w:rPr>
      </w:pPr>
    </w:p>
    <w:p>
      <w:pPr>
        <w:ind w:left="4934"/>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49" w:right="339" w:bottom="1440" w:gutter="0" w:footer="0" w:header="0"/>
        </w:sectPr>
      </w:pPr>
    </w:p>
    <w:bookmarkStart w:id="54" w:name="page55"/>
    <w:bookmarkEnd w:id="54"/>
    <w:p>
      <w:pPr>
        <w:ind w:left="360" w:hanging="269"/>
        <w:spacing w:after="0"/>
        <w:tabs>
          <w:tab w:leader="none" w:pos="3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GAAP</w:t>
      </w:r>
      <w:r>
        <w:rPr>
          <w:rFonts w:ascii="Times New Roman" w:cs="Times New Roman" w:eastAsia="Times New Roman" w:hAnsi="Times New Roman"/>
          <w:sz w:val="17"/>
          <w:szCs w:val="17"/>
          <w:color w:val="auto"/>
        </w:rPr>
        <w:t>” means United States generally accepted accounting principles, consistently applied.</w:t>
      </w:r>
    </w:p>
    <w:p>
      <w:pPr>
        <w:spacing w:after="0" w:line="207" w:lineRule="exact"/>
        <w:rPr>
          <w:rFonts w:ascii="Times New Roman" w:cs="Times New Roman" w:eastAsia="Times New Roman" w:hAnsi="Times New Roman"/>
          <w:sz w:val="17"/>
          <w:szCs w:val="17"/>
          <w:color w:val="auto"/>
        </w:rPr>
      </w:pPr>
    </w:p>
    <w:p>
      <w:pPr>
        <w:jc w:val="both"/>
        <w:ind w:left="-520" w:firstLine="611"/>
        <w:spacing w:after="0" w:line="263" w:lineRule="auto"/>
        <w:tabs>
          <w:tab w:leader="none" w:pos="4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Going Private Transaction</w:t>
      </w:r>
      <w:r>
        <w:rPr>
          <w:rFonts w:ascii="Times New Roman" w:cs="Times New Roman" w:eastAsia="Times New Roman" w:hAnsi="Times New Roman"/>
          <w:sz w:val="17"/>
          <w:szCs w:val="17"/>
          <w:color w:val="auto"/>
        </w:rPr>
        <w:t>” means any Change of Control (i) pursuant to which, the Company (and the Successor Entity, if applicable) ceases to have any securities registered under the 1934 Act or (ii) that results in the purchase and/or cancellation of all of the Common Stock of the Company solely for cash (and not in whole, or in part, for any other securities of any Person).</w:t>
      </w:r>
    </w:p>
    <w:p>
      <w:pPr>
        <w:spacing w:after="0" w:line="164" w:lineRule="exact"/>
        <w:rPr>
          <w:rFonts w:ascii="Times New Roman" w:cs="Times New Roman" w:eastAsia="Times New Roman" w:hAnsi="Times New Roman"/>
          <w:sz w:val="17"/>
          <w:szCs w:val="17"/>
          <w:color w:val="auto"/>
        </w:rPr>
      </w:pPr>
    </w:p>
    <w:p>
      <w:pPr>
        <w:ind w:left="420" w:hanging="329"/>
        <w:spacing w:after="0"/>
        <w:tabs>
          <w:tab w:leader="none" w:pos="4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Group</w:t>
      </w:r>
      <w:r>
        <w:rPr>
          <w:rFonts w:ascii="Times New Roman" w:cs="Times New Roman" w:eastAsia="Times New Roman" w:hAnsi="Times New Roman"/>
          <w:sz w:val="17"/>
          <w:szCs w:val="17"/>
          <w:color w:val="auto"/>
        </w:rPr>
        <w:t>” means a “group” as that term is used in Section 13(d) of the 1934 Act and as defined in Rule 13d-5 thereunder.</w:t>
      </w:r>
    </w:p>
    <w:p>
      <w:pPr>
        <w:spacing w:after="0" w:line="207" w:lineRule="exact"/>
        <w:rPr>
          <w:rFonts w:ascii="Times New Roman" w:cs="Times New Roman" w:eastAsia="Times New Roman" w:hAnsi="Times New Roman"/>
          <w:sz w:val="17"/>
          <w:szCs w:val="17"/>
          <w:color w:val="auto"/>
        </w:rPr>
      </w:pPr>
    </w:p>
    <w:p>
      <w:pPr>
        <w:jc w:val="both"/>
        <w:ind w:left="-520" w:firstLine="611"/>
        <w:spacing w:after="0" w:line="263" w:lineRule="auto"/>
        <w:tabs>
          <w:tab w:leader="none" w:pos="34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Governmental Authority</w:t>
      </w:r>
      <w:r>
        <w:rPr>
          <w:rFonts w:ascii="Times New Roman" w:cs="Times New Roman" w:eastAsia="Times New Roman" w:hAnsi="Times New Roman"/>
          <w:sz w:val="17"/>
          <w:szCs w:val="17"/>
          <w:color w:val="auto"/>
        </w:rPr>
        <w:t>” means any federal, foreign, state, county, municipal, provincial, or local governmental authority, court, judicial body, arbitration tribunal, government or self-regulatory organization, commission, tribunal or organization, or any regulatory, administrative, or other agency, or any political or other subdivision, department, commission, board, bureau, branch, division, ministry, or instrumentality of any of the foregoing.</w:t>
      </w:r>
    </w:p>
    <w:p>
      <w:pPr>
        <w:spacing w:after="0" w:line="164" w:lineRule="exact"/>
        <w:rPr>
          <w:rFonts w:ascii="Times New Roman" w:cs="Times New Roman" w:eastAsia="Times New Roman" w:hAnsi="Times New Roman"/>
          <w:sz w:val="17"/>
          <w:szCs w:val="17"/>
          <w:color w:val="auto"/>
        </w:rPr>
      </w:pPr>
    </w:p>
    <w:p>
      <w:pPr>
        <w:ind w:left="340" w:hanging="249"/>
        <w:spacing w:after="0"/>
        <w:tabs>
          <w:tab w:leader="none" w:pos="3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Warrants</w:t>
      </w:r>
      <w:r>
        <w:rPr>
          <w:rFonts w:ascii="Times New Roman" w:cs="Times New Roman" w:eastAsia="Times New Roman" w:hAnsi="Times New Roman"/>
          <w:sz w:val="17"/>
          <w:szCs w:val="17"/>
          <w:color w:val="auto"/>
        </w:rPr>
        <w:t>” means the warrants to acquire Preferred Shares issued pursuant to the Purchase Agreement.</w:t>
      </w: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49" w:right="339" w:bottom="1440" w:gutter="0" w:footer="0" w:header="0"/>
        </w:sectPr>
      </w:pPr>
    </w:p>
    <w:bookmarkStart w:id="55" w:name="page56"/>
    <w:bookmarkEnd w:id="55"/>
    <w:p>
      <w:pPr>
        <w:jc w:val="both"/>
        <w:ind w:left="-520" w:firstLine="611"/>
        <w:spacing w:after="0" w:line="266" w:lineRule="auto"/>
        <w:tabs>
          <w:tab w:leader="none" w:pos="445"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Indebtedness</w:t>
      </w:r>
      <w:r>
        <w:rPr>
          <w:rFonts w:ascii="Times New Roman" w:cs="Times New Roman" w:eastAsia="Times New Roman" w:hAnsi="Times New Roman"/>
          <w:sz w:val="16"/>
          <w:szCs w:val="16"/>
          <w:color w:val="auto"/>
        </w:rPr>
        <w:t>” means of any Person means, without duplication (A) all indebtedness for borrowed money, (B) all obligations issued, undertaken or assumed as the deferred purchase price of property or services, including, without limitation, “capital leases” in accordance with United States generally accepted accounting principles consistently applied for the periods covered thereby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United States generally accepted accounting principles, consistently applied for the periods covered thereby, is classified as a capital lease, (G) all indebtedness referred to in clauses (A) through (F) above secured by (or for which the holder of such Indebtedness has an existing right, contingent or otherwise, to be secured by) 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 above.</w:t>
      </w:r>
    </w:p>
    <w:p>
      <w:pPr>
        <w:spacing w:after="0" w:line="171" w:lineRule="exact"/>
        <w:rPr>
          <w:rFonts w:ascii="Times New Roman" w:cs="Times New Roman" w:eastAsia="Times New Roman" w:hAnsi="Times New Roman"/>
          <w:sz w:val="16"/>
          <w:szCs w:val="16"/>
          <w:color w:val="auto"/>
        </w:rPr>
      </w:pPr>
    </w:p>
    <w:p>
      <w:pPr>
        <w:jc w:val="both"/>
        <w:ind w:left="-520" w:firstLine="611"/>
        <w:spacing w:after="0" w:line="263" w:lineRule="auto"/>
        <w:tabs>
          <w:tab w:leader="none" w:pos="34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Intellectual Property Rights</w:t>
      </w:r>
      <w:r>
        <w:rPr>
          <w:rFonts w:ascii="Times New Roman" w:cs="Times New Roman" w:eastAsia="Times New Roman" w:hAnsi="Times New Roman"/>
          <w:sz w:val="17"/>
          <w:szCs w:val="17"/>
          <w:color w:val="auto"/>
        </w:rPr>
        <w:t>” means, with respect to the Company and its Subsidiaries, all of their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w:t>
      </w:r>
    </w:p>
    <w:p>
      <w:pPr>
        <w:spacing w:after="0" w:line="164" w:lineRule="exact"/>
        <w:rPr>
          <w:rFonts w:ascii="Times New Roman" w:cs="Times New Roman" w:eastAsia="Times New Roman" w:hAnsi="Times New Roman"/>
          <w:sz w:val="17"/>
          <w:szCs w:val="17"/>
          <w:color w:val="auto"/>
        </w:rPr>
      </w:pPr>
    </w:p>
    <w:p>
      <w:pPr>
        <w:jc w:val="both"/>
        <w:ind w:left="-520" w:firstLine="611"/>
        <w:spacing w:after="0" w:line="263" w:lineRule="auto"/>
        <w:tabs>
          <w:tab w:leader="none" w:pos="501"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Investment</w:t>
      </w:r>
      <w:r>
        <w:rPr>
          <w:rFonts w:ascii="Times New Roman" w:cs="Times New Roman" w:eastAsia="Times New Roman" w:hAnsi="Times New Roman"/>
          <w:sz w:val="17"/>
          <w:szCs w:val="17"/>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spacing w:after="0" w:line="164" w:lineRule="exact"/>
        <w:rPr>
          <w:rFonts w:ascii="Times New Roman" w:cs="Times New Roman" w:eastAsia="Times New Roman" w:hAnsi="Times New Roman"/>
          <w:sz w:val="17"/>
          <w:szCs w:val="17"/>
          <w:color w:val="auto"/>
        </w:rPr>
      </w:pPr>
    </w:p>
    <w:p>
      <w:pPr>
        <w:jc w:val="both"/>
        <w:ind w:left="-520" w:firstLine="611"/>
        <w:spacing w:after="0" w:line="263" w:lineRule="auto"/>
        <w:tabs>
          <w:tab w:leader="none" w:pos="4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Liquidation Event</w:t>
      </w:r>
      <w:r>
        <w:rPr>
          <w:rFonts w:ascii="Times New Roman" w:cs="Times New Roman" w:eastAsia="Times New Roman" w:hAnsi="Times New Roman"/>
          <w:sz w:val="17"/>
          <w:szCs w:val="17"/>
          <w:color w:val="auto"/>
        </w:rPr>
        <w:t>” means, whether in a single transaction or series of transactions, the voluntary or involuntary liquidation, dissolution or winding up of the Company or such Subsidiaries the assets of which constitute all or substantially all of the assets of the business of the Company and its Subsidiaries, taken as a whole.</w:t>
      </w:r>
    </w:p>
    <w:p>
      <w:pPr>
        <w:spacing w:after="0" w:line="16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49" w:right="339" w:bottom="1440" w:gutter="0" w:footer="0" w:header="0"/>
        </w:sectPr>
      </w:pPr>
    </w:p>
    <w:bookmarkStart w:id="56" w:name="page57"/>
    <w:bookmarkEnd w:id="56"/>
    <w:p>
      <w:pPr>
        <w:ind w:left="-520" w:firstLine="611"/>
        <w:spacing w:after="0" w:line="279" w:lineRule="auto"/>
        <w:tabs>
          <w:tab w:leader="none" w:pos="432"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Market Price</w:t>
      </w:r>
      <w:r>
        <w:rPr>
          <w:rFonts w:ascii="Times New Roman" w:cs="Times New Roman" w:eastAsia="Times New Roman" w:hAnsi="Times New Roman"/>
          <w:sz w:val="17"/>
          <w:szCs w:val="17"/>
          <w:color w:val="auto"/>
        </w:rPr>
        <w:t>” means, with respect to any Adjustment Date, the Closing Bid Price of the Common Stock as of the Trading Day ended immediately prior to such applicable Adjustment Date.</w:t>
      </w:r>
    </w:p>
    <w:p>
      <w:pPr>
        <w:spacing w:after="0" w:line="150" w:lineRule="exact"/>
        <w:rPr>
          <w:rFonts w:ascii="Times New Roman" w:cs="Times New Roman" w:eastAsia="Times New Roman" w:hAnsi="Times New Roman"/>
          <w:sz w:val="17"/>
          <w:szCs w:val="17"/>
          <w:color w:val="auto"/>
        </w:rPr>
      </w:pPr>
    </w:p>
    <w:p>
      <w:pPr>
        <w:jc w:val="both"/>
        <w:ind w:left="-520" w:firstLine="611"/>
        <w:spacing w:after="0" w:line="258" w:lineRule="auto"/>
        <w:tabs>
          <w:tab w:leader="none" w:pos="4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means any material adverse effect on the business, properties, assets, liabilities, operations, results of operations, condition (financial or otherwise) or prospects of the Company and its Subsidiaries, if any, individually or taken as a whole, or on the transactions contemplated hereby or on the other Transaction Documents (as defined below), or by the agreements and instruments to be entered into in connection therewith or on the authority or ability of the Company to perform its obligations under the Transaction Documents.</w:t>
      </w:r>
    </w:p>
    <w:p>
      <w:pPr>
        <w:spacing w:after="0" w:line="168" w:lineRule="exact"/>
        <w:rPr>
          <w:rFonts w:ascii="Times New Roman" w:cs="Times New Roman" w:eastAsia="Times New Roman" w:hAnsi="Times New Roman"/>
          <w:sz w:val="17"/>
          <w:szCs w:val="17"/>
          <w:color w:val="auto"/>
        </w:rPr>
      </w:pPr>
    </w:p>
    <w:p>
      <w:pPr>
        <w:ind w:left="420" w:hanging="329"/>
        <w:spacing w:after="0"/>
        <w:tabs>
          <w:tab w:leader="none" w:pos="4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Options</w:t>
      </w:r>
      <w:r>
        <w:rPr>
          <w:rFonts w:ascii="Times New Roman" w:cs="Times New Roman" w:eastAsia="Times New Roman" w:hAnsi="Times New Roman"/>
          <w:sz w:val="17"/>
          <w:szCs w:val="17"/>
          <w:color w:val="auto"/>
        </w:rPr>
        <w:t>” means any rights, warrants or options to subscribe for or purchase shares of Common Stock or Convertible Securities.</w:t>
      </w:r>
    </w:p>
    <w:p>
      <w:pPr>
        <w:spacing w:after="0" w:line="207" w:lineRule="exact"/>
        <w:rPr>
          <w:rFonts w:ascii="Times New Roman" w:cs="Times New Roman" w:eastAsia="Times New Roman" w:hAnsi="Times New Roman"/>
          <w:sz w:val="17"/>
          <w:szCs w:val="17"/>
          <w:color w:val="auto"/>
        </w:rPr>
      </w:pPr>
    </w:p>
    <w:p>
      <w:pPr>
        <w:jc w:val="both"/>
        <w:ind w:left="-520" w:firstLine="611"/>
        <w:spacing w:after="0" w:line="263" w:lineRule="auto"/>
        <w:tabs>
          <w:tab w:leader="none" w:pos="351"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Parent Entity</w:t>
      </w:r>
      <w:r>
        <w:rPr>
          <w:rFonts w:ascii="Times New Roman" w:cs="Times New Roman" w:eastAsia="Times New Roman" w:hAnsi="Times New Roman"/>
          <w:sz w:val="17"/>
          <w:szCs w:val="17"/>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64" w:lineRule="exact"/>
        <w:rPr>
          <w:rFonts w:ascii="Times New Roman" w:cs="Times New Roman" w:eastAsia="Times New Roman" w:hAnsi="Times New Roman"/>
          <w:sz w:val="17"/>
          <w:szCs w:val="17"/>
          <w:color w:val="auto"/>
        </w:rPr>
      </w:pPr>
    </w:p>
    <w:p>
      <w:pPr>
        <w:jc w:val="both"/>
        <w:ind w:left="-520" w:firstLine="611"/>
        <w:spacing w:after="0" w:line="254" w:lineRule="auto"/>
        <w:tabs>
          <w:tab w:leader="none" w:pos="39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Facility</w:t>
      </w:r>
      <w:r>
        <w:rPr>
          <w:rFonts w:ascii="Times New Roman" w:cs="Times New Roman" w:eastAsia="Times New Roman" w:hAnsi="Times New Roman"/>
          <w:sz w:val="17"/>
          <w:szCs w:val="17"/>
          <w:color w:val="auto"/>
        </w:rPr>
        <w:t>” means the Company’s committed equity facility pursuant to its ChEF Purchase Agreement dated October 7, 2022, between the Company and Chardan Capital Markets LLC, as amended from time to time; provided, that (i) the sales of Common Stock pursuant to such committed equity facility shall not exceed 5% of the average daily traded volume of the Common Stock on any Eligible Market, (ii) no share of Common Stock shall be issued pursuant to such committed equity facility at a price per share less than the greater of (x) 150% of the Floor Price and (y) $1.00 and (iii) the aggregate proceeds of sales of Common Stock pursuant to such committed equity facility shall not exceed $12,000,000; provided further, that, with respect to clause (i), such percentage shall increase to 7% after the Registration Effectiveness Date.</w:t>
      </w:r>
    </w:p>
    <w:p>
      <w:pPr>
        <w:spacing w:after="0" w:line="170" w:lineRule="exact"/>
        <w:rPr>
          <w:rFonts w:ascii="Times New Roman" w:cs="Times New Roman" w:eastAsia="Times New Roman" w:hAnsi="Times New Roman"/>
          <w:sz w:val="17"/>
          <w:szCs w:val="17"/>
          <w:color w:val="auto"/>
        </w:rPr>
      </w:pPr>
    </w:p>
    <w:p>
      <w:pPr>
        <w:jc w:val="both"/>
        <w:ind w:left="-520" w:firstLine="611"/>
        <w:spacing w:after="0" w:line="250" w:lineRule="auto"/>
        <w:tabs>
          <w:tab w:leader="none" w:pos="333"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Indebtedness</w:t>
      </w:r>
      <w:r>
        <w:rPr>
          <w:rFonts w:ascii="Times New Roman" w:cs="Times New Roman" w:eastAsia="Times New Roman" w:hAnsi="Times New Roman"/>
          <w:sz w:val="17"/>
          <w:szCs w:val="17"/>
          <w:color w:val="auto"/>
        </w:rPr>
        <w:t>” means (i) Indebtedness set forth on Schedule 3(s) to the Purchase Agreement, as in effect as of the Closing Date, (ii) Indebtedness secured by Permitted Liens or unsecured but as described in clauses (iv) and (v) of the definition of Permitted Liens, (iii) up to $86,500,000 of principal amount of Indebtedness issued pursuant to the Company’s senior secured term loan facility (as amended, the “</w:t>
      </w:r>
      <w:r>
        <w:rPr>
          <w:rFonts w:ascii="Times New Roman" w:cs="Times New Roman" w:eastAsia="Times New Roman" w:hAnsi="Times New Roman"/>
          <w:sz w:val="17"/>
          <w:szCs w:val="17"/>
          <w:b w:val="1"/>
          <w:bCs w:val="1"/>
          <w:color w:val="auto"/>
        </w:rPr>
        <w:t>Term Loan</w:t>
      </w:r>
      <w:r>
        <w:rPr>
          <w:rFonts w:ascii="Times New Roman" w:cs="Times New Roman" w:eastAsia="Times New Roman" w:hAnsi="Times New Roman"/>
          <w:sz w:val="17"/>
          <w:szCs w:val="17"/>
          <w:color w:val="auto"/>
        </w:rPr>
        <w:t>”) with Alter Domus (US) LLC, as agent, and each of Energy Impact Partners Credit Fund I, LP, Energy Impact Partners Credit Fund II, LP and BP Holdings XVII (collectively with any other lenders from time to time party thereto, the “</w:t>
      </w:r>
      <w:r>
        <w:rPr>
          <w:rFonts w:ascii="Times New Roman" w:cs="Times New Roman" w:eastAsia="Times New Roman" w:hAnsi="Times New Roman"/>
          <w:sz w:val="17"/>
          <w:szCs w:val="17"/>
          <w:b w:val="1"/>
          <w:bCs w:val="1"/>
          <w:color w:val="auto"/>
        </w:rPr>
        <w:t>Term Loan Lenders</w:t>
      </w:r>
      <w:r>
        <w:rPr>
          <w:rFonts w:ascii="Times New Roman" w:cs="Times New Roman" w:eastAsia="Times New Roman" w:hAnsi="Times New Roman"/>
          <w:sz w:val="17"/>
          <w:szCs w:val="17"/>
          <w:color w:val="auto"/>
        </w:rPr>
        <w:t>”), plus all interest accruing thereon (including interest payable in kind and capitalized to principal) (the “</w:t>
      </w:r>
      <w:r>
        <w:rPr>
          <w:rFonts w:ascii="Times New Roman" w:cs="Times New Roman" w:eastAsia="Times New Roman" w:hAnsi="Times New Roman"/>
          <w:sz w:val="17"/>
          <w:szCs w:val="17"/>
          <w:b w:val="1"/>
          <w:bCs w:val="1"/>
          <w:color w:val="auto"/>
        </w:rPr>
        <w:t>Existing Term Loan Indebtedness</w:t>
      </w:r>
      <w:r>
        <w:rPr>
          <w:rFonts w:ascii="Times New Roman" w:cs="Times New Roman" w:eastAsia="Times New Roman" w:hAnsi="Times New Roman"/>
          <w:sz w:val="17"/>
          <w:szCs w:val="17"/>
          <w:color w:val="auto"/>
        </w:rPr>
        <w:t>”), (iv) up to $20,000,000 of additional Indebtedness with Term Loan Lenders (the “</w:t>
      </w:r>
      <w:r>
        <w:rPr>
          <w:rFonts w:ascii="Times New Roman" w:cs="Times New Roman" w:eastAsia="Times New Roman" w:hAnsi="Times New Roman"/>
          <w:sz w:val="17"/>
          <w:szCs w:val="17"/>
          <w:b w:val="1"/>
          <w:bCs w:val="1"/>
          <w:color w:val="auto"/>
        </w:rPr>
        <w:t>Additional Term Loan</w:t>
      </w:r>
      <w:r>
        <w:rPr>
          <w:rFonts w:ascii="Times New Roman" w:cs="Times New Roman" w:eastAsia="Times New Roman" w:hAnsi="Times New Roman"/>
          <w:sz w:val="17"/>
          <w:szCs w:val="17"/>
          <w:color w:val="auto"/>
        </w:rPr>
        <w:t xml:space="preserve"> Indebtedness” and together with the Existing Term Loan Indebtedness the “</w:t>
      </w:r>
      <w:r>
        <w:rPr>
          <w:rFonts w:ascii="Times New Roman" w:cs="Times New Roman" w:eastAsia="Times New Roman" w:hAnsi="Times New Roman"/>
          <w:sz w:val="17"/>
          <w:szCs w:val="17"/>
          <w:b w:val="1"/>
          <w:bCs w:val="1"/>
          <w:color w:val="auto"/>
        </w:rPr>
        <w:t>Permitted Term Loan Indebtedness</w:t>
      </w:r>
      <w:r>
        <w:rPr>
          <w:rFonts w:ascii="Times New Roman" w:cs="Times New Roman" w:eastAsia="Times New Roman" w:hAnsi="Times New Roman"/>
          <w:sz w:val="17"/>
          <w:szCs w:val="17"/>
          <w:color w:val="auto"/>
        </w:rPr>
        <w:t>”), (v) up to $10,000,000 of additional Indebtedness for borrowed money from lenders (other than Term Loan Lenders) and (vi) up to $50,000,000 of Indebtedness issuable in connection with the formation and/or operations of certain Subsidiaries as set forth on Schedule 3(s) to the Purchase Agreement; provided that (A) such Indebtedness shall not constitute a Convertible Security, an Option, or convertible into, or exercisable for, any equity interests of the Company or any of its Subsidiaries, (B) the collateral securing such Indebtedness is limited to the assets owned or held directly by such Subsidiary and (C) such Indebtedness is funded concurrently with receipt of a grant to such Subsidiary from a Governmental Authority.</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49" w:right="339" w:bottom="1440" w:gutter="0" w:footer="0" w:header="0"/>
        </w:sectPr>
      </w:pPr>
    </w:p>
    <w:bookmarkStart w:id="57" w:name="page58"/>
    <w:bookmarkEnd w:id="57"/>
    <w:p>
      <w:pPr>
        <w:jc w:val="both"/>
        <w:ind w:firstLine="611"/>
        <w:spacing w:after="0" w:line="250" w:lineRule="auto"/>
        <w:tabs>
          <w:tab w:leader="none" w:pos="92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Liens</w:t>
      </w:r>
      <w:r>
        <w:rPr>
          <w:rFonts w:ascii="Times New Roman" w:cs="Times New Roman" w:eastAsia="Times New Roman" w:hAnsi="Times New Roman"/>
          <w:sz w:val="17"/>
          <w:szCs w:val="17"/>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in either case, with respect to Indebtedness in an aggregate amount not to exceed $500,000,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Liens in favor of customs and revenue authorities arising as a matter of law to secure payments of custom duties in connection with the importation of goods, and Liens arising from judgments, decrees or attachments in circumstances not constituting a Triggering Event under Section 5(a)(xi) and (vii) Liens securing the Permitted Term Loan Indebtedness.</w:t>
      </w:r>
    </w:p>
    <w:p>
      <w:pPr>
        <w:spacing w:after="0" w:line="177" w:lineRule="exact"/>
        <w:rPr>
          <w:rFonts w:ascii="Times New Roman" w:cs="Times New Roman" w:eastAsia="Times New Roman" w:hAnsi="Times New Roman"/>
          <w:sz w:val="17"/>
          <w:szCs w:val="17"/>
          <w:color w:val="auto"/>
        </w:rPr>
      </w:pPr>
    </w:p>
    <w:p>
      <w:pPr>
        <w:ind w:firstLine="611"/>
        <w:spacing w:after="0" w:line="279" w:lineRule="auto"/>
        <w:tabs>
          <w:tab w:leader="none" w:pos="92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a limited liability company, a partnership, a joint venture, a corporation, a trust, an unincorporated organization, any other entity or a government or any department or agency thereof.</w:t>
      </w:r>
    </w:p>
    <w:p>
      <w:pPr>
        <w:spacing w:after="0" w:line="150" w:lineRule="exact"/>
        <w:rPr>
          <w:rFonts w:ascii="Times New Roman" w:cs="Times New Roman" w:eastAsia="Times New Roman" w:hAnsi="Times New Roman"/>
          <w:sz w:val="17"/>
          <w:szCs w:val="17"/>
          <w:color w:val="auto"/>
        </w:rPr>
      </w:pPr>
    </w:p>
    <w:p>
      <w:pPr>
        <w:ind w:left="1000" w:hanging="389"/>
        <w:spacing w:after="0"/>
        <w:tabs>
          <w:tab w:leader="none" w:pos="100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Principal Market</w:t>
      </w:r>
      <w:r>
        <w:rPr>
          <w:rFonts w:ascii="Times New Roman" w:cs="Times New Roman" w:eastAsia="Times New Roman" w:hAnsi="Times New Roman"/>
          <w:sz w:val="17"/>
          <w:szCs w:val="17"/>
          <w:color w:val="auto"/>
        </w:rPr>
        <w:t>” means, as of any time of determination, the principal trading market, if any, in which the shares of Common Stock then</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w:t>
      </w:r>
    </w:p>
    <w:p>
      <w:pPr>
        <w:spacing w:after="0" w:line="187" w:lineRule="exact"/>
        <w:rPr>
          <w:rFonts w:ascii="Times New Roman" w:cs="Times New Roman" w:eastAsia="Times New Roman" w:hAnsi="Times New Roman"/>
          <w:sz w:val="17"/>
          <w:szCs w:val="17"/>
          <w:color w:val="auto"/>
        </w:rPr>
      </w:pPr>
    </w:p>
    <w:p>
      <w:pPr>
        <w:ind w:firstLine="611"/>
        <w:spacing w:after="0" w:line="279" w:lineRule="auto"/>
        <w:tabs>
          <w:tab w:leader="none" w:pos="92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Purchase Agreement</w:t>
      </w:r>
      <w:r>
        <w:rPr>
          <w:rFonts w:ascii="Times New Roman" w:cs="Times New Roman" w:eastAsia="Times New Roman" w:hAnsi="Times New Roman"/>
          <w:sz w:val="17"/>
          <w:szCs w:val="17"/>
          <w:color w:val="auto"/>
        </w:rPr>
        <w:t>” means that certain Securities Purchase Agreement by and among the Company and the initial Holder, dated as of the Closing Date, as may be amended from time to time in accordance with the terms thereof.</w:t>
      </w:r>
    </w:p>
    <w:p>
      <w:pPr>
        <w:spacing w:after="0" w:line="150" w:lineRule="exact"/>
        <w:rPr>
          <w:rFonts w:ascii="Times New Roman" w:cs="Times New Roman" w:eastAsia="Times New Roman" w:hAnsi="Times New Roman"/>
          <w:sz w:val="17"/>
          <w:szCs w:val="17"/>
          <w:color w:val="auto"/>
        </w:rPr>
      </w:pPr>
    </w:p>
    <w:p>
      <w:pPr>
        <w:ind w:firstLine="611"/>
        <w:spacing w:after="0" w:line="279" w:lineRule="auto"/>
        <w:tabs>
          <w:tab w:leader="none" w:pos="92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 Effectiveness Date</w:t>
      </w:r>
      <w:r>
        <w:rPr>
          <w:rFonts w:ascii="Times New Roman" w:cs="Times New Roman" w:eastAsia="Times New Roman" w:hAnsi="Times New Roman"/>
          <w:sz w:val="17"/>
          <w:szCs w:val="17"/>
          <w:color w:val="auto"/>
        </w:rPr>
        <w:t>” means the date on which the Common Stock issuable upon conversion of the Preferred Shares are registered for resale pursuant to an effective and available registration statement.</w:t>
      </w:r>
    </w:p>
    <w:p>
      <w:pPr>
        <w:spacing w:after="0" w:line="15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49" w:right="339" w:bottom="1440" w:gutter="0" w:footer="0" w:header="0"/>
        </w:sectPr>
      </w:pPr>
    </w:p>
    <w:bookmarkStart w:id="58" w:name="page59"/>
    <w:bookmarkEnd w:id="58"/>
    <w:p>
      <w:pPr>
        <w:ind w:left="-520" w:firstLine="611"/>
        <w:spacing w:after="0" w:line="279" w:lineRule="auto"/>
        <w:tabs>
          <w:tab w:leader="none" w:pos="401"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Required Holder</w:t>
      </w:r>
      <w:r>
        <w:rPr>
          <w:rFonts w:ascii="Times New Roman" w:cs="Times New Roman" w:eastAsia="Times New Roman" w:hAnsi="Times New Roman"/>
          <w:sz w:val="17"/>
          <w:szCs w:val="17"/>
          <w:color w:val="auto"/>
        </w:rPr>
        <w:t>” means (i) JAK Opportunities XVII LLC or any of its assigns so long as they hold any of the Preferred Shares or (ii) otherwise, holders of a majority of the Preferred Shares as of such time.</w:t>
      </w:r>
    </w:p>
    <w:p>
      <w:pPr>
        <w:spacing w:after="0" w:line="151" w:lineRule="exact"/>
        <w:rPr>
          <w:sz w:val="20"/>
          <w:szCs w:val="20"/>
          <w:color w:val="auto"/>
        </w:rPr>
      </w:pPr>
    </w:p>
    <w:p>
      <w:pPr>
        <w:ind w:left="460" w:hanging="369"/>
        <w:spacing w:after="0"/>
        <w:tabs>
          <w:tab w:leader="none" w:pos="4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means the United States Securities and Exchange Commission or the successor thereto.</w:t>
      </w:r>
    </w:p>
    <w:p>
      <w:pPr>
        <w:spacing w:after="0" w:line="207" w:lineRule="exact"/>
        <w:rPr>
          <w:rFonts w:ascii="Times New Roman" w:cs="Times New Roman" w:eastAsia="Times New Roman" w:hAnsi="Times New Roman"/>
          <w:sz w:val="17"/>
          <w:szCs w:val="17"/>
          <w:color w:val="auto"/>
        </w:rPr>
      </w:pPr>
    </w:p>
    <w:p>
      <w:pPr>
        <w:ind w:left="-520" w:firstLine="611"/>
        <w:spacing w:after="0" w:line="279" w:lineRule="auto"/>
        <w:tabs>
          <w:tab w:leader="none" w:pos="51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Stated Value</w:t>
      </w:r>
      <w:r>
        <w:rPr>
          <w:rFonts w:ascii="Times New Roman" w:cs="Times New Roman" w:eastAsia="Times New Roman" w:hAnsi="Times New Roman"/>
          <w:sz w:val="17"/>
          <w:szCs w:val="17"/>
          <w:color w:val="auto"/>
        </w:rPr>
        <w:t>” shall mean $10,000 per share, subject to adjustment for stock splits, stock dividends, recapitalizations, reorganizations, reclassifications, combinations, subdivisions or other similar events occurring after the Initial Issuance Date with respect to the Preferred Shares.</w:t>
      </w:r>
    </w:p>
    <w:p>
      <w:pPr>
        <w:spacing w:after="0" w:line="150" w:lineRule="exact"/>
        <w:rPr>
          <w:rFonts w:ascii="Times New Roman" w:cs="Times New Roman" w:eastAsia="Times New Roman" w:hAnsi="Times New Roman"/>
          <w:sz w:val="17"/>
          <w:szCs w:val="17"/>
          <w:color w:val="auto"/>
        </w:rPr>
      </w:pPr>
    </w:p>
    <w:p>
      <w:pPr>
        <w:ind w:left="-520" w:firstLine="611"/>
        <w:spacing w:after="0" w:line="279" w:lineRule="auto"/>
        <w:tabs>
          <w:tab w:leader="none" w:pos="47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Combination Event</w:t>
      </w:r>
      <w:r>
        <w:rPr>
          <w:rFonts w:ascii="Times New Roman" w:cs="Times New Roman" w:eastAsia="Times New Roman" w:hAnsi="Times New Roman"/>
          <w:sz w:val="17"/>
          <w:szCs w:val="17"/>
          <w:color w:val="auto"/>
        </w:rPr>
        <w:t>” means the occurrence at any time and from time to time on or after the Closing Date of any stock split, stock dividend, stock combination recapitalization or other similar transaction involving the Common Stock.</w:t>
      </w:r>
    </w:p>
    <w:p>
      <w:pPr>
        <w:spacing w:after="0" w:line="150" w:lineRule="exact"/>
        <w:rPr>
          <w:rFonts w:ascii="Times New Roman" w:cs="Times New Roman" w:eastAsia="Times New Roman" w:hAnsi="Times New Roman"/>
          <w:sz w:val="17"/>
          <w:szCs w:val="17"/>
          <w:color w:val="auto"/>
        </w:rPr>
      </w:pPr>
    </w:p>
    <w:p>
      <w:pPr>
        <w:jc w:val="both"/>
        <w:ind w:left="-520" w:firstLine="611"/>
        <w:spacing w:after="0" w:line="258" w:lineRule="auto"/>
        <w:tabs>
          <w:tab w:leader="none" w:pos="49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Subsequent Placement</w:t>
      </w:r>
      <w:r>
        <w:rPr>
          <w:rFonts w:ascii="Times New Roman" w:cs="Times New Roman" w:eastAsia="Times New Roman" w:hAnsi="Times New Roman"/>
          <w:sz w:val="17"/>
          <w:szCs w:val="17"/>
          <w:color w:val="auto"/>
        </w:rPr>
        <w:t>” means any direct, or indirect, issuance, offer, sale, grant of any option or right to purchase, or otherwise disposal of (or announcement of any issuance, offer, sale, grant of any option or right to purchase or other disposition of) any equity security or any equity-linked or related security (including, without limitation, any “equity security” (as that term is defined under Rule 405 promulgated under the 1933 Act), any Convertible Securities, any debt, any preferred stock or any purchase rights) by the Company or any of its Subsidiaries.</w:t>
      </w:r>
    </w:p>
    <w:p>
      <w:pPr>
        <w:spacing w:after="0" w:line="168" w:lineRule="exact"/>
        <w:rPr>
          <w:rFonts w:ascii="Times New Roman" w:cs="Times New Roman" w:eastAsia="Times New Roman" w:hAnsi="Times New Roman"/>
          <w:sz w:val="17"/>
          <w:szCs w:val="17"/>
          <w:color w:val="auto"/>
        </w:rPr>
      </w:pPr>
    </w:p>
    <w:p>
      <w:pPr>
        <w:ind w:left="460" w:hanging="369"/>
        <w:spacing w:after="0"/>
        <w:tabs>
          <w:tab w:leader="none" w:pos="4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Subject Entity</w:t>
      </w:r>
      <w:r>
        <w:rPr>
          <w:rFonts w:ascii="Times New Roman" w:cs="Times New Roman" w:eastAsia="Times New Roman" w:hAnsi="Times New Roman"/>
          <w:sz w:val="17"/>
          <w:szCs w:val="17"/>
          <w:color w:val="auto"/>
        </w:rPr>
        <w:t>” means any Person, Persons or Group or any Affiliate or associate of any such Person, Persons or Group.</w:t>
      </w:r>
    </w:p>
    <w:p>
      <w:pPr>
        <w:spacing w:after="0" w:line="207" w:lineRule="exact"/>
        <w:rPr>
          <w:rFonts w:ascii="Times New Roman" w:cs="Times New Roman" w:eastAsia="Times New Roman" w:hAnsi="Times New Roman"/>
          <w:sz w:val="17"/>
          <w:szCs w:val="17"/>
          <w:color w:val="auto"/>
        </w:rPr>
      </w:pPr>
    </w:p>
    <w:p>
      <w:pPr>
        <w:ind w:left="400" w:hanging="309"/>
        <w:spacing w:after="0"/>
        <w:tabs>
          <w:tab w:leader="none" w:pos="40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shall have the meaning set forth in the Purchase Agreement.</w:t>
      </w:r>
    </w:p>
    <w:p>
      <w:pPr>
        <w:spacing w:after="0" w:line="207" w:lineRule="exact"/>
        <w:rPr>
          <w:rFonts w:ascii="Times New Roman" w:cs="Times New Roman" w:eastAsia="Times New Roman" w:hAnsi="Times New Roman"/>
          <w:sz w:val="17"/>
          <w:szCs w:val="17"/>
          <w:color w:val="auto"/>
        </w:rPr>
      </w:pPr>
    </w:p>
    <w:p>
      <w:pPr>
        <w:jc w:val="both"/>
        <w:ind w:left="-520" w:firstLine="611"/>
        <w:spacing w:after="0" w:line="263" w:lineRule="auto"/>
        <w:tabs>
          <w:tab w:leader="none" w:pos="49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Successor Entity</w:t>
      </w:r>
      <w:r>
        <w:rPr>
          <w:rFonts w:ascii="Times New Roman" w:cs="Times New Roman" w:eastAsia="Times New Roman" w:hAnsi="Times New Roman"/>
          <w:sz w:val="17"/>
          <w:szCs w:val="17"/>
          <w:color w:val="auto"/>
        </w:rPr>
        <w:t>” means the Person (or, if so elected by the Required Holder, the Parent Entity) formed by, resulting from or surviving any Fundamental Transaction or the Person (or, if so elected by the Required Holder, the Parent Entity) with which such Fundamental Transaction shall have been entered into.</w:t>
      </w:r>
    </w:p>
    <w:p>
      <w:pPr>
        <w:spacing w:after="0" w:line="164" w:lineRule="exact"/>
        <w:rPr>
          <w:rFonts w:ascii="Times New Roman" w:cs="Times New Roman" w:eastAsia="Times New Roman" w:hAnsi="Times New Roman"/>
          <w:sz w:val="17"/>
          <w:szCs w:val="17"/>
          <w:color w:val="auto"/>
        </w:rPr>
      </w:pPr>
    </w:p>
    <w:p>
      <w:pPr>
        <w:jc w:val="both"/>
        <w:ind w:left="-520" w:firstLine="611"/>
        <w:spacing w:after="0" w:line="252" w:lineRule="auto"/>
        <w:tabs>
          <w:tab w:leader="none" w:pos="491"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applicable Holder or (y) with respect to all determinations other than price determinations relating to the Common Stock, any day on which The New York Stock Exchange (or any successor thereto) is open for trading of securities.</w:t>
      </w:r>
    </w:p>
    <w:p>
      <w:pPr>
        <w:spacing w:after="0" w:line="17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49" w:right="339" w:bottom="1440" w:gutter="0" w:footer="0" w:header="0"/>
        </w:sectPr>
      </w:pPr>
    </w:p>
    <w:bookmarkStart w:id="59" w:name="page60"/>
    <w:bookmarkEnd w:id="59"/>
    <w:p>
      <w:pPr>
        <w:jc w:val="both"/>
        <w:ind w:left="600" w:firstLine="611"/>
        <w:spacing w:after="0" w:line="263" w:lineRule="auto"/>
        <w:tabs>
          <w:tab w:leader="none" w:pos="1512"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Transaction Documents</w:t>
      </w:r>
      <w:r>
        <w:rPr>
          <w:rFonts w:ascii="Times New Roman" w:cs="Times New Roman" w:eastAsia="Times New Roman" w:hAnsi="Times New Roman"/>
          <w:sz w:val="17"/>
          <w:szCs w:val="17"/>
          <w:color w:val="auto"/>
        </w:rPr>
        <w:t>” means the Purchase Agreement, this Certificate of Designation and each of the other agreements and instruments entered into or delivered by the Company or any of the Holders in connection with the transactions contemplated by the Purchase Agreement, all as may be amended from time to time in accordance with the terms thereof.</w:t>
      </w:r>
    </w:p>
    <w:p>
      <w:pPr>
        <w:spacing w:after="0" w:line="164" w:lineRule="exact"/>
        <w:rPr>
          <w:rFonts w:ascii="Times New Roman" w:cs="Times New Roman" w:eastAsia="Times New Roman" w:hAnsi="Times New Roman"/>
          <w:sz w:val="17"/>
          <w:szCs w:val="17"/>
          <w:color w:val="auto"/>
        </w:rPr>
      </w:pPr>
    </w:p>
    <w:p>
      <w:pPr>
        <w:jc w:val="both"/>
        <w:ind w:left="600" w:firstLine="611"/>
        <w:spacing w:after="0" w:line="250" w:lineRule="auto"/>
        <w:tabs>
          <w:tab w:leader="none" w:pos="1499"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VWAP</w:t>
      </w:r>
      <w:r>
        <w:rPr>
          <w:rFonts w:ascii="Times New Roman" w:cs="Times New Roman" w:eastAsia="Times New Roman" w:hAnsi="Times New Roman"/>
          <w:sz w:val="17"/>
          <w:szCs w:val="17"/>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Required Holder. If the Company and the Required Holder are unable to agree upon the fair market value of such security, then such dispute shall be resolved in accordance with the procedures in Section 23. All such determinations shall be appropriately adjusted for any stock dividend, stock split, stock combination, recapitalization or other similar transaction during such period.</w:t>
      </w:r>
    </w:p>
    <w:p>
      <w:pPr>
        <w:spacing w:after="0" w:line="182" w:lineRule="exact"/>
        <w:rPr>
          <w:rFonts w:ascii="Times New Roman" w:cs="Times New Roman" w:eastAsia="Times New Roman" w:hAnsi="Times New Roman"/>
          <w:sz w:val="17"/>
          <w:szCs w:val="17"/>
          <w:color w:val="auto"/>
        </w:rPr>
      </w:pPr>
    </w:p>
    <w:p>
      <w:pPr>
        <w:jc w:val="both"/>
        <w:ind w:firstLine="606"/>
        <w:spacing w:after="0" w:line="268" w:lineRule="auto"/>
        <w:tabs>
          <w:tab w:leader="none" w:pos="857"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Upon receipt or delivery by the Company of any notice in accordance with the terms of this Certificate of Designation,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applicable Holder explicitly in writing in such notice (or promptly (but no later than the next Business Day) following receipt of notice from such Holder, as applicable), and in the absence of any such written indication in such notice (or notification from the Company promptly (but no later than the next Business Day) following receipt of notice from such Holder), such Holder shall be entitled to presume that information contained in the notice does not constitute material, non-public information relating to the Company or any of its Subsidiaries. Nothing contained in this Section 33 shall limit any obligations of the Company, or any rights of any Holder, under Section 4(i) of the Purchase Agreement.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remainder of the page is intentionally left blank]</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0" w:name="page61"/>
    <w:bookmarkEnd w:id="60"/>
    <w:p>
      <w:pPr>
        <w:ind w:firstLine="605"/>
        <w:spacing w:after="0" w:line="281" w:lineRule="auto"/>
        <w:rPr>
          <w:sz w:val="20"/>
          <w:szCs w:val="20"/>
          <w:color w:val="auto"/>
        </w:rPr>
      </w:pPr>
      <w:r>
        <w:rPr>
          <w:rFonts w:ascii="Times New Roman" w:cs="Times New Roman" w:eastAsia="Times New Roman" w:hAnsi="Times New Roman"/>
          <w:sz w:val="17"/>
          <w:szCs w:val="17"/>
          <w:color w:val="auto"/>
        </w:rPr>
        <w:t>IN WITNESS WHEREOF, the Company has caused this Certificate of Designation of Dragonfly Energy Holdings Corp. to be signed by its President and Chief Executive Officer on this 26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February, 2025.</w:t>
      </w:r>
    </w:p>
    <w:p>
      <w:pPr>
        <w:spacing w:after="0" w:line="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Denis Phares</w:t>
            </w:r>
          </w:p>
        </w:tc>
      </w:tr>
      <w:tr>
        <w:trPr>
          <w:trHeight w:val="178"/>
        </w:trPr>
        <w:tc>
          <w:tcPr>
            <w:tcW w:w="6200" w:type="dxa"/>
            <w:vAlign w:val="bottom"/>
          </w:tcPr>
          <w:p>
            <w:pPr>
              <w:ind w:left="5640"/>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Denis Phares</w:t>
            </w:r>
          </w:p>
        </w:tc>
      </w:tr>
      <w:tr>
        <w:trPr>
          <w:trHeight w:val="218"/>
        </w:trPr>
        <w:tc>
          <w:tcPr>
            <w:tcW w:w="6200" w:type="dxa"/>
            <w:vAlign w:val="bottom"/>
          </w:tcPr>
          <w:p>
            <w:pPr>
              <w:ind w:left="564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404"/>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61" w:name="page62"/>
    <w:bookmarkEnd w:id="61"/>
    <w:p>
      <w:pPr>
        <w:ind w:left="10420"/>
        <w:spacing w:after="0"/>
        <w:rPr>
          <w:sz w:val="20"/>
          <w:szCs w:val="20"/>
          <w:color w:val="auto"/>
        </w:rPr>
      </w:pPr>
      <w:r>
        <w:rPr>
          <w:rFonts w:ascii="Times New Roman" w:cs="Times New Roman" w:eastAsia="Times New Roman" w:hAnsi="Times New Roman"/>
          <w:sz w:val="16"/>
          <w:szCs w:val="16"/>
          <w:b w:val="1"/>
          <w:bCs w:val="1"/>
          <w:color w:val="auto"/>
        </w:rPr>
        <w:t>EXHIBIT I</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CONVERSION NOTICE</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Reference is made to the Certificate of Designation of the Certificate of Incorporation of Dragonfly Energy Holdings Corp., a Nevada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establishing the terms, preferences and rights of the Series A Convertible Preferred Stock, $0.0001 par value (the “</w:t>
      </w:r>
      <w:r>
        <w:rPr>
          <w:rFonts w:ascii="Times New Roman" w:cs="Times New Roman" w:eastAsia="Times New Roman" w:hAnsi="Times New Roman"/>
          <w:sz w:val="16"/>
          <w:szCs w:val="16"/>
          <w:b w:val="1"/>
          <w:bCs w:val="1"/>
          <w:color w:val="auto"/>
        </w:rPr>
        <w:t>Preferred Shares</w:t>
      </w:r>
      <w:r>
        <w:rPr>
          <w:rFonts w:ascii="Times New Roman" w:cs="Times New Roman" w:eastAsia="Times New Roman" w:hAnsi="Times New Roman"/>
          <w:sz w:val="16"/>
          <w:szCs w:val="16"/>
          <w:color w:val="auto"/>
        </w:rPr>
        <w:t>”) of the Company (the “</w:t>
      </w:r>
      <w:r>
        <w:rPr>
          <w:rFonts w:ascii="Times New Roman" w:cs="Times New Roman" w:eastAsia="Times New Roman" w:hAnsi="Times New Roman"/>
          <w:sz w:val="16"/>
          <w:szCs w:val="16"/>
          <w:b w:val="1"/>
          <w:bCs w:val="1"/>
          <w:color w:val="auto"/>
        </w:rPr>
        <w:t>Certificate of Designation</w:t>
      </w:r>
      <w:r>
        <w:rPr>
          <w:rFonts w:ascii="Times New Roman" w:cs="Times New Roman" w:eastAsia="Times New Roman" w:hAnsi="Times New Roman"/>
          <w:sz w:val="16"/>
          <w:szCs w:val="16"/>
          <w:color w:val="auto"/>
        </w:rPr>
        <w:t>”). In accordance with and pursuant to the Certificate of Designation, the undersigned hereby elects to convert the number of Preferred Shares indicated below into shares of common stock, $0.0001 value per share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of the Company, as of the date specified below.</w:t>
      </w:r>
    </w:p>
    <w:p>
      <w:pPr>
        <w:sectPr>
          <w:pgSz w:w="11900" w:h="16838" w:orient="portrait"/>
          <w:cols w:equalWidth="0" w:num="1">
            <w:col w:w="11240"/>
          </w:cols>
          <w:pgMar w:left="320" w:top="649" w:right="339" w:bottom="1440" w:gutter="0" w:footer="0" w:header="0"/>
        </w:sectPr>
      </w:pP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Date of Conversion:</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w:t>
      </w:r>
    </w:p>
    <w:p>
      <w:pPr>
        <w:spacing w:after="0" w:line="200" w:lineRule="exact"/>
        <w:rPr>
          <w:sz w:val="20"/>
          <w:szCs w:val="20"/>
          <w:color w:val="auto"/>
        </w:rPr>
      </w:pPr>
    </w:p>
    <w:p>
      <w:pPr>
        <w:sectPr>
          <w:pgSz w:w="11900" w:h="16838" w:orient="portrait"/>
          <w:cols w:equalWidth="0" w:num="2">
            <w:col w:w="4840" w:space="720"/>
            <w:col w:w="5680"/>
          </w:cols>
          <w:pgMar w:left="320" w:top="649" w:right="339" w:bottom="1440" w:gutter="0" w:footer="0" w:header="0"/>
          <w:type w:val="continuous"/>
        </w:sectPr>
      </w:pPr>
    </w:p>
    <w:p>
      <w:pPr>
        <w:spacing w:after="0" w:line="1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Aggregate number of Preferred</w:t>
      </w:r>
    </w:p>
    <w:p>
      <w:pPr>
        <w:spacing w:after="0" w:line="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Shares to be converted: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19" w:lineRule="exact"/>
        <w:rPr>
          <w:sz w:val="20"/>
          <w:szCs w:val="20"/>
          <w:color w:val="auto"/>
        </w:rPr>
      </w:pPr>
    </w:p>
    <w:p>
      <w:pPr>
        <w:sectPr>
          <w:pgSz w:w="11900" w:h="16838" w:orient="portrait"/>
          <w:cols w:equalWidth="0" w:num="2">
            <w:col w:w="4840" w:space="720"/>
            <w:col w:w="5680"/>
          </w:cols>
          <w:pgMar w:left="320" w:top="649"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color w:val="auto"/>
        </w:rPr>
        <w:t>Aggregate Stated Value of such</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Preferred Shares to be converted: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16" w:lineRule="exact"/>
        <w:rPr>
          <w:sz w:val="20"/>
          <w:szCs w:val="20"/>
          <w:color w:val="auto"/>
        </w:rPr>
      </w:pPr>
    </w:p>
    <w:p>
      <w:pPr>
        <w:sectPr>
          <w:pgSz w:w="11900" w:h="16838" w:orient="portrait"/>
          <w:cols w:equalWidth="0" w:num="2">
            <w:col w:w="4840" w:space="720"/>
            <w:col w:w="5680"/>
          </w:cols>
          <w:pgMar w:left="320" w:top="649" w:right="339" w:bottom="1440" w:gutter="0" w:footer="0" w:header="0"/>
          <w:type w:val="continuous"/>
        </w:sectPr>
      </w:pPr>
    </w:p>
    <w:p>
      <w:pPr>
        <w:spacing w:after="0" w:line="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Aggregate accrued and unpaid</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Dividends with respect to such</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Preferred Shares to be converted:</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16" w:lineRule="exact"/>
        <w:rPr>
          <w:sz w:val="20"/>
          <w:szCs w:val="20"/>
          <w:color w:val="auto"/>
        </w:rPr>
      </w:pPr>
    </w:p>
    <w:p>
      <w:pPr>
        <w:sectPr>
          <w:pgSz w:w="11900" w:h="16838" w:orient="portrait"/>
          <w:cols w:equalWidth="0" w:num="2">
            <w:col w:w="4840" w:space="720"/>
            <w:col w:w="5680"/>
          </w:cols>
          <w:pgMar w:left="320" w:top="649" w:right="339" w:bottom="1440" w:gutter="0" w:footer="0" w:header="0"/>
          <w:type w:val="continuous"/>
        </w:sectPr>
      </w:pPr>
    </w:p>
    <w:p>
      <w:pPr>
        <w:spacing w:after="0" w:line="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AGGREGATE CONVERSION</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AMOUNT TO BE CONVERTED: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16" w:lineRule="exact"/>
        <w:rPr>
          <w:sz w:val="20"/>
          <w:szCs w:val="20"/>
          <w:color w:val="auto"/>
        </w:rPr>
      </w:pPr>
    </w:p>
    <w:p>
      <w:pPr>
        <w:sectPr>
          <w:pgSz w:w="11900" w:h="16838" w:orient="portrait"/>
          <w:cols w:equalWidth="0" w:num="2">
            <w:col w:w="4840" w:space="720"/>
            <w:col w:w="5680"/>
          </w:cols>
          <w:pgMar w:left="320" w:top="649"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confirm the following information: Conversion Price:</w:t>
      </w:r>
    </w:p>
    <w:p>
      <w:pPr>
        <w:sectPr>
          <w:pgSz w:w="11900" w:h="16838" w:orient="portrait"/>
          <w:cols w:equalWidth="0" w:num="1">
            <w:col w:w="11240"/>
          </w:cols>
          <w:pgMar w:left="320" w:top="649" w:right="339" w:bottom="1440" w:gutter="0" w:footer="0" w:header="0"/>
          <w:type w:val="continuous"/>
        </w:sectPr>
      </w:pPr>
    </w:p>
    <w:p>
      <w:pPr>
        <w:spacing w:after="0" w:line="2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Conversion Price: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____________________________________________________</w:t>
      </w:r>
    </w:p>
    <w:p>
      <w:pPr>
        <w:spacing w:after="0" w:line="200" w:lineRule="exact"/>
        <w:rPr>
          <w:sz w:val="20"/>
          <w:szCs w:val="20"/>
          <w:color w:val="auto"/>
        </w:rPr>
      </w:pPr>
    </w:p>
    <w:p>
      <w:pPr>
        <w:sectPr>
          <w:pgSz w:w="11900" w:h="16838" w:orient="portrait"/>
          <w:cols w:equalWidth="0" w:num="2">
            <w:col w:w="4840" w:space="720"/>
            <w:col w:w="5680"/>
          </w:cols>
          <w:pgMar w:left="320" w:top="649" w:right="339" w:bottom="1440" w:gutter="0" w:footer="0" w:header="0"/>
          <w:type w:val="continuous"/>
        </w:sectPr>
      </w:pPr>
    </w:p>
    <w:p>
      <w:pPr>
        <w:spacing w:after="0" w:line="1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Number of shares of Common Stock to be issued: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______________________________________</w:t>
      </w:r>
    </w:p>
    <w:p>
      <w:pPr>
        <w:spacing w:after="0" w:line="200" w:lineRule="exact"/>
        <w:rPr>
          <w:sz w:val="20"/>
          <w:szCs w:val="20"/>
          <w:color w:val="auto"/>
        </w:rPr>
      </w:pPr>
    </w:p>
    <w:p>
      <w:pPr>
        <w:sectPr>
          <w:pgSz w:w="11900" w:h="16838" w:orient="portrait"/>
          <w:cols w:equalWidth="0" w:num="2">
            <w:col w:w="4840" w:space="720"/>
            <w:col w:w="5680"/>
          </w:cols>
          <w:pgMar w:left="320" w:top="649" w:right="339" w:bottom="1440" w:gutter="0" w:footer="0" w:header="0"/>
          <w:type w:val="continuous"/>
        </w:sectPr>
      </w:pPr>
    </w:p>
    <w:p>
      <w:pPr>
        <w:spacing w:after="0" w:line="19" w:lineRule="exact"/>
        <w:rPr>
          <w:sz w:val="20"/>
          <w:szCs w:val="20"/>
          <w:color w:val="auto"/>
        </w:rPr>
      </w:pPr>
    </w:p>
    <w:p>
      <w:pPr>
        <w:ind w:firstLine="1"/>
        <w:spacing w:after="0" w:line="274" w:lineRule="auto"/>
        <w:tabs>
          <w:tab w:leader="none" w:pos="207" w:val="left"/>
        </w:tabs>
        <w:numPr>
          <w:ilvl w:val="0"/>
          <w:numId w:val="80"/>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If this Conversion Notice is being delivered with respect to an Alternate Conversion, check here if Holder is electing to use the following Alternate Conversion Price: 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6"/>
          <w:szCs w:val="16"/>
          <w:color w:val="auto"/>
        </w:rPr>
        <w:t>Please issue the Common Stock into which the applicable Preferred Shares are being converted to Holder, or for its benefit, as follows:</w:t>
      </w:r>
    </w:p>
    <w:p>
      <w:pPr>
        <w:spacing w:after="0" w:line="219" w:lineRule="exact"/>
        <w:rPr>
          <w:sz w:val="20"/>
          <w:szCs w:val="20"/>
          <w:color w:val="auto"/>
        </w:rPr>
      </w:pPr>
    </w:p>
    <w:p>
      <w:pPr>
        <w:ind w:left="600" w:right="2579" w:firstLine="6"/>
        <w:spacing w:after="0" w:line="522" w:lineRule="auto"/>
        <w:tabs>
          <w:tab w:leader="none" w:pos="793" w:val="left"/>
        </w:tabs>
        <w:numPr>
          <w:ilvl w:val="0"/>
          <w:numId w:val="8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here if requesting delivery as a certificate to the following name and to the following address: Issue to:</w:t>
      </w:r>
    </w:p>
    <w:p>
      <w:pPr>
        <w:spacing w:after="0" w:line="200" w:lineRule="exact"/>
        <w:rPr>
          <w:rFonts w:ascii="MS PGothic" w:cs="MS PGothic" w:eastAsia="MS PGothic" w:hAnsi="MS PGothic"/>
          <w:sz w:val="17"/>
          <w:szCs w:val="17"/>
          <w:color w:val="auto"/>
        </w:rPr>
      </w:pPr>
    </w:p>
    <w:p>
      <w:pPr>
        <w:spacing w:after="0" w:line="200" w:lineRule="exact"/>
        <w:rPr>
          <w:rFonts w:ascii="MS PGothic" w:cs="MS PGothic" w:eastAsia="MS PGothic" w:hAnsi="MS PGothic"/>
          <w:sz w:val="17"/>
          <w:szCs w:val="17"/>
          <w:color w:val="auto"/>
        </w:rPr>
      </w:pPr>
    </w:p>
    <w:p>
      <w:pPr>
        <w:spacing w:after="0" w:line="212" w:lineRule="exact"/>
        <w:rPr>
          <w:rFonts w:ascii="MS PGothic" w:cs="MS PGothic" w:eastAsia="MS PGothic" w:hAnsi="MS PGothic"/>
          <w:sz w:val="17"/>
          <w:szCs w:val="17"/>
          <w:color w:val="auto"/>
        </w:rPr>
      </w:pPr>
    </w:p>
    <w:p>
      <w:pPr>
        <w:ind w:left="800" w:hanging="194"/>
        <w:spacing w:after="0"/>
        <w:tabs>
          <w:tab w:leader="none" w:pos="800" w:val="left"/>
        </w:tabs>
        <w:numPr>
          <w:ilvl w:val="0"/>
          <w:numId w:val="8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here if requesting delivery by Deposit/Withdrawal at Custodian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-248920</wp:posOffset>
            </wp:positionV>
            <wp:extent cx="59886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88685"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-385445</wp:posOffset>
            </wp:positionV>
            <wp:extent cx="59886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88685"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-521335</wp:posOffset>
            </wp:positionV>
            <wp:extent cx="59886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88685" cy="8255"/>
                    </a:xfrm>
                    <a:prstGeom prst="rect">
                      <a:avLst/>
                    </a:prstGeom>
                    <a:noFill/>
                  </pic:spPr>
                </pic:pic>
              </a:graphicData>
            </a:graphic>
          </wp:anchor>
        </w:drawing>
        <w:drawing>
          <wp:anchor simplePos="0" relativeHeight="251657728" behindDoc="1" locked="0" layoutInCell="0" allowOverlap="1">
            <wp:simplePos x="0" y="0"/>
            <wp:positionH relativeFrom="column">
              <wp:posOffset>1153160</wp:posOffset>
            </wp:positionH>
            <wp:positionV relativeFrom="paragraph">
              <wp:posOffset>-657225</wp:posOffset>
            </wp:positionV>
            <wp:extent cx="59886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88685" cy="8255"/>
                    </a:xfrm>
                    <a:prstGeom prst="rect">
                      <a:avLst/>
                    </a:prstGeom>
                    <a:noFill/>
                  </pic:spPr>
                </pic:pic>
              </a:graphicData>
            </a:graphic>
          </wp:anchor>
        </w:drawing>
      </w:r>
    </w:p>
    <w:p>
      <w:pPr>
        <w:spacing w:after="0" w:line="188" w:lineRule="exact"/>
        <w:rPr>
          <w:sz w:val="20"/>
          <w:szCs w:val="20"/>
          <w:color w:val="auto"/>
        </w:rPr>
      </w:pPr>
    </w:p>
    <w:p>
      <w:pPr>
        <w:ind w:left="600"/>
        <w:spacing w:after="0"/>
        <w:tabs>
          <w:tab w:leader="none" w:pos="2700" w:val="left"/>
        </w:tabs>
        <w:rPr>
          <w:sz w:val="20"/>
          <w:szCs w:val="20"/>
          <w:color w:val="auto"/>
        </w:rPr>
      </w:pPr>
      <w:r>
        <w:rPr>
          <w:rFonts w:ascii="Times New Roman" w:cs="Times New Roman" w:eastAsia="Times New Roman" w:hAnsi="Times New Roman"/>
          <w:sz w:val="17"/>
          <w:szCs w:val="17"/>
          <w:color w:val="auto"/>
        </w:rPr>
        <w:t>DTC Participant:</w:t>
      </w:r>
      <w:r>
        <w:rPr>
          <w:sz w:val="20"/>
          <w:szCs w:val="20"/>
          <w:color w:val="auto"/>
        </w:rPr>
        <w:tab/>
      </w:r>
      <w:r>
        <w:rPr>
          <w:rFonts w:ascii="Times New Roman" w:cs="Times New Roman" w:eastAsia="Times New Roman" w:hAnsi="Times New Roman"/>
          <w:sz w:val="16"/>
          <w:szCs w:val="16"/>
          <w:color w:val="auto"/>
        </w:rPr>
        <w:t>_____________________________________________________</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DTC Number:</w:t>
      </w:r>
    </w:p>
    <w:p>
      <w:pPr>
        <w:spacing w:after="0" w:line="2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Account</w:t>
      </w:r>
    </w:p>
    <w:p>
      <w:pPr>
        <w:spacing w:after="0" w:line="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1537970</wp:posOffset>
            </wp:positionH>
            <wp:positionV relativeFrom="paragraph">
              <wp:posOffset>4445</wp:posOffset>
            </wp:positionV>
            <wp:extent cx="56045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0451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_____________, ____, 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35706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6350</wp:posOffset>
            </wp:positionV>
            <wp:extent cx="32105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Tax ID: ______________________________</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653" w:right="1440" w:bottom="1440" w:gutter="0" w:footer="0" w:header="0"/>
        </w:sectPr>
      </w:pPr>
    </w:p>
    <w:bookmarkStart w:id="63" w:name="page64"/>
    <w:bookmarkEnd w:id="63"/>
    <w:p>
      <w:pPr>
        <w:ind w:left="10360"/>
        <w:spacing w:after="0"/>
        <w:rPr>
          <w:sz w:val="20"/>
          <w:szCs w:val="20"/>
          <w:color w:val="auto"/>
        </w:rPr>
      </w:pPr>
      <w:r>
        <w:rPr>
          <w:rFonts w:ascii="Times New Roman" w:cs="Times New Roman" w:eastAsia="Times New Roman" w:hAnsi="Times New Roman"/>
          <w:sz w:val="16"/>
          <w:szCs w:val="16"/>
          <w:b w:val="1"/>
          <w:bCs w:val="1"/>
          <w:color w:val="auto"/>
        </w:rPr>
        <w:t>EXHIBIT II</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ACKNOWLEDGMENT</w:t>
      </w:r>
    </w:p>
    <w:p>
      <w:pPr>
        <w:spacing w:after="0" w:line="212" w:lineRule="exact"/>
        <w:rPr>
          <w:sz w:val="20"/>
          <w:szCs w:val="20"/>
          <w:color w:val="auto"/>
        </w:rPr>
      </w:pPr>
    </w:p>
    <w:p>
      <w:pPr>
        <w:jc w:val="both"/>
        <w:ind w:firstLine="605"/>
        <w:spacing w:after="0" w:line="270" w:lineRule="auto"/>
        <w:rPr>
          <w:sz w:val="20"/>
          <w:szCs w:val="20"/>
          <w:color w:val="auto"/>
        </w:rPr>
      </w:pPr>
      <w:r>
        <w:rPr>
          <w:rFonts w:ascii="Times New Roman" w:cs="Times New Roman" w:eastAsia="Times New Roman" w:hAnsi="Times New Roman"/>
          <w:sz w:val="16"/>
          <w:szCs w:val="16"/>
          <w:color w:val="auto"/>
        </w:rPr>
        <w:t>The Company hereby acknowledges this Conversion Notice, (a) certifies that the above indicated number of shares of Common Stock [are][are not] eligible to be resold by the applicable Holder either (i) pursuant to Rule 144 or Section 4(a)(1) of the 1933 Act (subject to such Holder’s execution and delivery to the Company of a customary 144 or Section 4(a)(1) representation letter) or (ii) an effective and available registration statement and (b) hereby directs ________________</w:t>
      </w:r>
    </w:p>
    <w:p>
      <w:pPr>
        <w:spacing w:after="0"/>
        <w:rPr>
          <w:sz w:val="20"/>
          <w:szCs w:val="20"/>
          <w:color w:val="auto"/>
        </w:rPr>
      </w:pPr>
      <w:r>
        <w:rPr>
          <w:rFonts w:ascii="Times New Roman" w:cs="Times New Roman" w:eastAsia="Times New Roman" w:hAnsi="Times New Roman"/>
          <w:sz w:val="17"/>
          <w:szCs w:val="17"/>
          <w:color w:val="auto"/>
        </w:rPr>
        <w:t>to issue the above indicated number of shares of Common Stock in accordance with the Transfer Agent Instructions dated____________, 20____ from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acknowledged and agreed to by_______________________.</w:t>
      </w:r>
    </w:p>
    <w:p>
      <w:pPr>
        <w:spacing w:after="0" w:line="1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INCREMENTAL WARRANT]</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THE NUMBER OF SECURITIES ISSUABLE UPON EXERCISE OF THIS WARRANT MAY BE LESS THAN THE AMOUNTS SET FORTH ON THE FACE HEREOF PURSUANT TO SECTION 1(a) OF THIS WARRANT.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1"/>
          <w:szCs w:val="11"/>
          <w:b w:val="1"/>
          <w:bCs w:val="1"/>
          <w:color w:val="auto"/>
        </w:rPr>
        <w:t>ragonfly</w:t>
      </w:r>
      <w:r>
        <w:rPr>
          <w:rFonts w:ascii="Times New Roman" w:cs="Times New Roman" w:eastAsia="Times New Roman" w:hAnsi="Times New Roman"/>
          <w:sz w:val="17"/>
          <w:szCs w:val="17"/>
          <w:b w:val="1"/>
          <w:bCs w:val="1"/>
          <w:color w:val="auto"/>
        </w:rPr>
        <w:t xml:space="preserve"> E</w:t>
      </w:r>
      <w:r>
        <w:rPr>
          <w:rFonts w:ascii="Times New Roman" w:cs="Times New Roman" w:eastAsia="Times New Roman" w:hAnsi="Times New Roman"/>
          <w:sz w:val="11"/>
          <w:szCs w:val="11"/>
          <w:b w:val="1"/>
          <w:bCs w:val="1"/>
          <w:color w:val="auto"/>
        </w:rPr>
        <w:t>nergy</w:t>
      </w:r>
      <w:r>
        <w:rPr>
          <w:rFonts w:ascii="Times New Roman" w:cs="Times New Roman" w:eastAsia="Times New Roman" w:hAnsi="Times New Roman"/>
          <w:sz w:val="17"/>
          <w:szCs w:val="17"/>
          <w:b w:val="1"/>
          <w:bCs w:val="1"/>
          <w:color w:val="auto"/>
        </w:rPr>
        <w:t xml:space="preserve"> H</w:t>
      </w:r>
      <w:r>
        <w:rPr>
          <w:rFonts w:ascii="Times New Roman" w:cs="Times New Roman" w:eastAsia="Times New Roman" w:hAnsi="Times New Roman"/>
          <w:sz w:val="11"/>
          <w:szCs w:val="11"/>
          <w:b w:val="1"/>
          <w:bCs w:val="1"/>
          <w:color w:val="auto"/>
        </w:rPr>
        <w:t>oldings</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orp</w:t>
      </w:r>
      <w:r>
        <w:rPr>
          <w:rFonts w:ascii="Times New Roman" w:cs="Times New Roman" w:eastAsia="Times New Roman" w:hAnsi="Times New Roman"/>
          <w:sz w:val="17"/>
          <w:szCs w:val="17"/>
          <w:b w:val="1"/>
          <w:bCs w:val="1"/>
          <w:color w:val="auto"/>
        </w:rPr>
        <w: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o</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urchase</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eries</w:t>
      </w:r>
      <w:r>
        <w:rPr>
          <w:rFonts w:ascii="Times New Roman" w:cs="Times New Roman" w:eastAsia="Times New Roman" w:hAnsi="Times New Roman"/>
          <w:sz w:val="17"/>
          <w:szCs w:val="17"/>
          <w:b w:val="1"/>
          <w:bCs w:val="1"/>
          <w:color w:val="auto"/>
        </w:rPr>
        <w:t xml:space="preserve"> A C</w:t>
      </w:r>
      <w:r>
        <w:rPr>
          <w:rFonts w:ascii="Times New Roman" w:cs="Times New Roman" w:eastAsia="Times New Roman" w:hAnsi="Times New Roman"/>
          <w:sz w:val="11"/>
          <w:szCs w:val="11"/>
          <w:b w:val="1"/>
          <w:bCs w:val="1"/>
          <w:color w:val="auto"/>
        </w:rPr>
        <w:t>onvertible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referred</w:t>
      </w:r>
      <w:r>
        <w:rPr>
          <w:rFonts w:ascii="Times New Roman" w:cs="Times New Roman" w:eastAsia="Times New Roman" w:hAnsi="Times New Roman"/>
          <w:sz w:val="17"/>
          <w:szCs w:val="17"/>
          <w:b w:val="1"/>
          <w:bCs w:val="1"/>
          <w:color w:val="auto"/>
        </w:rPr>
        <w:t xml:space="preserve"> S</w:t>
      </w:r>
      <w:r>
        <w:rPr>
          <w:rFonts w:ascii="Times New Roman" w:cs="Times New Roman" w:eastAsia="Times New Roman" w:hAnsi="Times New Roman"/>
          <w:sz w:val="11"/>
          <w:szCs w:val="11"/>
          <w:b w:val="1"/>
          <w:bCs w:val="1"/>
          <w:color w:val="auto"/>
        </w:rPr>
        <w:t>tock</w:t>
      </w:r>
    </w:p>
    <w:p>
      <w:pPr>
        <w:spacing w:after="0" w:line="212" w:lineRule="exact"/>
        <w:rPr>
          <w:sz w:val="20"/>
          <w:szCs w:val="20"/>
          <w:color w:val="auto"/>
        </w:rPr>
      </w:pPr>
    </w:p>
    <w:p>
      <w:pPr>
        <w:spacing w:after="0"/>
        <w:tabs>
          <w:tab w:leader="none" w:pos="9260" w:val="left"/>
        </w:tabs>
        <w:rPr>
          <w:sz w:val="20"/>
          <w:szCs w:val="20"/>
          <w:color w:val="auto"/>
        </w:rPr>
      </w:pPr>
      <w:r>
        <w:rPr>
          <w:rFonts w:ascii="Times New Roman" w:cs="Times New Roman" w:eastAsia="Times New Roman" w:hAnsi="Times New Roman"/>
          <w:sz w:val="17"/>
          <w:szCs w:val="17"/>
          <w:color w:val="auto"/>
        </w:rPr>
        <w:t>Warrant No.: [  ]</w:t>
      </w:r>
      <w:r>
        <w:rPr>
          <w:sz w:val="20"/>
          <w:szCs w:val="20"/>
          <w:color w:val="auto"/>
        </w:rPr>
        <w:tab/>
      </w:r>
      <w:r>
        <w:rPr>
          <w:rFonts w:ascii="Times New Roman" w:cs="Times New Roman" w:eastAsia="Times New Roman" w:hAnsi="Times New Roman"/>
          <w:sz w:val="16"/>
          <w:szCs w:val="16"/>
          <w:color w:val="auto"/>
        </w:rPr>
        <w:t>Issuance Date: [____], 202</w:t>
      </w:r>
      <w:r>
        <w:rPr>
          <w:rFonts w:ascii="Times New Roman" w:cs="Times New Roman" w:eastAsia="Times New Roman" w:hAnsi="Times New Roman"/>
          <w:sz w:val="16"/>
          <w:szCs w:val="16"/>
          <w:u w:val="single" w:color="auto"/>
          <w:color w:val="auto"/>
        </w:rPr>
        <w:t>[ ]</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Maximum Stated Value of Preferred Shares Issuable: $2,000,000</w:t>
      </w:r>
    </w:p>
    <w:p>
      <w:pPr>
        <w:spacing w:after="0" w:line="233" w:lineRule="exact"/>
        <w:rPr>
          <w:sz w:val="20"/>
          <w:szCs w:val="20"/>
          <w:color w:val="auto"/>
        </w:rPr>
      </w:pPr>
    </w:p>
    <w:p>
      <w:pPr>
        <w:jc w:val="both"/>
        <w:ind w:firstLine="1210"/>
        <w:spacing w:after="0" w:line="250" w:lineRule="auto"/>
        <w:rPr>
          <w:sz w:val="20"/>
          <w:szCs w:val="20"/>
          <w:color w:val="auto"/>
        </w:rPr>
      </w:pPr>
      <w:r>
        <w:rPr>
          <w:rFonts w:ascii="Times New Roman" w:cs="Times New Roman" w:eastAsia="Times New Roman" w:hAnsi="Times New Roman"/>
          <w:sz w:val="17"/>
          <w:szCs w:val="17"/>
          <w:color w:val="auto"/>
        </w:rPr>
        <w:t>THIS WARRANT TO PURCHASE SERIES A CONVERTIBLE PREFERRED STOCK (the “</w:t>
      </w:r>
      <w:r>
        <w:rPr>
          <w:rFonts w:ascii="Times New Roman" w:cs="Times New Roman" w:eastAsia="Times New Roman" w:hAnsi="Times New Roman"/>
          <w:sz w:val="17"/>
          <w:szCs w:val="17"/>
          <w:u w:val="single" w:color="auto"/>
          <w:color w:val="auto"/>
        </w:rPr>
        <w:t>Incremental Warrant</w:t>
      </w:r>
      <w:r>
        <w:rPr>
          <w:rFonts w:ascii="Times New Roman" w:cs="Times New Roman" w:eastAsia="Times New Roman" w:hAnsi="Times New Roman"/>
          <w:sz w:val="17"/>
          <w:szCs w:val="17"/>
          <w:color w:val="auto"/>
        </w:rPr>
        <w:t>”) certifies that, for value received, JAK Opportunities XVII LLC or its permitted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7"/>
          <w:szCs w:val="17"/>
          <w:u w:val="single" w:color="auto"/>
          <w:color w:val="auto"/>
        </w:rPr>
        <w:t>Issuance Date</w:t>
      </w:r>
      <w:r>
        <w:rPr>
          <w:rFonts w:ascii="Times New Roman" w:cs="Times New Roman" w:eastAsia="Times New Roman" w:hAnsi="Times New Roman"/>
          <w:sz w:val="17"/>
          <w:szCs w:val="17"/>
          <w:color w:val="auto"/>
        </w:rPr>
        <w:t>”) and on or prior to the earlier of (i) the thirty-three (33) month anniversary of the Registration Effectiveness Date and (ii)(A) the consummation of a Change of Control (as defined in the Certificate of Designation) and (B) the consummation of a redemption of the then outstanding Preferred Shares in full pursuant to Section 9 of the Certificate of Designation (as defined below)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Dragonfly Energy Holdings Corp., a Nevada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Series A Convertible Preferred Stock of the Company, par value $0.0001 per share (the “</w:t>
      </w:r>
      <w:r>
        <w:rPr>
          <w:rFonts w:ascii="Times New Roman" w:cs="Times New Roman" w:eastAsia="Times New Roman" w:hAnsi="Times New Roman"/>
          <w:sz w:val="17"/>
          <w:szCs w:val="17"/>
          <w:u w:val="single" w:color="auto"/>
          <w:color w:val="auto"/>
        </w:rPr>
        <w:t>Preferred Shares</w:t>
      </w:r>
      <w:r>
        <w:rPr>
          <w:rFonts w:ascii="Times New Roman" w:cs="Times New Roman" w:eastAsia="Times New Roman" w:hAnsi="Times New Roman"/>
          <w:sz w:val="17"/>
          <w:szCs w:val="17"/>
          <w:color w:val="auto"/>
        </w:rPr>
        <w:t>”). The purchase price of a Preferred Share, or portion thereof, under this Incremental Warrant shall be equal to the Exercise Price, as defined in Section 2(b). This Incremental Warrant is one of the Incremental Warrants issued pursuant to Section 1 of that certain Securities Purchase Agreement, dated as of February 26, 2025, by and among the Company and the investors referred to therein, as amended from time to time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but not defined in this Section 1 or elsewhere in this Incremental Warrant shall have the meanings set forth in the Purchase Agreement.</w:t>
      </w:r>
    </w:p>
    <w:p>
      <w:pPr>
        <w:spacing w:after="0" w:line="159" w:lineRule="exact"/>
        <w:rPr>
          <w:sz w:val="20"/>
          <w:szCs w:val="20"/>
          <w:color w:val="auto"/>
        </w:rPr>
      </w:pPr>
    </w:p>
    <w:p>
      <w:pPr>
        <w:jc w:val="both"/>
        <w:ind w:left="600" w:firstLine="605"/>
        <w:spacing w:after="0" w:line="25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7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Certificate of Designations</w:t>
      </w:r>
      <w:r>
        <w:rPr>
          <w:rFonts w:ascii="Times New Roman" w:cs="Times New Roman" w:eastAsia="Times New Roman" w:hAnsi="Times New Roman"/>
          <w:sz w:val="17"/>
          <w:szCs w:val="17"/>
          <w:color w:val="auto"/>
        </w:rPr>
        <w:t>” has the meaning ascribed to such term in the Purchase Agreement.</w:t>
      </w:r>
    </w:p>
    <w:p>
      <w:pPr>
        <w:spacing w:after="0" w:line="20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5" w:name="page66"/>
    <w:bookmarkEnd w:id="65"/>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means (i) the Company’s shares of common stock, $0.0001 par value per share, and (ii) any capital stock into which such common stock shall have been changed or any share capital resulting from a reclassification of such common stock.</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means an individual, a limited liability company, a partnership, a joint venture, a corporation, a trust, an unincorporated organization, any other entity or a government or any department or agency thereof.</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Principal Market</w:t>
      </w:r>
      <w:r>
        <w:rPr>
          <w:rFonts w:ascii="Times New Roman" w:cs="Times New Roman" w:eastAsia="Times New Roman" w:hAnsi="Times New Roman"/>
          <w:sz w:val="17"/>
          <w:szCs w:val="17"/>
          <w:color w:val="auto"/>
        </w:rPr>
        <w:t>” means the Nasdaq Capital Market.</w:t>
      </w: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Effectiveness Date</w:t>
      </w:r>
      <w:r>
        <w:rPr>
          <w:rFonts w:ascii="Times New Roman" w:cs="Times New Roman" w:eastAsia="Times New Roman" w:hAnsi="Times New Roman"/>
          <w:sz w:val="17"/>
          <w:szCs w:val="17"/>
          <w:color w:val="auto"/>
        </w:rPr>
        <w:t>” has the meaning ascribed to such term in the Purchase Agreement.</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144</w:t>
      </w:r>
      <w:r>
        <w:rPr>
          <w:rFonts w:ascii="Times New Roman" w:cs="Times New Roman" w:eastAsia="Times New Roman" w:hAnsi="Times New Roman"/>
          <w:sz w:val="17"/>
          <w:szCs w:val="17"/>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Day</w:t>
      </w:r>
      <w:r>
        <w:rPr>
          <w:rFonts w:ascii="Times New Roman" w:cs="Times New Roman" w:eastAsia="Times New Roman" w:hAnsi="Times New Roman"/>
          <w:sz w:val="17"/>
          <w:szCs w:val="17"/>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or trading volume determinations relating to the Common Stock, any day on which The New York Stock Exchange (or any successor thereto) is open for trading of securities.</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means the transfer agent of the Company, if any, and any successor transfer agent of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Exercise</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611"/>
        <w:spacing w:after="0" w:line="266" w:lineRule="auto"/>
        <w:tabs>
          <w:tab w:leader="none" w:pos="778"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Exercise of Warrant</w:t>
      </w:r>
      <w:r>
        <w:rPr>
          <w:rFonts w:ascii="Times New Roman" w:cs="Times New Roman" w:eastAsia="Times New Roman" w:hAnsi="Times New Roman"/>
          <w:sz w:val="16"/>
          <w:szCs w:val="16"/>
          <w:color w:val="auto"/>
        </w:rPr>
        <w:t>. Exercise of the purchase rights represented by this Incremental Warrant may be made, in whole or in increments of $500,000 (the “</w:t>
      </w:r>
      <w:r>
        <w:rPr>
          <w:rFonts w:ascii="Times New Roman" w:cs="Times New Roman" w:eastAsia="Times New Roman" w:hAnsi="Times New Roman"/>
          <w:sz w:val="16"/>
          <w:szCs w:val="16"/>
          <w:u w:val="single" w:color="auto"/>
          <w:color w:val="auto"/>
        </w:rPr>
        <w:t>Minimum Increment Amount</w:t>
      </w:r>
      <w:r>
        <w:rPr>
          <w:rFonts w:ascii="Times New Roman" w:cs="Times New Roman" w:eastAsia="Times New Roman" w:hAnsi="Times New Roman"/>
          <w:sz w:val="16"/>
          <w:szCs w:val="16"/>
          <w:color w:val="auto"/>
        </w:rPr>
        <w:t>”) at any time or times on or after the Issuance Date and on or before the Termination Date (an “</w:t>
      </w:r>
      <w:r>
        <w:rPr>
          <w:rFonts w:ascii="Times New Roman" w:cs="Times New Roman" w:eastAsia="Times New Roman" w:hAnsi="Times New Roman"/>
          <w:sz w:val="16"/>
          <w:szCs w:val="16"/>
          <w:u w:val="single" w:color="auto"/>
          <w:color w:val="auto"/>
        </w:rPr>
        <w:t>Exercise Date</w:t>
      </w:r>
      <w:r>
        <w:rPr>
          <w:rFonts w:ascii="Times New Roman" w:cs="Times New Roman" w:eastAsia="Times New Roman" w:hAnsi="Times New Roman"/>
          <w:sz w:val="16"/>
          <w:szCs w:val="16"/>
          <w:color w:val="auto"/>
        </w:rPr>
        <w:t xml:space="preserve">”) by delivery to the Company (or such other office or agency of the Company as it may designate by notice in writing to the registered Holder at the address of the Holder appearing on the books of the Company) of a duly executed PDF copy submitted by e-mail (or e-mail attachment) of the Exercise Notice in the form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u w:val="single" w:color="auto"/>
          <w:color w:val="auto"/>
        </w:rPr>
        <w:t>Exercise Notice</w:t>
      </w:r>
      <w:r>
        <w:rPr>
          <w:rFonts w:ascii="Times New Roman" w:cs="Times New Roman" w:eastAsia="Times New Roman" w:hAnsi="Times New Roman"/>
          <w:sz w:val="16"/>
          <w:szCs w:val="16"/>
          <w:color w:val="auto"/>
        </w:rPr>
        <w:t>”). Within two (2) Trading Days following such Exercise Date, the Holder shall deliver the aggregate Exercise Price for the Preferred Shares in the stated value specified in the applicable Exercise Notice by wire transfer or cashier’s check drawn on a United States bank. No ink-original Exercise Notice shall be required, nor shall any medallion guarantee (or other type of guarantee or notarization) of any Exercise Notice form be required. The Holder shall not be required to physically surrender this Incremental Warrant to the Company until the Holder has purchased all of the Preferred Shares available hereunder and the Incremental Warrant has been exercised in full, in which case, the Holder shall surrender this Incremental Warrant to the Company for cancellation within three (3) Trading Days of the date the final Exercise Notice is delivered to the Company. Partial exercises of this Incremental Warrant resulting in purchases of a portion of the total number of Preferred Shares available hereunder shall have the effect of lowering the outstanding number of Preferred Shares purchasable hereunder in an amount equal to the applicable number of Preferred Shares purchased. The Holder and the Company shall maintain records showing the number of Preferred Shares purchased and the date of such purchases.</w:t>
      </w:r>
    </w:p>
    <w:p>
      <w:pPr>
        <w:spacing w:after="0" w:line="17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53" w:right="339" w:bottom="1440" w:gutter="0" w:footer="0" w:header="0"/>
        </w:sectPr>
      </w:pPr>
    </w:p>
    <w:bookmarkStart w:id="66" w:name="page67"/>
    <w:bookmarkEnd w:id="66"/>
    <w:p>
      <w:pPr>
        <w:jc w:val="both"/>
        <w:ind w:left="-520" w:firstLine="611"/>
        <w:spacing w:after="0" w:line="253" w:lineRule="auto"/>
        <w:tabs>
          <w:tab w:leader="none" w:pos="267"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exercise price to fund the purchase of the maximum stated value of Preferred Shares issuable under this Incremental Warrant shall be $2,000,000, subject to adjustment hereunder, with the exercise price of each Preferred Share equal to $10,000 (the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For the avoidance of doubt and notwithstanding anything to the contrary set forth herein, in the event the Holder delivers an Exercise Notice for the purchase of Preferred Shares with a stated value less than the maximum stated value of Preferred Shares issuable under this Incremental Warrant, the Exercise Price for the purchase of such Preferred Shares shall be the face value of such Preferred Shares specified in the applicable Exercise Notice, provided that in each case such Exercise Notice shall be for the purchase of not less than the Minimum Increment Amount.</w:t>
      </w:r>
    </w:p>
    <w:p>
      <w:pPr>
        <w:spacing w:after="0" w:line="175" w:lineRule="exact"/>
        <w:rPr>
          <w:rFonts w:ascii="Times New Roman" w:cs="Times New Roman" w:eastAsia="Times New Roman" w:hAnsi="Times New Roman"/>
          <w:sz w:val="17"/>
          <w:szCs w:val="17"/>
          <w:color w:val="auto"/>
        </w:rPr>
      </w:pPr>
    </w:p>
    <w:p>
      <w:pPr>
        <w:ind w:left="260" w:hanging="169"/>
        <w:spacing w:after="0"/>
        <w:tabs>
          <w:tab w:leader="none" w:pos="2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Mechanics of Exercise</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jc w:val="both"/>
        <w:ind w:left="700" w:firstLine="605"/>
        <w:spacing w:after="0" w:line="270" w:lineRule="auto"/>
        <w:rPr>
          <w:sz w:val="20"/>
          <w:szCs w:val="20"/>
          <w:color w:val="auto"/>
        </w:rPr>
      </w:pPr>
      <w:r>
        <w:rPr>
          <w:rFonts w:ascii="Times New Roman" w:cs="Times New Roman" w:eastAsia="Times New Roman" w:hAnsi="Times New Roman"/>
          <w:sz w:val="16"/>
          <w:szCs w:val="16"/>
          <w:color w:val="auto"/>
        </w:rPr>
        <w:t xml:space="preserve">i. </w:t>
      </w:r>
      <w:r>
        <w:rPr>
          <w:rFonts w:ascii="Times New Roman" w:cs="Times New Roman" w:eastAsia="Times New Roman" w:hAnsi="Times New Roman"/>
          <w:sz w:val="16"/>
          <w:szCs w:val="16"/>
          <w:u w:val="single" w:color="auto"/>
          <w:color w:val="auto"/>
        </w:rPr>
        <w:t>Delivery of Shares Upon Exercise</w:t>
      </w:r>
      <w:r>
        <w:rPr>
          <w:rFonts w:ascii="Times New Roman" w:cs="Times New Roman" w:eastAsia="Times New Roman" w:hAnsi="Times New Roman"/>
          <w:sz w:val="16"/>
          <w:szCs w:val="16"/>
          <w:color w:val="auto"/>
        </w:rPr>
        <w:t xml:space="preserve">. On the date on which the Company has received an Exercise Notice, the Company shall transmit by facsimile or electronic mail an acknowledgment of confirmation of receipt of such Exercise Notice, in the form attached hereto as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to the Holder and the Transfer Agent, which confirmation shall constitute an instruction to the Transfer Agent to process such</w:t>
      </w:r>
    </w:p>
    <w:p>
      <w:pPr>
        <w:jc w:val="both"/>
        <w:ind w:left="700"/>
        <w:spacing w:after="0" w:line="238" w:lineRule="auto"/>
        <w:rPr>
          <w:sz w:val="20"/>
          <w:szCs w:val="20"/>
          <w:color w:val="auto"/>
        </w:rPr>
      </w:pPr>
      <w:r>
        <w:rPr>
          <w:rFonts w:ascii="Times New Roman" w:cs="Times New Roman" w:eastAsia="Times New Roman" w:hAnsi="Times New Roman"/>
          <w:sz w:val="17"/>
          <w:szCs w:val="17"/>
          <w:color w:val="auto"/>
        </w:rPr>
        <w:t>Exercise Notice in accordance with the terms herein. On or before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Trading Day following the date on which the Company has received such Exercise Notice (or such earlier date as required pursuant to the Exchange Act or other applicable law, rule or regulation for the settlement of a trade of such Preferred Shares initiated on the applicable Exercise Date), the Company shall issue and deliver (via reputable overnight courier) to the address as specified in the Exercise Notice, a certificate, registered in the name of the Holder or its designee, for the number of Preferred Shares to which the Holder shall be entitled pursuant to such exercise. Upon delivery of an Exercise Notice and payment of the Exercise Price, the Holder shall be deemed for all corporate purposes to have become the holder of record of the Preferred Shares with respect to which this Incremental Warrant has been exercised, irrespective of the date of delivery of the certificates evidencing such Preferred Shares (as the case may be). Notwithstanding the foregoing, the Company’s failure to deliver Preferred Shares to the Holder on or prior to the later of (i) three (3) Trading Days after receipt of the applicable Exercise Notice (or such earlier date as required pursuant to the Exchange Act or other applicable law, rule or regulation for the settlement of a trade of such Preferred Shares initiated on the applicable Exercise Date) and (ii) the date of the Company’s receipt of the aggregate Exercise Price (such later date, the “</w:t>
      </w:r>
      <w:r>
        <w:rPr>
          <w:rFonts w:ascii="Times New Roman" w:cs="Times New Roman" w:eastAsia="Times New Roman" w:hAnsi="Times New Roman"/>
          <w:sz w:val="17"/>
          <w:szCs w:val="17"/>
          <w:u w:val="single" w:color="auto"/>
          <w:color w:val="auto"/>
        </w:rPr>
        <w:t>Delivery Date</w:t>
      </w:r>
      <w:r>
        <w:rPr>
          <w:rFonts w:ascii="Times New Roman" w:cs="Times New Roman" w:eastAsia="Times New Roman" w:hAnsi="Times New Roman"/>
          <w:sz w:val="17"/>
          <w:szCs w:val="17"/>
          <w:color w:val="auto"/>
        </w:rPr>
        <w:t>”) shall not be deemed to be a breach of this Incremental Warrant.</w:t>
      </w:r>
    </w:p>
    <w:p>
      <w:pPr>
        <w:spacing w:after="0" w:line="193" w:lineRule="exact"/>
        <w:rPr>
          <w:sz w:val="20"/>
          <w:szCs w:val="20"/>
          <w:color w:val="auto"/>
        </w:rPr>
      </w:pPr>
    </w:p>
    <w:p>
      <w:pPr>
        <w:jc w:val="both"/>
        <w:ind w:left="700" w:firstLine="602"/>
        <w:spacing w:after="0" w:line="254" w:lineRule="auto"/>
        <w:tabs>
          <w:tab w:leader="none" w:pos="150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New Incremental Warrants Upon Exercise</w:t>
      </w:r>
      <w:r>
        <w:rPr>
          <w:rFonts w:ascii="Times New Roman" w:cs="Times New Roman" w:eastAsia="Times New Roman" w:hAnsi="Times New Roman"/>
          <w:sz w:val="17"/>
          <w:szCs w:val="17"/>
          <w:color w:val="auto"/>
        </w:rPr>
        <w:t>. Notwithstanding anything to the contrary set forth herein, if this Incremental Warrant shall have been exercised in part, the Company shall, at the request of a Holder and upon surrender of this Incremental Warrant certificate, at the time of delivery of the Preferred Shares, deliver to the Holder a new Incremental Warrant evidencing the rights of the Holder to purchase the unpurchased stated value of the Preferred Shares called for by this Incremental Warrant, which new Incremental Warrant shall in all other respects be identical with this Incremental Warrant.</w:t>
      </w:r>
    </w:p>
    <w:p>
      <w:pPr>
        <w:spacing w:after="0" w:line="177" w:lineRule="exact"/>
        <w:rPr>
          <w:rFonts w:ascii="Times New Roman" w:cs="Times New Roman" w:eastAsia="Times New Roman" w:hAnsi="Times New Roman"/>
          <w:sz w:val="17"/>
          <w:szCs w:val="17"/>
          <w:color w:val="auto"/>
        </w:rPr>
      </w:pPr>
    </w:p>
    <w:p>
      <w:pPr>
        <w:ind w:left="700" w:firstLine="602"/>
        <w:spacing w:after="0" w:line="211" w:lineRule="auto"/>
        <w:tabs>
          <w:tab w:leader="none" w:pos="1542"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deliver the Preferred Shares by the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Trading Day following the Delivery Date, then the Holder will have the right to rescind such exercise.</w:t>
      </w:r>
    </w:p>
    <w:p>
      <w:pPr>
        <w:spacing w:after="0" w:line="18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67" w:name="page68"/>
    <w:bookmarkEnd w:id="67"/>
    <w:p>
      <w:pPr>
        <w:jc w:val="both"/>
        <w:ind w:left="1820" w:firstLine="602"/>
        <w:spacing w:after="0" w:line="222" w:lineRule="auto"/>
        <w:tabs>
          <w:tab w:leader="none" w:pos="266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Call Provision</w:t>
      </w:r>
      <w:r>
        <w:rPr>
          <w:rFonts w:ascii="Times New Roman" w:cs="Times New Roman" w:eastAsia="Times New Roman" w:hAnsi="Times New Roman"/>
          <w:sz w:val="16"/>
          <w:szCs w:val="16"/>
          <w:color w:val="auto"/>
        </w:rPr>
        <w:t>. Subject to the provisions of this Section 2(c), if, no earlier than [2 months following the Registration Effectiveness Date]</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6"/>
          <w:szCs w:val="16"/>
          <w:color w:val="auto"/>
        </w:rPr>
        <w:t>[2 months following the most recent exercise or Call (as defined below) of an Incremental Warrant (but excluding any</w:t>
      </w:r>
    </w:p>
    <w:p>
      <w:pPr>
        <w:spacing w:after="0" w:line="2" w:lineRule="exact"/>
        <w:rPr>
          <w:sz w:val="20"/>
          <w:szCs w:val="20"/>
          <w:color w:val="auto"/>
        </w:rPr>
      </w:pPr>
    </w:p>
    <w:p>
      <w:pPr>
        <w:jc w:val="both"/>
        <w:ind w:left="1820"/>
        <w:spacing w:after="0"/>
        <w:rPr>
          <w:sz w:val="20"/>
          <w:szCs w:val="20"/>
          <w:color w:val="auto"/>
        </w:rPr>
      </w:pPr>
      <w:r>
        <w:rPr>
          <w:rFonts w:ascii="Times New Roman" w:cs="Times New Roman" w:eastAsia="Times New Roman" w:hAnsi="Times New Roman"/>
          <w:sz w:val="17"/>
          <w:szCs w:val="17"/>
          <w:color w:val="auto"/>
        </w:rPr>
        <w:t>partial exercises of this Incremental Warrant by the Holder prior to the Holder’s receipt of a Call Notice (as defined below))]</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 xml:space="preserve"> (each, a “</w:t>
      </w:r>
      <w:r>
        <w:rPr>
          <w:rFonts w:ascii="Times New Roman" w:cs="Times New Roman" w:eastAsia="Times New Roman" w:hAnsi="Times New Roman"/>
          <w:sz w:val="17"/>
          <w:szCs w:val="17"/>
          <w:u w:val="single" w:color="auto"/>
          <w:color w:val="auto"/>
        </w:rPr>
        <w:t>Funding Date</w:t>
      </w:r>
      <w:r>
        <w:rPr>
          <w:rFonts w:ascii="Times New Roman" w:cs="Times New Roman" w:eastAsia="Times New Roman" w:hAnsi="Times New Roman"/>
          <w:sz w:val="17"/>
          <w:szCs w:val="17"/>
          <w:color w:val="auto"/>
        </w:rPr>
        <w:t>”), (i) the VWAP for each of 20 Trading Days (the “</w:t>
      </w:r>
      <w:r>
        <w:rPr>
          <w:rFonts w:ascii="Times New Roman" w:cs="Times New Roman" w:eastAsia="Times New Roman" w:hAnsi="Times New Roman"/>
          <w:sz w:val="17"/>
          <w:szCs w:val="17"/>
          <w:u w:val="single" w:color="auto"/>
          <w:color w:val="auto"/>
        </w:rPr>
        <w:t>Measurement Period</w:t>
      </w:r>
      <w:r>
        <w:rPr>
          <w:rFonts w:ascii="Times New Roman" w:cs="Times New Roman" w:eastAsia="Times New Roman" w:hAnsi="Times New Roman"/>
          <w:sz w:val="17"/>
          <w:szCs w:val="17"/>
          <w:color w:val="auto"/>
        </w:rPr>
        <w:t>,” which 20 consecutive Trading Day period shall not have commenced until after the applicable Funding Date) exceeds $3.00 (subject to adjustment for forward and reverse stock splits, recapitalizations, stock dividends and the like after the Issuance Date), (ii) the average daily volume for such Measurement Period exceeds $300,000 per Trading Day, (iii) the aggregate stated value of the outstanding Preferred Shares is less than or equal to $1,500,000, (iv) the Incremental Warrant Conversion Shares (as defined in the Purchase Agreement) are registered for resale pursuant to an effective registration statement and (v) there has not been an Equity Conditions Failure (as defined in the Certificate of Designations), then the Company may, within one (1) Trading Day of the end of such Measurement Period, call for cancellation of all or any portion of this Incremental Warrant for which an Exercise Notice has not yet been delivered and require the Holder to exercise in part or in full the number of Preferred Shares set forth in such Call Notice (as defined below) on the Call Date (as defined below) (such right, a “</w:t>
      </w:r>
      <w:r>
        <w:rPr>
          <w:rFonts w:ascii="Times New Roman" w:cs="Times New Roman" w:eastAsia="Times New Roman" w:hAnsi="Times New Roman"/>
          <w:sz w:val="17"/>
          <w:szCs w:val="17"/>
          <w:u w:val="single" w:color="auto"/>
          <w:color w:val="auto"/>
        </w:rPr>
        <w:t>Call</w:t>
      </w:r>
      <w:r>
        <w:rPr>
          <w:rFonts w:ascii="Times New Roman" w:cs="Times New Roman" w:eastAsia="Times New Roman" w:hAnsi="Times New Roman"/>
          <w:sz w:val="17"/>
          <w:szCs w:val="17"/>
          <w:color w:val="auto"/>
        </w:rPr>
        <w:t>”) for consideration equal to the applicable number of Preferred Shares issuable upon exercise or cancellation of this Incremental Warrant. To exercise this right, the Company must deliver to the Holder an irrevocable written notice (a “</w:t>
      </w:r>
      <w:r>
        <w:rPr>
          <w:rFonts w:ascii="Times New Roman" w:cs="Times New Roman" w:eastAsia="Times New Roman" w:hAnsi="Times New Roman"/>
          <w:sz w:val="17"/>
          <w:szCs w:val="17"/>
          <w:u w:val="single" w:color="auto"/>
          <w:color w:val="auto"/>
        </w:rPr>
        <w:t>Call Notice</w:t>
      </w:r>
      <w:r>
        <w:rPr>
          <w:rFonts w:ascii="Times New Roman" w:cs="Times New Roman" w:eastAsia="Times New Roman" w:hAnsi="Times New Roman"/>
          <w:sz w:val="17"/>
          <w:szCs w:val="17"/>
          <w:color w:val="auto"/>
        </w:rPr>
        <w:t>”), indicating therein the portion of unexercised portion of this Incremental Warrant to which such notice applies. If the conditions set forth below for such Call are satisfied from the period from the date of the Call Notice through and including the Call Date (as defined below), then any portion of this Incremental Warrant subject to such Call Notice for which an Exercise Notice shall not have been received by the Call Date will be</w:t>
      </w:r>
    </w:p>
    <w:p>
      <w:pPr>
        <w:spacing w:after="0" w:line="3" w:lineRule="exact"/>
        <w:rPr>
          <w:sz w:val="20"/>
          <w:szCs w:val="20"/>
          <w:color w:val="auto"/>
        </w:rPr>
      </w:pPr>
    </w:p>
    <w:p>
      <w:pPr>
        <w:jc w:val="both"/>
        <w:ind w:left="1820"/>
        <w:spacing w:after="0"/>
        <w:rPr>
          <w:sz w:val="20"/>
          <w:szCs w:val="20"/>
          <w:color w:val="auto"/>
        </w:rPr>
      </w:pPr>
      <w:r>
        <w:rPr>
          <w:rFonts w:ascii="Times New Roman" w:cs="Times New Roman" w:eastAsia="Times New Roman" w:hAnsi="Times New Roman"/>
          <w:sz w:val="17"/>
          <w:szCs w:val="17"/>
          <w:color w:val="auto"/>
        </w:rPr>
        <w:t>cancelled at 5:30 p.m. (New York City time)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Trading Day after the date the Call Notice is received by the Holder or such other date mutually agreed by the Company and the Holder (such date and time, the “</w:t>
      </w:r>
      <w:r>
        <w:rPr>
          <w:rFonts w:ascii="Times New Roman" w:cs="Times New Roman" w:eastAsia="Times New Roman" w:hAnsi="Times New Roman"/>
          <w:sz w:val="17"/>
          <w:szCs w:val="17"/>
          <w:u w:val="single" w:color="auto"/>
          <w:color w:val="auto"/>
        </w:rPr>
        <w:t>Call Date</w:t>
      </w:r>
      <w:r>
        <w:rPr>
          <w:rFonts w:ascii="Times New Roman" w:cs="Times New Roman" w:eastAsia="Times New Roman" w:hAnsi="Times New Roman"/>
          <w:sz w:val="17"/>
          <w:szCs w:val="17"/>
          <w:color w:val="auto"/>
        </w:rPr>
        <w:t>”). For the avoidance of doubt, the Holder shall not submit an Exercise Notice during the period beginning upon the Holder’s receipt of a Call Notice and ending at 5:30 p.m. on the corresponding Call Date. Any unexercised portion of this Incremental Warrant to which the Call Notice does not pertain will be unaffected by such Call Notice. Notwithstanding anything to the contrary set forth in this Incremental Warrant, the Company may not deliver a Call Notice or require the cancellation of this Incremental Warrant (and any such Call Notice shall be void), unless, from the beginning of the Measurement Period through the Call Date, (1) the Company shall have honored in accordance with the terms of this Incremental Warrant all Exercise Notices delivered prior to receipt by the Holder of a Call Notice, (2) the Registration Statement shall be effective as to all Incremental Warrant Conversion Shares subject to this Incremental Warrant (as defined in the Purchase Agreement) and the prospectus thereunder available for use by the Holder, or Rule 144 shall be available without time, volume or manner of sale limitations, for the resale of all such Incremental Warrant Conversion Shares, (3) there is a sufficient number of authorized shares of Common Stock for issuance of all Securities (as defined in the Purchase Agreement) under this Incremental Warrant and the other shares of Preferred Stock then outstanding, and (4) the issuance of all Preferred Shares subject to a Call Notice shall not cause a breach of any provision of Section 2(c) herein. The Company’s right to call the Incremental Warrants under this Section 2(c)(iv) shall be exercised ratably among the Holders based on each Holder’s initial purchase of Incremental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131445</wp:posOffset>
            </wp:positionV>
            <wp:extent cx="17856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Include for the first Incremental Warrant.</w:t>
      </w:r>
    </w:p>
    <w:p>
      <w:pPr>
        <w:spacing w:after="0"/>
        <w:rPr>
          <w:sz w:val="20"/>
          <w:szCs w:val="20"/>
          <w:color w:val="auto"/>
        </w:rPr>
      </w:pP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17"/>
          <w:szCs w:val="17"/>
          <w:color w:val="auto"/>
        </w:rPr>
        <w:t>Include for each other Incremental Warrant.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Transfer of Warrant</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611"/>
        <w:spacing w:after="0" w:line="250" w:lineRule="auto"/>
        <w:tabs>
          <w:tab w:leader="none" w:pos="79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Subject to compliance with any applicable securities laws and the conditions set forth in Section 3(d) hereof, this Incremental Warrant and all rights hereunder (including, without limitation, any registration rights) are transferable, in whole or in part, upon surrender of this Incremental Warrant at the principal office of the Company or its designated agent, together with a written assignment of this Incremental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Incremental Warrant or Incremental Warrants in the name of the assignee or assignees, as applicable, and in the denomination or denominations specified in such instrument of assignment, and shall issue to the assignor a new Incremental Warrant evidencing the portion of this Incremental Warrant not so assigned, and this Incremental Warrant shall promptly be cancelled. Notwithstanding anything herein to the contrary, the Holder shall not be required to physically surrender this Incremental Warrant to the Company unless the Holder has assigned this Incremental Warrant in full, in which case, the Holder shall surrender this Incremental Warrant to the Company within three (3) Trading Days of the date on which the Holder delivers an assignment form to the Company assigning this Incremental Warrant in full. The Incremental Warrant, if properly assigned in accordance herewith, may be exercised by a new holder for the purchase of Preferred Shares without having a new Incremental Warrant issued.</w:t>
      </w:r>
    </w:p>
    <w:p>
      <w:pPr>
        <w:spacing w:after="0" w:line="178" w:lineRule="exact"/>
        <w:rPr>
          <w:rFonts w:ascii="Times New Roman" w:cs="Times New Roman" w:eastAsia="Times New Roman" w:hAnsi="Times New Roman"/>
          <w:sz w:val="17"/>
          <w:szCs w:val="17"/>
          <w:color w:val="auto"/>
        </w:rPr>
      </w:pPr>
    </w:p>
    <w:p>
      <w:pPr>
        <w:jc w:val="both"/>
        <w:ind w:firstLine="611"/>
        <w:spacing w:after="0" w:line="252" w:lineRule="auto"/>
        <w:tabs>
          <w:tab w:leader="none" w:pos="78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New Incremental Warrants</w:t>
      </w:r>
      <w:r>
        <w:rPr>
          <w:rFonts w:ascii="Times New Roman" w:cs="Times New Roman" w:eastAsia="Times New Roman" w:hAnsi="Times New Roman"/>
          <w:sz w:val="17"/>
          <w:szCs w:val="17"/>
          <w:color w:val="auto"/>
        </w:rPr>
        <w:t>. This Incremental Warrant may be divided or combined with other Incremental Warrants upon presentation hereof at the aforesaid office of the Company, together with a written notice specifying the names and denominations in which new Incremental Warrants are to be issued, signed by the Holder or its agent or attorney. Subject to compliance with Section 3(a), as to any transfer which may be involved in such division or combination, the Company shall execute and deliver a new Incremental Warrant or Incremental Warrants in exchange for the Incremental Warrant or Incremental Warrants to be divided or combined in accordance with such notice. All Incremental Warrants issued on transfers or exchanges shall be dated the initial issuance date of this Incremental Warrant and shall be identical with this Incremental Warrant except as to the number of Preferred Shares issuable pursuant thereto.</w:t>
      </w:r>
    </w:p>
    <w:p>
      <w:pPr>
        <w:spacing w:after="0" w:line="177" w:lineRule="exact"/>
        <w:rPr>
          <w:rFonts w:ascii="Times New Roman" w:cs="Times New Roman" w:eastAsia="Times New Roman" w:hAnsi="Times New Roman"/>
          <w:sz w:val="17"/>
          <w:szCs w:val="17"/>
          <w:color w:val="auto"/>
        </w:rPr>
      </w:pPr>
    </w:p>
    <w:p>
      <w:pPr>
        <w:jc w:val="both"/>
        <w:ind w:firstLine="611"/>
        <w:spacing w:after="0" w:line="256" w:lineRule="auto"/>
        <w:tabs>
          <w:tab w:leader="none" w:pos="79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The Company shall register this Incremental Warrant, upon records to be maintained by the Company for that purpose (the “</w:t>
      </w: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in the name of the record Holder hereof from time to time. The Company may deem and treat the registered Holder of this Incremental Warrant as the absolute owner hereof for the purpose of any exercise hereof or any distribution to the Holder, and for all other purposes, absent actual notice to the contrary.</w:t>
      </w:r>
    </w:p>
    <w:p>
      <w:pPr>
        <w:spacing w:after="0" w:line="174" w:lineRule="exact"/>
        <w:rPr>
          <w:rFonts w:ascii="Times New Roman" w:cs="Times New Roman" w:eastAsia="Times New Roman" w:hAnsi="Times New Roman"/>
          <w:sz w:val="17"/>
          <w:szCs w:val="17"/>
          <w:color w:val="auto"/>
        </w:rPr>
      </w:pPr>
    </w:p>
    <w:p>
      <w:pPr>
        <w:jc w:val="both"/>
        <w:ind w:firstLine="611"/>
        <w:spacing w:after="0" w:line="253" w:lineRule="auto"/>
        <w:tabs>
          <w:tab w:leader="none" w:pos="78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Restrictions</w:t>
      </w:r>
      <w:r>
        <w:rPr>
          <w:rFonts w:ascii="Times New Roman" w:cs="Times New Roman" w:eastAsia="Times New Roman" w:hAnsi="Times New Roman"/>
          <w:sz w:val="17"/>
          <w:szCs w:val="17"/>
          <w:color w:val="auto"/>
        </w:rPr>
        <w:t>. If, at the time of the surrender of this Incremental Warrant in connection with any transfer of this Incremental Warrant, the transfer of this Incremental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Incremental Warrant, as the case may be, provides to the Company an opinion of counsel, the form and substance of which opinion shall be reasonably satisfactory to the Company, to the effect that the transfer of this Incremental Warrant does not require registration under the Securities Act.</w:t>
      </w:r>
    </w:p>
    <w:p>
      <w:pPr>
        <w:spacing w:after="0" w:line="175" w:lineRule="exact"/>
        <w:rPr>
          <w:rFonts w:ascii="Times New Roman" w:cs="Times New Roman" w:eastAsia="Times New Roman" w:hAnsi="Times New Roman"/>
          <w:sz w:val="17"/>
          <w:szCs w:val="17"/>
          <w:color w:val="auto"/>
        </w:rPr>
      </w:pPr>
    </w:p>
    <w:p>
      <w:pPr>
        <w:jc w:val="both"/>
        <w:ind w:firstLine="611"/>
        <w:spacing w:after="0" w:line="256" w:lineRule="auto"/>
        <w:tabs>
          <w:tab w:leader="none" w:pos="79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 by the Holder</w:t>
      </w:r>
      <w:r>
        <w:rPr>
          <w:rFonts w:ascii="Times New Roman" w:cs="Times New Roman" w:eastAsia="Times New Roman" w:hAnsi="Times New Roman"/>
          <w:sz w:val="17"/>
          <w:szCs w:val="17"/>
          <w:color w:val="auto"/>
        </w:rPr>
        <w:t>. The Holder, by the acceptance hereof, represents and warrants that it is acquiring this Incremental Warrant and, upon any exercise hereof, will acquire the Preferred Shares issuable upon such exercise, for its own account and not with a view to or for distributing or reselling such Preferred Shares or any part thereof in violation of the Securities Act or any applicable state securities law, except pursuant to sales registered or exempted under the Securities Act.</w:t>
      </w:r>
    </w:p>
    <w:p>
      <w:pPr>
        <w:spacing w:after="0" w:line="17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5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611"/>
        <w:spacing w:after="0" w:line="274" w:lineRule="auto"/>
        <w:tabs>
          <w:tab w:leader="none" w:pos="778"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Loss, Theft, Destruction or Mutilation of Warrant</w:t>
      </w:r>
      <w:r>
        <w:rPr>
          <w:rFonts w:ascii="Times New Roman" w:cs="Times New Roman" w:eastAsia="Times New Roman" w:hAnsi="Times New Roman"/>
          <w:sz w:val="16"/>
          <w:szCs w:val="16"/>
          <w:color w:val="auto"/>
        </w:rPr>
        <w:t>. The Company covenants that upon receipt by the Company of evidence reasonably satisfactory to it of the loss, theft, destruction or mutilation of this Incremental Warrant or any share certificate relating to the Preferred Shares, and in case of loss, theft or destruction, of indemnity or security reasonably satisfactory to it (which, in the case of the Incremental Warrant, shall not include the posting of any bond), and upon surrender and cancellation of such Incremental Warrant or share certificate, if mutilated, the Company will make and deliver a new Incremental Warrant or share certificate of like tenor and dated as of such cancellation, in lieu of such Incremental Warrant or share certificate.</w:t>
      </w:r>
    </w:p>
    <w:p>
      <w:pPr>
        <w:spacing w:after="0" w:line="160" w:lineRule="exact"/>
        <w:rPr>
          <w:rFonts w:ascii="Times New Roman" w:cs="Times New Roman" w:eastAsia="Times New Roman" w:hAnsi="Times New Roman"/>
          <w:sz w:val="16"/>
          <w:szCs w:val="16"/>
          <w:color w:val="auto"/>
        </w:rPr>
      </w:pPr>
    </w:p>
    <w:p>
      <w:pPr>
        <w:ind w:firstLine="611"/>
        <w:spacing w:after="0" w:line="274" w:lineRule="auto"/>
        <w:tabs>
          <w:tab w:leader="none" w:pos="78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8" w:lineRule="exact"/>
        <w:rPr>
          <w:rFonts w:ascii="Times New Roman" w:cs="Times New Roman" w:eastAsia="Times New Roman" w:hAnsi="Times New Roman"/>
          <w:sz w:val="17"/>
          <w:szCs w:val="17"/>
          <w:color w:val="auto"/>
        </w:rPr>
      </w:pPr>
    </w:p>
    <w:p>
      <w:pPr>
        <w:ind w:left="780" w:hanging="169"/>
        <w:spacing w:after="0"/>
        <w:tabs>
          <w:tab w:leader="none" w:pos="78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207" w:lineRule="exact"/>
        <w:rPr>
          <w:rFonts w:ascii="Times New Roman" w:cs="Times New Roman" w:eastAsia="Times New Roman" w:hAnsi="Times New Roman"/>
          <w:sz w:val="17"/>
          <w:szCs w:val="17"/>
          <w:color w:val="auto"/>
        </w:rPr>
      </w:pPr>
    </w:p>
    <w:p>
      <w:pPr>
        <w:jc w:val="both"/>
        <w:ind w:firstLine="611"/>
        <w:spacing w:after="0" w:line="267" w:lineRule="auto"/>
        <w:tabs>
          <w:tab w:leader="none" w:pos="78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All questions concerning the construction, validity, enforcement and interpretation of this Incremental Warrant shall be governed by and construed and enforced in accordance with the internal laws of the State of New York, without regard to the principles of conflict of laws thereof. Each party agrees that all legal proceedings concerning the interpretation, enforcement and defense of this Incremental Warrant shall be commenced in the state and federal courts sitting in the City of New York, Borough of Manhattan (the “</w:t>
      </w:r>
      <w:r>
        <w:rPr>
          <w:rFonts w:ascii="Times New Roman" w:cs="Times New Roman" w:eastAsia="Times New Roman" w:hAnsi="Times New Roman"/>
          <w:sz w:val="16"/>
          <w:szCs w:val="16"/>
          <w:u w:val="single" w:color="auto"/>
          <w:color w:val="auto"/>
        </w:rPr>
        <w:t>New York Courts</w:t>
      </w:r>
      <w:r>
        <w:rPr>
          <w:rFonts w:ascii="Times New Roman" w:cs="Times New Roman" w:eastAsia="Times New Roman" w:hAnsi="Times New Roman"/>
          <w:sz w:val="16"/>
          <w:szCs w:val="16"/>
          <w:color w:val="auto"/>
        </w:rPr>
        <w:t>”). Each party hereto hereby irrevocably submits to the exclusive jurisdiction of the New York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such New York Courts, or such New York Courts are improper or inconvenient venue for such proceeding. Each party hereto hereby irrevocably waives, to the fullest extent permitted by applicable law, any and all right to trial by jury in any legal proceeding arising out of or relating to this Incremental Warrant. If any party shall commence an action or proceeding to enforce any provisions of this Incremental Warrant, then the prevailing party in such action or proceeding shall be reimbursed by the other party for its attorneys’ fees and other costs and expenses incurred in the investigation, preparation and prosecution of such action or proceeding.</w:t>
      </w:r>
    </w:p>
    <w:p>
      <w:pPr>
        <w:spacing w:after="0" w:line="169" w:lineRule="exact"/>
        <w:rPr>
          <w:rFonts w:ascii="Times New Roman" w:cs="Times New Roman" w:eastAsia="Times New Roman" w:hAnsi="Times New Roman"/>
          <w:sz w:val="16"/>
          <w:szCs w:val="16"/>
          <w:color w:val="auto"/>
        </w:rPr>
      </w:pPr>
    </w:p>
    <w:p>
      <w:pPr>
        <w:ind w:firstLine="611"/>
        <w:spacing w:after="0" w:line="274" w:lineRule="auto"/>
        <w:tabs>
          <w:tab w:leader="none" w:pos="778"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Holder acknowledges that the Preferred Shares acquired upon the exercise of this Incremental Warrant, if not registered and the Holder does not utilize cashless exercise, will have restrictions upon resale imposed by state and federal securities laws.</w:t>
      </w:r>
    </w:p>
    <w:p>
      <w:pPr>
        <w:spacing w:after="0" w:line="158" w:lineRule="exact"/>
        <w:rPr>
          <w:rFonts w:ascii="Times New Roman" w:cs="Times New Roman" w:eastAsia="Times New Roman" w:hAnsi="Times New Roman"/>
          <w:sz w:val="17"/>
          <w:szCs w:val="17"/>
          <w:color w:val="auto"/>
        </w:rPr>
      </w:pPr>
    </w:p>
    <w:p>
      <w:pPr>
        <w:ind w:firstLine="611"/>
        <w:spacing w:after="0" w:line="274" w:lineRule="auto"/>
        <w:tabs>
          <w:tab w:leader="none" w:pos="759"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Nonwaiver</w:t>
      </w:r>
      <w:r>
        <w:rPr>
          <w:rFonts w:ascii="Times New Roman" w:cs="Times New Roman" w:eastAsia="Times New Roman" w:hAnsi="Times New Roman"/>
          <w:sz w:val="17"/>
          <w:szCs w:val="17"/>
          <w:color w:val="auto"/>
        </w:rPr>
        <w:t>. No course of dealing or any delay or failure to exercise any right hereunder on the part of Holder shall operate as a waiver of such right or otherwise prejudice the Holder’s rights, powers or remedies.</w:t>
      </w:r>
    </w:p>
    <w:p>
      <w:pPr>
        <w:spacing w:after="0" w:line="158" w:lineRule="exact"/>
        <w:rPr>
          <w:rFonts w:ascii="Times New Roman" w:cs="Times New Roman" w:eastAsia="Times New Roman" w:hAnsi="Times New Roman"/>
          <w:sz w:val="17"/>
          <w:szCs w:val="17"/>
          <w:color w:val="auto"/>
        </w:rPr>
      </w:pPr>
    </w:p>
    <w:p>
      <w:pPr>
        <w:jc w:val="both"/>
        <w:ind w:firstLine="611"/>
        <w:spacing w:after="0" w:line="265" w:lineRule="auto"/>
        <w:tabs>
          <w:tab w:leader="none" w:pos="8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Any and all notices or other communications or deliveries to be provided by the Holders hereunder including, without limitation, any Exercise Notice, shall be in writing and delivered personally, by email, or sent by a nationally recognized overnight courier service, addressed to the Company, at 12915 Old Virginia Road, Reno, Nevada 89521, Attention: Denis Phares, Ph.D., CEO and President, e-mail address: denis@dragonfly.com,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of such Holder appearing on the books of the Company, or if no such email address appears on the books of the Company. Any notice or other communication or deliveries hereunder shall be deemed given and effective on the earliest of (i) the date of transmission, if such notice or communication is delivered via email at the email address set forth in this Section prior to 5:30 p.m. (New York City time) on any date, (ii) the next Trading Day after the date of transmission, if such notice or communication is delivered via email at the email address set forth in this</w:t>
      </w:r>
    </w:p>
    <w:p>
      <w:pPr>
        <w:spacing w:after="0" w:line="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Section on a day that is not a Trading Day or later than 5:30 p.m. (New York City time) on any Trading Day, (iii)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Trading Day following the date of mailing, if sent by U.S. nationally recognized overnight courier service, or (iv) upon actual receipt by the party to whom such notice is required to be given.</w:t>
      </w:r>
    </w:p>
    <w:p>
      <w:pPr>
        <w:spacing w:after="0" w:line="18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53" w:right="339" w:bottom="1440" w:gutter="0" w:footer="0" w:header="0"/>
        </w:sectPr>
      </w:pPr>
    </w:p>
    <w:bookmarkStart w:id="70" w:name="page71"/>
    <w:bookmarkEnd w:id="70"/>
    <w:p>
      <w:pPr>
        <w:jc w:val="both"/>
        <w:ind w:firstLine="611"/>
        <w:spacing w:after="0" w:line="261" w:lineRule="auto"/>
        <w:tabs>
          <w:tab w:leader="none" w:pos="81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No provision hereof, in the absence of any affirmative action by the Holder to exercise this Incremental Warrant to purchase Preferred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69" w:lineRule="exact"/>
        <w:rPr>
          <w:rFonts w:ascii="Times New Roman" w:cs="Times New Roman" w:eastAsia="Times New Roman" w:hAnsi="Times New Roman"/>
          <w:sz w:val="17"/>
          <w:szCs w:val="17"/>
          <w:color w:val="auto"/>
        </w:rPr>
      </w:pPr>
    </w:p>
    <w:p>
      <w:pPr>
        <w:jc w:val="both"/>
        <w:ind w:firstLine="611"/>
        <w:spacing w:after="0" w:line="256" w:lineRule="auto"/>
        <w:tabs>
          <w:tab w:leader="none" w:pos="75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The Holder, in addition to being entitled to exercise all rights granted by law, including recovery of damages, will be entitled to seek specific performance of its rights under this Incremental Warrant. The Company agrees that monetary damages may not be adequate compensation for any loss incurred by reason of a breach by it of the provisions of this Incremental Warrant and hereby agrees to waive and not to assert the defense in any action for specific performance that a remedy at law would be adequate.</w:t>
      </w:r>
    </w:p>
    <w:p>
      <w:pPr>
        <w:spacing w:after="0" w:line="174" w:lineRule="exact"/>
        <w:rPr>
          <w:rFonts w:ascii="Times New Roman" w:cs="Times New Roman" w:eastAsia="Times New Roman" w:hAnsi="Times New Roman"/>
          <w:sz w:val="17"/>
          <w:szCs w:val="17"/>
          <w:color w:val="auto"/>
        </w:rPr>
      </w:pPr>
    </w:p>
    <w:p>
      <w:pPr>
        <w:jc w:val="both"/>
        <w:ind w:firstLine="611"/>
        <w:spacing w:after="0" w:line="256" w:lineRule="auto"/>
        <w:tabs>
          <w:tab w:leader="none" w:pos="75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Subject to applicable securities laws, this Incremental Warrant and the rights and obligations evidenced hereby shall inure to the benefit of and be binding upon the successors and permitted assigns of the Company and the successors and permitted assigns of Holder. The provisions of this Incremental Warrant are intended to be for the benefit of any permitted Holder from time to time of this Incremental Warrant and shall be enforceable by such Holder or holder of Preferred Shares.</w:t>
      </w:r>
    </w:p>
    <w:p>
      <w:pPr>
        <w:spacing w:after="0" w:line="174" w:lineRule="exact"/>
        <w:rPr>
          <w:rFonts w:ascii="Times New Roman" w:cs="Times New Roman" w:eastAsia="Times New Roman" w:hAnsi="Times New Roman"/>
          <w:sz w:val="17"/>
          <w:szCs w:val="17"/>
          <w:color w:val="auto"/>
        </w:rPr>
      </w:pPr>
    </w:p>
    <w:p>
      <w:pPr>
        <w:ind w:firstLine="611"/>
        <w:spacing w:after="0" w:line="274" w:lineRule="auto"/>
        <w:tabs>
          <w:tab w:leader="none" w:pos="787"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Incremental Warrant may be modified or amended or the provisions hereof waived with the written consent of the Company and the Holder.</w:t>
      </w:r>
    </w:p>
    <w:p>
      <w:pPr>
        <w:spacing w:after="0" w:line="158" w:lineRule="exact"/>
        <w:rPr>
          <w:rFonts w:ascii="Times New Roman" w:cs="Times New Roman" w:eastAsia="Times New Roman" w:hAnsi="Times New Roman"/>
          <w:sz w:val="17"/>
          <w:szCs w:val="17"/>
          <w:color w:val="auto"/>
        </w:rPr>
      </w:pPr>
    </w:p>
    <w:p>
      <w:pPr>
        <w:jc w:val="both"/>
        <w:ind w:firstLine="611"/>
        <w:spacing w:after="0" w:line="285" w:lineRule="auto"/>
        <w:tabs>
          <w:tab w:leader="none" w:pos="75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Wherever possible, each provision of this Incremental Warrant shall be interpreted in such manner as to be effective and valid under applicable law, but if any provision of this Incremental Warrant shall be prohibited by or invalid under applicable law, such provision shall be ineffective to the extent of such prohibition or invalidity, without invalidating the remainder of such provisions or the remaining provisions of this Incremental Warrant.</w:t>
      </w:r>
    </w:p>
    <w:p>
      <w:pPr>
        <w:spacing w:after="0" w:line="151" w:lineRule="exact"/>
        <w:rPr>
          <w:rFonts w:ascii="Times New Roman" w:cs="Times New Roman" w:eastAsia="Times New Roman" w:hAnsi="Times New Roman"/>
          <w:sz w:val="16"/>
          <w:szCs w:val="16"/>
          <w:color w:val="auto"/>
        </w:rPr>
      </w:pPr>
    </w:p>
    <w:p>
      <w:pPr>
        <w:ind w:firstLine="611"/>
        <w:spacing w:after="0" w:line="274" w:lineRule="auto"/>
        <w:tabs>
          <w:tab w:leader="none" w:pos="834"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used in this Incremental Warrant are for the convenience of reference only and shall not, for any purpose, be deemed a part of this Incremental Warrant.</w:t>
      </w:r>
    </w:p>
    <w:p>
      <w:pPr>
        <w:spacing w:after="0" w:line="15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w:t>
      </w:r>
    </w:p>
    <w:p>
      <w:pPr>
        <w:spacing w:after="0" w:line="204"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1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53" w:right="339" w:bottom="1440" w:gutter="0" w:footer="0" w:header="0"/>
        </w:sectPr>
      </w:pPr>
    </w:p>
    <w:bookmarkStart w:id="71" w:name="page72"/>
    <w:bookmarkEnd w:id="71"/>
    <w:p>
      <w:pPr>
        <w:ind w:firstLine="605"/>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Company has caused this Warrant to Purchase Series A Convertible Preferred Stock to be duly executed as of the Issuance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set out above.</w:t>
      </w:r>
    </w:p>
    <w:p>
      <w:pPr>
        <w:spacing w:after="0" w:line="1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Incremental Warrant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273050</wp:posOffset>
            </wp:positionV>
            <wp:extent cx="7141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2" w:name="page73"/>
    <w:bookmarkEnd w:id="72"/>
    <w:p>
      <w:pPr>
        <w:ind w:left="10380"/>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EXERCISE NOTICE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EXECUTED BY THE REGISTERED HOLDER TO EXERCISE THIS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 TO PURCHASE SERIES A CONVERTIBLE PREFERRED STOCK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undersigned holder hereby elects to exercise the Warrant to Purchase Series A Convertible Preferred Stock No. _______ (the “</w:t>
      </w:r>
      <w:r>
        <w:rPr>
          <w:rFonts w:ascii="Times New Roman" w:cs="Times New Roman" w:eastAsia="Times New Roman" w:hAnsi="Times New Roman"/>
          <w:sz w:val="17"/>
          <w:szCs w:val="17"/>
          <w:b w:val="1"/>
          <w:bCs w:val="1"/>
          <w:color w:val="auto"/>
        </w:rPr>
        <w:t>Incremental Warrant</w:t>
      </w:r>
      <w:r>
        <w:rPr>
          <w:rFonts w:ascii="Times New Roman" w:cs="Times New Roman" w:eastAsia="Times New Roman" w:hAnsi="Times New Roman"/>
          <w:sz w:val="17"/>
          <w:szCs w:val="17"/>
          <w:color w:val="auto"/>
        </w:rPr>
        <w:t>”)</w:t>
      </w:r>
    </w:p>
    <w:p>
      <w:pPr>
        <w:spacing w:after="0" w:line="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of Dragonfly Energy Holdings Corp., a Nevada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as specified below. Capitalized terms used herein and not otherwise defined shall have the respective meanings set forth in the Incremental Warrant.</w:t>
      </w:r>
    </w:p>
    <w:p>
      <w:pPr>
        <w:spacing w:after="0" w:line="174" w:lineRule="exact"/>
        <w:rPr>
          <w:sz w:val="20"/>
          <w:szCs w:val="20"/>
          <w:color w:val="auto"/>
        </w:rPr>
      </w:pPr>
    </w:p>
    <w:p>
      <w:pPr>
        <w:ind w:firstLine="1211"/>
        <w:spacing w:after="0" w:line="274" w:lineRule="auto"/>
        <w:tabs>
          <w:tab w:leader="none" w:pos="146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hereby elects to purchase Preferred Shares of the Company with a stated value of $________, pursuant to the terms of the attached Incremental Warrant, and tenders herewith payment of the exercise price in full, together with all applicable transfer taxes, if any.</w:t>
      </w:r>
    </w:p>
    <w:p>
      <w:pPr>
        <w:spacing w:after="0" w:line="158" w:lineRule="exact"/>
        <w:rPr>
          <w:rFonts w:ascii="Times New Roman" w:cs="Times New Roman" w:eastAsia="Times New Roman" w:hAnsi="Times New Roman"/>
          <w:sz w:val="17"/>
          <w:szCs w:val="17"/>
          <w:color w:val="auto"/>
        </w:rPr>
      </w:pPr>
    </w:p>
    <w:p>
      <w:pPr>
        <w:ind w:left="1440" w:hanging="229"/>
        <w:spacing w:after="0"/>
        <w:tabs>
          <w:tab w:leader="none" w:pos="14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shall take the form of:</w:t>
      </w:r>
    </w:p>
    <w:p>
      <w:pPr>
        <w:spacing w:after="0" w:line="207" w:lineRule="exact"/>
        <w:rPr>
          <w:rFonts w:ascii="Times New Roman" w:cs="Times New Roman" w:eastAsia="Times New Roman" w:hAnsi="Times New Roman"/>
          <w:sz w:val="17"/>
          <w:szCs w:val="17"/>
          <w:color w:val="auto"/>
        </w:rPr>
      </w:pPr>
    </w:p>
    <w:p>
      <w:pPr>
        <w:ind w:left="2000" w:hanging="184"/>
        <w:spacing w:after="0"/>
        <w:tabs>
          <w:tab w:leader="none" w:pos="2000" w:val="left"/>
        </w:tabs>
        <w:numPr>
          <w:ilvl w:val="1"/>
          <w:numId w:val="89"/>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in lawful money of the United States; or</w:t>
      </w:r>
    </w:p>
    <w:p>
      <w:pPr>
        <w:spacing w:after="0" w:line="207" w:lineRule="exact"/>
        <w:rPr>
          <w:rFonts w:ascii="MS PGothic" w:cs="MS PGothic" w:eastAsia="MS PGothic" w:hAnsi="MS PGothic"/>
          <w:sz w:val="17"/>
          <w:szCs w:val="17"/>
          <w:color w:val="auto"/>
        </w:rPr>
      </w:pPr>
    </w:p>
    <w:p>
      <w:pPr>
        <w:ind w:left="1440" w:hanging="229"/>
        <w:spacing w:after="0"/>
        <w:tabs>
          <w:tab w:leader="none" w:pos="144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issue said Preferred Shares in the name of the undersigned or in such other name as is specified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Preferred Shares shall be delivered in certificated form to the following name and to the following [Address]:</w:t>
      </w:r>
    </w:p>
    <w:p>
      <w:pPr>
        <w:spacing w:after="0" w:line="20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1073150</wp:posOffset>
            </wp:positionH>
            <wp:positionV relativeFrom="paragraph">
              <wp:posOffset>286385</wp:posOffset>
            </wp:positionV>
            <wp:extent cx="24980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980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150495</wp:posOffset>
            </wp:positionV>
            <wp:extent cx="24980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98090" cy="8255"/>
                    </a:xfrm>
                    <a:prstGeom prst="rect">
                      <a:avLst/>
                    </a:prstGeom>
                    <a:noFill/>
                  </pic:spPr>
                </pic:pic>
              </a:graphicData>
            </a:graphic>
          </wp:anchor>
        </w:drawing>
        <w:drawing>
          <wp:anchor simplePos="0" relativeHeight="251657728" behindDoc="1" locked="0" layoutInCell="0" allowOverlap="1">
            <wp:simplePos x="0" y="0"/>
            <wp:positionH relativeFrom="column">
              <wp:posOffset>1073150</wp:posOffset>
            </wp:positionH>
            <wp:positionV relativeFrom="paragraph">
              <wp:posOffset>14605</wp:posOffset>
            </wp:positionV>
            <wp:extent cx="24980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_____________ __,</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Registered Holder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-123190</wp:posOffset>
            </wp:positionV>
            <wp:extent cx="32105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 ID:____________________________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Facsimile:__________________________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Address:_____________________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3" w:name="page74"/>
    <w:bookmarkEnd w:id="73"/>
    <w:p>
      <w:pPr>
        <w:ind w:left="10380"/>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ACKNOWLEDGMENT</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hereby acknowledges this Exercise Notice and hereby directs ______________ to issue the above indicated number of shares of Series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Preferred Stock in accordance with the Transfer Agent Instructions dated _________, 202_, from the Company and acknowledged and agreed to 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18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auto"/>
        </w:rPr>
        <w:t>ASSIGNMENT FORM</w:t>
      </w:r>
    </w:p>
    <w:p>
      <w:pPr>
        <w:spacing w:after="0" w:line="21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color w:val="auto"/>
        </w:rPr>
        <w:t>(To assign the foregoing warrant, execute</w:t>
      </w:r>
    </w:p>
    <w:p>
      <w:pPr>
        <w:spacing w:after="0" w:line="20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this form and supply required information.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 not use this form to exercise the warrant.)</w:t>
      </w:r>
    </w:p>
    <w:p>
      <w:pPr>
        <w:spacing w:after="0" w:line="20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FOR VALUE RECEIVED, [____] all of or [_______] of the foregoing Incremental Warrant and all rights evidenced thereby are hereby assigned to</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 whose address is _______________________________________________</w:t>
      </w:r>
    </w:p>
    <w:p>
      <w:pPr>
        <w:spacing w:after="0" w:line="1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Dated: ______________, _______</w:t>
      </w:r>
    </w:p>
    <w:p>
      <w:pPr>
        <w:spacing w:after="0" w:line="208"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14605</wp:posOffset>
            </wp:positionV>
            <wp:extent cx="24980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20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278765</wp:posOffset>
            </wp:positionV>
            <wp:extent cx="24980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498090" cy="825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14605</wp:posOffset>
            </wp:positionV>
            <wp:extent cx="24980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NOTE: The signature to this Assignment Form must correspond with the name as it appears on the face of the Incremental Warrant, without alteration or enlargement or any change whatsoever. Officers of corporations and those acting in a fiduciary or other representative capacity should file proper evidence of authority to assign the foregoing Incremental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PENNY WARRANT</w:t>
      </w: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THIS WARRANT HAS NOT BEEN REGISTERED UNDER THE SECURITIES ACT OF 1933, AS AMENDED (THE “SECURITIES ACT”), OR ANY STATE SECURITIES LAWS, AND MAY NOT BE OFFERED, SOLD, TRANSFERRED OR OTHERWISE DISPOSED OF UNLESS REGISTERED UNDER THE ACT, AND ANY APPLICABLE STATE SECURITIES LAWS OR AN EXEMPTION FROM REGISTRATION IS AVAILABLE. THIS WARRANT MUST BE SURRENDERED TO THE COMPANY OR ITS TRANSFER AGENT AS A CONDITION PRECEDENT TO THE SALE, TRANSFER, PLEDGE OR HYPOTHECATION OF ANY INTEREST IN ANY OF THE SECURITIES REPRESENTED HEREBY.</w:t>
      </w:r>
    </w:p>
    <w:p>
      <w:pPr>
        <w:spacing w:after="0" w:line="172" w:lineRule="exact"/>
        <w:rPr>
          <w:sz w:val="20"/>
          <w:szCs w:val="20"/>
          <w:color w:val="auto"/>
        </w:rPr>
      </w:pPr>
    </w:p>
    <w:p>
      <w:pPr>
        <w:spacing w:after="0"/>
        <w:tabs>
          <w:tab w:leader="none" w:pos="8880" w:val="left"/>
        </w:tabs>
        <w:rPr>
          <w:sz w:val="20"/>
          <w:szCs w:val="20"/>
          <w:color w:val="auto"/>
        </w:rPr>
      </w:pPr>
      <w:r>
        <w:rPr>
          <w:rFonts w:ascii="Times New Roman" w:cs="Times New Roman" w:eastAsia="Times New Roman" w:hAnsi="Times New Roman"/>
          <w:sz w:val="17"/>
          <w:szCs w:val="17"/>
          <w:b w:val="1"/>
          <w:bCs w:val="1"/>
          <w:color w:val="auto"/>
        </w:rPr>
        <w:t>NUMBER _________</w:t>
      </w:r>
      <w:r>
        <w:rPr>
          <w:sz w:val="20"/>
          <w:szCs w:val="20"/>
          <w:color w:val="auto"/>
        </w:rPr>
        <w:tab/>
      </w:r>
      <w:r>
        <w:rPr>
          <w:rFonts w:ascii="Times New Roman" w:cs="Times New Roman" w:eastAsia="Times New Roman" w:hAnsi="Times New Roman"/>
          <w:sz w:val="16"/>
          <w:szCs w:val="16"/>
          <w:b w:val="1"/>
          <w:bCs w:val="1"/>
          <w:color w:val="auto"/>
        </w:rPr>
        <w:t>________________ WARRANTS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THIS WARRANT WILL BE VOID IF NOT EXERCISED PRIOR TO THE EXPIRATION DATE (DEFINED BELOW)</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WARRANT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WARRANT CERTIFIES THAT, for value received _____________, is the registered holder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of a warrant or warrants (the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and is</w:t>
      </w:r>
    </w:p>
    <w:p>
      <w:pPr>
        <w:spacing w:after="0" w:line="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entitled to purchase up to fully paid and non-assessable shares of common stock, par value $0.0001 per share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of Dragonfly Energy Holdings Corp., a Nevada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at a purchase price per Share (the “</w:t>
      </w:r>
      <w:r>
        <w:rPr>
          <w:rFonts w:ascii="Times New Roman" w:cs="Times New Roman" w:eastAsia="Times New Roman" w:hAnsi="Times New Roman"/>
          <w:sz w:val="17"/>
          <w:szCs w:val="17"/>
          <w:u w:val="single" w:color="auto"/>
          <w:color w:val="auto"/>
        </w:rPr>
        <w:t>Warrant Price</w:t>
      </w:r>
      <w:r>
        <w:rPr>
          <w:rFonts w:ascii="Times New Roman" w:cs="Times New Roman" w:eastAsia="Times New Roman" w:hAnsi="Times New Roman"/>
          <w:sz w:val="17"/>
          <w:szCs w:val="17"/>
          <w:color w:val="auto"/>
        </w:rPr>
        <w:t>”) of $0.01 per share (as adjusted from time to time in accordance with this Warrant). This Warrant is issued in connection with that certain (i) Term Loan, Guarantee and Security Agreement among Alter Domus (US) LLC, Dragonfly Energy Corp., EICF Agent LLC and the other credit parties signatory thereto (as amended from time to time, the “</w:t>
      </w:r>
      <w:r>
        <w:rPr>
          <w:rFonts w:ascii="Times New Roman" w:cs="Times New Roman" w:eastAsia="Times New Roman" w:hAnsi="Times New Roman"/>
          <w:sz w:val="17"/>
          <w:szCs w:val="17"/>
          <w:u w:val="single" w:color="auto"/>
          <w:color w:val="auto"/>
        </w:rPr>
        <w:t>Loan Agreement</w:t>
      </w:r>
      <w:r>
        <w:rPr>
          <w:rFonts w:ascii="Times New Roman" w:cs="Times New Roman" w:eastAsia="Times New Roman" w:hAnsi="Times New Roman"/>
          <w:sz w:val="17"/>
          <w:szCs w:val="17"/>
          <w:color w:val="auto"/>
        </w:rPr>
        <w:t>”) and (ii) Fifth Amendment to Term Loan, Guarantee and Security Agreement and Limited Waiver and Amendment of Warrant Terms among Alter Domus (US) LLC, Dragonfly Energy Corp. and the other parties signatory thereto (the “</w:t>
      </w:r>
      <w:r>
        <w:rPr>
          <w:rFonts w:ascii="Times New Roman" w:cs="Times New Roman" w:eastAsia="Times New Roman" w:hAnsi="Times New Roman"/>
          <w:sz w:val="17"/>
          <w:szCs w:val="17"/>
          <w:u w:val="single" w:color="auto"/>
          <w:color w:val="auto"/>
        </w:rPr>
        <w:t>Limited Waiver</w:t>
      </w:r>
      <w:r>
        <w:rPr>
          <w:rFonts w:ascii="Times New Roman" w:cs="Times New Roman" w:eastAsia="Times New Roman" w:hAnsi="Times New Roman"/>
          <w:sz w:val="17"/>
          <w:szCs w:val="17"/>
          <w:color w:val="auto"/>
        </w:rPr>
        <w:t>”). The Warrant represented by this certificate is referred to herein as the “</w:t>
      </w:r>
      <w:r>
        <w:rPr>
          <w:rFonts w:ascii="Times New Roman" w:cs="Times New Roman" w:eastAsia="Times New Roman" w:hAnsi="Times New Roman"/>
          <w:sz w:val="17"/>
          <w:szCs w:val="17"/>
          <w:u w:val="single" w:color="auto"/>
          <w:color w:val="auto"/>
        </w:rPr>
        <w:t>Warrant Certificate</w:t>
      </w:r>
      <w:r>
        <w:rPr>
          <w:rFonts w:ascii="Times New Roman" w:cs="Times New Roman" w:eastAsia="Times New Roman" w:hAnsi="Times New Roman"/>
          <w:sz w:val="17"/>
          <w:szCs w:val="17"/>
          <w:color w:val="auto"/>
        </w:rPr>
        <w:t>”.</w:t>
      </w:r>
    </w:p>
    <w:p>
      <w:pPr>
        <w:spacing w:after="0" w:line="167" w:lineRule="exact"/>
        <w:rPr>
          <w:sz w:val="20"/>
          <w:szCs w:val="20"/>
          <w:color w:val="auto"/>
        </w:rPr>
      </w:pPr>
    </w:p>
    <w:p>
      <w:pPr>
        <w:ind w:left="300" w:hanging="299"/>
        <w:spacing w:after="0"/>
        <w:tabs>
          <w:tab w:leader="none" w:pos="3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and Exercise of Warrants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56" w:lineRule="auto"/>
        <w:tabs>
          <w:tab w:leader="none" w:pos="90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set forth herein, this Warrant shall be exercisable, in whole or in part, commencing the date hereof (the “</w:t>
      </w:r>
      <w:r>
        <w:rPr>
          <w:rFonts w:ascii="Times New Roman" w:cs="Times New Roman" w:eastAsia="Times New Roman" w:hAnsi="Times New Roman"/>
          <w:sz w:val="17"/>
          <w:szCs w:val="17"/>
          <w:u w:val="single" w:color="auto"/>
          <w:color w:val="auto"/>
        </w:rPr>
        <w:t>Issuance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and ending on the ten-year anniversary of the issuance date of this Warrant (the “</w:t>
      </w:r>
      <w:r>
        <w:rPr>
          <w:rFonts w:ascii="Times New Roman" w:cs="Times New Roman" w:eastAsia="Times New Roman" w:hAnsi="Times New Roman"/>
          <w:sz w:val="17"/>
          <w:szCs w:val="17"/>
          <w:u w:val="single" w:color="auto"/>
          <w:color w:val="auto"/>
        </w:rPr>
        <w:t>Expiration Date</w:t>
      </w:r>
      <w:r>
        <w:rPr>
          <w:rFonts w:ascii="Times New Roman" w:cs="Times New Roman" w:eastAsia="Times New Roman" w:hAnsi="Times New Roman"/>
          <w:sz w:val="17"/>
          <w:szCs w:val="17"/>
          <w:color w:val="auto"/>
        </w:rPr>
        <w:t>”). This Warrant shall not be exercisable until such time as the Company has received approval of its stockholders for such exercise in compliance with the rules and regulations of the Nasdaq Stock Market.</w:t>
      </w:r>
    </w:p>
    <w:p>
      <w:pPr>
        <w:spacing w:after="0" w:line="174" w:lineRule="exact"/>
        <w:rPr>
          <w:rFonts w:ascii="Times New Roman" w:cs="Times New Roman" w:eastAsia="Times New Roman" w:hAnsi="Times New Roman"/>
          <w:sz w:val="17"/>
          <w:szCs w:val="17"/>
          <w:color w:val="auto"/>
        </w:rPr>
      </w:pPr>
    </w:p>
    <w:p>
      <w:pPr>
        <w:jc w:val="both"/>
        <w:ind w:left="900" w:hanging="294"/>
        <w:spacing w:after="0" w:line="252" w:lineRule="auto"/>
        <w:tabs>
          <w:tab w:leader="none" w:pos="90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Warrant entitles the holder thereof to purchase Shares from the Company, commencing on the Issuance Date upon surrender of this Warrant, delivery of the Notice of Exercise form attached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xml:space="preserve">”) duly executed to the office of the Company, Dragonfly Energy Holdings Corp., Attention: Chief Executive Officer, 12915 Old Virginia Road, Reno, NV 89521, </w:t>
      </w:r>
      <w:r>
        <w:rPr>
          <w:rFonts w:ascii="Times New Roman" w:cs="Times New Roman" w:eastAsia="Times New Roman" w:hAnsi="Times New Roman"/>
          <w:sz w:val="17"/>
          <w:szCs w:val="17"/>
          <w:u w:val="single" w:color="auto"/>
          <w:color w:val="auto"/>
        </w:rPr>
        <w:t>legal@dragonflyenergy.com</w:t>
      </w:r>
      <w:r>
        <w:rPr>
          <w:rFonts w:ascii="Times New Roman" w:cs="Times New Roman" w:eastAsia="Times New Roman" w:hAnsi="Times New Roman"/>
          <w:sz w:val="17"/>
          <w:szCs w:val="17"/>
          <w:color w:val="auto"/>
        </w:rPr>
        <w:t xml:space="preserve"> (or such other office or agency of the Company as it may designate by notice in writing to the Holder at the address of the Holder appearing on the books of the Company) and payment of the Warrant Price (by cash or by check or bank draft payable to the order of the Company or pursuant to Section 1(d) below) whereupon the Holder shall be entitled to receive from the Company a stock certificate representing the number of Shares so purchased. In no event will the Company be required to net cash settle any warrant exercise.</w:t>
      </w:r>
    </w:p>
    <w:p>
      <w:pPr>
        <w:spacing w:after="0" w:line="202"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shall have the right, in lieu of paying the Warrant Price in cash, to surrender a number of Warrants having a Fair Market Value equal to the aggregate Warrant Price (a “</w:t>
      </w:r>
      <w:r>
        <w:rPr>
          <w:rFonts w:ascii="Times New Roman" w:cs="Times New Roman" w:eastAsia="Times New Roman" w:hAnsi="Times New Roman"/>
          <w:sz w:val="17"/>
          <w:szCs w:val="17"/>
          <w:u w:val="single" w:color="auto"/>
          <w:color w:val="auto"/>
        </w:rPr>
        <w:t>Cashless Exercise</w:t>
      </w:r>
      <w:r>
        <w:rPr>
          <w:rFonts w:ascii="Times New Roman" w:cs="Times New Roman" w:eastAsia="Times New Roman" w:hAnsi="Times New Roman"/>
          <w:sz w:val="17"/>
          <w:szCs w:val="17"/>
          <w:color w:val="auto"/>
        </w:rPr>
        <w:t>”).</w:t>
      </w:r>
    </w:p>
    <w:p>
      <w:pPr>
        <w:spacing w:after="0" w:line="184" w:lineRule="exact"/>
        <w:rPr>
          <w:rFonts w:ascii="Times New Roman" w:cs="Times New Roman" w:eastAsia="Times New Roman" w:hAnsi="Times New Roman"/>
          <w:sz w:val="17"/>
          <w:szCs w:val="17"/>
          <w:color w:val="auto"/>
        </w:rPr>
      </w:pPr>
    </w:p>
    <w:p>
      <w:pPr>
        <w:jc w:val="both"/>
        <w:ind w:left="9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shall mean, as of any particular date of determination, (i) if the Shares are then traded or quoted on a nationally recognized securities exchange, inter-dealer quotation system or over- the-counter market (a “</w:t>
      </w:r>
      <w:r>
        <w:rPr>
          <w:rFonts w:ascii="Times New Roman" w:cs="Times New Roman" w:eastAsia="Times New Roman" w:hAnsi="Times New Roman"/>
          <w:sz w:val="17"/>
          <w:szCs w:val="17"/>
          <w:u w:val="single" w:color="auto"/>
          <w:color w:val="auto"/>
        </w:rPr>
        <w:t>Trading Market</w:t>
      </w:r>
      <w:r>
        <w:rPr>
          <w:rFonts w:ascii="Times New Roman" w:cs="Times New Roman" w:eastAsia="Times New Roman" w:hAnsi="Times New Roman"/>
          <w:sz w:val="17"/>
          <w:szCs w:val="17"/>
          <w:color w:val="auto"/>
        </w:rPr>
        <w:t>”), the average closing price or last sale price of the Shares reported for the five (5) business days prior to the applicable date of determination (or, if the Shares have not been actively trading during the 5 business days prior to the applicable date of determination, the last sale price of the Shares for the business day immediately prior to the applicable date of determination) and (ii) if the Shares are not traded or quoted on a Trading Market, the Board of Directors of the Company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shall determine the fair market value of a Share in its reasonable, good faith judgment, subject to the Holder’s right to dispute such determination as provided in Section 1(d)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141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76" w:name="page77"/>
    <w:bookmarkEnd w:id="76"/>
    <w:p>
      <w:pPr>
        <w:ind w:left="900"/>
        <w:spacing w:after="0"/>
        <w:rPr>
          <w:sz w:val="20"/>
          <w:szCs w:val="20"/>
          <w:color w:val="auto"/>
        </w:rPr>
      </w:pPr>
      <w:r>
        <w:rPr>
          <w:rFonts w:ascii="Times New Roman" w:cs="Times New Roman" w:eastAsia="Times New Roman" w:hAnsi="Times New Roman"/>
          <w:sz w:val="17"/>
          <w:szCs w:val="17"/>
          <w:color w:val="auto"/>
        </w:rPr>
        <w:t>In the event of such a Cashless Exercise, the number of Shares to be issued to the Holder shall be determined as follows: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X = Y[(A - B)/A]</w:t>
      </w:r>
    </w:p>
    <w:p>
      <w:pPr>
        <w:spacing w:after="0" w:line="2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X = the number of Shares to be issued to the Holder</w:t>
      </w:r>
    </w:p>
    <w:p>
      <w:pPr>
        <w:spacing w:after="0" w:line="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Y = the number of Shares with respect to which this Warrant is being exercised</w:t>
      </w:r>
    </w:p>
    <w:p>
      <w:pPr>
        <w:spacing w:after="0" w:line="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A = the Fair Market Value of one Share</w:t>
      </w:r>
    </w:p>
    <w:p>
      <w:pPr>
        <w:spacing w:after="0" w:line="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B = the Warrant Price</w:t>
      </w:r>
    </w:p>
    <w:p>
      <w:pPr>
        <w:spacing w:after="0" w:line="192" w:lineRule="exact"/>
        <w:rPr>
          <w:sz w:val="20"/>
          <w:szCs w:val="20"/>
          <w:color w:val="auto"/>
        </w:rPr>
      </w:pPr>
    </w:p>
    <w:p>
      <w:pPr>
        <w:jc w:val="both"/>
        <w:ind w:left="900" w:hanging="294"/>
        <w:spacing w:after="0" w:line="253" w:lineRule="auto"/>
        <w:tabs>
          <w:tab w:leader="none" w:pos="90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dispute as to the determination of Fair Market Value, any closing price or sales price of the Shares, the arithmetic calculation of the Warrant Price or the number of Shares for which this Warrant is exercisable, or any other computation required to be made hereunder, if the Holder and the Company are unable to settle such dispute within five business days (or such longer period as the parties may agree), then either party may elect to submit the disputed matter(s) for resolution by an independent accountant, appraiser or investment bank with relevant experience mutually acceptable to the Company and the Holder. Such independent party’s determination of such disputed matter(s) shall be binding upon all parties absent demonstrable error, and the Company and the Holder shall each pay one half of the fees and expenses of the independent party.</w:t>
      </w:r>
    </w:p>
    <w:p>
      <w:pPr>
        <w:spacing w:after="0" w:line="200" w:lineRule="exact"/>
        <w:rPr>
          <w:rFonts w:ascii="Times New Roman" w:cs="Times New Roman" w:eastAsia="Times New Roman" w:hAnsi="Times New Roman"/>
          <w:sz w:val="17"/>
          <w:szCs w:val="17"/>
          <w:color w:val="auto"/>
        </w:rPr>
      </w:pPr>
    </w:p>
    <w:p>
      <w:pPr>
        <w:jc w:val="both"/>
        <w:ind w:left="900" w:hanging="294"/>
        <w:spacing w:after="0" w:line="254" w:lineRule="auto"/>
        <w:tabs>
          <w:tab w:leader="none" w:pos="90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upon the Expiration Date, the Fair Market Value of one Share (or other security issuable upon the exercise hereof) is greater than the Warrant Price in effect on such date, then this Warrant shall automatically be deemed to be exercised on a Cashless Exercise basis as of the Expiration Date as to all the Shares for which it shall not previously have been exercised, and the Company shall, within a reasonable time, deliver a certificate representing the Shares issued upon such exercise to the Holder (and if the Company’s shares are uncertificated, the Company shall deliver reasonably satisfactory evidence to the Holder signifying the valid issuance of such uncertificated shares).</w:t>
      </w:r>
    </w:p>
    <w:p>
      <w:pPr>
        <w:spacing w:after="0" w:line="20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Shares; No Fractional Shares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900" w:hanging="294"/>
        <w:spacing w:after="0" w:line="254" w:lineRule="auto"/>
        <w:tabs>
          <w:tab w:leader="none" w:pos="9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three business days after the exercise of this Warrant and the clearance of the funds in payment of the applicable Warrant Price (if any) (the “</w:t>
      </w:r>
      <w:r>
        <w:rPr>
          <w:rFonts w:ascii="Times New Roman" w:cs="Times New Roman" w:eastAsia="Times New Roman" w:hAnsi="Times New Roman"/>
          <w:sz w:val="17"/>
          <w:szCs w:val="17"/>
          <w:u w:val="single" w:color="auto"/>
          <w:color w:val="auto"/>
        </w:rPr>
        <w:t>Delivery Deadline</w:t>
      </w:r>
      <w:r>
        <w:rPr>
          <w:rFonts w:ascii="Times New Roman" w:cs="Times New Roman" w:eastAsia="Times New Roman" w:hAnsi="Times New Roman"/>
          <w:sz w:val="17"/>
          <w:szCs w:val="17"/>
          <w:color w:val="auto"/>
        </w:rPr>
        <w:t>”), the Company, at its expense, shall issue to the registered holder of such Warrant a certificate or certificates, or book entry position, for the number of Shares to which he, she or it is entitled, registered in such name or names as may be directed by him, her or it. Upon any exercise of the Warrant for less than the total number of full Shares provided for herein, there shall be issued to the registered holder hereof or the registered holder’s assignee a new Warrant Certificate covering the number of Shares for which the Warrant has not been exercised.</w:t>
      </w:r>
    </w:p>
    <w:p>
      <w:pPr>
        <w:spacing w:after="0" w:line="201" w:lineRule="exact"/>
        <w:rPr>
          <w:rFonts w:ascii="Times New Roman" w:cs="Times New Roman" w:eastAsia="Times New Roman" w:hAnsi="Times New Roman"/>
          <w:sz w:val="17"/>
          <w:szCs w:val="17"/>
          <w:color w:val="auto"/>
        </w:rPr>
      </w:pPr>
    </w:p>
    <w:p>
      <w:pPr>
        <w:jc w:val="both"/>
        <w:ind w:left="900" w:hanging="294"/>
        <w:spacing w:after="0" w:line="253" w:lineRule="auto"/>
        <w:tabs>
          <w:tab w:leader="none" w:pos="9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the time of exercise, the Company has a transfer agent (the “</w:t>
      </w: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then upon the exercise of this Warrant in whole or in part, the Company shall, at its expense, take all necessary action, including (if necessary) obtaining and delivering an opinion from its counsel, to ensure that the Transfer Agent shall issue Shares in the name of the Holder (or its nominee) or such other persons as designated by the Holder and in such denominations to be specified in the applicable Notice of Exercise. The Company represents and warrants that if the Unrestricted Conditions set forth in Section 6 below are met, the Shares will be free-trading, and freely transferable, and will not contain a legend restricting the resale or transferability of the Shares and that no instructions other than the foregoing instructions will be given to the Transfer Agent.</w:t>
      </w:r>
    </w:p>
    <w:p>
      <w:pPr>
        <w:spacing w:after="0" w:line="200" w:lineRule="exact"/>
        <w:rPr>
          <w:rFonts w:ascii="Times New Roman" w:cs="Times New Roman" w:eastAsia="Times New Roman" w:hAnsi="Times New Roman"/>
          <w:sz w:val="17"/>
          <w:szCs w:val="17"/>
          <w:color w:val="auto"/>
        </w:rPr>
      </w:pPr>
    </w:p>
    <w:p>
      <w:pPr>
        <w:jc w:val="both"/>
        <w:ind w:left="900" w:hanging="294"/>
        <w:spacing w:after="0" w:line="253" w:lineRule="auto"/>
        <w:tabs>
          <w:tab w:leader="none" w:pos="900"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Transfer Agent is participating in the DTC Fast Automated Securities Transfer (“</w:t>
      </w:r>
      <w:r>
        <w:rPr>
          <w:rFonts w:ascii="Times New Roman" w:cs="Times New Roman" w:eastAsia="Times New Roman" w:hAnsi="Times New Roman"/>
          <w:sz w:val="17"/>
          <w:szCs w:val="17"/>
          <w:u w:val="single" w:color="auto"/>
          <w:color w:val="auto"/>
        </w:rPr>
        <w:t>FAST</w:t>
      </w:r>
      <w:r>
        <w:rPr>
          <w:rFonts w:ascii="Times New Roman" w:cs="Times New Roman" w:eastAsia="Times New Roman" w:hAnsi="Times New Roman"/>
          <w:sz w:val="17"/>
          <w:szCs w:val="17"/>
          <w:color w:val="auto"/>
        </w:rPr>
        <w:t>”) program, upon written request of the Holder and in lieu of delivering physical certificates representing Shares to be delivered under or in connection with this Warrant Certificate, the Company shall use its commercially reasonable efforts to cause the Transfer Agent to electronically transmit the Shares to the Holder by crediting the account of the Holder’s prime broker with the DTC through its Deposit Withdrawal Agent Commission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system. The time periods for delivery and penalties described herein shall apply to the electronic transmittals described herein. Any delivery not effected by electronic transmission shall be effected by delivery of physical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7" w:name="page78"/>
    <w:bookmarkEnd w:id="77"/>
    <w:p>
      <w:pPr>
        <w:ind w:left="899" w:hanging="294"/>
        <w:spacing w:after="0" w:line="274" w:lineRule="auto"/>
        <w:tabs>
          <w:tab w:leader="none" w:pos="899"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fails to transmit, or cause the Transfer Agent to transmit, to the Holder the Shares by the Delivery Deadline, then the Holder will have the right to rescind such Warrant exercise.</w:t>
      </w:r>
    </w:p>
    <w:p>
      <w:pPr>
        <w:spacing w:after="0" w:line="158" w:lineRule="exact"/>
        <w:rPr>
          <w:rFonts w:ascii="Times New Roman" w:cs="Times New Roman" w:eastAsia="Times New Roman" w:hAnsi="Times New Roman"/>
          <w:sz w:val="17"/>
          <w:szCs w:val="17"/>
          <w:color w:val="auto"/>
        </w:rPr>
      </w:pPr>
    </w:p>
    <w:p>
      <w:pPr>
        <w:jc w:val="both"/>
        <w:ind w:left="899" w:hanging="294"/>
        <w:spacing w:after="0" w:line="250" w:lineRule="auto"/>
        <w:tabs>
          <w:tab w:leader="none" w:pos="899"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any other rights available to the Holder, including the right to rescind the exercise as provided above, if as a result of a failure to deliver the Shares by the Delivery Deadline (so long as the failure to deliver the Shares is not caused by any action or inaction by the Holder) (a “</w:t>
      </w:r>
      <w:r>
        <w:rPr>
          <w:rFonts w:ascii="Times New Roman" w:cs="Times New Roman" w:eastAsia="Times New Roman" w:hAnsi="Times New Roman"/>
          <w:sz w:val="17"/>
          <w:szCs w:val="17"/>
          <w:u w:val="single" w:color="auto"/>
          <w:color w:val="auto"/>
        </w:rPr>
        <w:t>Delivery Failure</w:t>
      </w:r>
      <w:r>
        <w:rPr>
          <w:rFonts w:ascii="Times New Roman" w:cs="Times New Roman" w:eastAsia="Times New Roman" w:hAnsi="Times New Roman"/>
          <w:sz w:val="17"/>
          <w:szCs w:val="17"/>
          <w:color w:val="auto"/>
        </w:rPr>
        <w:t>”) the Holder is required by its broker to purchase (in an open market transaction or otherwise) or the Holder’s brokerage firm otherwise purchases shares of the Company’s capital stock to deliver in satisfaction of a sale anticipated to be made by the Holder of all or portion of such Shares which are the subject of such Delivery Failure (an “</w:t>
      </w:r>
      <w:r>
        <w:rPr>
          <w:rFonts w:ascii="Times New Roman" w:cs="Times New Roman" w:eastAsia="Times New Roman" w:hAnsi="Times New Roman"/>
          <w:sz w:val="17"/>
          <w:szCs w:val="17"/>
          <w:u w:val="single" w:color="auto"/>
          <w:color w:val="auto"/>
        </w:rPr>
        <w:t>Anticipated Sale</w:t>
      </w:r>
      <w:r>
        <w:rPr>
          <w:rFonts w:ascii="Times New Roman" w:cs="Times New Roman" w:eastAsia="Times New Roman" w:hAnsi="Times New Roman"/>
          <w:sz w:val="17"/>
          <w:szCs w:val="17"/>
          <w:color w:val="auto"/>
        </w:rPr>
        <w:t>”), then the Company shall (i) pay in cash to the Holder the amount by which (x) the Holder’s total purchase price (including brokerage commissions, if any) for the shares of the Company’s capital stock so purchased exceeds (y) an amount equal to the product of (A) the number of Shares that the Holder anticipated to sell in such Anticipated Sale, multiplied by (B) the Warrant Price that would have been payable for such Shares, and (ii) at the option of the Holder, either reinstate the portion of this Warrant and equivalent number of Shares in respect of which such Delivery Failure occurred or deliver to the Holder the number of Shares that would have been issued had the Company timely complied with its obligations hereunder to issue such Shares upon such exercise. The Holder shall provide the Company written notice indicating the amounts payable to the Holder, together with applicable confirmations and other evidence reasonably requested by the Company.</w:t>
      </w:r>
    </w:p>
    <w:p>
      <w:pPr>
        <w:spacing w:after="0" w:line="180" w:lineRule="exact"/>
        <w:rPr>
          <w:rFonts w:ascii="Times New Roman" w:cs="Times New Roman" w:eastAsia="Times New Roman" w:hAnsi="Times New Roman"/>
          <w:sz w:val="17"/>
          <w:szCs w:val="17"/>
          <w:color w:val="auto"/>
        </w:rPr>
      </w:pPr>
    </w:p>
    <w:p>
      <w:pPr>
        <w:jc w:val="both"/>
        <w:ind w:left="899" w:hanging="294"/>
        <w:spacing w:after="0" w:line="261" w:lineRule="auto"/>
        <w:tabs>
          <w:tab w:leader="none" w:pos="899"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fraction of a Share will be issued upon any exercise of a Warrant. If the holder of a Warrant would be entitled to receive a fraction of a Share upon any exercise of a Warrant, the Company shall, upon such exercise, issue or cause to be issued only the largest whole number of Shares issuable on such exercise (and such fraction of a Share will be disregarded).</w:t>
      </w:r>
    </w:p>
    <w:p>
      <w:pPr>
        <w:spacing w:after="0" w:line="169" w:lineRule="exact"/>
        <w:rPr>
          <w:rFonts w:ascii="Times New Roman" w:cs="Times New Roman" w:eastAsia="Times New Roman" w:hAnsi="Times New Roman"/>
          <w:sz w:val="17"/>
          <w:szCs w:val="17"/>
          <w:color w:val="auto"/>
        </w:rPr>
      </w:pPr>
    </w:p>
    <w:p>
      <w:pPr>
        <w:jc w:val="both"/>
        <w:ind w:left="899" w:hanging="294"/>
        <w:spacing w:after="0" w:line="261" w:lineRule="auto"/>
        <w:tabs>
          <w:tab w:leader="none" w:pos="899"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Rule 144, it is acknowledged and agreed that (i) the Shares issuable upon any exercise of this Warrant in any Cashless Exercise transaction shall be deemed to have been acquired on the Issuance Date, and (ii) the holding period for any of the Shares issuable upon the exercise of this Warrant in any Cashless Exercise transaction shall be deemed to have commenced on the Issuance Date.</w:t>
      </w:r>
    </w:p>
    <w:p>
      <w:pPr>
        <w:spacing w:after="0" w:line="169"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Exchange and Registry of Warrant</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899" w:hanging="294"/>
        <w:spacing w:after="0" w:line="261" w:lineRule="auto"/>
        <w:tabs>
          <w:tab w:leader="none" w:pos="899"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Warrant Certificates, when surrendered at the office of the Company by the Holder in person or by attorney duly authorized in writing, may be exchanged without payment of any service charge, for another Warrant Certificate or Warrant Certificates of like tenor and evidencing in the aggregate a like number of Warrants.</w:t>
      </w:r>
    </w:p>
    <w:p>
      <w:pPr>
        <w:spacing w:after="0" w:line="169" w:lineRule="exact"/>
        <w:rPr>
          <w:rFonts w:ascii="Times New Roman" w:cs="Times New Roman" w:eastAsia="Times New Roman" w:hAnsi="Times New Roman"/>
          <w:sz w:val="17"/>
          <w:szCs w:val="17"/>
          <w:color w:val="auto"/>
        </w:rPr>
      </w:pPr>
    </w:p>
    <w:p>
      <w:pPr>
        <w:jc w:val="both"/>
        <w:ind w:left="899" w:hanging="294"/>
        <w:spacing w:after="0" w:line="261" w:lineRule="auto"/>
        <w:tabs>
          <w:tab w:leader="none" w:pos="899"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due presentment for registration of transfer of the Warrant Certificate at the office of the Company, a new Warrant Certificate or Warrant Certificates of like tenor and evidencing in the aggregate a like number of Warrants shall be issued to the transferee in exchange for this Warrant Certificate, without charge except for any applicable tax or other governmental charge.</w:t>
      </w:r>
    </w:p>
    <w:p>
      <w:pPr>
        <w:spacing w:after="0" w:line="169" w:lineRule="exact"/>
        <w:rPr>
          <w:sz w:val="20"/>
          <w:szCs w:val="20"/>
          <w:color w:val="auto"/>
        </w:rPr>
      </w:pPr>
    </w:p>
    <w:p>
      <w:pPr>
        <w:jc w:val="both"/>
        <w:ind w:left="299"/>
        <w:spacing w:after="0" w:line="256" w:lineRule="auto"/>
        <w:rPr>
          <w:sz w:val="20"/>
          <w:szCs w:val="20"/>
          <w:color w:val="auto"/>
        </w:rPr>
      </w:pPr>
      <w:r>
        <w:rPr>
          <w:rFonts w:ascii="Times New Roman" w:cs="Times New Roman" w:eastAsia="Times New Roman" w:hAnsi="Times New Roman"/>
          <w:sz w:val="17"/>
          <w:szCs w:val="17"/>
          <w:color w:val="auto"/>
        </w:rPr>
        <w:t>The Company shall keep and properly maintain at its principal executive offices a register for the registration of this Warrant and any transfers thereof. The Company may deem and treat the person in whose name this Warrant is registered on such register as the Holder thereof for all purposes, and the Company shall not be affected by any notice to the contrary, except any assignment, division, combination or other transfer of this Warrant effected in accordance with the provisions of this Warrant.</w:t>
      </w:r>
    </w:p>
    <w:p>
      <w:pPr>
        <w:spacing w:after="0" w:line="238" w:lineRule="exact"/>
        <w:rPr>
          <w:sz w:val="20"/>
          <w:szCs w:val="20"/>
          <w:color w:val="auto"/>
        </w:rPr>
      </w:pPr>
    </w:p>
    <w:p>
      <w:pPr>
        <w:ind w:left="299" w:hanging="299"/>
        <w:spacing w:after="0"/>
        <w:tabs>
          <w:tab w:leader="none" w:pos="29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Anti-Dilution Adjustments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899" w:hanging="294"/>
        <w:spacing w:after="0"/>
        <w:tabs>
          <w:tab w:leader="none" w:pos="899"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for Change in Shares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1519" w:hanging="309"/>
        <w:spacing w:after="0" w:line="251" w:lineRule="auto"/>
        <w:tabs>
          <w:tab w:leader="none" w:pos="1519" w:val="left"/>
        </w:tabs>
        <w:numPr>
          <w:ilvl w:val="2"/>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after the Issuance Date and prior to the exercise in full of this Warrant, the outstanding the number of Shares shall be subdivided (by distribution, subdivision or otherwise), into a greater number of Shares, the number of Shares issuable on the exercise of each Warrant then in effect shall, concurrently with the effectiveness of such subdivision, be equally, ratably and proportionally increased, as determined in good faith by the Board, which determination shall be final and binding on the Holders absent manifest error. In the event the outstanding Shares shall be combined or consolidated, by reclassification or otherwise, into a lesser number of Shares, the number of Shares issuable on the exercise of each Warrant then in effect shall, concurrently with the effectiveness of such subdivision, be equally, ratably and proportionally decreased, as determined in good faith by the Board, which determination shall be final and binding on the Holders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1412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78" w:name="page79"/>
    <w:bookmarkEnd w:id="78"/>
    <w:p>
      <w:pPr>
        <w:jc w:val="both"/>
        <w:ind w:left="914" w:hanging="309"/>
        <w:spacing w:after="0" w:line="274" w:lineRule="auto"/>
        <w:tabs>
          <w:tab w:leader="none" w:pos="914"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after the Issuance Date and prior to the exercise in full of this Warrant, the Shares are exchanged for, or converted into, another form of equity security of the Company or of any other entity, this Warrant shall be exercisable for an equivalent number of such equity securities, at an equivalent Warrant Price, in each case as determined by the Board acting reasonably, so as to provide the Holder with rights equitably equivalent to the rights held by the Holder by virtue of this Warrant in effect immediately prior to such exchange or conversion, and each reference herein to the Shares issuable on exercise of this Warrant shall be deemed to be a reference to such other equity securities.</w:t>
      </w:r>
    </w:p>
    <w:p>
      <w:pPr>
        <w:spacing w:after="0" w:line="185" w:lineRule="exact"/>
        <w:rPr>
          <w:rFonts w:ascii="Times New Roman" w:cs="Times New Roman" w:eastAsia="Times New Roman" w:hAnsi="Times New Roman"/>
          <w:sz w:val="16"/>
          <w:szCs w:val="16"/>
          <w:color w:val="auto"/>
        </w:rPr>
      </w:pPr>
    </w:p>
    <w:p>
      <w:pPr>
        <w:jc w:val="both"/>
        <w:ind w:left="294" w:hanging="294"/>
        <w:spacing w:after="0" w:line="252" w:lineRule="auto"/>
        <w:tabs>
          <w:tab w:leader="none" w:pos="29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for Issuance of Applicable Shares</w:t>
      </w:r>
      <w:r>
        <w:rPr>
          <w:rFonts w:ascii="Times New Roman" w:cs="Times New Roman" w:eastAsia="Times New Roman" w:hAnsi="Times New Roman"/>
          <w:sz w:val="17"/>
          <w:szCs w:val="17"/>
          <w:color w:val="auto"/>
        </w:rPr>
        <w:t>. If, after the Issuance Date, the Company shall issue or sell any Shares (other than shares included in the Excluded Issuances, as defined below) (the “</w:t>
      </w:r>
      <w:r>
        <w:rPr>
          <w:rFonts w:ascii="Times New Roman" w:cs="Times New Roman" w:eastAsia="Times New Roman" w:hAnsi="Times New Roman"/>
          <w:sz w:val="17"/>
          <w:szCs w:val="17"/>
          <w:u w:val="single" w:color="auto"/>
          <w:color w:val="auto"/>
        </w:rPr>
        <w:t>Applicable Shares</w:t>
      </w:r>
      <w:r>
        <w:rPr>
          <w:rFonts w:ascii="Times New Roman" w:cs="Times New Roman" w:eastAsia="Times New Roman" w:hAnsi="Times New Roman"/>
          <w:sz w:val="17"/>
          <w:szCs w:val="17"/>
          <w:color w:val="auto"/>
        </w:rPr>
        <w:t>”), or options, warrants, convertible securities and similar instruments exercisable or otherwise convertible or exchangeable for Applicable Shares, in each case without consideration or for a consideration per Share initially deliverable upon issuance, conversion or exchange of such securities less than $90 (as proportionately adjusted to account for stock splits, stock combinations, stock dividends or other distributions and recapitalizations affecting the Common Stock on or after the Issuance Date) (the “</w:t>
      </w:r>
      <w:r>
        <w:rPr>
          <w:rFonts w:ascii="Times New Roman" w:cs="Times New Roman" w:eastAsia="Times New Roman" w:hAnsi="Times New Roman"/>
          <w:sz w:val="17"/>
          <w:szCs w:val="17"/>
          <w:u w:val="single" w:color="auto"/>
          <w:color w:val="auto"/>
        </w:rPr>
        <w:t>Original Price</w:t>
      </w:r>
      <w:r>
        <w:rPr>
          <w:rFonts w:ascii="Times New Roman" w:cs="Times New Roman" w:eastAsia="Times New Roman" w:hAnsi="Times New Roman"/>
          <w:sz w:val="17"/>
          <w:szCs w:val="17"/>
          <w:color w:val="auto"/>
        </w:rPr>
        <w:t>”), then effective immediately upon such issuance or sale, the number of Shares issuable upon exercise of this Warrant immediately prior to any such issuance or sale shall be increased, and shall not be reduced, in accordance with the following formula:</w:t>
      </w:r>
    </w:p>
    <w:p>
      <w:pPr>
        <w:spacing w:after="0" w:line="177" w:lineRule="exact"/>
        <w:rPr>
          <w:sz w:val="20"/>
          <w:szCs w:val="20"/>
          <w:color w:val="auto"/>
        </w:rPr>
      </w:pPr>
    </w:p>
    <w:p>
      <w:pPr>
        <w:ind w:left="3934"/>
        <w:spacing w:after="0"/>
        <w:rPr>
          <w:sz w:val="20"/>
          <w:szCs w:val="20"/>
          <w:color w:val="auto"/>
        </w:rPr>
      </w:pPr>
      <w:r>
        <w:rPr>
          <w:rFonts w:ascii="Times New Roman" w:cs="Times New Roman" w:eastAsia="Times New Roman" w:hAnsi="Times New Roman"/>
          <w:sz w:val="17"/>
          <w:szCs w:val="17"/>
          <w:color w:val="auto"/>
        </w:rPr>
        <w:t>S1 = S x [(OS + D) / (OS + PS)]</w:t>
      </w:r>
    </w:p>
    <w:p>
      <w:pPr>
        <w:spacing w:after="0" w:line="208" w:lineRule="exact"/>
        <w:rPr>
          <w:sz w:val="20"/>
          <w:szCs w:val="20"/>
          <w:color w:val="auto"/>
        </w:rPr>
      </w:pPr>
    </w:p>
    <w:p>
      <w:pPr>
        <w:ind w:left="294"/>
        <w:spacing w:after="0"/>
        <w:rPr>
          <w:sz w:val="20"/>
          <w:szCs w:val="20"/>
          <w:color w:val="auto"/>
        </w:rPr>
      </w:pPr>
      <w:r>
        <w:rPr>
          <w:rFonts w:ascii="Times New Roman" w:cs="Times New Roman" w:eastAsia="Times New Roman" w:hAnsi="Times New Roman"/>
          <w:sz w:val="17"/>
          <w:szCs w:val="17"/>
          <w:color w:val="auto"/>
        </w:rPr>
        <w:t>S1 = new number of Shares issuable upon exercise of this Warrant</w:t>
      </w:r>
    </w:p>
    <w:p>
      <w:pPr>
        <w:spacing w:after="0" w:line="22" w:lineRule="exact"/>
        <w:rPr>
          <w:sz w:val="20"/>
          <w:szCs w:val="20"/>
          <w:color w:val="auto"/>
        </w:rPr>
      </w:pPr>
    </w:p>
    <w:p>
      <w:pPr>
        <w:ind w:left="294"/>
        <w:spacing w:after="0"/>
        <w:rPr>
          <w:sz w:val="20"/>
          <w:szCs w:val="20"/>
          <w:color w:val="auto"/>
        </w:rPr>
      </w:pPr>
      <w:r>
        <w:rPr>
          <w:rFonts w:ascii="Times New Roman" w:cs="Times New Roman" w:eastAsia="Times New Roman" w:hAnsi="Times New Roman"/>
          <w:sz w:val="17"/>
          <w:szCs w:val="17"/>
          <w:color w:val="auto"/>
        </w:rPr>
        <w:t>S = then applicable number of Shares issuable upon exercise of this Warrant immediately prior to the issuance or sale</w:t>
      </w:r>
    </w:p>
    <w:p>
      <w:pPr>
        <w:spacing w:after="0" w:line="6" w:lineRule="exact"/>
        <w:rPr>
          <w:sz w:val="20"/>
          <w:szCs w:val="20"/>
          <w:color w:val="auto"/>
        </w:rPr>
      </w:pPr>
    </w:p>
    <w:p>
      <w:pPr>
        <w:ind w:left="294" w:right="520"/>
        <w:spacing w:after="0" w:line="247" w:lineRule="auto"/>
        <w:rPr>
          <w:sz w:val="20"/>
          <w:szCs w:val="20"/>
          <w:color w:val="auto"/>
        </w:rPr>
      </w:pPr>
      <w:r>
        <w:rPr>
          <w:rFonts w:ascii="Times New Roman" w:cs="Times New Roman" w:eastAsia="Times New Roman" w:hAnsi="Times New Roman"/>
          <w:sz w:val="17"/>
          <w:szCs w:val="17"/>
          <w:color w:val="auto"/>
        </w:rPr>
        <w:t>OS = the number of Shares outstanding immediately prior to the issuance of such securities D = the maximum number of Shares deliverable upon issuance of such securities</w:t>
      </w:r>
    </w:p>
    <w:p>
      <w:pPr>
        <w:spacing w:after="0" w:line="1" w:lineRule="exact"/>
        <w:rPr>
          <w:sz w:val="20"/>
          <w:szCs w:val="20"/>
          <w:color w:val="auto"/>
        </w:rPr>
      </w:pPr>
    </w:p>
    <w:p>
      <w:pPr>
        <w:ind w:left="294" w:right="360"/>
        <w:spacing w:after="0" w:line="255" w:lineRule="auto"/>
        <w:rPr>
          <w:sz w:val="20"/>
          <w:szCs w:val="20"/>
          <w:color w:val="auto"/>
        </w:rPr>
      </w:pPr>
      <w:r>
        <w:rPr>
          <w:rFonts w:ascii="Times New Roman" w:cs="Times New Roman" w:eastAsia="Times New Roman" w:hAnsi="Times New Roman"/>
          <w:sz w:val="17"/>
          <w:szCs w:val="17"/>
          <w:color w:val="auto"/>
        </w:rPr>
        <w:t>PS = the aggregate number of Shares which the aggregate amount of consideration received by the Company upon such issuance or sale would have purchased at the Original Price</w:t>
      </w:r>
    </w:p>
    <w:p>
      <w:pPr>
        <w:spacing w:after="0" w:line="237" w:lineRule="exact"/>
        <w:rPr>
          <w:sz w:val="20"/>
          <w:szCs w:val="20"/>
          <w:color w:val="auto"/>
        </w:rPr>
      </w:pPr>
    </w:p>
    <w:p>
      <w:pPr>
        <w:jc w:val="both"/>
        <w:ind w:left="294" w:hanging="294"/>
        <w:spacing w:after="0" w:line="250" w:lineRule="auto"/>
        <w:tabs>
          <w:tab w:leader="none" w:pos="29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Dividends and Distributions</w:t>
      </w:r>
      <w:r>
        <w:rPr>
          <w:rFonts w:ascii="Times New Roman" w:cs="Times New Roman" w:eastAsia="Times New Roman" w:hAnsi="Times New Roman"/>
          <w:sz w:val="17"/>
          <w:szCs w:val="17"/>
          <w:color w:val="auto"/>
        </w:rPr>
        <w:t xml:space="preserve">. If the Company shall make or declare, or fix a record date for the determination of holders of equity securities entitled to receive, a dividend or any other distribution payable in cash, securities of the Company or other property, then, and in each such event, the Company shall ensure that provisions are made so that the Holder shall receive upon exercise of this Warrant, in addition to the number of the Shares receivable thereupon, the kind and amount of cash, securities of the Company or other property which the Holder would have been entitled to receive had this Warrant been exercised in full into the Shares on the date of such event and had the Holder thereafter, during the period from the date of such event to and including the date this Warrant is exercised, retained such cash, securities or other property receivable by them as aforesaid during such period, giving application to all adjustments called for during such period under this Section with respect to the rights of the Holder;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no such provision shall be made if the Holder receives, simultaneously with the distribution to the holders of equity securities, a dividend or other distribution of such securities, cash or other property in an amount equal to the amount of such securities, cash or other property as the Holder would have received if this Warrant had been exercised in full into the Shares on the date of such event.</w:t>
      </w:r>
    </w:p>
    <w:p>
      <w:pPr>
        <w:spacing w:after="0" w:line="182" w:lineRule="exact"/>
        <w:rPr>
          <w:rFonts w:ascii="Times New Roman" w:cs="Times New Roman" w:eastAsia="Times New Roman" w:hAnsi="Times New Roman"/>
          <w:sz w:val="17"/>
          <w:szCs w:val="17"/>
          <w:color w:val="auto"/>
        </w:rPr>
      </w:pPr>
    </w:p>
    <w:p>
      <w:pPr>
        <w:jc w:val="both"/>
        <w:ind w:left="294" w:hanging="294"/>
        <w:spacing w:after="0" w:line="254" w:lineRule="auto"/>
        <w:tabs>
          <w:tab w:leader="none" w:pos="29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Certain Events</w:t>
      </w:r>
      <w:r>
        <w:rPr>
          <w:rFonts w:ascii="Times New Roman" w:cs="Times New Roman" w:eastAsia="Times New Roman" w:hAnsi="Times New Roman"/>
          <w:sz w:val="17"/>
          <w:szCs w:val="17"/>
          <w:color w:val="auto"/>
        </w:rPr>
        <w:t xml:space="preserve">. If any event of the type contemplated by the provisions of this Section but not expressly provided for by such provisions (including, without limitation, the granting of stock appreciation rights, phantom stock rights or other rights with equity features) occurs, then the Board shall make an appropriate adjustment in the number of the Shares issuable upon exercise of this Warrant so as to protect the rights of the Holder in a manner consistent with the provisions of this Section;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no such adjustment pursuant to this Section 4(d) shall increase the Warrant Price or decrease the number of the Shares issuable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258445</wp:posOffset>
            </wp:positionV>
            <wp:extent cx="71412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79" w:name="page80"/>
    <w:bookmarkEnd w:id="79"/>
    <w:p>
      <w:pPr>
        <w:jc w:val="both"/>
        <w:ind w:left="294" w:hanging="294"/>
        <w:spacing w:after="0" w:line="249" w:lineRule="auto"/>
        <w:tabs>
          <w:tab w:leader="none" w:pos="29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Exceptions to Adjustments</w:t>
      </w:r>
      <w:r>
        <w:rPr>
          <w:rFonts w:ascii="Times New Roman" w:cs="Times New Roman" w:eastAsia="Times New Roman" w:hAnsi="Times New Roman"/>
          <w:sz w:val="17"/>
          <w:szCs w:val="17"/>
          <w:color w:val="auto"/>
        </w:rPr>
        <w:t>. Except as specifically provided for herein, there shall be no adjustment or readjustment to the number of Shares issuable in the following circumstances (each of the following, an “</w:t>
      </w:r>
      <w:r>
        <w:rPr>
          <w:rFonts w:ascii="Times New Roman" w:cs="Times New Roman" w:eastAsia="Times New Roman" w:hAnsi="Times New Roman"/>
          <w:sz w:val="17"/>
          <w:szCs w:val="17"/>
          <w:u w:val="single" w:color="auto"/>
          <w:color w:val="auto"/>
        </w:rPr>
        <w:t>Excluded Issuance</w:t>
      </w:r>
      <w:r>
        <w:rPr>
          <w:rFonts w:ascii="Times New Roman" w:cs="Times New Roman" w:eastAsia="Times New Roman" w:hAnsi="Times New Roman"/>
          <w:sz w:val="17"/>
          <w:szCs w:val="17"/>
          <w:color w:val="auto"/>
        </w:rPr>
        <w:t xml:space="preserve">”): (1) upon the exercise of this Warrant or any of the other Warrants issued to the Company’s other lenders on the Issuance Date; (2) upon conversion, exercise or exchange of securities, including convertible debt securities, outstanding prior to the Issuance Date; (3) pursuant to agreements in effect as of the Issuance Date (provided that such agreements are not amended after the Issuance Date to increase the number of securities, reduce the consideration payable in connection with such securities, or otherwise change the terms of such agreements so as to have a dilutive effect on this Warrant), but excluding the Series A Preferred Shares (and any shares deemed to be issued upon conversion thereof) being issued after (but not on) the initial closing date under that certain Securities Purchase Agreement dated as of on or about even date herewith by the Company and JAK Opportunities XVII LLC; (4) pursuant to the Company’s management, directors or other service providers as part of compensation and incentive programs approved by the Board; (5) pursuant to any joint venture arrangement, strategic arrangements, real property lease, financing transaction or other similar transaction in which equity financing is not the purpose of the transaction; and (6) pursuant to any public equity offerings. Notwithstanding the foregoing, the parties agree that any equity securities issued in “PIPE” transactions, and any equity securities issued pursuant to the Committed Equity Facility shall be “Excluded Issuances” if the securities issued in such “PIPE” transactions or pursuant to the Committed Equity Facility are issued for consideration equal to at least $45 per share (as proportionately adjusted to account for stock splits, stock combinations, stock dividends or other distributions or recapitalizations affecting the Common Stock on or after the issue Date). For example (x) if the Company issues equity securities in a PIPE Transaction or pursuant to the Committed Equity Facility, and the consideration paid for those equity securities is $36 per equity security, then such issuance shall not be an Excluded Issuance and the adjustment set forth in </w:t>
      </w:r>
      <w:r>
        <w:rPr>
          <w:rFonts w:ascii="Times New Roman" w:cs="Times New Roman" w:eastAsia="Times New Roman" w:hAnsi="Times New Roman"/>
          <w:sz w:val="17"/>
          <w:szCs w:val="17"/>
          <w:u w:val="single" w:color="auto"/>
          <w:color w:val="auto"/>
        </w:rPr>
        <w:t>Section 4(b)</w:t>
      </w:r>
      <w:r>
        <w:rPr>
          <w:rFonts w:ascii="Times New Roman" w:cs="Times New Roman" w:eastAsia="Times New Roman" w:hAnsi="Times New Roman"/>
          <w:sz w:val="17"/>
          <w:szCs w:val="17"/>
          <w:color w:val="auto"/>
        </w:rPr>
        <w:t xml:space="preserve"> shall apply, and (y) if the Company issues equity securities in a PIPE Transaction or pursuant to the Committed Equity Facility, and the consideration paid for those equity securities is $45 per equity security, then such issuance shall be an Excluded Issuance and the adjustment set forth in </w:t>
      </w:r>
      <w:r>
        <w:rPr>
          <w:rFonts w:ascii="Times New Roman" w:cs="Times New Roman" w:eastAsia="Times New Roman" w:hAnsi="Times New Roman"/>
          <w:sz w:val="17"/>
          <w:szCs w:val="17"/>
          <w:u w:val="single" w:color="auto"/>
          <w:color w:val="auto"/>
        </w:rPr>
        <w:t>Section 4(b)</w:t>
      </w:r>
      <w:r>
        <w:rPr>
          <w:rFonts w:ascii="Times New Roman" w:cs="Times New Roman" w:eastAsia="Times New Roman" w:hAnsi="Times New Roman"/>
          <w:sz w:val="17"/>
          <w:szCs w:val="17"/>
          <w:color w:val="auto"/>
        </w:rPr>
        <w:t xml:space="preserve"> shall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apply. As used herein, “</w:t>
      </w:r>
      <w:r>
        <w:rPr>
          <w:rFonts w:ascii="Times New Roman" w:cs="Times New Roman" w:eastAsia="Times New Roman" w:hAnsi="Times New Roman"/>
          <w:sz w:val="17"/>
          <w:szCs w:val="17"/>
          <w:u w:val="single" w:color="auto"/>
          <w:color w:val="auto"/>
        </w:rPr>
        <w:t>Committed Equity Facility</w:t>
      </w:r>
      <w:r>
        <w:rPr>
          <w:rFonts w:ascii="Times New Roman" w:cs="Times New Roman" w:eastAsia="Times New Roman" w:hAnsi="Times New Roman"/>
          <w:sz w:val="17"/>
          <w:szCs w:val="17"/>
          <w:color w:val="auto"/>
        </w:rPr>
        <w:t>” means the ChEF Purchase Agreement by and between Chardan Capital Markets LLC and Dragonfly Energy Holdings Corp., including any modification, amendment or replacement thereof.</w:t>
      </w:r>
    </w:p>
    <w:p>
      <w:pPr>
        <w:spacing w:after="0" w:line="205" w:lineRule="exact"/>
        <w:rPr>
          <w:rFonts w:ascii="Times New Roman" w:cs="Times New Roman" w:eastAsia="Times New Roman" w:hAnsi="Times New Roman"/>
          <w:sz w:val="17"/>
          <w:szCs w:val="17"/>
          <w:color w:val="auto"/>
        </w:rPr>
      </w:pPr>
    </w:p>
    <w:p>
      <w:pPr>
        <w:jc w:val="both"/>
        <w:ind w:left="294" w:hanging="294"/>
        <w:spacing w:after="0" w:line="254" w:lineRule="auto"/>
        <w:tabs>
          <w:tab w:leader="none" w:pos="29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Adjustment</w:t>
      </w:r>
      <w:r>
        <w:rPr>
          <w:rFonts w:ascii="Times New Roman" w:cs="Times New Roman" w:eastAsia="Times New Roman" w:hAnsi="Times New Roman"/>
          <w:sz w:val="17"/>
          <w:szCs w:val="17"/>
          <w:color w:val="auto"/>
        </w:rPr>
        <w:t>. Upon the occurrence of each adjustment or readjustment of the number of Shares issuable on the exercise of each Warrant, the Company (at its expense) shall promptly compute such adjustment or readjustment in accordance with the terms hereof and, within 5 Business Days after the end of each calendar quarter in which such an adjustment or readjustment has occurred, furnish to the Holder a notice setting forth (1) each such adjustment or readjustment that occurred during the preceding quarter and showing in detail the facts upon which such adjustment or readjustment is based and (2) the number of Shares issuable on the exercise of each Warrant at the time in effect.</w:t>
      </w:r>
    </w:p>
    <w:p>
      <w:pPr>
        <w:spacing w:after="0" w:line="175" w:lineRule="exact"/>
        <w:rPr>
          <w:rFonts w:ascii="Times New Roman" w:cs="Times New Roman" w:eastAsia="Times New Roman" w:hAnsi="Times New Roman"/>
          <w:sz w:val="17"/>
          <w:szCs w:val="17"/>
          <w:color w:val="auto"/>
        </w:rPr>
      </w:pPr>
    </w:p>
    <w:p>
      <w:pPr>
        <w:ind w:left="294" w:hanging="294"/>
        <w:spacing w:after="0" w:line="274" w:lineRule="auto"/>
        <w:tabs>
          <w:tab w:leader="none" w:pos="29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of Books</w:t>
      </w:r>
      <w:r>
        <w:rPr>
          <w:rFonts w:ascii="Times New Roman" w:cs="Times New Roman" w:eastAsia="Times New Roman" w:hAnsi="Times New Roman"/>
          <w:sz w:val="17"/>
          <w:szCs w:val="17"/>
          <w:color w:val="auto"/>
        </w:rPr>
        <w:t>. The Company will not close its stockholder books or records, other than in the ordinary course, in any manner which prevents the timely exercise of this Warrant, pursuant to the terms hereof.</w:t>
      </w:r>
    </w:p>
    <w:p>
      <w:pPr>
        <w:spacing w:after="0" w:line="184" w:lineRule="exact"/>
        <w:rPr>
          <w:rFonts w:ascii="Times New Roman" w:cs="Times New Roman" w:eastAsia="Times New Roman" w:hAnsi="Times New Roman"/>
          <w:sz w:val="17"/>
          <w:szCs w:val="17"/>
          <w:color w:val="auto"/>
        </w:rPr>
      </w:pPr>
    </w:p>
    <w:p>
      <w:pPr>
        <w:ind w:left="294" w:hanging="294"/>
        <w:spacing w:after="0" w:line="274" w:lineRule="auto"/>
        <w:tabs>
          <w:tab w:leader="none" w:pos="29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All calculations hereunder shall be made to the nearest cent or to the nearest twentieth decimal place of a fractional Share,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239395</wp:posOffset>
            </wp:positionV>
            <wp:extent cx="71412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80" w:name="page81"/>
    <w:bookmarkEnd w:id="80"/>
    <w:p>
      <w:pPr>
        <w:ind w:left="299" w:hanging="299"/>
        <w:spacing w:after="0"/>
        <w:tabs>
          <w:tab w:leader="none" w:pos="29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w:t>
      </w:r>
    </w:p>
    <w:p>
      <w:pPr>
        <w:spacing w:after="0" w:line="233" w:lineRule="exact"/>
        <w:rPr>
          <w:rFonts w:ascii="Times New Roman" w:cs="Times New Roman" w:eastAsia="Times New Roman" w:hAnsi="Times New Roman"/>
          <w:sz w:val="17"/>
          <w:szCs w:val="17"/>
          <w:color w:val="auto"/>
        </w:rPr>
      </w:pPr>
    </w:p>
    <w:p>
      <w:pPr>
        <w:jc w:val="both"/>
        <w:ind w:left="899" w:hanging="294"/>
        <w:spacing w:after="0" w:line="249" w:lineRule="auto"/>
        <w:tabs>
          <w:tab w:leader="none" w:pos="899"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following the Issuance Date but no later than thirty (30) calendar days after the Issuance Date, the Company shall submit to or file with the SEC a registration statement registering the resale of this Warrant, the Shares, and any securities issued or issuable with respect to the Shares by way of a stock dividend or stock split or in connection with a combination of shares, recapitalization, merger, consolidation, spin-off, reclassification or other reorganization or similar transaction (including Shares received pursuant to Section 4 above) (the “</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on any form of registration statement (a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as is then available to effect a registration for resale of such Registrable Securities, which may be on Form S-1, for an offering to be made on a continuous basis pursuant to Rule 415 of the Securities Act registering the resale from time to time by the Holder(s) (or a bona fide pledgee thereof) of all of the Registrable Securities held by the Holder (or bona fide pledgee thereof) (the “</w:t>
      </w:r>
      <w:r>
        <w:rPr>
          <w:rFonts w:ascii="Times New Roman" w:cs="Times New Roman" w:eastAsia="Times New Roman" w:hAnsi="Times New Roman"/>
          <w:sz w:val="17"/>
          <w:szCs w:val="17"/>
          <w:u w:val="single" w:color="auto"/>
          <w:color w:val="auto"/>
        </w:rPr>
        <w:t>Initial 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Statement</w:t>
      </w:r>
      <w:r>
        <w:rPr>
          <w:rFonts w:ascii="Times New Roman" w:cs="Times New Roman" w:eastAsia="Times New Roman" w:hAnsi="Times New Roman"/>
          <w:sz w:val="17"/>
          <w:szCs w:val="17"/>
          <w:color w:val="auto"/>
        </w:rPr>
        <w:t>”). The Holder shall not be named as an underwriter on any Registration Statement, provided, that if the SEC requires that the Holder be identified as a statutory underwriter in a Registration Statement, the Holder will have the option, in its sole and absolute discretion, to either (i) withdraw from the Registration Statement, it being understood that such withdrawal shall not relieve the Company of its obligation to register for resale such Holder’s Registrable Securities at a later date or (ii) be included as such in the Registration Statement. In the event that a Holder elects to include its Registrable Securities on a Registration Statement in accordance with the foregoing clause (ii), the Company shall provide such Holder with a draft of such Registration Statement (and any amendments or supplements thereto) as soon as reasonably practicable, and any disclosures contained therein relating to such Holder shall be subject to the approval of such Holder (which approval shall not be unreasonably withheld or delayed). Such Registrable Securities will cease to become Registrable Securities upon the earliest to occur of: (A) a Registration Statement with respect to the sale of such securities shall have become effective under the Securities Act and all Registrable Securities held by the Holder shall have been sold, transferred, disposed of or exchanged in accordance with such Registration Statement by the applicable Holder; (B) such securities shall have ceased to be outstanding; (C) such securities may be sold without restriction on volume or manner of sale in any three-month period pursuant to Rule 144 or any successor rule promulgated under the Securities Act; and (D) all Registrable Securities held by the Holder have been sold to, or through, a broker, dealer or underwriter in a public distribution or other public securities transaction.</w:t>
      </w:r>
    </w:p>
    <w:p>
      <w:pPr>
        <w:spacing w:after="0" w:line="205" w:lineRule="exact"/>
        <w:rPr>
          <w:rFonts w:ascii="Times New Roman" w:cs="Times New Roman" w:eastAsia="Times New Roman" w:hAnsi="Times New Roman"/>
          <w:sz w:val="17"/>
          <w:szCs w:val="17"/>
          <w:color w:val="auto"/>
        </w:rPr>
      </w:pPr>
    </w:p>
    <w:p>
      <w:pPr>
        <w:jc w:val="both"/>
        <w:ind w:left="899" w:hanging="294"/>
        <w:spacing w:after="0" w:line="250" w:lineRule="auto"/>
        <w:tabs>
          <w:tab w:leader="none" w:pos="899"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use commercially reasonable efforts to have the Initial Registration Statement declared effective as soon as practicable after the filing thereof, but no later than the earlier of (i) the ninetieth (90th) calendar day following the filing date thereof if the SEC notifies the Company that it will “review” the Registration Statement and (ii) the tenth (10th) business day after the date the Company is notified (orally or in writing, whichever is earlier) by the SEC that the Registration Statement will not be “reviewed” or will not be subject to further review. The Company shall notify the Holders as promptly as practicable after the Registration Statement is declared effective and shall simultaneously or prior thereto file with the SEC pursuant to Rule 424(b) promulgated under the Securities Act, and provide the Holders with copies of, any related prospectus to be used in connection with the sale or other disposition of the securities covered thereby (each, a “</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The Registration Statement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and shall provide that such Registrable Securities may be sold pursuant to any method or combination of methods legally available to, and requested by, the Holders.</w:t>
      </w:r>
    </w:p>
    <w:p>
      <w:pPr>
        <w:spacing w:after="0" w:line="182" w:lineRule="exact"/>
        <w:rPr>
          <w:rFonts w:ascii="Times New Roman" w:cs="Times New Roman" w:eastAsia="Times New Roman" w:hAnsi="Times New Roman"/>
          <w:sz w:val="17"/>
          <w:szCs w:val="17"/>
          <w:color w:val="auto"/>
        </w:rPr>
      </w:pPr>
    </w:p>
    <w:p>
      <w:pPr>
        <w:jc w:val="both"/>
        <w:ind w:left="899" w:hanging="294"/>
        <w:spacing w:after="0" w:line="254" w:lineRule="auto"/>
        <w:tabs>
          <w:tab w:leader="none" w:pos="899"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maintain the Initial Registration Statement and any subsequent Registration Statement in accordance with the terms hereof, and shall prepare and file with the SEC such amendments, including post-effective amendments, and supplements as may be necessary to keep the Initial Registration Statement and any subsequent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(the “</w:t>
      </w:r>
      <w:r>
        <w:rPr>
          <w:rFonts w:ascii="Times New Roman" w:cs="Times New Roman" w:eastAsia="Times New Roman" w:hAnsi="Times New Roman"/>
          <w:sz w:val="17"/>
          <w:szCs w:val="17"/>
          <w:u w:val="single" w:color="auto"/>
          <w:color w:val="auto"/>
        </w:rPr>
        <w:t>Effectiveness Period</w:t>
      </w:r>
      <w:r>
        <w:rPr>
          <w:rFonts w:ascii="Times New Roman" w:cs="Times New Roman" w:eastAsia="Times New Roman" w:hAnsi="Times New Roman"/>
          <w:sz w:val="17"/>
          <w:szCs w:val="17"/>
          <w:color w:val="auto"/>
        </w:rPr>
        <w:t>”).</w:t>
      </w:r>
    </w:p>
    <w:p>
      <w:pPr>
        <w:spacing w:after="0" w:line="201" w:lineRule="exact"/>
        <w:rPr>
          <w:rFonts w:ascii="Times New Roman" w:cs="Times New Roman" w:eastAsia="Times New Roman" w:hAnsi="Times New Roman"/>
          <w:sz w:val="17"/>
          <w:szCs w:val="17"/>
          <w:color w:val="auto"/>
        </w:rPr>
      </w:pPr>
    </w:p>
    <w:p>
      <w:pPr>
        <w:ind w:left="899" w:hanging="294"/>
        <w:spacing w:after="0"/>
        <w:tabs>
          <w:tab w:leader="none" w:pos="899"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of the foregoing, the Company shall:</w:t>
      </w:r>
    </w:p>
    <w:p>
      <w:pPr>
        <w:spacing w:after="0" w:line="233" w:lineRule="exact"/>
        <w:rPr>
          <w:rFonts w:ascii="Times New Roman" w:cs="Times New Roman" w:eastAsia="Times New Roman" w:hAnsi="Times New Roman"/>
          <w:sz w:val="17"/>
          <w:szCs w:val="17"/>
          <w:color w:val="auto"/>
        </w:rPr>
      </w:pPr>
    </w:p>
    <w:p>
      <w:pPr>
        <w:jc w:val="both"/>
        <w:ind w:left="1519" w:hanging="309"/>
        <w:spacing w:after="0" w:line="253" w:lineRule="auto"/>
        <w:tabs>
          <w:tab w:leader="none" w:pos="1519" w:val="left"/>
        </w:tabs>
        <w:numPr>
          <w:ilvl w:val="2"/>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copies to, and permit the Holder to review, the Registration Statement and all amendments and supplements thereto not less than five (5) business days prior to the filing of the Registration Statement and not less than one (1) business day prior to the filing of any related Prospectus or any amendment or supplement thereto (except any amendment or supplement in relation to annual reports on Form 10-K, quarterly reports on Form 10-Q and current reports on Form 8-K and any similar or successor reports) and provide the Holder a reasonable opportunity to comment thereon, and the Company shall consider such comments in good faith before filing any Registration Statement or amendment or supplement thereto;</w:t>
      </w:r>
    </w:p>
    <w:p>
      <w:pPr>
        <w:spacing w:after="0" w:line="200" w:lineRule="exact"/>
        <w:rPr>
          <w:rFonts w:ascii="Times New Roman" w:cs="Times New Roman" w:eastAsia="Times New Roman" w:hAnsi="Times New Roman"/>
          <w:sz w:val="17"/>
          <w:szCs w:val="17"/>
          <w:color w:val="auto"/>
        </w:rPr>
      </w:pPr>
    </w:p>
    <w:p>
      <w:pPr>
        <w:ind w:left="1519" w:hanging="309"/>
        <w:spacing w:after="0" w:line="274" w:lineRule="auto"/>
        <w:tabs>
          <w:tab w:leader="none" w:pos="1519" w:val="left"/>
        </w:tabs>
        <w:numPr>
          <w:ilvl w:val="2"/>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commercially reasonable efforts to (x) prevent the issuance of any stop order or other suspension of effectiveness and (y) if such order is issued, obtain the withdrawal of any such order as soon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71412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81" w:name="page82"/>
    <w:bookmarkEnd w:id="81"/>
    <w:p>
      <w:pPr>
        <w:jc w:val="both"/>
        <w:ind w:left="914" w:hanging="309"/>
        <w:spacing w:after="0" w:line="251" w:lineRule="auto"/>
        <w:tabs>
          <w:tab w:leader="none" w:pos="914"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any public offering of Registrable Securities, use commercially reasonable efforts to register or qualify or cooperate with the Holder and its counsel in connection with the registration or qualification of such Registrable Securities for the offer and sale under the securities or blue sky laws of such jurisdictions upon notice and as requested by the Holder and do any and all other commercially reasonable acts or things necessary or advisable as requested by the Holder to enable the distribution in such jurisdictions of the Registrable Securities covered by the Registration Statement; provided, that the Company shall not be required in connection therewith or as a condition thereto to (i) qualify to do business in any jurisdiction where it would not otherwise be required to qualify but for this provision; (ii) subject itself to general taxation in any jurisdiction where it would not otherwise be so subject but for this provision; or (iii) file a general consent to service of process in any such jurisdiction;</w:t>
      </w:r>
    </w:p>
    <w:p>
      <w:pPr>
        <w:spacing w:after="0" w:line="180" w:lineRule="exact"/>
        <w:rPr>
          <w:rFonts w:ascii="Times New Roman" w:cs="Times New Roman" w:eastAsia="Times New Roman" w:hAnsi="Times New Roman"/>
          <w:sz w:val="17"/>
          <w:szCs w:val="17"/>
          <w:color w:val="auto"/>
        </w:rPr>
      </w:pPr>
    </w:p>
    <w:p>
      <w:pPr>
        <w:ind w:left="914" w:hanging="309"/>
        <w:spacing w:after="0" w:line="274" w:lineRule="auto"/>
        <w:tabs>
          <w:tab w:leader="none" w:pos="914"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commercially reasonable efforts to cause all Registrable Securities covered by a Registration Statement to be listed on each national securities exchange or other market on which similar securities issued by the Company are then listed;</w:t>
      </w:r>
    </w:p>
    <w:p>
      <w:pPr>
        <w:spacing w:after="0" w:line="184" w:lineRule="exact"/>
        <w:rPr>
          <w:rFonts w:ascii="Times New Roman" w:cs="Times New Roman" w:eastAsia="Times New Roman" w:hAnsi="Times New Roman"/>
          <w:sz w:val="17"/>
          <w:szCs w:val="17"/>
          <w:color w:val="auto"/>
        </w:rPr>
      </w:pPr>
    </w:p>
    <w:p>
      <w:pPr>
        <w:ind w:left="914" w:hanging="309"/>
        <w:spacing w:after="0" w:line="274" w:lineRule="auto"/>
        <w:tabs>
          <w:tab w:leader="none" w:pos="914"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transfer agent or warrant agent, if any, as applicable, and registrar for all such Registrable Securities no later than the effective date of such Registration Statement;</w:t>
      </w:r>
    </w:p>
    <w:p>
      <w:pPr>
        <w:spacing w:after="0" w:line="158" w:lineRule="exact"/>
        <w:rPr>
          <w:rFonts w:ascii="Times New Roman" w:cs="Times New Roman" w:eastAsia="Times New Roman" w:hAnsi="Times New Roman"/>
          <w:sz w:val="17"/>
          <w:szCs w:val="17"/>
          <w:color w:val="auto"/>
        </w:rPr>
      </w:pPr>
    </w:p>
    <w:p>
      <w:pPr>
        <w:jc w:val="both"/>
        <w:ind w:left="914" w:hanging="309"/>
        <w:spacing w:after="0" w:line="252" w:lineRule="auto"/>
        <w:tabs>
          <w:tab w:leader="none" w:pos="914"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notify the Holder at any time prior to the end of the Effectiveness Period, upon discovery that, or upon the happening of any event as a result of which, the Prospectus included in the Registration Statement, as then in effect, includes a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 (a “</w:t>
      </w:r>
      <w:r>
        <w:rPr>
          <w:rFonts w:ascii="Times New Roman" w:cs="Times New Roman" w:eastAsia="Times New Roman" w:hAnsi="Times New Roman"/>
          <w:sz w:val="17"/>
          <w:szCs w:val="17"/>
          <w:u w:val="single" w:color="auto"/>
          <w:color w:val="auto"/>
        </w:rPr>
        <w:t>Misstatement</w:t>
      </w:r>
      <w:r>
        <w:rPr>
          <w:rFonts w:ascii="Times New Roman" w:cs="Times New Roman" w:eastAsia="Times New Roman" w:hAnsi="Times New Roman"/>
          <w:sz w:val="17"/>
          <w:szCs w:val="17"/>
          <w:color w:val="auto"/>
        </w:rPr>
        <w:t>”), which the Holder will maintain in confidence, and (i) promptly prepare, file with the SEC and furnish to such holder a supplement to or an amendment of such Prospectus as may be necessary so that such Prospectus shall not include such Misstatement or (ii) suspend the filing, initial effectiveness or continued use of any Registration Statement in accordance with Section 5(g) below;</w:t>
      </w:r>
    </w:p>
    <w:p>
      <w:pPr>
        <w:spacing w:after="0" w:line="177" w:lineRule="exact"/>
        <w:rPr>
          <w:rFonts w:ascii="Times New Roman" w:cs="Times New Roman" w:eastAsia="Times New Roman" w:hAnsi="Times New Roman"/>
          <w:sz w:val="17"/>
          <w:szCs w:val="17"/>
          <w:color w:val="auto"/>
        </w:rPr>
      </w:pPr>
    </w:p>
    <w:p>
      <w:pPr>
        <w:ind w:left="914" w:hanging="309"/>
        <w:spacing w:after="0" w:line="274" w:lineRule="auto"/>
        <w:tabs>
          <w:tab w:leader="none" w:pos="914"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commercially reasonable efforts to comply with all applicable rules and regulations of the SEC under the Securities Act and the Exchange Act; and</w:t>
      </w:r>
    </w:p>
    <w:p>
      <w:pPr>
        <w:spacing w:after="0" w:line="158" w:lineRule="exact"/>
        <w:rPr>
          <w:rFonts w:ascii="Times New Roman" w:cs="Times New Roman" w:eastAsia="Times New Roman" w:hAnsi="Times New Roman"/>
          <w:sz w:val="17"/>
          <w:szCs w:val="17"/>
          <w:color w:val="auto"/>
        </w:rPr>
      </w:pPr>
    </w:p>
    <w:p>
      <w:pPr>
        <w:ind w:left="914" w:hanging="309"/>
        <w:spacing w:after="0" w:line="274" w:lineRule="auto"/>
        <w:tabs>
          <w:tab w:leader="none" w:pos="914"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in good faith, cooperate reasonably with, and take such customary actions as may reasonably be requested by the Holder, consistent with the terms of this Warrant, in connection with such registration.</w:t>
      </w:r>
    </w:p>
    <w:p>
      <w:pPr>
        <w:spacing w:after="0" w:line="158" w:lineRule="exact"/>
        <w:rPr>
          <w:rFonts w:ascii="Times New Roman" w:cs="Times New Roman" w:eastAsia="Times New Roman" w:hAnsi="Times New Roman"/>
          <w:sz w:val="17"/>
          <w:szCs w:val="17"/>
          <w:color w:val="auto"/>
        </w:rPr>
      </w:pPr>
    </w:p>
    <w:p>
      <w:pPr>
        <w:jc w:val="both"/>
        <w:ind w:left="294" w:hanging="294"/>
        <w:spacing w:after="0" w:line="254" w:lineRule="auto"/>
        <w:tabs>
          <w:tab w:leader="none" w:pos="294"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Registration Statement (including by means of a post- effective amendment) or by filing a subsequent Registration Statement and causing the same to become effective as soon as reasonably practicable after such filing and such subsequent Registration Statement shall be subject to the terms hereof.</w:t>
      </w:r>
    </w:p>
    <w:p>
      <w:pPr>
        <w:spacing w:after="0" w:line="175" w:lineRule="exact"/>
        <w:rPr>
          <w:rFonts w:ascii="Times New Roman" w:cs="Times New Roman" w:eastAsia="Times New Roman" w:hAnsi="Times New Roman"/>
          <w:sz w:val="17"/>
          <w:szCs w:val="17"/>
          <w:color w:val="auto"/>
        </w:rPr>
      </w:pPr>
    </w:p>
    <w:p>
      <w:pPr>
        <w:jc w:val="both"/>
        <w:ind w:left="294" w:hanging="294"/>
        <w:spacing w:after="0" w:line="254" w:lineRule="auto"/>
        <w:tabs>
          <w:tab w:leader="none" w:pos="294"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Initial Registration Statement ceases to be effective under Securities Act for any reason at any time while Registrable Securities are still outstanding, the Company shall use its commercially reasonable efforts to as promptly as is reasonably practicable to cause such Initial Registration Statement to again become effective under the Securities Act or file a subsequent Registration Statement registering the resale of all Registrable Securities (determined as of two (2) business days prior to such filing) pursuant to any method or combination of methods legally available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250190</wp:posOffset>
            </wp:positionV>
            <wp:extent cx="7141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2" w:right="339" w:bottom="1440" w:gutter="0" w:footer="0" w:header="0"/>
        </w:sectPr>
      </w:pPr>
    </w:p>
    <w:bookmarkStart w:id="82" w:name="page83"/>
    <w:bookmarkEnd w:id="82"/>
    <w:p>
      <w:pPr>
        <w:jc w:val="both"/>
        <w:ind w:left="294" w:hanging="294"/>
        <w:spacing w:after="0" w:line="265" w:lineRule="auto"/>
        <w:tabs>
          <w:tab w:leader="none" w:pos="294"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not more than ninety (90) consecutive days or for a total of not more than one-hundred twenty (120) days, in each case, in any twelve (12) month period, the Company may suspend the filing, initial effectiveness or continued use of any Registration Statement in respect of any registration contemplated by this Section 5 in the event that the Company determines in good faith that such suspension is necessary to (A) delay the disclosure of material non-public information concerning the Company, the disclosure of which at the time is not, in the good faith opinion of the Company, in the best interests of the Company; (B) amend or supplement the affected Registration Statement or the related prospectus so that such Registration Statement or prospectus shall not include any misstatement; or (C) require the inclusion in such Registration Statement of financial statements that are unavailable to the Company for reasons beyond the Company’s control (each, an “</w:t>
      </w:r>
      <w:r>
        <w:rPr>
          <w:rFonts w:ascii="Times New Roman" w:cs="Times New Roman" w:eastAsia="Times New Roman" w:hAnsi="Times New Roman"/>
          <w:sz w:val="16"/>
          <w:szCs w:val="16"/>
          <w:u w:val="single" w:color="auto"/>
          <w:color w:val="auto"/>
        </w:rPr>
        <w:t>Allowed Delay</w:t>
      </w:r>
      <w:r>
        <w:rPr>
          <w:rFonts w:ascii="Times New Roman" w:cs="Times New Roman" w:eastAsia="Times New Roman" w:hAnsi="Times New Roman"/>
          <w:sz w:val="16"/>
          <w:szCs w:val="16"/>
          <w:color w:val="auto"/>
        </w:rPr>
        <w:t>”); provided that the Company shall promptly (1) notify the Holder in writing of the commencement of an Allowed Delay, but shall not (without the prior written consent of a Holder) disclose to such Holder any material non-public information giving rise to an Allowed Delay, (2) advise the Holder in writing to cease all sales under such Registration Statement until the end of the Allowed Delay (but not, for the avoidance of doubt, any sale pursuant to Rule 144 or other applicable exemption under the Securities Act) and</w:t>
      </w:r>
    </w:p>
    <w:p>
      <w:pPr>
        <w:spacing w:after="0" w:line="1" w:lineRule="exact"/>
        <w:rPr>
          <w:rFonts w:ascii="Times New Roman" w:cs="Times New Roman" w:eastAsia="Times New Roman" w:hAnsi="Times New Roman"/>
          <w:sz w:val="16"/>
          <w:szCs w:val="16"/>
          <w:color w:val="auto"/>
        </w:rPr>
      </w:pPr>
    </w:p>
    <w:p>
      <w:pPr>
        <w:ind w:left="29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(3) use commercially reasonable efforts to terminate an Allowed Delay as promptly as reasonably practicable.</w:t>
      </w:r>
    </w:p>
    <w:p>
      <w:pPr>
        <w:spacing w:after="0" w:line="217" w:lineRule="exact"/>
        <w:rPr>
          <w:rFonts w:ascii="Times New Roman" w:cs="Times New Roman" w:eastAsia="Times New Roman" w:hAnsi="Times New Roman"/>
          <w:sz w:val="16"/>
          <w:szCs w:val="16"/>
          <w:color w:val="auto"/>
        </w:rPr>
      </w:pPr>
    </w:p>
    <w:p>
      <w:pPr>
        <w:jc w:val="both"/>
        <w:ind w:left="294" w:hanging="294"/>
        <w:spacing w:after="0" w:line="256" w:lineRule="auto"/>
        <w:tabs>
          <w:tab w:leader="none" w:pos="294"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the Initial Registration Statement or a subsequent Registration Statement and cause the same to become effective as soon as practicable after such filing and such Registration Statement shall be subject to the terms hereof.</w:t>
      </w:r>
    </w:p>
    <w:p>
      <w:pPr>
        <w:spacing w:after="0" w:line="199" w:lineRule="exact"/>
        <w:rPr>
          <w:rFonts w:ascii="Times New Roman" w:cs="Times New Roman" w:eastAsia="Times New Roman" w:hAnsi="Times New Roman"/>
          <w:sz w:val="17"/>
          <w:szCs w:val="17"/>
          <w:color w:val="auto"/>
        </w:rPr>
      </w:pPr>
    </w:p>
    <w:p>
      <w:pPr>
        <w:jc w:val="both"/>
        <w:ind w:left="294" w:hanging="294"/>
        <w:spacing w:after="0" w:line="256" w:lineRule="auto"/>
        <w:tabs>
          <w:tab w:leader="none" w:pos="294"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pay all expenses associated with each Registration Statement, including filing and printing fees, the fees and expenses of the Company’s counsel and accounting fees and expenses, costs associated with clearing the Registrable Securities for sale under applicable state securities laws and listing fees, but excluding discounts, commissions, fees of underwriters, selling brokers, dealer managers or similar securities industry professionals with respect to the Registrable Securities being sold.</w:t>
      </w:r>
    </w:p>
    <w:p>
      <w:pPr>
        <w:spacing w:after="0" w:line="174" w:lineRule="exact"/>
        <w:rPr>
          <w:rFonts w:ascii="Times New Roman" w:cs="Times New Roman" w:eastAsia="Times New Roman" w:hAnsi="Times New Roman"/>
          <w:sz w:val="17"/>
          <w:szCs w:val="17"/>
          <w:color w:val="auto"/>
        </w:rPr>
      </w:pPr>
    </w:p>
    <w:p>
      <w:pPr>
        <w:jc w:val="both"/>
        <w:ind w:left="294" w:hanging="294"/>
        <w:spacing w:after="0" w:line="249" w:lineRule="auto"/>
        <w:tabs>
          <w:tab w:leader="none" w:pos="294"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indemnify and hold harmless the Holder, and each of its officers, employees, affiliates, directors, partners, members, managers, equityholders, attorneys, advisors and agents, and each person or entity, if any, who controls (within the meaning of Section 15 of the Securities Act or Section 20 of the Securities and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the Holder (each, a “</w:t>
      </w:r>
      <w:r>
        <w:rPr>
          <w:rFonts w:ascii="Times New Roman" w:cs="Times New Roman" w:eastAsia="Times New Roman" w:hAnsi="Times New Roman"/>
          <w:sz w:val="17"/>
          <w:szCs w:val="17"/>
          <w:u w:val="single" w:color="auto"/>
          <w:color w:val="auto"/>
        </w:rPr>
        <w:t>Holder Indemnified Party</w:t>
      </w:r>
      <w:r>
        <w:rPr>
          <w:rFonts w:ascii="Times New Roman" w:cs="Times New Roman" w:eastAsia="Times New Roman" w:hAnsi="Times New Roman"/>
          <w:sz w:val="17"/>
          <w:szCs w:val="17"/>
          <w:color w:val="auto"/>
        </w:rPr>
        <w:t>”), to the fullest extent permitted by applicable law, from and against any expenses, losses, judgments, actions, claims, proceedings (whether commenced or threatened), damages, liabilities or costs (including, without limitation, reasonable attorneys’ fees) (collectively, “</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as incurred, arising out of or based upon any Misstatement contained in any Registration Statement under which the sale of such Registrable Securities was registered under the Securities Act, any preliminary Prospectus, final Prospectus or summary Prospectus contained in such Registration Statement, any amendment or supplement to such Registration Statement, preliminary Prospectus, final Prospectus or summary Prospectus, or any free writing prospectus relating to such Registration Statement, or any violation by the Company of the Securities Act or any rule or regulation promulgated thereunder applicable to the Company or any state securities (or Blue Sky) law, rule or regulation and relating to action or inaction required of the Company in connection with any such registration; and the Company shall promptly reimburse the Holder Indemnified Party for any reasonable, customary and documented out-of-pocket legal and any other expenses reasonably incurred, as incurred, by such Holder Indemnified Party in connection with investigating and defending any such Losses, except to the extent the Holder is liable to indemnify the Company for such Losses pursuant to Section 5(k) below; provided, however, that the indemnity agreement contained in this Section 5(j) shall not apply to amounts paid in settlement of any claim or proceeding if such settlement is effected without the consent of the Company, which consent shall not be unreasonably withheld, and the Company will not be liable in any such case to the extent that any such losses, judgments, claims, damages, liabilities or out-of-pocket expenses arises out of or is based upon any Misstatement made in such Registration Statement in reliance upon and in conformity with information furnished to the Company, in writing, by the applicable Holder Indemnified Party expressly for use therein.</w:t>
      </w:r>
    </w:p>
    <w:p>
      <w:pPr>
        <w:spacing w:after="0" w:line="182" w:lineRule="exact"/>
        <w:rPr>
          <w:rFonts w:ascii="Times New Roman" w:cs="Times New Roman" w:eastAsia="Times New Roman" w:hAnsi="Times New Roman"/>
          <w:sz w:val="17"/>
          <w:szCs w:val="17"/>
          <w:color w:val="auto"/>
        </w:rPr>
      </w:pPr>
    </w:p>
    <w:p>
      <w:pPr>
        <w:jc w:val="both"/>
        <w:ind w:left="294" w:hanging="294"/>
        <w:spacing w:after="0" w:line="251" w:lineRule="auto"/>
        <w:tabs>
          <w:tab w:leader="none" w:pos="294"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will, in the event that any registration of any Registrable Securities held by the Holder is being effected under the Securities Act pursuant to this Agreement and the Company has required the Holder to provide such an undertaking on the same terms, indemnify and hold harmless the Company, each of its directors and officers and each underwriter (if any), and each other person, if any, who controls such underwriter within the meaning of the Securities Act, against any Losses, insofar as such Losses arise out of or are based upon any Misstatement contained in any Registration Statement under which the sale of such Registrable Securities was registered under the Securities Act, any preliminary Prospectus, final Prospectus or summary Prospectus contained in the Registration Statement, or any amendment or supplement thereto, if the Misstatement was made (or not made, in the case of an omission) in reliance upon and in conformity with information furnished in writing to the Company by or on behalf of such Holder expressly for use therein, and shall reimburse the Company and its directors and officers for any reasonable, customary and documented out-of-pocket legal or other expenses incurred by any of them in connection with investigation or defending any such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250825</wp:posOffset>
            </wp:positionV>
            <wp:extent cx="7141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653" w:right="339" w:bottom="1440" w:gutter="0" w:footer="0" w:header="0"/>
        </w:sectPr>
      </w:pPr>
    </w:p>
    <w:bookmarkStart w:id="83" w:name="page84"/>
    <w:bookmarkEnd w:id="83"/>
    <w:p>
      <w:pPr>
        <w:ind w:left="299" w:hanging="299"/>
        <w:spacing w:after="0"/>
        <w:tabs>
          <w:tab w:leader="none" w:pos="29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 Compliance with Securities Laws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899" w:hanging="294"/>
        <w:spacing w:after="0" w:line="274" w:lineRule="auto"/>
        <w:tabs>
          <w:tab w:leader="none" w:pos="899" w:val="left"/>
        </w:tabs>
        <w:numPr>
          <w:ilvl w:val="1"/>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Warrant may not be transferred or assigned in whole or in part without compliance with all applicable United States, state, and foreign securities laws by the transferor and transferee (including the delivery of investment representation letters and legal opinions reasonably satisfactory to the Company, if requested by the Company). Subject to such restrictions, prior to the Expiration Date, this Warrant and all rights hereunder are transferable by the Holder hereof, in whole or in part, at the office or agency of the Company referred to in Section 1(b) above. Any such transfer shall be made in person or by the Holder’s duly authorized attorney, upon surrender of this Warrant together with the Form of Transfer attached hereto properly endorsed.</w:t>
      </w:r>
    </w:p>
    <w:p>
      <w:pPr>
        <w:spacing w:after="0" w:line="185" w:lineRule="exact"/>
        <w:rPr>
          <w:rFonts w:ascii="Times New Roman" w:cs="Times New Roman" w:eastAsia="Times New Roman" w:hAnsi="Times New Roman"/>
          <w:sz w:val="16"/>
          <w:szCs w:val="16"/>
          <w:color w:val="auto"/>
        </w:rPr>
      </w:pPr>
    </w:p>
    <w:p>
      <w:pPr>
        <w:jc w:val="both"/>
        <w:ind w:left="899" w:hanging="294"/>
        <w:spacing w:after="0" w:line="253" w:lineRule="auto"/>
        <w:tabs>
          <w:tab w:leader="none" w:pos="899"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of this Warrant, by acceptance hereof, acknowledges that this Warrant and the Shares issuable upon exercise hereof are being acquired solely for the Holder’s own account and not as a nominee for any other party, and for investment, and that the Holder will not offer, sell, or otherwise dispose of this Warrant or any Shares to be issued upon exercise hereof except under circumstances that will not result in a violation of the Securities Act or any state or foreign securities laws. Upon exercise of this Warrant, the Holder shall, if reasonably requested by the Company and if required by applicable law or regulation, confirm in writing, in a form satisfactory to the Company, that the Shares so purchased are being acquired solely for Holder’s own account and not as a nominee for any other party, for investment, and not with a view toward distribution or resale.</w:t>
      </w:r>
    </w:p>
    <w:p>
      <w:pPr>
        <w:spacing w:after="0" w:line="200" w:lineRule="exact"/>
        <w:rPr>
          <w:rFonts w:ascii="Times New Roman" w:cs="Times New Roman" w:eastAsia="Times New Roman" w:hAnsi="Times New Roman"/>
          <w:sz w:val="17"/>
          <w:szCs w:val="17"/>
          <w:color w:val="auto"/>
        </w:rPr>
      </w:pPr>
    </w:p>
    <w:p>
      <w:pPr>
        <w:jc w:val="both"/>
        <w:ind w:left="899" w:hanging="294"/>
        <w:spacing w:after="0" w:line="254" w:lineRule="auto"/>
        <w:tabs>
          <w:tab w:leader="none" w:pos="899"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have not been registered under the Securities Act, and this Warrant may not be exercised except by (1) the original purchaser of this Warrant from the Company or (2) an “accredited investor” as defined in Rule 501(a) under the Securities Act. Each certificate representing Shares issued on exercise of this Warrant or other securities issued in respect of such Shares upon any stock split, stock dividend, recapitalization, merger, consolidation or similar event, shall be stamped or otherwise imprinted with a legend substantially in the following form (in addition to any other legend required under applicable securities laws):</w:t>
      </w:r>
    </w:p>
    <w:p>
      <w:pPr>
        <w:spacing w:after="0" w:line="201" w:lineRule="exact"/>
        <w:rPr>
          <w:rFonts w:ascii="Times New Roman" w:cs="Times New Roman" w:eastAsia="Times New Roman" w:hAnsi="Times New Roman"/>
          <w:sz w:val="17"/>
          <w:szCs w:val="17"/>
          <w:color w:val="auto"/>
        </w:rPr>
      </w:pPr>
    </w:p>
    <w:p>
      <w:pPr>
        <w:jc w:val="both"/>
        <w:ind w:left="89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OF COMMON STOCK EVIDENCED HEREBY HAVE NOT BEEN REGISTERED UNDER THE SECURITIES ACT OF 1933, AS AMENDED (THE “SECURITIES ACT”), OR ANYAPPLICABLE STATE SECURITIES LAWS AND MAY NOT BE SOLD, TRANSFERRED OR OTHERWISE DISPOSED OF UNLESS THERE IS AN EFFECTIVE REGISTRATION STATEMENT UNDER THE SECURITIES ACT AND APPLICABLE STATE SECURITIES LAWS COVERING ANY SUCH TRANSACTION OR UNLESS THE COMPANY SHALL HAVE RECEIVED AN OPINION OF ITS COUNSEL THAT REGISTRATION OF SUCH SHARES UNDER THE SECURITIES ACT AND UNDER THE PROVISIONS OF APPLICABLE STATE SECURITIES LAWS IS NOT REQUIRED.</w:t>
      </w:r>
    </w:p>
    <w:p>
      <w:pPr>
        <w:spacing w:after="0" w:line="175" w:lineRule="exact"/>
        <w:rPr>
          <w:rFonts w:ascii="Times New Roman" w:cs="Times New Roman" w:eastAsia="Times New Roman" w:hAnsi="Times New Roman"/>
          <w:sz w:val="17"/>
          <w:szCs w:val="17"/>
          <w:color w:val="auto"/>
        </w:rPr>
      </w:pPr>
    </w:p>
    <w:p>
      <w:pPr>
        <w:jc w:val="both"/>
        <w:ind w:left="299" w:hanging="299"/>
        <w:spacing w:after="0" w:line="250" w:lineRule="auto"/>
        <w:tabs>
          <w:tab w:leader="none" w:pos="29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Removal of Restrictive Legends</w:t>
      </w:r>
      <w:r>
        <w:rPr>
          <w:rFonts w:ascii="Times New Roman" w:cs="Times New Roman" w:eastAsia="Times New Roman" w:hAnsi="Times New Roman"/>
          <w:sz w:val="17"/>
          <w:szCs w:val="17"/>
          <w:color w:val="auto"/>
        </w:rPr>
        <w:t>. Neither this Warrant nor any certificates evidencing the Shares or any other equity securities issuable or deliverable under or in connection with this Warrant shall contain any legend restricting the transfer thereof in any of the following circumstances: (i) while a registration statement covering the sale or resale of the Shares is effective under the Securities Act; (ii) following any sale of this Warrant, any of the Shares or any other equity securities issued or delivered to the Holder under or in connection herewith pursuant to Rule 144; (iii) if this Warrant, the Shares or any other equity securities are eligible for sale under Rule 144(b)(1); or (iv) if such legend is not required under applicable requirements of the Securities Act (including judicial interpretations and pronouncements issued by the staff of the Commission) (collectively, the “</w:t>
      </w:r>
      <w:r>
        <w:rPr>
          <w:rFonts w:ascii="Times New Roman" w:cs="Times New Roman" w:eastAsia="Times New Roman" w:hAnsi="Times New Roman"/>
          <w:sz w:val="17"/>
          <w:szCs w:val="17"/>
          <w:u w:val="single" w:color="auto"/>
          <w:color w:val="auto"/>
        </w:rPr>
        <w:t>Unrestricted Conditions</w:t>
      </w:r>
      <w:r>
        <w:rPr>
          <w:rFonts w:ascii="Times New Roman" w:cs="Times New Roman" w:eastAsia="Times New Roman" w:hAnsi="Times New Roman"/>
          <w:sz w:val="17"/>
          <w:szCs w:val="17"/>
          <w:color w:val="auto"/>
        </w:rPr>
        <w:t>”). If the Unrestricted Conditions are met at the time of the issuance of the Shares, the Company shall cause its counsel, at its expense, to issue a legal opinion to the Transfer Agent, if required by such Transfer Agent to effect the issuance of the Shares or any other shares of equity securities issuable or deliverable under or in connection with this Warrant, as applicable, without a restrictive legend or removal of the legend hereunder. If the Unrestricted Conditions are met at the time of issuance of the Shares, then the Shares shall be issued free of all legends.</w:t>
      </w:r>
    </w:p>
    <w:p>
      <w:pPr>
        <w:spacing w:after="0" w:line="182" w:lineRule="exact"/>
        <w:rPr>
          <w:rFonts w:ascii="Times New Roman" w:cs="Times New Roman" w:eastAsia="Times New Roman" w:hAnsi="Times New Roman"/>
          <w:sz w:val="17"/>
          <w:szCs w:val="17"/>
          <w:color w:val="auto"/>
        </w:rPr>
      </w:pPr>
    </w:p>
    <w:p>
      <w:pPr>
        <w:ind w:left="299" w:hanging="299"/>
        <w:spacing w:after="0" w:line="274" w:lineRule="auto"/>
        <w:tabs>
          <w:tab w:leader="none" w:pos="29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Taxes</w:t>
      </w:r>
      <w:r>
        <w:rPr>
          <w:rFonts w:ascii="Times New Roman" w:cs="Times New Roman" w:eastAsia="Times New Roman" w:hAnsi="Times New Roman"/>
          <w:sz w:val="17"/>
          <w:szCs w:val="17"/>
          <w:color w:val="auto"/>
        </w:rPr>
        <w:t>. The Company will from time to time promptly pay all taxes and charges that may be imposed in respect of the issuance or delivery of shares upon the exercise of Warrants, but the Company shall not be obligated to pay any transfer taxes in respect of the Warrants or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7141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2" w:right="339" w:bottom="1440" w:gutter="0" w:footer="0" w:header="0"/>
        </w:sectPr>
      </w:pPr>
    </w:p>
    <w:bookmarkStart w:id="84" w:name="page85"/>
    <w:bookmarkEnd w:id="84"/>
    <w:p>
      <w:pPr>
        <w:ind w:left="299" w:hanging="299"/>
        <w:spacing w:after="0"/>
        <w:tabs>
          <w:tab w:leader="none" w:pos="299"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Company represents and warrants to, and agrees with, the Holder as follows:</w:t>
      </w:r>
    </w:p>
    <w:p>
      <w:pPr>
        <w:spacing w:after="0" w:line="195" w:lineRule="exact"/>
        <w:rPr>
          <w:rFonts w:ascii="Times New Roman" w:cs="Times New Roman" w:eastAsia="Times New Roman" w:hAnsi="Times New Roman"/>
          <w:sz w:val="17"/>
          <w:szCs w:val="17"/>
          <w:color w:val="auto"/>
        </w:rPr>
      </w:pPr>
    </w:p>
    <w:p>
      <w:pPr>
        <w:jc w:val="both"/>
        <w:ind w:left="899" w:hanging="294"/>
        <w:spacing w:after="0" w:line="261" w:lineRule="auto"/>
        <w:tabs>
          <w:tab w:leader="none" w:pos="899"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Due Organization</w:t>
      </w:r>
      <w:r>
        <w:rPr>
          <w:rFonts w:ascii="Times New Roman" w:cs="Times New Roman" w:eastAsia="Times New Roman" w:hAnsi="Times New Roman"/>
          <w:sz w:val="17"/>
          <w:szCs w:val="17"/>
          <w:color w:val="auto"/>
        </w:rPr>
        <w:t>. The Company is a corporation duly organized, validly existing, and in good standing under the laws of the state of its formation and has all requisite corporate power and authority to carry on its business as now conducted. The Company is duly qualified to transact business and is in good standing in each jurisdiction in which the failure to so qualify would have a material adverse effect on its business or properties.</w:t>
      </w:r>
    </w:p>
    <w:p>
      <w:pPr>
        <w:spacing w:after="0" w:line="169" w:lineRule="exact"/>
        <w:rPr>
          <w:rFonts w:ascii="Times New Roman" w:cs="Times New Roman" w:eastAsia="Times New Roman" w:hAnsi="Times New Roman"/>
          <w:sz w:val="17"/>
          <w:szCs w:val="17"/>
          <w:color w:val="auto"/>
        </w:rPr>
      </w:pPr>
    </w:p>
    <w:p>
      <w:pPr>
        <w:jc w:val="both"/>
        <w:ind w:left="899" w:hanging="294"/>
        <w:spacing w:after="0" w:line="251" w:lineRule="auto"/>
        <w:tabs>
          <w:tab w:leader="none" w:pos="899"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Binding Obligation</w:t>
      </w:r>
      <w:r>
        <w:rPr>
          <w:rFonts w:ascii="Times New Roman" w:cs="Times New Roman" w:eastAsia="Times New Roman" w:hAnsi="Times New Roman"/>
          <w:sz w:val="17"/>
          <w:szCs w:val="17"/>
          <w:color w:val="auto"/>
        </w:rPr>
        <w:t>. This Warrant has been duly executed by the Company and constitutes its legal, valid and binding obligation, enforceable against it in accordance with the terms of this Warrant. Except as may be limited by applicable bankruptcy, insolvency, reorganization or similar laws relating to or affecting the enforcement of creditors’ rights, all corporate action has been taken on the part of the Company, its officers, directors, and stockholders necessary for the authorization, execution and delivery of this Warrant. The Company has taken all corporate action required to make all the obligations of the Company reflected in the provisions of this Warrant the valid and enforceable obligations they purport to be. The issuance of this Warrant and the Shares issuable upon exercise of this Warrant will not be subject to preemptive rights of any stockholders of the Company. No consent, waiver, approval, authorization, exemption, registration, license or declaration is required to be made or obtained by the Company, other than those which have been made or obtained, in connection with (i) the execution or enforceability of this Warrant or (ii) the consummation of any of the transactions contemplated hereby, including the issuance of the Shares upon exercise of this Warrant.</w:t>
      </w:r>
    </w:p>
    <w:p>
      <w:pPr>
        <w:spacing w:after="0" w:line="177" w:lineRule="exact"/>
        <w:rPr>
          <w:rFonts w:ascii="Times New Roman" w:cs="Times New Roman" w:eastAsia="Times New Roman" w:hAnsi="Times New Roman"/>
          <w:sz w:val="17"/>
          <w:szCs w:val="17"/>
          <w:color w:val="auto"/>
        </w:rPr>
      </w:pPr>
    </w:p>
    <w:p>
      <w:pPr>
        <w:jc w:val="both"/>
        <w:ind w:left="899" w:hanging="294"/>
        <w:spacing w:after="0" w:line="261" w:lineRule="auto"/>
        <w:tabs>
          <w:tab w:leader="none" w:pos="899"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Other Instruments</w:t>
      </w:r>
      <w:r>
        <w:rPr>
          <w:rFonts w:ascii="Times New Roman" w:cs="Times New Roman" w:eastAsia="Times New Roman" w:hAnsi="Times New Roman"/>
          <w:sz w:val="17"/>
          <w:szCs w:val="17"/>
          <w:color w:val="auto"/>
        </w:rPr>
        <w:t>. The authorization, execution and delivery of the Warrant will not constitute or result in a default or violation of any law or regulation applicable to the Company or any term or provision of the Company’s Certificate of Incorporation or bylaws, or any material agreement or instrument by which it is bound or to which its properties or assets are subject.</w:t>
      </w:r>
    </w:p>
    <w:p>
      <w:pPr>
        <w:spacing w:after="0" w:line="169" w:lineRule="exact"/>
        <w:rPr>
          <w:rFonts w:ascii="Times New Roman" w:cs="Times New Roman" w:eastAsia="Times New Roman" w:hAnsi="Times New Roman"/>
          <w:sz w:val="17"/>
          <w:szCs w:val="17"/>
          <w:color w:val="auto"/>
        </w:rPr>
      </w:pPr>
    </w:p>
    <w:p>
      <w:pPr>
        <w:jc w:val="both"/>
        <w:ind w:left="899" w:hanging="294"/>
        <w:spacing w:after="0" w:line="251" w:lineRule="auto"/>
        <w:tabs>
          <w:tab w:leader="none" w:pos="899"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Valid Issuance</w:t>
      </w:r>
      <w:r>
        <w:rPr>
          <w:rFonts w:ascii="Times New Roman" w:cs="Times New Roman" w:eastAsia="Times New Roman" w:hAnsi="Times New Roman"/>
          <w:sz w:val="17"/>
          <w:szCs w:val="17"/>
          <w:color w:val="auto"/>
        </w:rPr>
        <w:t>. This Warrant, and all the Shares which may be issued upon the exercise of this Warrant, and all securities, if any, issuable upon conversion of the Shares, shall, upon issuance, be duly authorized, validly issued, fully paid and non-assessable, and free of any liens and encumbrances (including preemptive or similar rights) except for restrictions on transfer provided for (i) in this Warrant, (ii) under applicable federal and state securities laws, or (iii) in the Company’s Certificate of Incorporation. Based in part upon the representations and warranties of the Holder in this Warrant, this Warrant and all the Shares issuable upon exercise of this Warrant will be issued in compliance with all applicable federal and state securities laws. The Company covenants that it shall at all times cause to be reserved and kept available out of its authorized and unissued capital stock such number of the Shares and other securities for which this Warrant may be exercisable or for which the Shares may be convertible as will be sufficient to permit the exercise in full of this Warrant.</w:t>
      </w:r>
    </w:p>
    <w:p>
      <w:pPr>
        <w:spacing w:after="0" w:line="176" w:lineRule="exact"/>
        <w:rPr>
          <w:rFonts w:ascii="Times New Roman" w:cs="Times New Roman" w:eastAsia="Times New Roman" w:hAnsi="Times New Roman"/>
          <w:sz w:val="17"/>
          <w:szCs w:val="17"/>
          <w:color w:val="auto"/>
        </w:rPr>
      </w:pPr>
    </w:p>
    <w:p>
      <w:pPr>
        <w:jc w:val="both"/>
        <w:ind w:left="899" w:hanging="294"/>
        <w:spacing w:after="0" w:line="254" w:lineRule="auto"/>
        <w:tabs>
          <w:tab w:leader="none" w:pos="899"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Capitalization</w:t>
      </w:r>
      <w:r>
        <w:rPr>
          <w:rFonts w:ascii="Times New Roman" w:cs="Times New Roman" w:eastAsia="Times New Roman" w:hAnsi="Times New Roman"/>
          <w:sz w:val="17"/>
          <w:szCs w:val="17"/>
          <w:color w:val="auto"/>
        </w:rPr>
        <w:t xml:space="preserve">. The Company’s summary capitalization table attached hereto as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is true and complete, in all material respects, as of the Issuance Date. Except as described on </w:t>
      </w:r>
      <w:r>
        <w:rPr>
          <w:rFonts w:ascii="Times New Roman" w:cs="Times New Roman" w:eastAsia="Times New Roman" w:hAnsi="Times New Roman"/>
          <w:sz w:val="17"/>
          <w:szCs w:val="17"/>
          <w:b w:val="1"/>
          <w:bCs w:val="1"/>
          <w:color w:val="auto"/>
        </w:rPr>
        <w:t>Schedule 1</w:t>
      </w:r>
      <w:r>
        <w:rPr>
          <w:rFonts w:ascii="Times New Roman" w:cs="Times New Roman" w:eastAsia="Times New Roman" w:hAnsi="Times New Roman"/>
          <w:sz w:val="17"/>
          <w:szCs w:val="17"/>
          <w:color w:val="auto"/>
        </w:rPr>
        <w:t xml:space="preserve">, there are no outstanding warrants, options, convertible securities or other rights, agreements or arrangements of any character (other than equity grants promised to service providers in offer letters or similar agreements in the ordinary course of business, all of which grants will be made from the existing pool that is reflected in the fully diluted capitalization of the Company shown on </w:t>
      </w:r>
      <w:r>
        <w:rPr>
          <w:rFonts w:ascii="Times New Roman" w:cs="Times New Roman" w:eastAsia="Times New Roman" w:hAnsi="Times New Roman"/>
          <w:sz w:val="17"/>
          <w:szCs w:val="17"/>
          <w:b w:val="1"/>
          <w:bCs w:val="1"/>
          <w:color w:val="auto"/>
        </w:rPr>
        <w:t>Schedule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 under which the Company and any of its subsidiaries is or may be obligated to issue any equity securities of any kind, and neither the Company nor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of its subsidiaries is currently in negotiations for the issuance of any equity securities of any kind.</w:t>
      </w:r>
    </w:p>
    <w:p>
      <w:pPr>
        <w:spacing w:after="0" w:line="199" w:lineRule="exact"/>
        <w:rPr>
          <w:rFonts w:ascii="Times New Roman" w:cs="Times New Roman" w:eastAsia="Times New Roman" w:hAnsi="Times New Roman"/>
          <w:sz w:val="17"/>
          <w:szCs w:val="17"/>
          <w:color w:val="auto"/>
        </w:rPr>
      </w:pPr>
    </w:p>
    <w:p>
      <w:pPr>
        <w:jc w:val="both"/>
        <w:ind w:left="899" w:hanging="294"/>
        <w:spacing w:after="0" w:line="253" w:lineRule="auto"/>
        <w:tabs>
          <w:tab w:leader="none" w:pos="899"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Violation; Registration</w:t>
      </w:r>
      <w:r>
        <w:rPr>
          <w:rFonts w:ascii="Times New Roman" w:cs="Times New Roman" w:eastAsia="Times New Roman" w:hAnsi="Times New Roman"/>
          <w:sz w:val="17"/>
          <w:szCs w:val="17"/>
          <w:color w:val="auto"/>
        </w:rPr>
        <w:t>. The Company shall take all such actions as may be necessary to ensure that all the Shares are issued without violation by the Company of any applicable law or governmental regulation or any requirements of any trading market or securities exchange upon which shares of the Company’s common stock or other securities constituting the Shares may be listed at the time of such exercise (except for official notice of issuance which shall be immediately delivered by the Company upon each such issuance). If the Unrestricted Conditions are satisfied at the time of exercise of this Warrant, the Company shall cause the Shares, immediately upon such exercise, to be listed on any such trading market or securities exchange upon which shares of common stock or other securities constituting the Shares are listed at the time of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1412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85" w:name="page86"/>
    <w:bookmarkEnd w:id="85"/>
    <w:p>
      <w:pPr>
        <w:jc w:val="both"/>
        <w:ind w:left="299" w:hanging="299"/>
        <w:spacing w:after="0" w:line="253" w:lineRule="auto"/>
        <w:tabs>
          <w:tab w:leader="none" w:pos="29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a Stockholder; No Liability</w:t>
      </w:r>
      <w:r>
        <w:rPr>
          <w:rFonts w:ascii="Times New Roman" w:cs="Times New Roman" w:eastAsia="Times New Roman" w:hAnsi="Times New Roman"/>
          <w:sz w:val="17"/>
          <w:szCs w:val="17"/>
          <w:color w:val="auto"/>
        </w:rPr>
        <w:t>. Except as specifically set forth herein, this Warrant, by itself,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 No provision hereof, in the absence of any affirmative action by the Holder to exercise this Warrant to purchase the Shares, and no enumeration herein of the rights or privileges of the Holder, shall give rise to any liability of the Holder for the purchase price of any Shares or as a stockholder of the Company, whether such liability is asserted by the Company or by creditors of the Company.</w:t>
      </w:r>
    </w:p>
    <w:p>
      <w:pPr>
        <w:spacing w:after="0" w:line="175"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Impairment.</w:t>
      </w:r>
    </w:p>
    <w:p>
      <w:pPr>
        <w:spacing w:after="0" w:line="195" w:lineRule="exact"/>
        <w:rPr>
          <w:rFonts w:ascii="Times New Roman" w:cs="Times New Roman" w:eastAsia="Times New Roman" w:hAnsi="Times New Roman"/>
          <w:sz w:val="17"/>
          <w:szCs w:val="17"/>
          <w:color w:val="auto"/>
        </w:rPr>
      </w:pPr>
    </w:p>
    <w:p>
      <w:pPr>
        <w:jc w:val="both"/>
        <w:ind w:left="899" w:hanging="294"/>
        <w:spacing w:after="0" w:line="252" w:lineRule="auto"/>
        <w:tabs>
          <w:tab w:leader="none" w:pos="899"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nothing contained in this Warrant shall affect, limit or impair the rights and remedies of the Holder or its affiliates (x) in their capacity as a lender, creditor, or similar, as applicable, to the Company or any of its subsidiaries or affiliates, or (y) pursuant to any other agreements or instruments entered into by the Holder (or its affiliates) and the Company or any of its subsidiaries or affiliates. Without limiting the generality of the foregoing, neither the Administrative Agent (as defined in the Loan Agreement) nor any of its affiliates, in exercising their rights as lenders will have any duty to consider (i) its (or its affiliates’) status as a direct or indirect shareholder of the Company and its subsidiaries, (ii) its (or its affiliates’) direct or indirect ownership of the Shares of the Company or any of its subsidiaries, or (iii) any duty it (or its affiliates) may have to any other direct or indirect shareholders of the Company and its subsidiaries, except as may be required under the applicable loan documents.</w:t>
      </w:r>
    </w:p>
    <w:p>
      <w:pPr>
        <w:spacing w:after="0" w:line="177" w:lineRule="exact"/>
        <w:rPr>
          <w:rFonts w:ascii="Times New Roman" w:cs="Times New Roman" w:eastAsia="Times New Roman" w:hAnsi="Times New Roman"/>
          <w:sz w:val="17"/>
          <w:szCs w:val="17"/>
          <w:color w:val="auto"/>
        </w:rPr>
      </w:pPr>
    </w:p>
    <w:p>
      <w:pPr>
        <w:jc w:val="both"/>
        <w:ind w:left="899" w:hanging="294"/>
        <w:spacing w:after="0" w:line="251" w:lineRule="auto"/>
        <w:tabs>
          <w:tab w:leader="none" w:pos="899"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by amendment of its Certificate of Incorporation or bylaws, through any shareholders, voting or similar agreement, or through any reorganization, transfer of assets, consolidation, merger, dissolution, issue or sale of securities, or any other voluntary action, avoid or seek to avoid the observance or performance of any of the terms to be observed or performed by it hereunder, but shall at all times in good faith assist in the carrying out of all the provisions of this Warrant and in the taking of all such action as may reasonably be requested by the Holder in order to protect the exercise rights of the Holder against dilution or other impairment, consistent with the tenor and purpose of this Warrant. Without limiting the generality of the foregoing, the Company (x) will not increase the par value of any the Shares above the then-applicable Warrant Price, (y) will take all such action as may be necessary or appropriate in order that the Company may validly and legally issue fully paid and nonassessable Shares upon the exercise of this Warrant, and (z) will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77" w:lineRule="exact"/>
        <w:rPr>
          <w:rFonts w:ascii="Times New Roman" w:cs="Times New Roman" w:eastAsia="Times New Roman" w:hAnsi="Times New Roman"/>
          <w:sz w:val="17"/>
          <w:szCs w:val="17"/>
          <w:color w:val="auto"/>
        </w:rPr>
      </w:pPr>
    </w:p>
    <w:p>
      <w:pPr>
        <w:ind w:left="299" w:hanging="299"/>
        <w:spacing w:after="0"/>
        <w:tabs>
          <w:tab w:leader="none" w:pos="29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Headings</w:t>
      </w:r>
      <w:r>
        <w:rPr>
          <w:rFonts w:ascii="Times New Roman" w:cs="Times New Roman" w:eastAsia="Times New Roman" w:hAnsi="Times New Roman"/>
          <w:sz w:val="17"/>
          <w:szCs w:val="17"/>
          <w:color w:val="auto"/>
        </w:rPr>
        <w:t>. The section headings herein are for convenience only and are not part of this Warrant and shall not affect the interpretation thereof.</w:t>
      </w:r>
    </w:p>
    <w:p>
      <w:pPr>
        <w:spacing w:after="0" w:line="207" w:lineRule="exact"/>
        <w:rPr>
          <w:rFonts w:ascii="Times New Roman" w:cs="Times New Roman" w:eastAsia="Times New Roman" w:hAnsi="Times New Roman"/>
          <w:sz w:val="17"/>
          <w:szCs w:val="17"/>
          <w:color w:val="auto"/>
        </w:rPr>
      </w:pPr>
    </w:p>
    <w:p>
      <w:pPr>
        <w:ind w:left="299" w:hanging="299"/>
        <w:spacing w:after="0" w:line="274" w:lineRule="auto"/>
        <w:tabs>
          <w:tab w:leader="none" w:pos="29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Modification and Waiver</w:t>
      </w:r>
      <w:r>
        <w:rPr>
          <w:rFonts w:ascii="Times New Roman" w:cs="Times New Roman" w:eastAsia="Times New Roman" w:hAnsi="Times New Roman"/>
          <w:sz w:val="17"/>
          <w:szCs w:val="17"/>
          <w:color w:val="auto"/>
        </w:rPr>
        <w:t>. This Warrant and any provision hereof may be changed, waived, discharged or terminated only by an instrument in writing signed by the party against which enforcement of the same is sought.</w:t>
      </w:r>
    </w:p>
    <w:p>
      <w:pPr>
        <w:spacing w:after="0" w:line="146" w:lineRule="exact"/>
        <w:rPr>
          <w:rFonts w:ascii="Times New Roman" w:cs="Times New Roman" w:eastAsia="Times New Roman" w:hAnsi="Times New Roman"/>
          <w:sz w:val="17"/>
          <w:szCs w:val="17"/>
          <w:color w:val="auto"/>
        </w:rPr>
      </w:pPr>
    </w:p>
    <w:p>
      <w:pPr>
        <w:jc w:val="both"/>
        <w:ind w:left="299" w:hanging="299"/>
        <w:spacing w:after="0" w:line="261" w:lineRule="auto"/>
        <w:tabs>
          <w:tab w:leader="none" w:pos="29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Any notice, request or other document required or permitted to be given or delivered to the Holder or the Company shall be delivered through email, or shall be sent by certified or registered mail, postage prepaid, to the Holder at its address as shown on the books of the Company or to the Company at the address indicated therefor in the first paragraph of this Warrant.</w:t>
      </w:r>
    </w:p>
    <w:p>
      <w:pPr>
        <w:spacing w:after="0" w:line="169" w:lineRule="exact"/>
        <w:rPr>
          <w:rFonts w:ascii="Times New Roman" w:cs="Times New Roman" w:eastAsia="Times New Roman" w:hAnsi="Times New Roman"/>
          <w:sz w:val="17"/>
          <w:szCs w:val="17"/>
          <w:color w:val="auto"/>
        </w:rPr>
      </w:pPr>
    </w:p>
    <w:p>
      <w:pPr>
        <w:ind w:left="299" w:hanging="299"/>
        <w:spacing w:after="0" w:line="274" w:lineRule="auto"/>
        <w:tabs>
          <w:tab w:leader="none" w:pos="29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Warrant shall be construed and enforced in accordance with, and the rights of the parties shall be governed by, the laws of the State of New York.</w:t>
      </w:r>
    </w:p>
    <w:p>
      <w:pPr>
        <w:spacing w:after="0" w:line="158" w:lineRule="exact"/>
        <w:rPr>
          <w:rFonts w:ascii="Times New Roman" w:cs="Times New Roman" w:eastAsia="Times New Roman" w:hAnsi="Times New Roman"/>
          <w:sz w:val="17"/>
          <w:szCs w:val="17"/>
          <w:color w:val="auto"/>
        </w:rPr>
      </w:pPr>
    </w:p>
    <w:p>
      <w:pPr>
        <w:jc w:val="both"/>
        <w:ind w:left="299" w:hanging="299"/>
        <w:spacing w:after="0" w:line="251" w:lineRule="auto"/>
        <w:tabs>
          <w:tab w:leader="none" w:pos="29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Nonwaiver and Expenses</w:t>
      </w:r>
      <w:r>
        <w:rPr>
          <w:rFonts w:ascii="Times New Roman" w:cs="Times New Roman" w:eastAsia="Times New Roman" w:hAnsi="Times New Roman"/>
          <w:sz w:val="17"/>
          <w:szCs w:val="17"/>
          <w:color w:val="auto"/>
        </w:rPr>
        <w:t>. No course of dealing or any delay or failure to exercise any right hereunder on the part of the Holder shall operate as a waiver of such right or otherwise prejudice the Holder’s rights, powers or remedies provided herein.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 w:lineRule="exact"/>
        <w:rPr>
          <w:rFonts w:ascii="Times New Roman" w:cs="Times New Roman" w:eastAsia="Times New Roman" w:hAnsi="Times New Roman"/>
          <w:sz w:val="17"/>
          <w:szCs w:val="17"/>
          <w:color w:val="auto"/>
        </w:rPr>
      </w:pPr>
    </w:p>
    <w:p>
      <w:pPr>
        <w:jc w:val="both"/>
        <w:ind w:left="299" w:hanging="299"/>
        <w:spacing w:after="0" w:line="251" w:lineRule="auto"/>
        <w:tabs>
          <w:tab w:leader="none" w:pos="29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Subject to applicable securities laws, this Warrant and the rights and obligations evidenced hereby shall inure to the benefit of and be binding upon the successors and permitted assigns of the Company and the successors and permitted assigns of the Holder. The provisions of this Warrant are intended to be for the benefit of the Holder from time to time of this Warrant and shall be enforceable by the Holder or holder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259080</wp:posOffset>
            </wp:positionV>
            <wp:extent cx="7141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39"/>
          </w:cols>
          <w:pgMar w:left="321" w:top="65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executed by its duly authorized officer.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February __, 2025</w:t>
      </w:r>
    </w:p>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DRAGONFLY ENERGY HOLDINGS CORP.</w:t>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7"/>
          <w:szCs w:val="17"/>
          <w:color w:val="auto"/>
        </w:rPr>
        <w:t>Title:</w:t>
      </w:r>
    </w:p>
    <w:p>
      <w:pPr>
        <w:spacing w:after="0" w:line="19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[Signature Page to Penny Warrant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653"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color w:val="auto"/>
        </w:rPr>
        <w:t>Accepted and Acknowledged by: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-123190</wp:posOffset>
            </wp:positionV>
            <wp:extent cx="32105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192"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7"/>
          <w:szCs w:val="17"/>
          <w:color w:val="auto"/>
        </w:rPr>
        <w:t>[Signature Page to Penny Warrant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652" w:right="1440"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1</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Fully Diluted Capitalization of the Company as of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280670</wp:posOffset>
            </wp:positionV>
            <wp:extent cx="7141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Executed by the Registered Holder in Order to Exercise Warrants</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undersigned Registered Holder irrevocably elects to exercise Warrants represented by this Warrant Certificate, and to purchase the Shares issuable upon the exercise of such Warrants, and requests that Certificates for such shares shall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64287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287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255270</wp:posOffset>
            </wp:positionV>
            <wp:extent cx="64287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287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407670</wp:posOffset>
            </wp:positionV>
            <wp:extent cx="64287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2874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551815</wp:posOffset>
            </wp:positionV>
            <wp:extent cx="64287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28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64287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2874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(SOCIAL SECURITY OR TAX IDENTIFICATION NUMBER)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14605</wp:posOffset>
            </wp:positionV>
            <wp:extent cx="54679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67985" cy="8255"/>
                    </a:xfrm>
                    <a:prstGeom prst="rect">
                      <a:avLst/>
                    </a:prstGeom>
                    <a:noFill/>
                  </pic:spPr>
                </pic:pic>
              </a:graphicData>
            </a:graphic>
          </wp:anchor>
        </w:drawing>
      </w:r>
    </w:p>
    <w:p>
      <w:pPr>
        <w:spacing w:after="0" w:line="20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color w:val="auto"/>
        </w:rPr>
        <w:t>(PLEASE PRINT OR TYPE NAME AND ADDRESS)</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and, if such number of Warrants shall not be all the Warrants evidenced by this Warrant Certificate, that a new Warrant Certificate for the balance of such Warrants be registered in the name of, and delivered to, the Registered Holder at the address stated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22225</wp:posOffset>
            </wp:positionV>
            <wp:extent cx="32181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1818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-121285</wp:posOffset>
            </wp:positionV>
            <wp:extent cx="34264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646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-121285</wp:posOffset>
            </wp:positionV>
            <wp:extent cx="34264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646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-121285</wp:posOffset>
            </wp:positionV>
            <wp:extent cx="34264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64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-121285</wp:posOffset>
            </wp:positionV>
            <wp:extent cx="34264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646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b w:val="1"/>
          <w:bCs w:val="1"/>
          <w:color w:val="auto"/>
        </w:rPr>
        <w:t>NOTICE OF EXERCISE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Executed by the Registered Holder in Order to Exercise Warrants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80" w:type="dxa"/>
            <w:vAlign w:val="bottom"/>
          </w:tcPr>
          <w:p>
            <w:pPr>
              <w:jc w:val="center"/>
              <w:ind w:left="456"/>
              <w:spacing w:after="0"/>
              <w:rPr>
                <w:sz w:val="20"/>
                <w:szCs w:val="20"/>
                <w:color w:val="auto"/>
              </w:rPr>
            </w:pPr>
            <w:r>
              <w:rPr>
                <w:rFonts w:ascii="Times New Roman" w:cs="Times New Roman" w:eastAsia="Times New Roman" w:hAnsi="Times New Roman"/>
                <w:sz w:val="17"/>
                <w:szCs w:val="17"/>
                <w:color w:val="auto"/>
                <w:w w:val="99"/>
              </w:rPr>
              <w:t>The undersigned Registered Holder irrevocably elects to exercise</w:t>
            </w:r>
          </w:p>
        </w:tc>
        <w:tc>
          <w:tcPr>
            <w:tcW w:w="1000" w:type="dxa"/>
            <w:vAlign w:val="bottom"/>
            <w:tcBorders>
              <w:bottom w:val="single" w:sz="8" w:color="auto"/>
            </w:tcBorders>
            <w:gridSpan w:val="2"/>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Warrants represented by this Warrant Certificate, and to purchase the Shares</w:t>
            </w:r>
          </w:p>
        </w:tc>
      </w:tr>
      <w:tr>
        <w:trPr>
          <w:trHeight w:val="182"/>
        </w:trPr>
        <w:tc>
          <w:tcPr>
            <w:tcW w:w="560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7"/>
                <w:szCs w:val="17"/>
                <w:color w:val="auto"/>
                <w:w w:val="98"/>
              </w:rPr>
              <w:t xml:space="preserve">issuable upon the exercise of such Warrants, </w:t>
            </w:r>
            <w:r>
              <w:rPr>
                <w:rFonts w:ascii="Times New Roman" w:cs="Times New Roman" w:eastAsia="Times New Roman" w:hAnsi="Times New Roman"/>
                <w:sz w:val="17"/>
                <w:szCs w:val="17"/>
                <w:b w:val="1"/>
                <w:bCs w:val="1"/>
                <w:color w:val="auto"/>
                <w:w w:val="98"/>
              </w:rPr>
              <w:t>using the Cashless Exercise method,</w:t>
            </w: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960" w:type="dxa"/>
            <w:vAlign w:val="bottom"/>
          </w:tcPr>
          <w:p>
            <w:pPr>
              <w:ind w:left="40"/>
              <w:spacing w:after="0" w:line="182" w:lineRule="exact"/>
              <w:rPr>
                <w:sz w:val="20"/>
                <w:szCs w:val="20"/>
                <w:color w:val="auto"/>
              </w:rPr>
            </w:pPr>
            <w:r>
              <w:rPr>
                <w:rFonts w:ascii="Times New Roman" w:cs="Times New Roman" w:eastAsia="Times New Roman" w:hAnsi="Times New Roman"/>
                <w:sz w:val="17"/>
                <w:szCs w:val="17"/>
                <w:b w:val="1"/>
                <w:bCs w:val="1"/>
                <w:color w:val="auto"/>
              </w:rPr>
              <w:t>resulting in the issuance of Shares to the undersigned.</w:t>
            </w:r>
          </w:p>
        </w:tc>
      </w:tr>
    </w:tbl>
    <w:p>
      <w:pPr>
        <w:spacing w:after="0" w:line="20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The undersigned has calculated the number of Shares to be issued to it in accordance with the following formula set forth in Section 1(d) of the Warrant: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X = Y[(A - B)/A]</w:t>
      </w:r>
    </w:p>
    <w:p>
      <w:pPr>
        <w:spacing w:after="0" w:line="2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X = the number of Shares to be issued to the Holder</w:t>
      </w:r>
    </w:p>
    <w:p>
      <w:pPr>
        <w:spacing w:after="0" w:line="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Y = the number of Shares with respect to which this Warrant is being exercised</w:t>
      </w:r>
    </w:p>
    <w:p>
      <w:pPr>
        <w:spacing w:after="0" w:line="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A = the Fair Market Value of one Share</w:t>
      </w:r>
    </w:p>
    <w:p>
      <w:pPr>
        <w:spacing w:after="0" w:line="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B = the Warrant Price</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Where the Fair Market Value of one Share is $[ ], being the [average closing price or last sale price of the Shares reported for the five (5) business days prior to the applicable date of determination][last sale price of the Shares for the business day immediately prior to the applicable date of determination]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requests that Certificates for such shares shall be issued in the name of</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64287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2874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5716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16270" cy="8255"/>
                    </a:xfrm>
                    <a:prstGeom prst="rect">
                      <a:avLst/>
                    </a:prstGeom>
                    <a:noFill/>
                  </pic:spPr>
                </pic:pic>
              </a:graphicData>
            </a:graphic>
          </wp:anchor>
        </w:drawing>
      </w:r>
    </w:p>
    <w:p>
      <w:pPr>
        <w:spacing w:after="0" w:line="2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(PLEASE PRINT OR TYPE NAME AND ADDRESS)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and, if such number of Warrants shall not be all the Warrants evidenced by this Warrant Certificate, that a new Warrant Certificate for the balance of such Warrants be registered in the name of, and delivered to, the Registered Holder at the address stated below.</w:t>
      </w:r>
    </w:p>
    <w:p>
      <w:pPr>
        <w:spacing w:after="0" w:line="15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14605</wp:posOffset>
            </wp:positionV>
            <wp:extent cx="31464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0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-123190</wp:posOffset>
            </wp:positionV>
            <wp:extent cx="31381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38170" cy="8255"/>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(ADDRESS AND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-121285</wp:posOffset>
            </wp:positionV>
            <wp:extent cx="34988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9885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-121285</wp:posOffset>
            </wp:positionV>
            <wp:extent cx="34988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9885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1" w:name="page92"/>
    <w:bookmarkEnd w:id="91"/>
    <w:p>
      <w:pPr>
        <w:ind w:left="4760"/>
        <w:spacing w:after="0"/>
        <w:rPr>
          <w:sz w:val="20"/>
          <w:szCs w:val="20"/>
          <w:color w:val="auto"/>
        </w:rPr>
      </w:pPr>
      <w:r>
        <w:rPr>
          <w:rFonts w:ascii="Times New Roman" w:cs="Times New Roman" w:eastAsia="Times New Roman" w:hAnsi="Times New Roman"/>
          <w:sz w:val="17"/>
          <w:szCs w:val="17"/>
          <w:b w:val="1"/>
          <w:bCs w:val="1"/>
          <w:color w:val="auto"/>
        </w:rPr>
        <w:t>FORM OF TRANSFER</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To Be Executed by the Registered Holder in Order to Transfer Warrants</w:t>
      </w:r>
    </w:p>
    <w:p>
      <w:pPr>
        <w:spacing w:after="0" w:line="208"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17"/>
          <w:szCs w:val="17"/>
          <w:color w:val="auto"/>
        </w:rPr>
        <w:t>For Value Received,</w:t>
      </w:r>
      <w:r>
        <w:rPr>
          <w:sz w:val="20"/>
          <w:szCs w:val="20"/>
          <w:color w:val="auto"/>
        </w:rPr>
        <w:tab/>
      </w:r>
      <w:r>
        <w:rPr>
          <w:rFonts w:ascii="Times New Roman" w:cs="Times New Roman" w:eastAsia="Times New Roman" w:hAnsi="Times New Roman"/>
          <w:sz w:val="16"/>
          <w:szCs w:val="16"/>
          <w:color w:val="auto"/>
        </w:rPr>
        <w:t>hereby sell, assign, and transfer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893445</wp:posOffset>
            </wp:positionH>
            <wp:positionV relativeFrom="paragraph">
              <wp:posOffset>-8890</wp:posOffset>
            </wp:positionV>
            <wp:extent cx="10134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(PLEASE TYPE OR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422910</wp:posOffset>
            </wp:positionV>
            <wp:extent cx="71412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(SOCIAL SECURITY OR TAX IDENTIFICATION NUMBER)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be delivered to</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(PLEASE PRINT OR TYPE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-123190</wp:posOffset>
            </wp:positionV>
            <wp:extent cx="61804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pacing w:after="0" w:line="18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7"/>
          <w:szCs w:val="17"/>
          <w:color w:val="auto"/>
        </w:rPr>
        <w:t>of the Warrants represented by this Warrant Certificate, and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10134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7"/>
          <w:szCs w:val="17"/>
          <w:color w:val="auto"/>
        </w:rPr>
        <w:t>Attorney to transfer this Warrant Certificate on the books of the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-19050</wp:posOffset>
            </wp:positionV>
            <wp:extent cx="168021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22225</wp:posOffset>
            </wp:positionV>
            <wp:extent cx="31464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23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-121285</wp:posOffset>
            </wp:positionV>
            <wp:extent cx="34988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98850" cy="8255"/>
                    </a:xfrm>
                    <a:prstGeom prst="rect">
                      <a:avLst/>
                    </a:prstGeom>
                    <a:noFill/>
                  </pic:spPr>
                </pic:pic>
              </a:graphicData>
            </a:graphic>
          </wp:anchor>
        </w:drawing>
      </w:r>
    </w:p>
    <w:p>
      <w:pPr>
        <w:spacing w:after="0" w:line="18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T</w:t>
      </w:r>
      <w:r>
        <w:rPr>
          <w:rFonts w:ascii="Times New Roman" w:cs="Times New Roman" w:eastAsia="Times New Roman" w:hAnsi="Times New Roman"/>
          <w:sz w:val="11"/>
          <w:szCs w:val="11"/>
          <w:color w:val="auto"/>
        </w:rPr>
        <w:t>he signature to the assignment of the</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1"/>
          <w:szCs w:val="11"/>
          <w:color w:val="auto"/>
        </w:rPr>
        <w:t>ubscription</w:t>
      </w:r>
      <w:r>
        <w:rPr>
          <w:rFonts w:ascii="Times New Roman" w:cs="Times New Roman" w:eastAsia="Times New Roman" w:hAnsi="Times New Roman"/>
          <w:sz w:val="17"/>
          <w:szCs w:val="17"/>
          <w:color w:val="auto"/>
        </w:rPr>
        <w:t xml:space="preserve"> F</w:t>
      </w:r>
      <w:r>
        <w:rPr>
          <w:rFonts w:ascii="Times New Roman" w:cs="Times New Roman" w:eastAsia="Times New Roman" w:hAnsi="Times New Roman"/>
          <w:sz w:val="11"/>
          <w:szCs w:val="11"/>
          <w:color w:val="auto"/>
        </w:rPr>
        <w:t>orm must correspond to the name written upon the face of this</w:t>
      </w:r>
      <w:r>
        <w:rPr>
          <w:rFonts w:ascii="Times New Roman" w:cs="Times New Roman" w:eastAsia="Times New Roman" w:hAnsi="Times New Roman"/>
          <w:sz w:val="17"/>
          <w:szCs w:val="17"/>
          <w:color w:val="auto"/>
        </w:rPr>
        <w:t xml:space="preserve"> W</w:t>
      </w:r>
      <w:r>
        <w:rPr>
          <w:rFonts w:ascii="Times New Roman" w:cs="Times New Roman" w:eastAsia="Times New Roman" w:hAnsi="Times New Roman"/>
          <w:sz w:val="11"/>
          <w:szCs w:val="11"/>
          <w:color w:val="auto"/>
        </w:rPr>
        <w:t>arrant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1"/>
          <w:szCs w:val="11"/>
          <w:color w:val="auto"/>
        </w:rPr>
        <w:t>ertificate in every particular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1"/>
          <w:szCs w:val="11"/>
          <w:color w:val="auto"/>
        </w:rPr>
        <w:t>without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1"/>
          <w:szCs w:val="11"/>
          <w:color w:val="auto"/>
        </w:rPr>
        <w:t>alteration or enlargement or any change whatsoever</w:t>
      </w:r>
      <w:r>
        <w:rPr>
          <w:rFonts w:ascii="Times New Roman" w:cs="Times New Roman" w:eastAsia="Times New Roman" w:hAnsi="Times New Roman"/>
          <w:sz w:val="16"/>
          <w:szCs w:val="16"/>
          <w:color w:val="auto"/>
        </w:rPr>
        <w:t>,</w:t>
      </w:r>
      <w:r>
        <w:rPr>
          <w:rFonts w:ascii="Times New Roman" w:cs="Times New Roman" w:eastAsia="Times New Roman" w:hAnsi="Times New Roman"/>
          <w:sz w:val="11"/>
          <w:szCs w:val="11"/>
          <w:color w:val="auto"/>
        </w:rPr>
        <w:t xml:space="preserve"> and must be guaranteed by a commercial bank or trust company or a member firm of the </w:t>
      </w:r>
      <w:r>
        <w:rPr>
          <w:rFonts w:ascii="Times New Roman" w:cs="Times New Roman" w:eastAsia="Times New Roman" w:hAnsi="Times New Roman"/>
          <w:sz w:val="16"/>
          <w:szCs w:val="16"/>
          <w:color w:val="auto"/>
        </w:rPr>
        <w:t>NYSE A</w:t>
      </w:r>
      <w:r>
        <w:rPr>
          <w:rFonts w:ascii="Times New Roman" w:cs="Times New Roman" w:eastAsia="Times New Roman" w:hAnsi="Times New Roman"/>
          <w:sz w:val="11"/>
          <w:szCs w:val="11"/>
          <w:color w:val="auto"/>
        </w:rPr>
        <w:t>merican</w:t>
      </w:r>
      <w:r>
        <w:rPr>
          <w:rFonts w:ascii="Times New Roman" w:cs="Times New Roman" w:eastAsia="Times New Roman" w:hAnsi="Times New Roman"/>
          <w:sz w:val="16"/>
          <w:szCs w:val="16"/>
          <w:color w:val="auto"/>
        </w:rPr>
        <w: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6"/>
          <w:szCs w:val="16"/>
          <w:color w:val="auto"/>
        </w:rPr>
        <w:t>N</w:t>
      </w:r>
      <w:r>
        <w:rPr>
          <w:rFonts w:ascii="Times New Roman" w:cs="Times New Roman" w:eastAsia="Times New Roman" w:hAnsi="Times New Roman"/>
          <w:sz w:val="11"/>
          <w:szCs w:val="11"/>
          <w:color w:val="auto"/>
        </w:rPr>
        <w:t>asdaq</w:t>
      </w:r>
      <w:r>
        <w:rPr>
          <w:rFonts w:ascii="Times New Roman" w:cs="Times New Roman" w:eastAsia="Times New Roman" w:hAnsi="Times New Roman"/>
          <w:sz w:val="16"/>
          <w:szCs w:val="16"/>
          <w:color w:val="auto"/>
        </w:rPr>
        <w:t>, N</w:t>
      </w:r>
      <w:r>
        <w:rPr>
          <w:rFonts w:ascii="Times New Roman" w:cs="Times New Roman" w:eastAsia="Times New Roman" w:hAnsi="Times New Roman"/>
          <w:sz w:val="11"/>
          <w:szCs w:val="11"/>
          <w:color w:val="auto"/>
        </w:rPr>
        <w:t>ew</w:t>
      </w:r>
      <w:r>
        <w:rPr>
          <w:rFonts w:ascii="Times New Roman" w:cs="Times New Roman" w:eastAsia="Times New Roman" w:hAnsi="Times New Roman"/>
          <w:sz w:val="16"/>
          <w:szCs w:val="16"/>
          <w:color w:val="auto"/>
        </w:rPr>
        <w:t xml:space="preserve"> Y</w:t>
      </w:r>
      <w:r>
        <w:rPr>
          <w:rFonts w:ascii="Times New Roman" w:cs="Times New Roman" w:eastAsia="Times New Roman" w:hAnsi="Times New Roman"/>
          <w:sz w:val="11"/>
          <w:szCs w:val="11"/>
          <w:color w:val="auto"/>
        </w:rPr>
        <w:t>ork</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1"/>
          <w:szCs w:val="11"/>
          <w:color w:val="auto"/>
        </w:rPr>
        <w:t>tock</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1"/>
          <w:szCs w:val="11"/>
          <w:color w:val="auto"/>
        </w:rPr>
        <w:t>xchange</w:t>
      </w:r>
      <w:r>
        <w:rPr>
          <w:rFonts w:ascii="Times New Roman" w:cs="Times New Roman" w:eastAsia="Times New Roman" w:hAnsi="Times New Roman"/>
          <w:sz w:val="16"/>
          <w:szCs w:val="16"/>
          <w:color w:val="auto"/>
        </w:rPr>
        <w:t>, P</w:t>
      </w:r>
      <w:r>
        <w:rPr>
          <w:rFonts w:ascii="Times New Roman" w:cs="Times New Roman" w:eastAsia="Times New Roman" w:hAnsi="Times New Roman"/>
          <w:sz w:val="11"/>
          <w:szCs w:val="11"/>
          <w:color w:val="auto"/>
        </w:rPr>
        <w:t>acific</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1"/>
          <w:szCs w:val="11"/>
          <w:color w:val="auto"/>
        </w:rPr>
        <w:t>tock</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1"/>
          <w:szCs w:val="11"/>
          <w:color w:val="auto"/>
        </w:rPr>
        <w:t>xchange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1"/>
          <w:szCs w:val="11"/>
          <w:color w:val="auto"/>
        </w:rPr>
        <w:t>or</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1"/>
          <w:szCs w:val="11"/>
          <w:color w:val="auto"/>
        </w:rPr>
        <w:t>hicago</w:t>
      </w:r>
      <w:r>
        <w:rPr>
          <w:rFonts w:ascii="Times New Roman" w:cs="Times New Roman" w:eastAsia="Times New Roman" w:hAnsi="Times New Roman"/>
          <w:sz w:val="16"/>
          <w:szCs w:val="16"/>
          <w:color w:val="auto"/>
        </w:rPr>
        <w:t xml:space="preserve"> S</w:t>
      </w:r>
      <w:r>
        <w:rPr>
          <w:rFonts w:ascii="Times New Roman" w:cs="Times New Roman" w:eastAsia="Times New Roman" w:hAnsi="Times New Roman"/>
          <w:sz w:val="11"/>
          <w:szCs w:val="11"/>
          <w:color w:val="auto"/>
        </w:rPr>
        <w:t>tock</w:t>
      </w:r>
      <w:r>
        <w:rPr>
          <w:rFonts w:ascii="Times New Roman" w:cs="Times New Roman" w:eastAsia="Times New Roman" w:hAnsi="Times New Roman"/>
          <w:sz w:val="16"/>
          <w:szCs w:val="16"/>
          <w:color w:val="auto"/>
        </w:rPr>
        <w:t xml:space="preserve"> E</w:t>
      </w:r>
      <w:r>
        <w:rPr>
          <w:rFonts w:ascii="Times New Roman" w:cs="Times New Roman" w:eastAsia="Times New Roman" w:hAnsi="Times New Roman"/>
          <w:sz w:val="11"/>
          <w:szCs w:val="11"/>
          <w:color w:val="auto"/>
        </w:rPr>
        <w:t>xchange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364490</wp:posOffset>
            </wp:positionV>
            <wp:extent cx="71412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144780</wp:posOffset>
            </wp:positionV>
            <wp:extent cx="600710" cy="4483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0710" cy="448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50 West Liberty Street, Suite 750</w:t>
            </w:r>
          </w:p>
        </w:tc>
        <w:tc>
          <w:tcPr>
            <w:tcW w:w="2600" w:type="dxa"/>
            <w:vAlign w:val="bottom"/>
          </w:tcPr>
          <w:p>
            <w:pPr>
              <w:spacing w:after="0"/>
              <w:rPr>
                <w:sz w:val="17"/>
                <w:szCs w:val="17"/>
                <w:color w:val="auto"/>
              </w:rPr>
            </w:pPr>
          </w:p>
        </w:tc>
      </w:tr>
      <w:tr>
        <w:trPr>
          <w:trHeight w:val="202"/>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Reno, Nevada 89501</w:t>
            </w:r>
          </w:p>
        </w:tc>
        <w:tc>
          <w:tcPr>
            <w:tcW w:w="2600" w:type="dxa"/>
            <w:vAlign w:val="bottom"/>
          </w:tcPr>
          <w:p>
            <w:pPr>
              <w:jc w:val="center"/>
              <w:ind w:left="1296"/>
              <w:spacing w:after="0"/>
              <w:rPr>
                <w:sz w:val="20"/>
                <w:szCs w:val="20"/>
                <w:color w:val="auto"/>
              </w:rPr>
            </w:pPr>
            <w:r>
              <w:rPr>
                <w:rFonts w:ascii="Times New Roman" w:cs="Times New Roman" w:eastAsia="Times New Roman" w:hAnsi="Times New Roman"/>
                <w:sz w:val="17"/>
                <w:szCs w:val="17"/>
                <w:color w:val="auto"/>
                <w:w w:val="97"/>
              </w:rPr>
              <w:t>A Professional</w:t>
            </w:r>
          </w:p>
        </w:tc>
      </w:tr>
      <w:tr>
        <w:trPr>
          <w:trHeight w:val="202"/>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Main 775.323.1601</w:t>
            </w:r>
          </w:p>
        </w:tc>
        <w:tc>
          <w:tcPr>
            <w:tcW w:w="2600" w:type="dxa"/>
            <w:vAlign w:val="bottom"/>
          </w:tcPr>
          <w:p>
            <w:pPr>
              <w:jc w:val="center"/>
              <w:ind w:left="1296"/>
              <w:spacing w:after="0"/>
              <w:rPr>
                <w:sz w:val="20"/>
                <w:szCs w:val="20"/>
                <w:color w:val="auto"/>
              </w:rPr>
            </w:pPr>
            <w:r>
              <w:rPr>
                <w:rFonts w:ascii="Times New Roman" w:cs="Times New Roman" w:eastAsia="Times New Roman" w:hAnsi="Times New Roman"/>
                <w:sz w:val="17"/>
                <w:szCs w:val="17"/>
                <w:color w:val="auto"/>
                <w:w w:val="97"/>
              </w:rPr>
              <w:t>Law Corporation</w:t>
            </w:r>
          </w:p>
        </w:tc>
      </w:tr>
      <w:tr>
        <w:trPr>
          <w:trHeight w:val="218"/>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Fax 775.348.7250</w:t>
            </w:r>
          </w:p>
        </w:tc>
        <w:tc>
          <w:tcPr>
            <w:tcW w:w="2600" w:type="dxa"/>
            <w:vAlign w:val="bottom"/>
          </w:tcPr>
          <w:p>
            <w:pPr>
              <w:spacing w:after="0"/>
              <w:rPr>
                <w:sz w:val="18"/>
                <w:szCs w:val="18"/>
                <w:color w:val="auto"/>
              </w:rPr>
            </w:pPr>
          </w:p>
        </w:tc>
      </w:tr>
      <w:tr>
        <w:trPr>
          <w:trHeight w:val="403"/>
        </w:trPr>
        <w:tc>
          <w:tcPr>
            <w:tcW w:w="3640" w:type="dxa"/>
            <w:vAlign w:val="bottom"/>
          </w:tcPr>
          <w:p>
            <w:pPr>
              <w:spacing w:after="0"/>
              <w:rPr>
                <w:sz w:val="24"/>
                <w:szCs w:val="24"/>
                <w:color w:val="auto"/>
              </w:rPr>
            </w:pPr>
          </w:p>
        </w:tc>
        <w:tc>
          <w:tcPr>
            <w:tcW w:w="2600" w:type="dxa"/>
            <w:vAlign w:val="bottom"/>
          </w:tcPr>
          <w:p>
            <w:pPr>
              <w:jc w:val="center"/>
              <w:ind w:left="1276"/>
              <w:spacing w:after="0"/>
              <w:rPr>
                <w:sz w:val="20"/>
                <w:szCs w:val="20"/>
                <w:color w:val="auto"/>
              </w:rPr>
            </w:pPr>
            <w:r>
              <w:rPr>
                <w:rFonts w:ascii="Times New Roman" w:cs="Times New Roman" w:eastAsia="Times New Roman" w:hAnsi="Times New Roman"/>
                <w:sz w:val="17"/>
                <w:szCs w:val="17"/>
                <w:color w:val="auto"/>
                <w:w w:val="99"/>
              </w:rPr>
              <w:t>February 27, 2025</w:t>
            </w:r>
          </w:p>
        </w:tc>
      </w:tr>
      <w:tr>
        <w:trPr>
          <w:trHeight w:val="387"/>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Board of Directors</w:t>
            </w:r>
          </w:p>
        </w:tc>
        <w:tc>
          <w:tcPr>
            <w:tcW w:w="2600" w:type="dxa"/>
            <w:vAlign w:val="bottom"/>
          </w:tcPr>
          <w:p>
            <w:pPr>
              <w:spacing w:after="0"/>
              <w:rPr>
                <w:sz w:val="24"/>
                <w:szCs w:val="24"/>
                <w:color w:val="auto"/>
              </w:rPr>
            </w:pPr>
          </w:p>
        </w:tc>
      </w:tr>
      <w:tr>
        <w:trPr>
          <w:trHeight w:val="202"/>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Dragonfly Energy Holdings Corp.</w:t>
            </w:r>
          </w:p>
        </w:tc>
        <w:tc>
          <w:tcPr>
            <w:tcW w:w="2600" w:type="dxa"/>
            <w:vAlign w:val="bottom"/>
          </w:tcPr>
          <w:p>
            <w:pPr>
              <w:spacing w:after="0"/>
              <w:rPr>
                <w:sz w:val="17"/>
                <w:szCs w:val="17"/>
                <w:color w:val="auto"/>
              </w:rPr>
            </w:pPr>
          </w:p>
        </w:tc>
      </w:tr>
      <w:tr>
        <w:trPr>
          <w:trHeight w:val="202"/>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12915 Old Virginia Road</w:t>
            </w:r>
          </w:p>
        </w:tc>
        <w:tc>
          <w:tcPr>
            <w:tcW w:w="2600" w:type="dxa"/>
            <w:vAlign w:val="bottom"/>
          </w:tcPr>
          <w:p>
            <w:pPr>
              <w:spacing w:after="0"/>
              <w:rPr>
                <w:sz w:val="17"/>
                <w:szCs w:val="17"/>
                <w:color w:val="auto"/>
              </w:rPr>
            </w:pPr>
          </w:p>
        </w:tc>
      </w:tr>
      <w:tr>
        <w:trPr>
          <w:trHeight w:val="218"/>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Reno, NV 89521</w:t>
            </w:r>
          </w:p>
        </w:tc>
        <w:tc>
          <w:tcPr>
            <w:tcW w:w="2600" w:type="dxa"/>
            <w:vAlign w:val="bottom"/>
          </w:tcPr>
          <w:p>
            <w:pPr>
              <w:spacing w:after="0"/>
              <w:rPr>
                <w:sz w:val="18"/>
                <w:szCs w:val="18"/>
                <w:color w:val="auto"/>
              </w:rPr>
            </w:pPr>
          </w:p>
        </w:tc>
      </w:tr>
    </w:tbl>
    <w:p>
      <w:pPr>
        <w:spacing w:after="0" w:line="186" w:lineRule="exact"/>
        <w:rPr>
          <w:sz w:val="20"/>
          <w:szCs w:val="20"/>
          <w:color w:val="auto"/>
        </w:rPr>
      </w:pPr>
    </w:p>
    <w:p>
      <w:pPr>
        <w:ind w:left="600"/>
        <w:spacing w:after="0"/>
        <w:tabs>
          <w:tab w:leader="none" w:pos="1000" w:val="left"/>
        </w:tabs>
        <w:rPr>
          <w:sz w:val="20"/>
          <w:szCs w:val="20"/>
          <w:color w:val="auto"/>
        </w:rPr>
      </w:pPr>
      <w:r>
        <w:rPr>
          <w:rFonts w:ascii="Times New Roman" w:cs="Times New Roman" w:eastAsia="Times New Roman" w:hAnsi="Times New Roman"/>
          <w:sz w:val="17"/>
          <w:szCs w:val="17"/>
          <w:color w:val="auto"/>
        </w:rPr>
        <w:t>Re:</w:t>
        <w:tab/>
        <w:t>Dragonfly Energy Holdings Corp. - Registration Statement on Form S-3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4"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 xml:space="preserve">We have acted as special Nevada counsel to Dragonfly Energy Holdings Corp., a Nevada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in connection with the Company’s preparation and filing of (i) the Registration Statement on Form S-3 (File No. 333-27559)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xml:space="preserve"> which was declared effective on November 24, 2023, by the Securities and Exchange Commission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xml:space="preserve"> (as so filed, the </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Statement”) </w:t>
      </w:r>
      <w:r>
        <w:rPr>
          <w:rFonts w:ascii="Times New Roman" w:cs="Times New Roman" w:eastAsia="Times New Roman" w:hAnsi="Times New Roman"/>
          <w:sz w:val="17"/>
          <w:szCs w:val="17"/>
          <w:color w:val="auto"/>
        </w:rPr>
        <w:t>and the related prospectus contained in the Registration Statement (the</w:t>
      </w:r>
      <w:r>
        <w:rPr>
          <w:rFonts w:ascii="Times New Roman" w:cs="Times New Roman" w:eastAsia="Times New Roman" w:hAnsi="Times New Roman"/>
          <w:sz w:val="17"/>
          <w:szCs w:val="17"/>
          <w:b w:val="1"/>
          <w:bCs w:val="1"/>
          <w:color w:val="auto"/>
        </w:rPr>
        <w:t xml:space="preserve"> “Base Prospectus), </w:t>
      </w:r>
      <w:r>
        <w:rPr>
          <w:rFonts w:ascii="Times New Roman" w:cs="Times New Roman" w:eastAsia="Times New Roman" w:hAnsi="Times New Roman"/>
          <w:sz w:val="17"/>
          <w:szCs w:val="17"/>
          <w:color w:val="auto"/>
        </w:rPr>
        <w:t>and (ii) the prospectus supplement to the Registration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Statement, dated February 27, 2025 (the </w:t>
      </w:r>
      <w:r>
        <w:rPr>
          <w:rFonts w:ascii="Times New Roman" w:cs="Times New Roman" w:eastAsia="Times New Roman" w:hAnsi="Times New Roman"/>
          <w:sz w:val="17"/>
          <w:szCs w:val="17"/>
          <w:b w:val="1"/>
          <w:bCs w:val="1"/>
          <w:color w:val="auto"/>
        </w:rPr>
        <w:t>“Prospectus Supplement”)</w:t>
      </w:r>
      <w:r>
        <w:rPr>
          <w:rFonts w:ascii="Times New Roman" w:cs="Times New Roman" w:eastAsia="Times New Roman" w:hAnsi="Times New Roman"/>
          <w:sz w:val="17"/>
          <w:szCs w:val="17"/>
          <w:color w:val="auto"/>
        </w:rPr>
        <w:t xml:space="preserve"> relating to the Offering (as defined below).</w:t>
      </w:r>
    </w:p>
    <w:p>
      <w:pPr>
        <w:spacing w:after="0" w:line="17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 xml:space="preserve">We are rendering this opinion letter in connection with the Registration Statement relating to the offer and sale (the </w:t>
      </w:r>
      <w:r>
        <w:rPr>
          <w:rFonts w:ascii="Times New Roman" w:cs="Times New Roman" w:eastAsia="Times New Roman" w:hAnsi="Times New Roman"/>
          <w:sz w:val="17"/>
          <w:szCs w:val="17"/>
          <w:b w:val="1"/>
          <w:bCs w:val="1"/>
          <w:color w:val="auto"/>
        </w:rPr>
        <w:t>“Offering”)</w:t>
      </w:r>
      <w:r>
        <w:rPr>
          <w:rFonts w:ascii="Times New Roman" w:cs="Times New Roman" w:eastAsia="Times New Roman" w:hAnsi="Times New Roman"/>
          <w:sz w:val="17"/>
          <w:szCs w:val="17"/>
          <w:color w:val="auto"/>
        </w:rPr>
        <w:t xml:space="preserve"> by the Company to a buyer (the </w:t>
      </w:r>
      <w:r>
        <w:rPr>
          <w:rFonts w:ascii="Times New Roman" w:cs="Times New Roman" w:eastAsia="Times New Roman" w:hAnsi="Times New Roman"/>
          <w:sz w:val="17"/>
          <w:szCs w:val="17"/>
          <w:b w:val="1"/>
          <w:bCs w:val="1"/>
          <w:color w:val="auto"/>
        </w:rPr>
        <w:t>“Buyer”),</w:t>
      </w:r>
      <w:r>
        <w:rPr>
          <w:rFonts w:ascii="Times New Roman" w:cs="Times New Roman" w:eastAsia="Times New Roman" w:hAnsi="Times New Roman"/>
          <w:sz w:val="17"/>
          <w:szCs w:val="17"/>
          <w:color w:val="auto"/>
        </w:rPr>
        <w:t xml:space="preserve"> or its permitted designees, pursuant to the terms of a Securities Purchase Agreement by and between the Company and Buyer, dated as of February 26, 2025 (the </w:t>
      </w:r>
      <w:r>
        <w:rPr>
          <w:rFonts w:ascii="Times New Roman" w:cs="Times New Roman" w:eastAsia="Times New Roman" w:hAnsi="Times New Roman"/>
          <w:sz w:val="17"/>
          <w:szCs w:val="17"/>
          <w:b w:val="1"/>
          <w:bCs w:val="1"/>
          <w:color w:val="auto"/>
        </w:rPr>
        <w:t>“Securities Purchase Agreement”),</w:t>
      </w:r>
      <w:r>
        <w:rPr>
          <w:rFonts w:ascii="Times New Roman" w:cs="Times New Roman" w:eastAsia="Times New Roman" w:hAnsi="Times New Roman"/>
          <w:sz w:val="17"/>
          <w:szCs w:val="17"/>
          <w:color w:val="auto"/>
        </w:rPr>
        <w:t xml:space="preserve"> of (i) 180 shares (the </w:t>
      </w:r>
      <w:r>
        <w:rPr>
          <w:rFonts w:ascii="Times New Roman" w:cs="Times New Roman" w:eastAsia="Times New Roman" w:hAnsi="Times New Roman"/>
          <w:sz w:val="17"/>
          <w:szCs w:val="17"/>
          <w:b w:val="1"/>
          <w:bCs w:val="1"/>
          <w:color w:val="auto"/>
        </w:rPr>
        <w:t>“Preferred Shares”)</w:t>
      </w:r>
      <w:r>
        <w:rPr>
          <w:rFonts w:ascii="Times New Roman" w:cs="Times New Roman" w:eastAsia="Times New Roman" w:hAnsi="Times New Roman"/>
          <w:sz w:val="17"/>
          <w:szCs w:val="17"/>
          <w:color w:val="auto"/>
        </w:rPr>
        <w:t xml:space="preserve"> of the Company’s Series A Convertible Preferred Stock, par value $0.0001 per share (the </w:t>
      </w:r>
      <w:r>
        <w:rPr>
          <w:rFonts w:ascii="Times New Roman" w:cs="Times New Roman" w:eastAsia="Times New Roman" w:hAnsi="Times New Roman"/>
          <w:sz w:val="17"/>
          <w:szCs w:val="17"/>
          <w:b w:val="1"/>
          <w:bCs w:val="1"/>
          <w:color w:val="auto"/>
        </w:rPr>
        <w:t>“Series A Preferred Stock”),</w:t>
      </w:r>
      <w:r>
        <w:rPr>
          <w:rFonts w:ascii="Times New Roman" w:cs="Times New Roman" w:eastAsia="Times New Roman" w:hAnsi="Times New Roman"/>
          <w:sz w:val="17"/>
          <w:szCs w:val="17"/>
          <w:color w:val="auto"/>
        </w:rPr>
        <w:t xml:space="preserve"> which will be initially convertible into shares (the </w:t>
      </w:r>
      <w:r>
        <w:rPr>
          <w:rFonts w:ascii="Times New Roman" w:cs="Times New Roman" w:eastAsia="Times New Roman" w:hAnsi="Times New Roman"/>
          <w:sz w:val="17"/>
          <w:szCs w:val="17"/>
          <w:b w:val="1"/>
          <w:bCs w:val="1"/>
          <w:color w:val="auto"/>
        </w:rPr>
        <w:t>“Conversion Shares”</w:t>
      </w:r>
      <w:r>
        <w:rPr>
          <w:rFonts w:ascii="Times New Roman" w:cs="Times New Roman" w:eastAsia="Times New Roman" w:hAnsi="Times New Roman"/>
          <w:sz w:val="17"/>
          <w:szCs w:val="17"/>
          <w:color w:val="auto"/>
        </w:rPr>
        <w:t xml:space="preserve"> and, together with the Preferred Shares, the </w:t>
      </w:r>
      <w:r>
        <w:rPr>
          <w:rFonts w:ascii="Times New Roman" w:cs="Times New Roman" w:eastAsia="Times New Roman" w:hAnsi="Times New Roman"/>
          <w:sz w:val="17"/>
          <w:szCs w:val="17"/>
          <w:b w:val="1"/>
          <w:bCs w:val="1"/>
          <w:color w:val="auto"/>
        </w:rPr>
        <w:t xml:space="preserve">“Securities”) </w:t>
      </w:r>
      <w:r>
        <w:rPr>
          <w:rFonts w:ascii="Times New Roman" w:cs="Times New Roman" w:eastAsia="Times New Roman" w:hAnsi="Times New Roman"/>
          <w:sz w:val="17"/>
          <w:szCs w:val="17"/>
          <w:color w:val="auto"/>
        </w:rPr>
        <w:t>of common stock of the Company, $0.0001 par value per share (the</w:t>
      </w:r>
      <w:r>
        <w:rPr>
          <w:rFonts w:ascii="Times New Roman" w:cs="Times New Roman" w:eastAsia="Times New Roman" w:hAnsi="Times New Roman"/>
          <w:sz w:val="17"/>
          <w:szCs w:val="17"/>
          <w:b w:val="1"/>
          <w:bCs w:val="1"/>
          <w:color w:val="auto"/>
        </w:rPr>
        <w:t xml:space="preserve"> “Common Stock”), </w:t>
      </w:r>
      <w:r>
        <w:rPr>
          <w:rFonts w:ascii="Times New Roman" w:cs="Times New Roman" w:eastAsia="Times New Roman" w:hAnsi="Times New Roman"/>
          <w:sz w:val="17"/>
          <w:szCs w:val="17"/>
          <w:color w:val="auto"/>
        </w:rPr>
        <w:t>in accordance with the terms of the Certificate of Designation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of Rights and Preferences of Series A Convertible Preferred Stock (the </w:t>
      </w:r>
      <w:r>
        <w:rPr>
          <w:rFonts w:ascii="Times New Roman" w:cs="Times New Roman" w:eastAsia="Times New Roman" w:hAnsi="Times New Roman"/>
          <w:sz w:val="17"/>
          <w:szCs w:val="17"/>
          <w:b w:val="1"/>
          <w:bCs w:val="1"/>
          <w:color w:val="auto"/>
        </w:rPr>
        <w:t>“COD”).</w:t>
      </w:r>
      <w:r>
        <w:rPr>
          <w:rFonts w:ascii="Times New Roman" w:cs="Times New Roman" w:eastAsia="Times New Roman" w:hAnsi="Times New Roman"/>
          <w:sz w:val="17"/>
          <w:szCs w:val="17"/>
          <w:color w:val="auto"/>
        </w:rPr>
        <w:t xml:space="preserve"> The Preferred Shares and the Conversion Shares are being issued and sold by the Company pursuant to the Securities Purchase Agreement, Registration Statement and related Prospectus Supplement.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PARSONSBEHLE.COM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Two</w:t>
      </w:r>
    </w:p>
    <w:p>
      <w:pPr>
        <w:spacing w:after="0" w:line="19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counsel to the Company, we have examined such matters of fact and questions of law as we have considered appropriate for purposes of rendering this opinion letter. With your consent, we have relied upon certificates and other assurances of officers of the Company and others as to factual matters without having independently verified such factual matters. In rendering this opinion letter, we have assumed that the issuance of the Securities will not exceed the number of authorized shares and that the Company will take such actions as required by the Securities Purchase Agreement, including but not limited to obtaining Stockholder Approval (as defined in the Securities Purchase Agreement). We have assumed that, prior to conversion of the Series A Preferred Stock into Conversion Shares, shares of Common Stock sufficient to meet the Company’s obligations to issue such shares have been and will remain reserved for issuance upon conversion.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180"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Based upon such examination, it is our opinion that (i) the Series A Preferred Stock has been duly authorized by all requisite corporate action on the part of the Company and, upon their issuance, delivery and payment therefor in the manner contemplated by the terms of the Securities Purchase Agreement, will be validly issued, fully paid and non-assessable, and (ii) the Conversion Shares have been duly authorized by all requisite corporate action on the part of the Company and, upon their issuance, delivery and payment therefor in the manner contemplated by the terms of the Securities Purchase Agreement and COD, will be validly issued, fully paid and non-assessable..</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No opinion is expressed herein as to. any matter pertaining to the contents of the Registration Statement and the related Prospectus Supplement, securities laws and regulations administered by the Securities and Exchange Commission, state “Blue Sky” laws and regulations, laws and regulations relating to commodity (and other) futures and indices and other similar instruments, banking and lending laws and regulations, compliance with fiduciary duty requirements, lien or security interest laws, and tax laws and regulations. We have assumed that the investments described in the Securities Purchase Agreement will not violate or constitute a default or breach under (a) any agreement or instrument to which the Company is subject, (b) any law, rule or regulation to which the Company is subject other than the NRS, (c) any judicial or regulatory order or decree of any governmental authority, or (d) any consent, approval, license, authorization or validation of, or filing, recording or registration with any governmental authority. In connection with this opinion letter, we have relied on oral or written statements and representations of officers or other representatives of the Company and others.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This opinion letter is given as of the date hereof. We assume no obligation to advise you of changes that may hereafter be brought to our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Three</w:t>
      </w:r>
    </w:p>
    <w:p>
      <w:pPr>
        <w:spacing w:after="0" w:line="19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consent to the inclusion of this opinion letter as an exhibit to the Registration Statement and further consent to all references to us under the caption “Legal Matters” in the Prospectus Supplement. In giving this consent, we do not admit that we are in the category of persons whose consent is required under Section 7 of the Securities Act of 1933, or the rules and regulations of the Securities and Exchange Commission.</w:t>
      </w:r>
    </w:p>
    <w:p>
      <w:pPr>
        <w:spacing w:after="0" w:line="1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 PARSONS BEHLE &amp; LATIMER</w:t>
      </w: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PARSONS BEHLA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95" w:name="page96"/>
    <w:bookmarkEnd w:id="95"/>
    <w:p>
      <w:pPr>
        <w:ind w:left="10200"/>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PURCHASE AGREEMENT</w:t>
      </w:r>
    </w:p>
    <w:p>
      <w:pPr>
        <w:spacing w:after="0" w:line="20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SECURITIES PURCHASE AGREEMENT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February 26, 2025, is by and among Dragonfly Energy Holdings Corp., a Nevada corporation with offices located at 12915 Old Virginia Road, Reno, Nevada 89521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each of the investors listed on the Schedule of Buyers attached hereto (individually, a “</w:t>
      </w:r>
      <w:r>
        <w:rPr>
          <w:rFonts w:ascii="Times New Roman" w:cs="Times New Roman" w:eastAsia="Times New Roman" w:hAnsi="Times New Roman"/>
          <w:sz w:val="17"/>
          <w:szCs w:val="17"/>
          <w:b w:val="1"/>
          <w:bCs w:val="1"/>
          <w:color w:val="auto"/>
        </w:rPr>
        <w:t>Buyer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Buyers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RECITALS</w:t>
      </w:r>
    </w:p>
    <w:p>
      <w:pPr>
        <w:spacing w:after="0" w:line="208"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A. The Company and each Buyer is executing and delivering this Agreement (i) pursuant to an effective registration statement (the “</w:t>
      </w:r>
      <w:r>
        <w:rPr>
          <w:rFonts w:ascii="Times New Roman" w:cs="Times New Roman" w:eastAsia="Times New Roman" w:hAnsi="Times New Roman"/>
          <w:sz w:val="17"/>
          <w:szCs w:val="17"/>
          <w:b w:val="1"/>
          <w:bCs w:val="1"/>
          <w:color w:val="auto"/>
        </w:rPr>
        <w:t>Company Shelf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b w:val="1"/>
          <w:bCs w:val="1"/>
          <w:color w:val="auto"/>
        </w:rPr>
        <w:t>1933 Act</w:t>
      </w:r>
      <w:r>
        <w:rPr>
          <w:rFonts w:ascii="Times New Roman" w:cs="Times New Roman" w:eastAsia="Times New Roman" w:hAnsi="Times New Roman"/>
          <w:sz w:val="17"/>
          <w:szCs w:val="17"/>
          <w:color w:val="auto"/>
        </w:rPr>
        <w:t>”), as to certain Preferred Shares and Conversion Shares (each as defined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below) and (ii) in reliance upon the exemption from securities registration afforded by Section 4(a)(2) of the 1933 Act) and Rule 506(b) of Regulation D (“</w:t>
      </w:r>
      <w:r>
        <w:rPr>
          <w:rFonts w:ascii="Times New Roman" w:cs="Times New Roman" w:eastAsia="Times New Roman" w:hAnsi="Times New Roman"/>
          <w:sz w:val="17"/>
          <w:szCs w:val="17"/>
          <w:b w:val="1"/>
          <w:bCs w:val="1"/>
          <w:color w:val="auto"/>
        </w:rPr>
        <w:t>Regulation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w:t>
      </w:r>
      <w:r>
        <w:rPr>
          <w:rFonts w:ascii="Times New Roman" w:cs="Times New Roman" w:eastAsia="Times New Roman" w:hAnsi="Times New Roman"/>
          <w:sz w:val="17"/>
          <w:szCs w:val="17"/>
          <w:color w:val="auto"/>
        </w:rPr>
        <w:t>”) as promulgated by the United States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under the 1933 Act.</w:t>
      </w:r>
    </w:p>
    <w:p>
      <w:pPr>
        <w:spacing w:after="0" w:line="17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B. The Company has authorized a new series of convertible preferred stock of the Company designated as Series A Convertible Preferred Stock, $0.0001 par value, the terms of which are set forth in the certificate of designation for such series of Preferred Stock (the “</w:t>
      </w:r>
      <w:r>
        <w:rPr>
          <w:rFonts w:ascii="Times New Roman" w:cs="Times New Roman" w:eastAsia="Times New Roman" w:hAnsi="Times New Roman"/>
          <w:sz w:val="17"/>
          <w:szCs w:val="17"/>
          <w:b w:val="1"/>
          <w:bCs w:val="1"/>
          <w:color w:val="auto"/>
        </w:rPr>
        <w:t>Certificate of Designations</w:t>
      </w:r>
      <w:r>
        <w:rPr>
          <w:rFonts w:ascii="Times New Roman" w:cs="Times New Roman" w:eastAsia="Times New Roman" w:hAnsi="Times New Roman"/>
          <w:sz w:val="17"/>
          <w:szCs w:val="17"/>
          <w:color w:val="auto"/>
        </w:rPr>
        <w:t xml:space="preserve">”) in the form attached hereto as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color w:val="auto"/>
        </w:rPr>
        <w:t xml:space="preserve"> (together with any convertible preferred shares issued in replacement thereof in accordance with the terms thereof, the “</w:t>
      </w:r>
      <w:r>
        <w:rPr>
          <w:rFonts w:ascii="Times New Roman" w:cs="Times New Roman" w:eastAsia="Times New Roman" w:hAnsi="Times New Roman"/>
          <w:sz w:val="17"/>
          <w:szCs w:val="17"/>
          <w:b w:val="1"/>
          <w:bCs w:val="1"/>
          <w:color w:val="auto"/>
        </w:rPr>
        <w:t>Series A Preferred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w:t>
      </w:r>
      <w:r>
        <w:rPr>
          <w:rFonts w:ascii="Times New Roman" w:cs="Times New Roman" w:eastAsia="Times New Roman" w:hAnsi="Times New Roman"/>
          <w:sz w:val="17"/>
          <w:szCs w:val="17"/>
          <w:color w:val="auto"/>
        </w:rPr>
        <w:t>”), which Series A Preferred Stock shall be convertible into shares of Common Stock (as defined below) (such shares of Common Stock issuable pursuant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of the Certificate of Designations, including, without limitation, upon conversion or otherwise, collectively, the “</w:t>
      </w:r>
      <w:r>
        <w:rPr>
          <w:rFonts w:ascii="Times New Roman" w:cs="Times New Roman" w:eastAsia="Times New Roman" w:hAnsi="Times New Roman"/>
          <w:sz w:val="17"/>
          <w:szCs w:val="17"/>
          <w:b w:val="1"/>
          <w:bCs w:val="1"/>
          <w:color w:val="auto"/>
        </w:rPr>
        <w:t>Conversion Shares</w:t>
      </w:r>
      <w:r>
        <w:rPr>
          <w:rFonts w:ascii="Times New Roman" w:cs="Times New Roman" w:eastAsia="Times New Roman" w:hAnsi="Times New Roman"/>
          <w:sz w:val="17"/>
          <w:szCs w:val="17"/>
          <w:color w:val="auto"/>
        </w:rPr>
        <w:t>”), in accordance with the terms of the Certificate of Designations.</w:t>
      </w:r>
    </w:p>
    <w:p>
      <w:pPr>
        <w:spacing w:after="0" w:line="176"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C. Each Buyer wishes to purchase, and the Company wishes to sell, upon the terms and conditions stated in this Agreement, (i) the aggregate number of shares of Series A Preferred Stock (the “</w:t>
      </w:r>
      <w:r>
        <w:rPr>
          <w:rFonts w:ascii="Times New Roman" w:cs="Times New Roman" w:eastAsia="Times New Roman" w:hAnsi="Times New Roman"/>
          <w:sz w:val="17"/>
          <w:szCs w:val="17"/>
          <w:b w:val="1"/>
          <w:bCs w:val="1"/>
          <w:color w:val="auto"/>
        </w:rPr>
        <w:t>Preferred Shares</w:t>
      </w:r>
      <w:r>
        <w:rPr>
          <w:rFonts w:ascii="Times New Roman" w:cs="Times New Roman" w:eastAsia="Times New Roman" w:hAnsi="Times New Roman"/>
          <w:sz w:val="17"/>
          <w:szCs w:val="17"/>
          <w:color w:val="auto"/>
        </w:rPr>
        <w:t>”) set forth opposite such Buyer’s name in column (2) on the Schedule of Buyers, of which, the Purchase Price attributable to the number of Preferred Shares set forth opposite such Buyer’s name in column (3) on the Schedule of Buyers will be funded on the Closing Date (as defined below) and the Purchase Price attributable to the number of Preferred Shares set forth opposite such Buyer’s name in column (4) on the Schedule of Buyers will be funded within one (1) Business Day following the later of the date (such date the “</w:t>
      </w:r>
      <w:r>
        <w:rPr>
          <w:rFonts w:ascii="Times New Roman" w:cs="Times New Roman" w:eastAsia="Times New Roman" w:hAnsi="Times New Roman"/>
          <w:sz w:val="17"/>
          <w:szCs w:val="17"/>
          <w:b w:val="1"/>
          <w:bCs w:val="1"/>
          <w:color w:val="auto"/>
        </w:rPr>
        <w:t>Holdback Date</w:t>
      </w:r>
      <w:r>
        <w:rPr>
          <w:rFonts w:ascii="Times New Roman" w:cs="Times New Roman" w:eastAsia="Times New Roman" w:hAnsi="Times New Roman"/>
          <w:sz w:val="17"/>
          <w:szCs w:val="17"/>
          <w:color w:val="auto"/>
        </w:rPr>
        <w:t>”) on which (x) the shares of Common Stock issued or issuable upon conversion of the Preferred Shares set forth opposite such Buyer’s name in column (2) on the Schedule of Buyers that are not otherwise registered for sale pursuant to the Company Shelf Registration Statement are registered for resale pursuant to an effective registration statement (the “</w:t>
      </w:r>
      <w:r>
        <w:rPr>
          <w:rFonts w:ascii="Times New Roman" w:cs="Times New Roman" w:eastAsia="Times New Roman" w:hAnsi="Times New Roman"/>
          <w:sz w:val="17"/>
          <w:szCs w:val="17"/>
          <w:b w:val="1"/>
          <w:bCs w:val="1"/>
          <w:color w:val="auto"/>
        </w:rPr>
        <w:t>Registration Effectiveness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Date</w:t>
      </w:r>
      <w:r>
        <w:rPr>
          <w:rFonts w:ascii="Times New Roman" w:cs="Times New Roman" w:eastAsia="Times New Roman" w:hAnsi="Times New Roman"/>
          <w:sz w:val="17"/>
          <w:szCs w:val="17"/>
          <w:color w:val="auto"/>
        </w:rPr>
        <w:t>”) and (y) the Stockholder Approval (as defined below) has been obtained and (ii) twenty (20) warrants, each to acquire the number of Preferred Shares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opposite such Buyer’s name in column (5) on the Schedule of Buyers (the “</w:t>
      </w:r>
      <w:r>
        <w:rPr>
          <w:rFonts w:ascii="Times New Roman" w:cs="Times New Roman" w:eastAsia="Times New Roman" w:hAnsi="Times New Roman"/>
          <w:sz w:val="17"/>
          <w:szCs w:val="17"/>
          <w:b w:val="1"/>
          <w:bCs w:val="1"/>
          <w:color w:val="auto"/>
        </w:rPr>
        <w:t>Incremental Warrant Shares</w:t>
      </w:r>
      <w:r>
        <w:rPr>
          <w:rFonts w:ascii="Times New Roman" w:cs="Times New Roman" w:eastAsia="Times New Roman" w:hAnsi="Times New Roman"/>
          <w:sz w:val="17"/>
          <w:szCs w:val="17"/>
          <w:color w:val="auto"/>
        </w:rPr>
        <w:t xml:space="preserve">”), substantially in the form attached here to as </w:t>
      </w:r>
      <w:r>
        <w:rPr>
          <w:rFonts w:ascii="Times New Roman" w:cs="Times New Roman" w:eastAsia="Times New Roman" w:hAnsi="Times New Roman"/>
          <w:sz w:val="17"/>
          <w:szCs w:val="17"/>
          <w:b w:val="1"/>
          <w:bCs w:val="1"/>
          <w:u w:val="single" w:color="auto"/>
          <w:color w:val="auto"/>
        </w:rPr>
        <w:t>Exhibit B</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Incremental Warrants</w:t>
      </w:r>
      <w:r>
        <w:rPr>
          <w:rFonts w:ascii="Times New Roman" w:cs="Times New Roman" w:eastAsia="Times New Roman" w:hAnsi="Times New Roman"/>
          <w:sz w:val="17"/>
          <w:szCs w:val="17"/>
          <w:color w:val="auto"/>
        </w:rPr>
        <w:t>” and such shares of Common Stock issuable upon conversion of the Incremental Warrant Shares pursuant to the terms of the Certificate of Designations, collectively, the “</w:t>
      </w:r>
      <w:r>
        <w:rPr>
          <w:rFonts w:ascii="Times New Roman" w:cs="Times New Roman" w:eastAsia="Times New Roman" w:hAnsi="Times New Roman"/>
          <w:sz w:val="17"/>
          <w:szCs w:val="17"/>
          <w:b w:val="1"/>
          <w:bCs w:val="1"/>
          <w:color w:val="auto"/>
        </w:rPr>
        <w:t>Incremental Warrant Conversion Shares</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 xml:space="preserve">D. At the Closing (as defined below), the parties hereto shall execute and deliver a Registration Rights Agreement, in the form attached hereto as </w:t>
      </w:r>
      <w:r>
        <w:rPr>
          <w:rFonts w:ascii="Times New Roman" w:cs="Times New Roman" w:eastAsia="Times New Roman" w:hAnsi="Times New Roman"/>
          <w:sz w:val="17"/>
          <w:szCs w:val="17"/>
          <w:b w:val="1"/>
          <w:bCs w:val="1"/>
          <w:u w:val="single" w:color="auto"/>
          <w:color w:val="auto"/>
        </w:rPr>
        <w:t>Exhibit C</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Registration Rights Agreement</w:t>
      </w:r>
      <w:r>
        <w:rPr>
          <w:rFonts w:ascii="Times New Roman" w:cs="Times New Roman" w:eastAsia="Times New Roman" w:hAnsi="Times New Roman"/>
          <w:sz w:val="17"/>
          <w:szCs w:val="17"/>
          <w:color w:val="auto"/>
        </w:rPr>
        <w:t>”), pursuant to which the Company has agreed to provide certain registration rights with respect to the Registrable Securities (as defined in the Registration Rights Agreement), under the 1933 Act and the rules and regulations promulgated thereunder, and applicable state securities laws.</w:t>
      </w:r>
    </w:p>
    <w:p>
      <w:pPr>
        <w:spacing w:after="0" w:line="16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E. The Preferred Shares, the Conversion Shares, the Incremental Warrants, the Incremental Warrant Shares and the Incremental Warrant Conversion Shares are collectively referred to herein as the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NOW, THEREFORE, in consideration of the premises and the mutual covenants contained herein and for other good and valuable consideration, the receipt and sufficiency of which are hereby acknowledged, the Company and each Buyer hereby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AGREEMENT</w:t>
      </w:r>
    </w:p>
    <w:p>
      <w:pPr>
        <w:spacing w:after="0" w:line="208" w:lineRule="exact"/>
        <w:rPr>
          <w:sz w:val="20"/>
          <w:szCs w:val="20"/>
          <w:color w:val="auto"/>
        </w:rPr>
      </w:pPr>
    </w:p>
    <w:p>
      <w:pPr>
        <w:ind w:left="160" w:hanging="159"/>
        <w:spacing w:after="0"/>
        <w:tabs>
          <w:tab w:leader="none" w:pos="16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PURCHASE AND SALE OF PREFERRED SHARES AND INCREMENTAL WARRANTS.</w:t>
      </w:r>
    </w:p>
    <w:p>
      <w:pPr>
        <w:spacing w:after="0" w:line="211" w:lineRule="exact"/>
        <w:rPr>
          <w:rFonts w:ascii="Times New Roman" w:cs="Times New Roman" w:eastAsia="Times New Roman" w:hAnsi="Times New Roman"/>
          <w:sz w:val="17"/>
          <w:szCs w:val="17"/>
          <w:b w:val="1"/>
          <w:bCs w:val="1"/>
          <w:color w:val="auto"/>
        </w:rPr>
      </w:pPr>
    </w:p>
    <w:p>
      <w:pPr>
        <w:jc w:val="both"/>
        <w:ind w:firstLine="606"/>
        <w:spacing w:after="0" w:line="252" w:lineRule="auto"/>
        <w:tabs>
          <w:tab w:leader="none" w:pos="834"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of Preferred Shares and Incremental Warrants</w:t>
      </w:r>
      <w:r>
        <w:rPr>
          <w:rFonts w:ascii="Times New Roman" w:cs="Times New Roman" w:eastAsia="Times New Roman" w:hAnsi="Times New Roman"/>
          <w:sz w:val="17"/>
          <w:szCs w:val="17"/>
          <w:color w:val="auto"/>
        </w:rPr>
        <w:t>. Subject to the satisfaction (or waiver) of the conditions set forth in Sections 6 and 7 below, the Company shall issue and sell to each Buyer, and each Buyer severally, but not jointly, agrees to purchase from the Company on the Closing Date (as defined below) and the Holdback Date, as the case may be, the aggregate number of Preferred Shares as is set forth opposite such Buyer’s name in column (2) on the Schedule of Buyers, along with twenty (20) Incremental Warrants, each to acquire of the number of Incremental Warrant Shares set forth opposite such Buyer’s name in column</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on the Schedule of Buyers.</w:t>
      </w:r>
    </w:p>
    <w:p>
      <w:pPr>
        <w:spacing w:after="0" w:line="187" w:lineRule="exact"/>
        <w:rPr>
          <w:rFonts w:ascii="Times New Roman" w:cs="Times New Roman" w:eastAsia="Times New Roman" w:hAnsi="Times New Roman"/>
          <w:sz w:val="17"/>
          <w:szCs w:val="17"/>
          <w:color w:val="auto"/>
        </w:rPr>
      </w:pPr>
    </w:p>
    <w:p>
      <w:pPr>
        <w:ind w:left="860" w:hanging="254"/>
        <w:spacing w:after="0"/>
        <w:tabs>
          <w:tab w:leader="none" w:pos="86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The closing (the “</w:t>
      </w:r>
      <w:r>
        <w:rPr>
          <w:rFonts w:ascii="Times New Roman" w:cs="Times New Roman" w:eastAsia="Times New Roman" w:hAnsi="Times New Roman"/>
          <w:sz w:val="17"/>
          <w:szCs w:val="17"/>
          <w:b w:val="1"/>
          <w:bCs w:val="1"/>
          <w:color w:val="auto"/>
        </w:rPr>
        <w:t>Closing</w:t>
      </w:r>
      <w:r>
        <w:rPr>
          <w:rFonts w:ascii="Times New Roman" w:cs="Times New Roman" w:eastAsia="Times New Roman" w:hAnsi="Times New Roman"/>
          <w:sz w:val="17"/>
          <w:szCs w:val="17"/>
          <w:color w:val="auto"/>
        </w:rPr>
        <w:t>”) of the purchase of the Preferred Shares and the Incremental Warrants by the Buyers shall occur at the offices of</w:t>
      </w:r>
    </w:p>
    <w:p>
      <w:pPr>
        <w:spacing w:after="0" w:line="2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Pryor Cashman LLP, 7 Times Square, 40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NY 10036. The date and time of the Closing (the “</w:t>
      </w:r>
      <w:r>
        <w:rPr>
          <w:rFonts w:ascii="Times New Roman" w:cs="Times New Roman" w:eastAsia="Times New Roman" w:hAnsi="Times New Roman"/>
          <w:sz w:val="17"/>
          <w:szCs w:val="17"/>
          <w:b w:val="1"/>
          <w:bCs w:val="1"/>
          <w:color w:val="auto"/>
        </w:rPr>
        <w:t>Closing Date</w:t>
      </w:r>
      <w:r>
        <w:rPr>
          <w:rFonts w:ascii="Times New Roman" w:cs="Times New Roman" w:eastAsia="Times New Roman" w:hAnsi="Times New Roman"/>
          <w:sz w:val="17"/>
          <w:szCs w:val="17"/>
          <w:color w:val="auto"/>
        </w:rPr>
        <w:t>”) shall be 10:00 a.m., New York time, on the first (1st) Business Day on which the conditions to the Closing set forth in Sections 6 and 7 below are satisfied or waived (or such other date as is mutually agreed to by the Company and each Buyer). As used herein “</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7" w:lineRule="exact"/>
        <w:rPr>
          <w:sz w:val="20"/>
          <w:szCs w:val="20"/>
          <w:color w:val="auto"/>
        </w:rPr>
      </w:pPr>
    </w:p>
    <w:p>
      <w:pPr>
        <w:ind w:firstLine="606"/>
        <w:spacing w:after="0" w:line="279" w:lineRule="auto"/>
        <w:tabs>
          <w:tab w:leader="none" w:pos="846"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Price</w:t>
      </w:r>
      <w:r>
        <w:rPr>
          <w:rFonts w:ascii="Times New Roman" w:cs="Times New Roman" w:eastAsia="Times New Roman" w:hAnsi="Times New Roman"/>
          <w:sz w:val="17"/>
          <w:szCs w:val="17"/>
          <w:color w:val="auto"/>
        </w:rPr>
        <w:t>. The aggregate purchase price for the Preferred Shares and the Incremental Warrants to be purchased by each Buyer (the “</w:t>
      </w:r>
      <w:r>
        <w:rPr>
          <w:rFonts w:ascii="Times New Roman" w:cs="Times New Roman" w:eastAsia="Times New Roman" w:hAnsi="Times New Roman"/>
          <w:sz w:val="17"/>
          <w:szCs w:val="17"/>
          <w:b w:val="1"/>
          <w:bCs w:val="1"/>
          <w:color w:val="auto"/>
        </w:rPr>
        <w:t>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Price</w:t>
      </w:r>
      <w:r>
        <w:rPr>
          <w:rFonts w:ascii="Times New Roman" w:cs="Times New Roman" w:eastAsia="Times New Roman" w:hAnsi="Times New Roman"/>
          <w:sz w:val="17"/>
          <w:szCs w:val="17"/>
          <w:color w:val="auto"/>
        </w:rPr>
        <w:t>”) shall be the amount set forth opposite such Buyer’s name in column (6) on the Schedule of Buyers.</w:t>
      </w:r>
    </w:p>
    <w:p>
      <w:pPr>
        <w:spacing w:after="0" w:line="154"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and Form of Payment</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00" w:firstLine="611"/>
        <w:spacing w:after="0" w:line="251" w:lineRule="auto"/>
        <w:tabs>
          <w:tab w:leader="none" w:pos="1412"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Closing Date, (i) each Buyer shall pay its respective Purchase Price (less, in the case of any Buyer, (A) the amounts withheld pursuant to Section 4(g) and (B) the stated value of the aggregate number of Preferred Shares as is set forth next to such Buyer’s name in column (4) on the Schedule of Buyers, which amount shall be funded within one (1) Business Day following the Holdback Date) to the Company for the Preferred Shares and the Incremental Warrants to be issued and sold to such Buyer at the Closing, by wire transfer of immediately available funds in accordance with the Flow of Funds Letter (as defined below) and (ii) the Company shall deliver to each Buyer (A) the aggregate number of Preferred Shares as is set forth opposite such Buyer’s name in column (3) of the Schedule of Buyers and (B) twenty (20) Incremental Warrants pursuant to each of which such Buyer shall have the right to acquire up to such aggregate number of Incremental Warrant Shares set forth opposite such Buyer’s name in column (5) on the Schedule of Buyers, duly executed on behalf of the Company and registered in the name of such Buyer or its designee.</w:t>
      </w:r>
    </w:p>
    <w:p>
      <w:pPr>
        <w:spacing w:after="0" w:line="180" w:lineRule="exact"/>
        <w:rPr>
          <w:rFonts w:ascii="Times New Roman" w:cs="Times New Roman" w:eastAsia="Times New Roman" w:hAnsi="Times New Roman"/>
          <w:sz w:val="17"/>
          <w:szCs w:val="17"/>
          <w:color w:val="auto"/>
        </w:rPr>
      </w:pPr>
    </w:p>
    <w:p>
      <w:pPr>
        <w:jc w:val="both"/>
        <w:ind w:left="600" w:firstLine="611"/>
        <w:spacing w:after="0" w:line="254" w:lineRule="auto"/>
        <w:tabs>
          <w:tab w:leader="none" w:pos="1463"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Holdback Date, (i) each Buyer shall pay its respective Purchase Price (less, in the case of any Buyer, the amounts withheld pursuant to Section 4(g)) attributable to the number of Preferred Shares set forth next to such Buyer’s name in column (4) on the Schedule of Buyers to the Company for the Preferred Shares to be issued and sold to such Buyer, by wire transfer of immediately available funds in accordance with the Flow of Funds Letter (as defined below) and (ii) the Company shall deliver to each Buyer the aggregate number of Preferred Shares as is set forth opposite such Buyer’s name in column (4) of the Schedule of Buyers.</w:t>
      </w:r>
    </w:p>
    <w:p>
      <w:pPr>
        <w:spacing w:after="0" w:line="171"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BUYER’S REPRESENTATIONS AND WARRANTIES.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Each Buyer, severally and not jointly, represents and warrants to the Company with respect to only itself that, as of the date hereof and as of the Closing Date:</w:t>
      </w:r>
    </w:p>
    <w:p>
      <w:pPr>
        <w:spacing w:after="0" w:line="219" w:lineRule="exact"/>
        <w:rPr>
          <w:sz w:val="20"/>
          <w:szCs w:val="20"/>
          <w:color w:val="auto"/>
        </w:rPr>
      </w:pPr>
    </w:p>
    <w:p>
      <w:pPr>
        <w:jc w:val="both"/>
        <w:ind w:firstLine="606"/>
        <w:spacing w:after="0" w:line="261" w:lineRule="auto"/>
        <w:tabs>
          <w:tab w:leader="none" w:pos="834"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Authority</w:t>
      </w:r>
      <w:r>
        <w:rPr>
          <w:rFonts w:ascii="Times New Roman" w:cs="Times New Roman" w:eastAsia="Times New Roman" w:hAnsi="Times New Roman"/>
          <w:sz w:val="17"/>
          <w:szCs w:val="17"/>
          <w:color w:val="auto"/>
        </w:rPr>
        <w:t>. Such Buyer is an entity duly organized, validly existing and in good standing under the laws of the jurisdiction of its organization with the requisite power and authority to enter into and to consummate the transactions contemplated by the Transaction Documents (as defined below) to which it is a party and otherwise to carry out its obligations hereunder and thereunder.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7" w:name="page98"/>
    <w:bookmarkEnd w:id="97"/>
    <w:p>
      <w:pPr>
        <w:jc w:val="both"/>
        <w:ind w:firstLine="606"/>
        <w:spacing w:after="0" w:line="250" w:lineRule="auto"/>
        <w:tabs>
          <w:tab w:leader="none" w:pos="843"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Public Sale or Distribution</w:t>
      </w:r>
      <w:r>
        <w:rPr>
          <w:rFonts w:ascii="Times New Roman" w:cs="Times New Roman" w:eastAsia="Times New Roman" w:hAnsi="Times New Roman"/>
          <w:sz w:val="17"/>
          <w:szCs w:val="17"/>
          <w:color w:val="auto"/>
        </w:rPr>
        <w:t>. Such Buyer (i) is acquiring its Preferred Shares and Incremental Warrants, (ii) upon conversion of its Preferred Shares will acquire the Conversion Shares issuable upon conversion thereof, (iii) upon exercise or cancellation of its Incremental Warrants will acquire the Incremental Warrant Shares issuable upon exercise or cancellation thereof and (iv) upon conversion of its Incremental Warrant Shares will acquire the Incremental Warrant Conversion shares issuable upon conversion thereof, in each case, for its own account and not with a view towards, or for resale in connection with, the public sale or distribution thereof in violation of applicable securities laws, except pursuant to sales registered or exempted under the 1933 Act; provided, however, by making the representations herein, such Buyer does not agree, or make any representation or warranty, to hold any of the Securities for any minimum or other specific term and reserves the right to dispose of the Securities at any time in accordance with or pursuant to a registration statement or an exemption from registration under the 1933 Act. Such Buyer does not presently have any agreement or understanding, directly or indirectly, with any Person to distribute any of the Securities in violation of applicable securities laws. For purposes of this Agreement,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a limited liability company, a partnership, a joint venture, a corporation, a trust, an unincorporated organization, any other entity and any Governmental Entity (as defined below) or any department or agency thereof.</w:t>
      </w:r>
    </w:p>
    <w:p>
      <w:pPr>
        <w:spacing w:after="0" w:line="182" w:lineRule="exact"/>
        <w:rPr>
          <w:rFonts w:ascii="Times New Roman" w:cs="Times New Roman" w:eastAsia="Times New Roman" w:hAnsi="Times New Roman"/>
          <w:sz w:val="17"/>
          <w:szCs w:val="17"/>
          <w:color w:val="auto"/>
        </w:rPr>
      </w:pPr>
    </w:p>
    <w:p>
      <w:pPr>
        <w:jc w:val="both"/>
        <w:ind w:firstLine="606"/>
        <w:spacing w:after="0" w:line="252" w:lineRule="auto"/>
        <w:tabs>
          <w:tab w:leader="none" w:pos="834"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Accredited Investor Status; No Disqualifying Events</w:t>
      </w:r>
      <w:r>
        <w:rPr>
          <w:rFonts w:ascii="Times New Roman" w:cs="Times New Roman" w:eastAsia="Times New Roman" w:hAnsi="Times New Roman"/>
          <w:sz w:val="17"/>
          <w:szCs w:val="17"/>
          <w:color w:val="auto"/>
        </w:rPr>
        <w:t>. Such Buyer is an “accredited investor” as that term is defined in Rule 501(a) of Regulation D. To the extent such Buyer is a beneficial owner of 10% or more of Company Common Stock as of the date hereof or as of the Closing Date, none of (i) such Buyer, (ii) any of such Buyer’s directors, executive officers, other officers that may serve as a director or officer of any company in which it invests, general partners or managing members, or (iii) any beneficial owner of the Company’s voting equity securities (in accordance with Rule 506(d) of the 1933 Act) held by such Buyer is subject to any of the “Bad Actor” disqualifications described in Rule 506(d)(1)(i) to (viii) under the 1933 Act (a “</w:t>
      </w:r>
      <w:r>
        <w:rPr>
          <w:rFonts w:ascii="Times New Roman" w:cs="Times New Roman" w:eastAsia="Times New Roman" w:hAnsi="Times New Roman"/>
          <w:sz w:val="17"/>
          <w:szCs w:val="17"/>
          <w:b w:val="1"/>
          <w:bCs w:val="1"/>
          <w:color w:val="auto"/>
        </w:rPr>
        <w:t>Disqualification Event</w:t>
      </w:r>
      <w:r>
        <w:rPr>
          <w:rFonts w:ascii="Times New Roman" w:cs="Times New Roman" w:eastAsia="Times New Roman" w:hAnsi="Times New Roman"/>
          <w:sz w:val="17"/>
          <w:szCs w:val="17"/>
          <w:color w:val="auto"/>
        </w:rPr>
        <w:t>”), except for a Disqualification Event covered by Rule 506(d)(2) or (d)(3)except for Disqualification Events covered by Rule 506(d)(2) or (d)(3) under the 1933 Act and disclosed reasonably in advance of the Closing in writing in reasonable detail to the Company.</w:t>
      </w:r>
    </w:p>
    <w:p>
      <w:pPr>
        <w:spacing w:after="0" w:line="177" w:lineRule="exact"/>
        <w:rPr>
          <w:rFonts w:ascii="Times New Roman" w:cs="Times New Roman" w:eastAsia="Times New Roman" w:hAnsi="Times New Roman"/>
          <w:sz w:val="17"/>
          <w:szCs w:val="17"/>
          <w:color w:val="auto"/>
        </w:rPr>
      </w:pPr>
    </w:p>
    <w:p>
      <w:pPr>
        <w:jc w:val="both"/>
        <w:ind w:firstLine="606"/>
        <w:spacing w:after="0" w:line="256" w:lineRule="auto"/>
        <w:tabs>
          <w:tab w:leader="none" w:pos="86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Reliance on Exemptions</w:t>
      </w:r>
      <w:r>
        <w:rPr>
          <w:rFonts w:ascii="Times New Roman" w:cs="Times New Roman" w:eastAsia="Times New Roman" w:hAnsi="Times New Roman"/>
          <w:sz w:val="17"/>
          <w:szCs w:val="17"/>
          <w:color w:val="auto"/>
        </w:rPr>
        <w:t>. Such Buyer understands that the Securities are being offered and sold to it in reliance on specific exemptions from the registration requirements of United States federal and state securities laws and that the Company is relying in part upon the truth and accuracy of, and such Buyer’s compliance with, the representations, warranties, agreements, acknowledgments and understandings of such Buyer set forth herein in order to determine the availability of such exemptions and the eligibility of such Buyer to acquire the Securities.</w:t>
      </w:r>
    </w:p>
    <w:p>
      <w:pPr>
        <w:spacing w:after="0" w:line="174" w:lineRule="exact"/>
        <w:rPr>
          <w:rFonts w:ascii="Times New Roman" w:cs="Times New Roman" w:eastAsia="Times New Roman" w:hAnsi="Times New Roman"/>
          <w:sz w:val="17"/>
          <w:szCs w:val="17"/>
          <w:color w:val="auto"/>
        </w:rPr>
      </w:pPr>
    </w:p>
    <w:p>
      <w:pPr>
        <w:jc w:val="both"/>
        <w:ind w:firstLine="606"/>
        <w:spacing w:after="0" w:line="250" w:lineRule="auto"/>
        <w:tabs>
          <w:tab w:leader="none" w:pos="834"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Such Buyer and its advisors, if any, have been furnished with all materials relating to the business, finances and operations of the Company and materials relating to the offer and sale of the Securities that have been requested by such Buyer. Such Buyer and its advisors, if any, have been afforded the opportunity to ask questions of the Company. Neither such inquiries nor any other due diligence investigations conducted by such Buyer or its advisors, if any, or its representatives shall modify, amend or affect such Buyer’s right to rely on the Company’s representations and warranties contained herein. Such Buyer understands that its investment in the Securities involves a high degree of risk. Such Buyer has sought such accounting, legal and tax advice as it has considered necessary to make an informed investment decision with respect to its acquisition of the Securities. Such Buyer has determined based on its own independent review and such professional advice as it deems appropriate that its purchase of the Securities and participation in the transactions contemplated by this Agreement (i) are fully consistent with its financial needs, objectives and condition, (ii) comply and are fully consistent with all investment policies, guidelines and other restrictions applicable to it, (iii) have been duly authorized and approved by all necessary action, (iv) do not and will not violate or constitute a default under its charter, by-laws or other constituent document or under any law, rule, regulation, agreement or other obligation by which it is bound and (v) are a fit, proper and suitable investment for such Buyer, notwithstanding the substantial risks inherent in investing in or holding the Securities.</w:t>
      </w:r>
    </w:p>
    <w:p>
      <w:pPr>
        <w:spacing w:after="0" w:line="180" w:lineRule="exact"/>
        <w:rPr>
          <w:rFonts w:ascii="Times New Roman" w:cs="Times New Roman" w:eastAsia="Times New Roman" w:hAnsi="Times New Roman"/>
          <w:sz w:val="17"/>
          <w:szCs w:val="17"/>
          <w:color w:val="auto"/>
        </w:rPr>
      </w:pPr>
    </w:p>
    <w:p>
      <w:pPr>
        <w:jc w:val="both"/>
        <w:ind w:firstLine="606"/>
        <w:spacing w:after="0" w:line="261" w:lineRule="auto"/>
        <w:tabs>
          <w:tab w:leader="none" w:pos="82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Governmental Review</w:t>
      </w:r>
      <w:r>
        <w:rPr>
          <w:rFonts w:ascii="Times New Roman" w:cs="Times New Roman" w:eastAsia="Times New Roman" w:hAnsi="Times New Roman"/>
          <w:sz w:val="17"/>
          <w:szCs w:val="17"/>
          <w:color w:val="auto"/>
        </w:rPr>
        <w:t>. Such Buyer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98" w:name="page99"/>
    <w:bookmarkEnd w:id="98"/>
    <w:p>
      <w:pPr>
        <w:jc w:val="both"/>
        <w:ind w:firstLine="606"/>
        <w:spacing w:after="0" w:line="249" w:lineRule="auto"/>
        <w:tabs>
          <w:tab w:leader="none" w:pos="843"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or Resale</w:t>
      </w:r>
      <w:r>
        <w:rPr>
          <w:rFonts w:ascii="Times New Roman" w:cs="Times New Roman" w:eastAsia="Times New Roman" w:hAnsi="Times New Roman"/>
          <w:sz w:val="17"/>
          <w:szCs w:val="17"/>
          <w:color w:val="auto"/>
        </w:rPr>
        <w:t>. Such Buyer understands that except as provided in the Registration Rights Agreement and Section 4(h) hereof: (i) the Securities have not been and are not being registered under the 1933 Act or any state securities laws, and may not be offered for sale, sold, assigned or transferred unless (A) subsequently registered thereunder, (B) such Buyer shall have delivered to the Company (if requested by the Company) an opinion of counsel, in a form reasonably acceptable to the Company, to the effect that such Securities to be sold, assigned or transferred may be sold, assigned or transferred pursuant to an exemption from such registration, or (C) such Buyer provides the Company with reasonable assurance that such Securities can be sold, assigned or transferred pursuant to Rule 144 or Rule 144A promulgated under the 1933 Act (or a successor rule thereto) (collectively, “</w:t>
      </w:r>
      <w:r>
        <w:rPr>
          <w:rFonts w:ascii="Times New Roman" w:cs="Times New Roman" w:eastAsia="Times New Roman" w:hAnsi="Times New Roman"/>
          <w:sz w:val="17"/>
          <w:szCs w:val="17"/>
          <w:b w:val="1"/>
          <w:bCs w:val="1"/>
          <w:color w:val="auto"/>
        </w:rPr>
        <w:t>Rule 144</w:t>
      </w:r>
      <w:r>
        <w:rPr>
          <w:rFonts w:ascii="Times New Roman" w:cs="Times New Roman" w:eastAsia="Times New Roman" w:hAnsi="Times New Roman"/>
          <w:sz w:val="17"/>
          <w:szCs w:val="17"/>
          <w:color w:val="auto"/>
        </w:rPr>
        <w:t>”);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1933 Act) may require compliance with some other exemption under the 1933 Act or the rules and regulations of the SEC promulgated thereunder; and (iii) neither the Company nor any other Person is under any obligation to register the Securities under the 1933 Act or any state securities laws or to comply with the terms and conditions of any exemption thereunder. Notwithstanding the foregoing, the Securities may be pledged in connection with a bona fide margin account or other loan or financing arrangement secured by the Securities and such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including, without limitation, this Section 2(g).</w:t>
      </w:r>
    </w:p>
    <w:p>
      <w:pPr>
        <w:spacing w:after="0" w:line="186" w:lineRule="exact"/>
        <w:rPr>
          <w:rFonts w:ascii="Times New Roman" w:cs="Times New Roman" w:eastAsia="Times New Roman" w:hAnsi="Times New Roman"/>
          <w:sz w:val="17"/>
          <w:szCs w:val="17"/>
          <w:color w:val="auto"/>
        </w:rPr>
      </w:pPr>
    </w:p>
    <w:p>
      <w:pPr>
        <w:jc w:val="both"/>
        <w:ind w:firstLine="606"/>
        <w:spacing w:after="0" w:line="256" w:lineRule="auto"/>
        <w:tabs>
          <w:tab w:leader="none" w:pos="843"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Validity; Enforcement</w:t>
      </w:r>
      <w:r>
        <w:rPr>
          <w:rFonts w:ascii="Times New Roman" w:cs="Times New Roman" w:eastAsia="Times New Roman" w:hAnsi="Times New Roman"/>
          <w:sz w:val="17"/>
          <w:szCs w:val="17"/>
          <w:color w:val="auto"/>
        </w:rPr>
        <w:t>. This Agreement and the Registration Rights Agreement have been duly and validly authorized, executed and delivered on behalf of such Buyer and shall constitute the legal, valid and binding obligations of such Buyer enforceable against such Buyer in accordance with their respective terms, except as such enforceability may be limited by general principles of equity or to applicable bankruptcy, insolvency, reorganization, moratorium, liquidation and other similar laws relating to, or affecting generally, the enforcement of applicable creditors’ rights and remedies.</w:t>
      </w:r>
    </w:p>
    <w:p>
      <w:pPr>
        <w:spacing w:after="0" w:line="174" w:lineRule="exact"/>
        <w:rPr>
          <w:rFonts w:ascii="Times New Roman" w:cs="Times New Roman" w:eastAsia="Times New Roman" w:hAnsi="Times New Roman"/>
          <w:sz w:val="17"/>
          <w:szCs w:val="17"/>
          <w:color w:val="auto"/>
        </w:rPr>
      </w:pPr>
    </w:p>
    <w:p>
      <w:pPr>
        <w:jc w:val="both"/>
        <w:ind w:firstLine="606"/>
        <w:spacing w:after="0" w:line="252" w:lineRule="auto"/>
        <w:tabs>
          <w:tab w:leader="none" w:pos="80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by such Buyer of this Agreement and the Registration Rights Agreement and the consummation by such Buyer of the transactions contemplated hereby and thereby will not (i) result in a violation of the organizational documents of such Buyer, or (ii) conflict with, or constitute a default (or an event which with notice or lapse of time or both would become a default) under, or give to others any rights of termination, amendment, acceleration or cancellation of, any agreement, indenture or instrument to which such Buyer is a party, or (iii) result in a violation of any law, rule, regulation, order, judgment or decree (including federal and state securities laws) applicable to such Buyer, except in the case of clauses (ii) and (iii) above, for such conflicts, defaults, rights or violations which could not, individually or in the aggregate, reasonably be expected to have a material adverse effect on the ability of such Buyer to perform its obligations hereunder.</w:t>
      </w:r>
    </w:p>
    <w:p>
      <w:pPr>
        <w:spacing w:after="0" w:line="177" w:lineRule="exact"/>
        <w:rPr>
          <w:rFonts w:ascii="Times New Roman" w:cs="Times New Roman" w:eastAsia="Times New Roman" w:hAnsi="Times New Roman"/>
          <w:sz w:val="17"/>
          <w:szCs w:val="17"/>
          <w:color w:val="auto"/>
        </w:rPr>
      </w:pPr>
    </w:p>
    <w:p>
      <w:pPr>
        <w:ind w:left="800" w:hanging="194"/>
        <w:spacing w:after="0"/>
        <w:tabs>
          <w:tab w:leader="none" w:pos="80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Residency</w:t>
      </w:r>
      <w:r>
        <w:rPr>
          <w:rFonts w:ascii="Times New Roman" w:cs="Times New Roman" w:eastAsia="Times New Roman" w:hAnsi="Times New Roman"/>
          <w:sz w:val="17"/>
          <w:szCs w:val="17"/>
          <w:color w:val="auto"/>
        </w:rPr>
        <w:t>. Such Buyer is a resident of that jurisdiction specified below as its address on the Schedule of Buyers.</w:t>
      </w:r>
    </w:p>
    <w:p>
      <w:pPr>
        <w:spacing w:after="0" w:line="207" w:lineRule="exact"/>
        <w:rPr>
          <w:rFonts w:ascii="Times New Roman" w:cs="Times New Roman" w:eastAsia="Times New Roman" w:hAnsi="Times New Roman"/>
          <w:sz w:val="17"/>
          <w:szCs w:val="17"/>
          <w:color w:val="auto"/>
        </w:rPr>
      </w:pPr>
    </w:p>
    <w:p>
      <w:pPr>
        <w:jc w:val="both"/>
        <w:ind w:firstLine="606"/>
        <w:spacing w:after="0" w:line="249" w:lineRule="auto"/>
        <w:tabs>
          <w:tab w:leader="none" w:pos="843"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Short Sales</w:t>
      </w:r>
      <w:r>
        <w:rPr>
          <w:rFonts w:ascii="Times New Roman" w:cs="Times New Roman" w:eastAsia="Times New Roman" w:hAnsi="Times New Roman"/>
          <w:sz w:val="17"/>
          <w:szCs w:val="17"/>
          <w:color w:val="auto"/>
        </w:rPr>
        <w:t>. Each Buyer hereby agrees solely with the Company, severally and not jointly, and not with any other Buyer, for so long as such Buyer owns any Preferred Shares, Incremental Warrants or Incremental Warrant Shares, such Buyer shall not maintain a Net Short Position (as defined below). For purposes hereof, a “</w:t>
      </w:r>
      <w:r>
        <w:rPr>
          <w:rFonts w:ascii="Times New Roman" w:cs="Times New Roman" w:eastAsia="Times New Roman" w:hAnsi="Times New Roman"/>
          <w:sz w:val="17"/>
          <w:szCs w:val="17"/>
          <w:b w:val="1"/>
          <w:bCs w:val="1"/>
          <w:color w:val="auto"/>
        </w:rPr>
        <w:t>Net Short Position</w:t>
      </w:r>
      <w:r>
        <w:rPr>
          <w:rFonts w:ascii="Times New Roman" w:cs="Times New Roman" w:eastAsia="Times New Roman" w:hAnsi="Times New Roman"/>
          <w:sz w:val="17"/>
          <w:szCs w:val="17"/>
          <w:color w:val="auto"/>
        </w:rPr>
        <w:t>” by a person means a position whereby such person has executed one or more sales of Common Stock that is marked as a short sale (but not including any sale marked “short exempt”) and that is executed at a time when such Buyer has no equivalent offsetting long position in the Common Stock (or is deemed to have a long position hereunder or otherwise in accordance with Regulation SHO of the 1934 Act); provided, that, for purposes of such calculations, any short sales either (x) consummated at a price greater than or equal to the Conversion Price (as defined in the Certificate of Designations), (y) that is a result of a bona-fide trading error on behalf of such Buyer (or its affiliates) or (z) that would otherwise be marked as a “long” sale, but for the occurrence of a Conversion Failure (as defined in the Certificate of Designations), an Equity Conditions Failure (as defined in the Certificate of Designations) or any other breach by the Company (or its affiliates or agents, including, without limitation, the Transfer Agent (as defined below)) of any Transaction Document, in each case, shall be excluded from such calculations. For purposes of determining whether a Buyer has an equivalent offsetting “long” position in the Common Stock, (A) all Common Stock that is owned by such Buyer shall be deemed held “long” by such Buyer, (B) at any time a Conversion Notice (as defined in the Certificate of Designations) is delivered by such Buyer to the Company, any shares of Common Stock issued or issuable to such Buyer (or its designee, if applicable) in connection therewith shall be deemed held “long” by such Buyer from and after the date of such Conversion Notice until such time as such Buyer shall no longer beneficially own such shares of Common Stock, and (C) at any other time the Company is required (or has elected (or is deemed to have elected)) to issue shares of Common Stock to such Buyer pursuant to the terms of the Certificate of Designations, any shares of Common Stock issued or issuable to such Buyer (or its designee, if applicable) in connection therewith shall be deemed held “long” by such Buyer from and after the deadline the Company is required to deliver such applicable shares of Common Stock pursuant to such Conversion Notice, until such time as such Buyer shall no longer beneficially own such shares of Common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color w:val="auto"/>
        </w:rPr>
        <w:t>3. REPRESENTATIONS AND WARRANTIES OF THE COMPANY.</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represents and warrants to each of the Buyers that, as of the date hereof and as of the Closing Date:</w:t>
      </w:r>
    </w:p>
    <w:p>
      <w:pPr>
        <w:spacing w:after="0" w:line="208" w:lineRule="exact"/>
        <w:rPr>
          <w:sz w:val="20"/>
          <w:szCs w:val="20"/>
          <w:color w:val="auto"/>
        </w:rPr>
      </w:pPr>
    </w:p>
    <w:p>
      <w:pPr>
        <w:jc w:val="both"/>
        <w:ind w:firstLine="606"/>
        <w:spacing w:after="0" w:line="250" w:lineRule="auto"/>
        <w:tabs>
          <w:tab w:leader="none" w:pos="834"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and Qualification</w:t>
      </w:r>
      <w:r>
        <w:rPr>
          <w:rFonts w:ascii="Times New Roman" w:cs="Times New Roman" w:eastAsia="Times New Roman" w:hAnsi="Times New Roman"/>
          <w:sz w:val="17"/>
          <w:szCs w:val="17"/>
          <w:color w:val="auto"/>
        </w:rPr>
        <w:t>. Each of the Company and each of its Subsidiaries are entities duly organized and validly existing and in good standing under the laws of the jurisdiction in which they are formed, and have the requisite power and authority to own their properties and to carry on their business as now being conducted and as presently proposed to be conducted. Each of the Company and each of its Subsidiaries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reasonably be expected to have a Material Adverse Effect (as defined below). As used in this Agreement, “</w:t>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xml:space="preserve">” means any material adverse effect on (i) the business, properties, assets, liabilities, operations (including results thereof) or condition (financial or otherwise) of the Company or its Subsidiary,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material obligations under any of the Transaction Documents. Other than the Persons (as defined below) set forth on </w:t>
      </w:r>
      <w:r>
        <w:rPr>
          <w:rFonts w:ascii="Times New Roman" w:cs="Times New Roman" w:eastAsia="Times New Roman" w:hAnsi="Times New Roman"/>
          <w:sz w:val="17"/>
          <w:szCs w:val="17"/>
          <w:u w:val="single" w:color="auto"/>
          <w:color w:val="auto"/>
        </w:rPr>
        <w:t>Schedule 3(a)</w:t>
      </w:r>
      <w:r>
        <w:rPr>
          <w:rFonts w:ascii="Times New Roman" w:cs="Times New Roman" w:eastAsia="Times New Roman" w:hAnsi="Times New Roman"/>
          <w:sz w:val="17"/>
          <w:szCs w:val="17"/>
          <w:color w:val="auto"/>
        </w:rPr>
        <w:t>, the Company has no Subsidiaries. “</w:t>
      </w:r>
      <w:r>
        <w:rPr>
          <w:rFonts w:ascii="Times New Roman" w:cs="Times New Roman" w:eastAsia="Times New Roman" w:hAnsi="Times New Roman"/>
          <w:sz w:val="17"/>
          <w:szCs w:val="17"/>
          <w:b w:val="1"/>
          <w:bCs w:val="1"/>
          <w:color w:val="auto"/>
        </w:rPr>
        <w:t>Subsidiaries</w:t>
      </w:r>
      <w:r>
        <w:rPr>
          <w:rFonts w:ascii="Times New Roman" w:cs="Times New Roman" w:eastAsia="Times New Roman" w:hAnsi="Times New Roman"/>
          <w:sz w:val="17"/>
          <w:szCs w:val="17"/>
          <w:color w:val="auto"/>
        </w:rPr>
        <w:t>” means any Person in which the Company, directly or indirectly, (I) owns any of the outstanding capital stock or holds any equity or similar interest of such Person or (II) controls or operates all or any part of the business, operations or administration of such Person, and each of the foregoing, is individually referred to herein as a “</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w:t>
      </w:r>
    </w:p>
    <w:p>
      <w:pPr>
        <w:spacing w:after="0" w:line="178" w:lineRule="exact"/>
        <w:rPr>
          <w:rFonts w:ascii="Times New Roman" w:cs="Times New Roman" w:eastAsia="Times New Roman" w:hAnsi="Times New Roman"/>
          <w:sz w:val="17"/>
          <w:szCs w:val="17"/>
          <w:color w:val="auto"/>
        </w:rPr>
      </w:pPr>
    </w:p>
    <w:p>
      <w:pPr>
        <w:jc w:val="both"/>
        <w:ind w:firstLine="606"/>
        <w:spacing w:after="0" w:line="249" w:lineRule="auto"/>
        <w:tabs>
          <w:tab w:leader="none" w:pos="843"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Enforcement; Validity</w:t>
      </w:r>
      <w:r>
        <w:rPr>
          <w:rFonts w:ascii="Times New Roman" w:cs="Times New Roman" w:eastAsia="Times New Roman" w:hAnsi="Times New Roman"/>
          <w:sz w:val="17"/>
          <w:szCs w:val="17"/>
          <w:color w:val="auto"/>
        </w:rPr>
        <w:t>. The Company has the requisite power and authority to enter into and perform its obligations under this Agreement and the other Transaction Documents and to issue the Securities in accordance with the terms hereof and thereof. The execution and delivery of this Agreement and the other Transaction Documents by the Company, and the consummation by the Company of the transactions contemplated hereby and thereby (including, without limitation, the issuance of the Preferred Shares and the reservation for issuance and issuance of the Conversion Shares issuable upon conversion of the Preferred Shares and the issuance of the Incremental Warrants and the reservation for issuance and issuance of the Incremental Warrant Shares issuable upon exercise or cancellation of the Incremental Warrants) have been duly authorized by the Company’s board of directors or other governing body, as applicable, and (other than the filing with the SEC of one or more Registration Statements (as defined in the Registration Rights Agreement) in accordance with the requirements of the Registration Rights Agreement, a Form D with the SEC and any other filings as may be required by any state securities agencies) no further filing, consent or authorization is required by the Company, its Subsidiaries, their respective boards of directors or their stockholders or other governing body. This Agreement has been, and the other Transaction Documents to which it is a party will be prior to the Closing, duly executed and delivered by the Company, and each constitutes the legal, valid and binding obligations of the Company, enforceable against the Company in accordance with its respective terms, except as such enforceability may be limited by general principles of equity or applicable bankruptcy, insolvency, reorganization, moratorium, liquidation or similar laws relating to, or affecting generally, the enforcement of applicable creditors’ rights and remedies and except as rights to indemnification and to contribution may be limited by federal or state securities law. The Certificate of Designations in the form attached hereto as Exhibit A has been filed with the Secretary of State of the State of Nevada and is in full force and effect, enforceable against the Company in accordance with its terms and has not have been amended. “</w:t>
      </w:r>
      <w:r>
        <w:rPr>
          <w:rFonts w:ascii="Times New Roman" w:cs="Times New Roman" w:eastAsia="Times New Roman" w:hAnsi="Times New Roman"/>
          <w:sz w:val="17"/>
          <w:szCs w:val="17"/>
          <w:b w:val="1"/>
          <w:bCs w:val="1"/>
          <w:color w:val="auto"/>
        </w:rPr>
        <w:t>Transaction Documents</w:t>
      </w:r>
      <w:r>
        <w:rPr>
          <w:rFonts w:ascii="Times New Roman" w:cs="Times New Roman" w:eastAsia="Times New Roman" w:hAnsi="Times New Roman"/>
          <w:sz w:val="17"/>
          <w:szCs w:val="17"/>
          <w:color w:val="auto"/>
        </w:rPr>
        <w:t>” means, collectively, this Agreement, the Preferred Shares, the Incremental Warrants, the Certificate of Designations, the Registration Rights Agreement, the Irrevocable Transfer Agent Instructions (as defined below) and each of the other agreements and instruments entered into or delivered by any of the parties hereto in connection with the transactions contemplated hereby and thereby, as may be amended from time to time.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0" w:name="page101"/>
    <w:bookmarkEnd w:id="100"/>
    <w:p>
      <w:pPr>
        <w:jc w:val="both"/>
        <w:ind w:firstLine="606"/>
        <w:spacing w:after="0" w:line="266" w:lineRule="auto"/>
        <w:tabs>
          <w:tab w:leader="none" w:pos="83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Issuance of Securities</w:t>
      </w:r>
      <w:r>
        <w:rPr>
          <w:rFonts w:ascii="Times New Roman" w:cs="Times New Roman" w:eastAsia="Times New Roman" w:hAnsi="Times New Roman"/>
          <w:sz w:val="16"/>
          <w:szCs w:val="16"/>
          <w:color w:val="auto"/>
        </w:rPr>
        <w:t>. The issuance of the Preferred Shares and the Incremental Warrants are duly authorized and upon issuance in accordance with the terms of the Transaction Documents shall be validly issued, fully paid and non-assessable and free from all preemptive or similar rights, mortgages, defects, claims, liens, pledges, charges, taxes, rights of first refusal, encumbrances, security interests and other encumbrances (collectively “</w:t>
      </w:r>
      <w:r>
        <w:rPr>
          <w:rFonts w:ascii="Times New Roman" w:cs="Times New Roman" w:eastAsia="Times New Roman" w:hAnsi="Times New Roman"/>
          <w:sz w:val="16"/>
          <w:szCs w:val="16"/>
          <w:b w:val="1"/>
          <w:bCs w:val="1"/>
          <w:color w:val="auto"/>
        </w:rPr>
        <w:t>Liens</w:t>
      </w:r>
      <w:r>
        <w:rPr>
          <w:rFonts w:ascii="Times New Roman" w:cs="Times New Roman" w:eastAsia="Times New Roman" w:hAnsi="Times New Roman"/>
          <w:sz w:val="16"/>
          <w:szCs w:val="16"/>
          <w:color w:val="auto"/>
        </w:rPr>
        <w:t>”) with respect to the issuance thereof. As of the Closing, the Company shall have reserved from its duly authorized capital stock not less than 100% of the sum of (i) the maximum number of Conversion Shares issuable upon conversion of the Preferred Shares (assuming for purposes hereof that (x) the Preferred Shares are convertible at the Floor Price (as defined in the Certificate of Designations) then in effect as of the date hereof and (y) any such conversion shall not take into account any limitations on the conversion of the Series A Preferred Stock set forth in the Certificate of Designations) and (ii) the maximum number of Incremental Warrant Conversion Shares issuable upon conversion of the maximum number of Incremental Warrant Shares (assuming for purposes hereof that (x) the Incremental Warrant Conversion Shares are convertible at the Floor Price (as defined in the Certificate of Designations) then in effect and (y) any such conversion shall not take into account any limitations on the conversion of the Incremental Warrant Conversion Shares set forth in the Certificate of Designations) initially issuable upon exercise or cancellation of the Incremental Warrants (without taking into account any limitations on the exercise of the Incremental Warrants set forth therein). Upon issuance or conversion in accordance with the Certificate of Designations or exercise or cancellation in accordance with the Incremental Warrants, the Conversion Shares and the Incremental Warrant Conversion Shares, respectively, when issued, will be validly issued, fully paid and nonassessable and free from all preemptive or similar rights or Liens with respect to the issue thereof, with the holders being entitled to all rights accorded to a holder of Common Stock. Subject to the accuracy of the representations and warranties of the Buyers in this Agreement, the offer and issuance by the Company of the Securities is exempt from registration under the 1933 Act.</w:t>
      </w:r>
    </w:p>
    <w:p>
      <w:pPr>
        <w:spacing w:after="0" w:line="168" w:lineRule="exact"/>
        <w:rPr>
          <w:rFonts w:ascii="Times New Roman" w:cs="Times New Roman" w:eastAsia="Times New Roman" w:hAnsi="Times New Roman"/>
          <w:sz w:val="16"/>
          <w:szCs w:val="16"/>
          <w:color w:val="auto"/>
        </w:rPr>
      </w:pPr>
    </w:p>
    <w:p>
      <w:pPr>
        <w:jc w:val="both"/>
        <w:ind w:firstLine="606"/>
        <w:spacing w:after="0" w:line="249" w:lineRule="auto"/>
        <w:tabs>
          <w:tab w:leader="none" w:pos="856"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xml:space="preserve">. The execution, delivery and performance of the Transaction Documents by the Company and the consummation by the Company of the transactions contemplated hereby and thereby (including, without limitation, the issuance of the Preferred Shares, the Incremental Warrants, the Conversion Shares, the Incremental Warrant Shares and the Incremental Warrant Conversion Shares and the reservation for issuance of the Conversion Shares and the Incremental Warrant Conversion Shares) will not (i) result in a violation of the Certificate of Incorporation (as defined below) (including, without limitation, any certificate of designation contained therein), Bylaws (as defined below), certificate of formation, memorandum of association, articles of association, bylaws or other organizational documents of the Company or any of its Subsidiaries, or any capital stock or other securities of the Company or any of its Subsidiaries, (ii) except as set forth in </w:t>
      </w:r>
      <w:r>
        <w:rPr>
          <w:rFonts w:ascii="Times New Roman" w:cs="Times New Roman" w:eastAsia="Times New Roman" w:hAnsi="Times New Roman"/>
          <w:sz w:val="17"/>
          <w:szCs w:val="17"/>
          <w:u w:val="single" w:color="auto"/>
          <w:color w:val="auto"/>
        </w:rPr>
        <w:t>Schedule 3(d)</w:t>
      </w:r>
      <w:r>
        <w:rPr>
          <w:rFonts w:ascii="Times New Roman" w:cs="Times New Roman" w:eastAsia="Times New Roman" w:hAnsi="Times New Roman"/>
          <w:sz w:val="17"/>
          <w:szCs w:val="17"/>
          <w:color w:val="auto"/>
        </w:rPr>
        <w:t xml:space="preserve">, conflict with, or constitute a default (or an event which with notice or lapse of time or both would become a default) in any respect under, or give to others any rights of termination, amendment, acceleration or cancellation of, any agreement, indenture or instrument to which the Company or any of its Subsidiaries is a party, or (iii) result in a violation of any law, rule, regulation, order, judgment or decree (including, without limitation, foreign, federal and state securities laws and regulations and the rules and regulations of the Nasdaq Capital Market (the </w:t>
      </w:r>
      <w:r>
        <w:rPr>
          <w:rFonts w:ascii="Times New Roman" w:cs="Times New Roman" w:eastAsia="Times New Roman" w:hAnsi="Times New Roman"/>
          <w:sz w:val="17"/>
          <w:szCs w:val="17"/>
          <w:b w:val="1"/>
          <w:bCs w:val="1"/>
          <w:color w:val="auto"/>
        </w:rPr>
        <w:t>“Principal Market</w:t>
      </w:r>
      <w:r>
        <w:rPr>
          <w:rFonts w:ascii="Times New Roman" w:cs="Times New Roman" w:eastAsia="Times New Roman" w:hAnsi="Times New Roman"/>
          <w:sz w:val="17"/>
          <w:szCs w:val="17"/>
          <w:color w:val="auto"/>
        </w:rPr>
        <w:t>”) and including all applicable foreign, federal and state laws, rules and regulations) applicable to the Company or any of its Subsidiaries or by which any property or asset of the Company or any of its Subsidiaries is bound or affected, except in the case of clauses (ii) and (iii) above, for such conflicts, defaults, rights or violations which could not, individually or in the aggregate, reasonably be expected to have a material adverse effect on the ability of the Company to perform its obligations hereunder.</w:t>
      </w:r>
    </w:p>
    <w:p>
      <w:pPr>
        <w:spacing w:after="0" w:line="187" w:lineRule="exact"/>
        <w:rPr>
          <w:rFonts w:ascii="Times New Roman" w:cs="Times New Roman" w:eastAsia="Times New Roman" w:hAnsi="Times New Roman"/>
          <w:sz w:val="17"/>
          <w:szCs w:val="17"/>
          <w:color w:val="auto"/>
        </w:rPr>
      </w:pPr>
    </w:p>
    <w:p>
      <w:pPr>
        <w:jc w:val="both"/>
        <w:ind w:firstLine="606"/>
        <w:spacing w:after="0" w:line="249" w:lineRule="auto"/>
        <w:tabs>
          <w:tab w:leader="none" w:pos="846"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Consents</w:t>
      </w:r>
      <w:r>
        <w:rPr>
          <w:rFonts w:ascii="Times New Roman" w:cs="Times New Roman" w:eastAsia="Times New Roman" w:hAnsi="Times New Roman"/>
          <w:sz w:val="17"/>
          <w:szCs w:val="17"/>
          <w:color w:val="auto"/>
        </w:rPr>
        <w:t xml:space="preserve">. Neither the Company nor any Subsidiary is required to obtain any consent from, authorization or order of, or make any filing or registration with (other than the filing with the SEC of one or more Registration Statements in accordance with the requirements of the Registration Rights Agreement, a Form D with the SEC and any other filings as may be required by any state securities agencies), any Governmental Entity (as defined below) or any regulatory or self-regulatory agency or, except as set forth on </w:t>
      </w:r>
      <w:r>
        <w:rPr>
          <w:rFonts w:ascii="Times New Roman" w:cs="Times New Roman" w:eastAsia="Times New Roman" w:hAnsi="Times New Roman"/>
          <w:sz w:val="17"/>
          <w:szCs w:val="17"/>
          <w:u w:val="single" w:color="auto"/>
          <w:color w:val="auto"/>
        </w:rPr>
        <w:t>Schedule 3(e)</w:t>
      </w:r>
      <w:r>
        <w:rPr>
          <w:rFonts w:ascii="Times New Roman" w:cs="Times New Roman" w:eastAsia="Times New Roman" w:hAnsi="Times New Roman"/>
          <w:sz w:val="17"/>
          <w:szCs w:val="17"/>
          <w:color w:val="auto"/>
        </w:rPr>
        <w:t>, any other Person in order for it to execute, deliver or perform any of its respective obligations under or contemplated by the Transaction Documents, in each case, in accordance with the terms hereof or thereof. All consents, authorizations, orders, filings and registrations which the Company or any Subsidiary is required to obtain pursuant to the preceding sentence have been or will be obtained or effected on or prior to the Closing Date, and neither the Company nor any of its Subsidiaries are aware of any facts or circumstances which might prevent the Company or any of its Subsidiaries from obtaining or effecting any of the registration, application or filings contemplated by the Transaction Documents. Except as set forth the SEC Documents, the Company is not in violation of the requirements of the Principal Market and has no knowledge of any facts or circumstances which could reasonably lead to delisting or suspension of the Common Stock in the foreseeable future. “</w:t>
      </w:r>
      <w:r>
        <w:rPr>
          <w:rFonts w:ascii="Times New Roman" w:cs="Times New Roman" w:eastAsia="Times New Roman" w:hAnsi="Times New Roman"/>
          <w:sz w:val="17"/>
          <w:szCs w:val="17"/>
          <w:b w:val="1"/>
          <w:bCs w:val="1"/>
          <w:color w:val="auto"/>
        </w:rPr>
        <w:t>Governmental Entity</w:t>
      </w:r>
      <w:r>
        <w:rPr>
          <w:rFonts w:ascii="Times New Roman" w:cs="Times New Roman" w:eastAsia="Times New Roman" w:hAnsi="Times New Roman"/>
          <w:sz w:val="17"/>
          <w:szCs w:val="17"/>
          <w:color w:val="auto"/>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1" w:name="page102"/>
    <w:bookmarkEnd w:id="101"/>
    <w:p>
      <w:pPr>
        <w:jc w:val="both"/>
        <w:ind w:firstLine="606"/>
        <w:spacing w:after="0" w:line="251" w:lineRule="auto"/>
        <w:tabs>
          <w:tab w:leader="none" w:pos="815"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Acknowledgment Regarding Buyer’s Purchase of Securities</w:t>
      </w:r>
      <w:r>
        <w:rPr>
          <w:rFonts w:ascii="Times New Roman" w:cs="Times New Roman" w:eastAsia="Times New Roman" w:hAnsi="Times New Roman"/>
          <w:sz w:val="17"/>
          <w:szCs w:val="17"/>
          <w:color w:val="auto"/>
        </w:rPr>
        <w:t>. The Company acknowledges and agrees that each Buyer is acting solely in the capacity of an arm’s length purchaser with respect to the Transaction Documents and the transactions contemplated hereby and thereby and that no Buyer is (i) an officer or director of the Company or any of its Subsidiaries, (ii) an “affiliate” (as defined in Rule 144) of the Company or any of its Subsidiaries or (iii) to its knowledge, a “beneficial owner” of more than 10% of the shares of Common Stock (as defined for purposes of Rule 13d-3 of the Securities Exchange Act of 1934, as amended (the “</w:t>
      </w:r>
      <w:r>
        <w:rPr>
          <w:rFonts w:ascii="Times New Roman" w:cs="Times New Roman" w:eastAsia="Times New Roman" w:hAnsi="Times New Roman"/>
          <w:sz w:val="17"/>
          <w:szCs w:val="17"/>
          <w:b w:val="1"/>
          <w:bCs w:val="1"/>
          <w:color w:val="auto"/>
        </w:rPr>
        <w:t>1934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The Company further acknowledges that no Buyer is acting as a financial advisor or fiduciary of the Company or any of its Subsidiaries (or in any similar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capacity) with respect to the Transaction Documents and the transactions contemplated hereby and thereby, and any advice given by a Buyer or any of its representatives or agents in connection with the Transaction Documents and the transactions contemplated hereby and thereby is merely incidental to such Buyer’s purchase of the Securities. The Company further represents to each Buyer that the Company’s decision to enter into the Transaction Documents to which it is a party has been based solely on the independent evaluation by the Company and its respective representatives.</w:t>
      </w:r>
    </w:p>
    <w:p>
      <w:pPr>
        <w:spacing w:after="0" w:line="177" w:lineRule="exact"/>
        <w:rPr>
          <w:rFonts w:ascii="Times New Roman" w:cs="Times New Roman" w:eastAsia="Times New Roman" w:hAnsi="Times New Roman"/>
          <w:sz w:val="17"/>
          <w:szCs w:val="17"/>
          <w:color w:val="auto"/>
        </w:rPr>
      </w:pPr>
    </w:p>
    <w:p>
      <w:pPr>
        <w:jc w:val="both"/>
        <w:ind w:firstLine="606"/>
        <w:spacing w:after="0" w:line="251" w:lineRule="auto"/>
        <w:tabs>
          <w:tab w:leader="none" w:pos="856"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General Solicitation; Placement Agent’s Fees</w:t>
      </w:r>
      <w:r>
        <w:rPr>
          <w:rFonts w:ascii="Times New Roman" w:cs="Times New Roman" w:eastAsia="Times New Roman" w:hAnsi="Times New Roman"/>
          <w:sz w:val="17"/>
          <w:szCs w:val="17"/>
          <w:color w:val="auto"/>
        </w:rPr>
        <w:t>. Neither the Company, nor any of its Subsidiaries or affiliates, nor any Person acting on its or their behalf, has engaged in any form of general solicitation or general advertising (within the meaning of Regulation D) in connection with the offer or sale of the Securities. The Company shall be responsible for the payment of any placement agent’s fees, financial advisory fees, or brokers’ commissions (other than for Persons engaged by any Buyer or its investment advisor) relating to or arising out of the transactions contemplated hereby, including, without limitation, placement agent fees payable to Chardan Capital Markets LLC, as placement agent (the “</w:t>
      </w:r>
      <w:r>
        <w:rPr>
          <w:rFonts w:ascii="Times New Roman" w:cs="Times New Roman" w:eastAsia="Times New Roman" w:hAnsi="Times New Roman"/>
          <w:sz w:val="17"/>
          <w:szCs w:val="17"/>
          <w:b w:val="1"/>
          <w:bCs w:val="1"/>
          <w:color w:val="auto"/>
        </w:rPr>
        <w:t>Placement Agent</w:t>
      </w:r>
      <w:r>
        <w:rPr>
          <w:rFonts w:ascii="Times New Roman" w:cs="Times New Roman" w:eastAsia="Times New Roman" w:hAnsi="Times New Roman"/>
          <w:sz w:val="17"/>
          <w:szCs w:val="17"/>
          <w:color w:val="auto"/>
        </w:rPr>
        <w:t>”) or as otherwise disclosed to the Placement Agent in connection with the sale of the Securities. The Company shall pay, and hold each Buyer harmless against, any liability, loss or expense (including, without limitation, attorney’s fees and out-of-pocket expenses) arising in connection with any such claim. Other than the Placement Agent or as otherwise disclosed to the Placement Agent, neither the Company nor any of its Subsidiaries has engaged any placement agent or other agent in connection with the offer or sale of the Securities.</w:t>
      </w:r>
    </w:p>
    <w:p>
      <w:pPr>
        <w:spacing w:after="0" w:line="180" w:lineRule="exact"/>
        <w:rPr>
          <w:rFonts w:ascii="Times New Roman" w:cs="Times New Roman" w:eastAsia="Times New Roman" w:hAnsi="Times New Roman"/>
          <w:sz w:val="17"/>
          <w:szCs w:val="17"/>
          <w:color w:val="auto"/>
        </w:rPr>
      </w:pPr>
    </w:p>
    <w:p>
      <w:pPr>
        <w:jc w:val="both"/>
        <w:ind w:firstLine="606"/>
        <w:spacing w:after="0" w:line="252" w:lineRule="auto"/>
        <w:tabs>
          <w:tab w:leader="none" w:pos="843"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Integrated Offering</w:t>
      </w:r>
      <w:r>
        <w:rPr>
          <w:rFonts w:ascii="Times New Roman" w:cs="Times New Roman" w:eastAsia="Times New Roman" w:hAnsi="Times New Roman"/>
          <w:sz w:val="17"/>
          <w:szCs w:val="17"/>
          <w:color w:val="auto"/>
        </w:rPr>
        <w:t>. None of the Company, its Subsidiaries or any of their affiliates, nor any Person acting on their behalf has, directly or indirectly, made any offers or sales of any security or solicited any offers to buy any security, under circumstances that would require registration of the issuance of any of the Securities under the 1933 Act, whether through integration with prior offerings or otherwise, or cause this offering of the Securities to require approval of stockholders of the Company for purposes of the 1933 Act or under any applicable stockholder approval provisions, including, without limitation, under the rules and regulations of any exchange or automated quotation system on which any of the securities of the Company are listed or designated for quotation. None of the Company, its Subsidiaries, their affiliates nor any Person acting on their behalf will take any action or steps that would require registration of the issuance of any of the Securities under the 1933 Act or cause the offering of any of the Securities to be integrated with other offerings of securities of the Company.</w:t>
      </w:r>
    </w:p>
    <w:p>
      <w:pPr>
        <w:spacing w:after="0" w:line="177" w:lineRule="exact"/>
        <w:rPr>
          <w:rFonts w:ascii="Times New Roman" w:cs="Times New Roman" w:eastAsia="Times New Roman" w:hAnsi="Times New Roman"/>
          <w:sz w:val="17"/>
          <w:szCs w:val="17"/>
          <w:color w:val="auto"/>
        </w:rPr>
      </w:pPr>
    </w:p>
    <w:p>
      <w:pPr>
        <w:jc w:val="both"/>
        <w:ind w:firstLine="606"/>
        <w:spacing w:after="0" w:line="254" w:lineRule="auto"/>
        <w:tabs>
          <w:tab w:leader="none" w:pos="818"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Dilutive Effect</w:t>
      </w:r>
      <w:r>
        <w:rPr>
          <w:rFonts w:ascii="Times New Roman" w:cs="Times New Roman" w:eastAsia="Times New Roman" w:hAnsi="Times New Roman"/>
          <w:sz w:val="17"/>
          <w:szCs w:val="17"/>
          <w:color w:val="auto"/>
        </w:rPr>
        <w:t>. The Company understands and acknowledges that the number of Conversion Shares and Incremental Warrant Conversion Shares will increase in certain circumstances. The Company further acknowledges that its obligation to issue the Conversion Shares pursuant to the terms of the Certificate of Designations in accordance with this Agreement and the Certificate of Designations and the Incremental Warrant Conversion Shares pursuant to the terms of the Certificate of Designations in accordance with this Agreement, the Certificate of Designations and the Incremental Warrants is, in each case, absolute and unconditional regardless of the dilutive effect that such issuance may have on the ownership interests of other stockholders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2" w:name="page103"/>
    <w:bookmarkEnd w:id="102"/>
    <w:p>
      <w:pPr>
        <w:jc w:val="both"/>
        <w:ind w:firstLine="606"/>
        <w:spacing w:after="0" w:line="252" w:lineRule="auto"/>
        <w:tabs>
          <w:tab w:leader="none" w:pos="80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Application of Takeover Protections; Rights Agreement</w:t>
      </w:r>
      <w:r>
        <w:rPr>
          <w:rFonts w:ascii="Times New Roman" w:cs="Times New Roman" w:eastAsia="Times New Roman" w:hAnsi="Times New Roman"/>
          <w:sz w:val="17"/>
          <w:szCs w:val="17"/>
          <w:color w:val="auto"/>
        </w:rPr>
        <w:t>. The Company and its board of directors have taken all necessary action, if any, in order to render inapplicable any control share acquisition, interested stockholder, business combination, poison pill (including, without limitation, any distribution under a rights agreement), stockholder rights plan or other similar anti-takeover provision under the Certificate of Incorporation, Bylaws or other organizational documents or the laws of the jurisdiction of its incorporation or otherwise which is or could become applicable to any Buyer as a result of the transactions contemplated by this Agreement, including, without limitation, the Company’s issuance of the Securities and any Buyer’s ownership of the Securities. The Company and its board of directors have taken all necessary action, if any, in order to render inapplicable any stockholder rights plan or similar arrangement relating to accumulations of beneficial ownership of shares of Common Stock or a change in control of the Company or any of its Subsidiaries.</w:t>
      </w:r>
    </w:p>
    <w:p>
      <w:pPr>
        <w:spacing w:after="0" w:line="177" w:lineRule="exact"/>
        <w:rPr>
          <w:rFonts w:ascii="Times New Roman" w:cs="Times New Roman" w:eastAsia="Times New Roman" w:hAnsi="Times New Roman"/>
          <w:sz w:val="17"/>
          <w:szCs w:val="17"/>
          <w:color w:val="auto"/>
        </w:rPr>
      </w:pPr>
    </w:p>
    <w:p>
      <w:pPr>
        <w:jc w:val="both"/>
        <w:ind w:firstLine="606"/>
        <w:spacing w:after="0" w:line="265" w:lineRule="auto"/>
        <w:tabs>
          <w:tab w:leader="none" w:pos="843" w:val="left"/>
        </w:tabs>
        <w:numPr>
          <w:ilvl w:val="0"/>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 Documents; Financial Statements</w:t>
      </w:r>
      <w:r>
        <w:rPr>
          <w:rFonts w:ascii="Times New Roman" w:cs="Times New Roman" w:eastAsia="Times New Roman" w:hAnsi="Times New Roman"/>
          <w:sz w:val="16"/>
          <w:szCs w:val="16"/>
          <w:color w:val="auto"/>
        </w:rPr>
        <w:t xml:space="preserve">. Except as set forth on </w:t>
      </w:r>
      <w:r>
        <w:rPr>
          <w:rFonts w:ascii="Times New Roman" w:cs="Times New Roman" w:eastAsia="Times New Roman" w:hAnsi="Times New Roman"/>
          <w:sz w:val="16"/>
          <w:szCs w:val="16"/>
          <w:u w:val="single" w:color="auto"/>
          <w:color w:val="auto"/>
        </w:rPr>
        <w:t>Schedule 3(k)</w:t>
      </w:r>
      <w:r>
        <w:rPr>
          <w:rFonts w:ascii="Times New Roman" w:cs="Times New Roman" w:eastAsia="Times New Roman" w:hAnsi="Times New Roman"/>
          <w:sz w:val="16"/>
          <w:szCs w:val="16"/>
          <w:color w:val="auto"/>
        </w:rPr>
        <w:t>, during the two (2) years prior to the date hereof, the Company has timely filed all reports, schedules, forms, proxy statements, statements and other documents required to be filed by it with the SEC pursuant to the reporting requirements of the 1934 Act (all of the foregoing filed prior to the date hereof and all exhibits and appendices included therein and financial statements, notes and schedules thereto and documents incorporated by reference therein being hereinafter referred to as the “</w:t>
      </w:r>
      <w:r>
        <w:rPr>
          <w:rFonts w:ascii="Times New Roman" w:cs="Times New Roman" w:eastAsia="Times New Roman" w:hAnsi="Times New Roman"/>
          <w:sz w:val="16"/>
          <w:szCs w:val="16"/>
          <w:b w:val="1"/>
          <w:bCs w:val="1"/>
          <w:color w:val="auto"/>
        </w:rPr>
        <w:t>SEC Documents</w:t>
      </w:r>
      <w:r>
        <w:rPr>
          <w:rFonts w:ascii="Times New Roman" w:cs="Times New Roman" w:eastAsia="Times New Roman" w:hAnsi="Times New Roman"/>
          <w:sz w:val="16"/>
          <w:szCs w:val="16"/>
          <w:color w:val="auto"/>
        </w:rPr>
        <w:t>”). The Company has delivered or has made available to the Buyers or their respective representatives true, correct and complete copies of each of the SEC Documents not available on the EDGAR system. As of their respective dates, the SEC Documents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w:t>
      </w:r>
      <w:r>
        <w:rPr>
          <w:rFonts w:ascii="Times New Roman" w:cs="Times New Roman" w:eastAsia="Times New Roman" w:hAnsi="Times New Roman"/>
          <w:sz w:val="16"/>
          <w:szCs w:val="16"/>
          <w:b w:val="1"/>
          <w:bCs w:val="1"/>
          <w:color w:val="auto"/>
        </w:rPr>
        <w:t>GAAP</w:t>
      </w:r>
      <w:r>
        <w:rPr>
          <w:rFonts w:ascii="Times New Roman" w:cs="Times New Roman" w:eastAsia="Times New Roman" w:hAnsi="Times New Roman"/>
          <w:sz w:val="16"/>
          <w:szCs w:val="16"/>
          <w:color w:val="auto"/>
        </w:rPr>
        <w:t>”),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The reserves, if any, established by the Company or the lack of reserves, if applicable, are reasonable based upon facts and circumstances known by the Company on the date hereof and there are no loss contingencies that are required to be accrued by the Statement of Financial Accounting Standard No. 5 of the Financial Accounting Standards Board which are not provided for by the Company in its financial statements or otherwise. No other information provided by or on behalf of the Company to any of the Buyers which is not included in the SEC Documents (including, without limitation, information referred to in Section 2(e) of this Agreement or in the disclosure schedules to this Agreement) contains any untrue statement of a material fact or omits to state any material fact necessary in order to make the statements therein not misleading, in the light of the circumstance under which they are or were made. The Company is not currently contemplating to amend or restate any of the financial statements (including, without limitation, any notes or any letter of the independent accountants of the Company with respect thereto) included in the SEC Documents (the “</w:t>
      </w:r>
      <w:r>
        <w:rPr>
          <w:rFonts w:ascii="Times New Roman" w:cs="Times New Roman" w:eastAsia="Times New Roman" w:hAnsi="Times New Roman"/>
          <w:sz w:val="16"/>
          <w:szCs w:val="16"/>
          <w:b w:val="1"/>
          <w:bCs w:val="1"/>
          <w:color w:val="auto"/>
        </w:rPr>
        <w:t>Financial Statements</w:t>
      </w:r>
      <w:r>
        <w:rPr>
          <w:rFonts w:ascii="Times New Roman" w:cs="Times New Roman" w:eastAsia="Times New Roman" w:hAnsi="Times New Roman"/>
          <w:sz w:val="16"/>
          <w:szCs w:val="16"/>
          <w:color w:val="auto"/>
        </w:rPr>
        <w:t>”), nor is the Company currently aware of facts or circumstances which would require the Company to amend or restate any of the Financial Statements, in each case, in order for any of the Financial Statements to be in compliance with GAAP and the rules and regulations of the SEC. The Company has not been informed by its independent accountants that they recommend that the Company amend or restate any of the Financial Statements or that there is any need for the Company to amend or restate any of the Financial Statements.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3" w:name="page104"/>
    <w:bookmarkEnd w:id="103"/>
    <w:p>
      <w:pPr>
        <w:jc w:val="both"/>
        <w:ind w:firstLine="606"/>
        <w:spacing w:after="0" w:line="265" w:lineRule="auto"/>
        <w:tabs>
          <w:tab w:leader="none" w:pos="818"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Absence of Certain Changes</w:t>
      </w:r>
      <w:r>
        <w:rPr>
          <w:rFonts w:ascii="Times New Roman" w:cs="Times New Roman" w:eastAsia="Times New Roman" w:hAnsi="Times New Roman"/>
          <w:sz w:val="16"/>
          <w:szCs w:val="16"/>
          <w:color w:val="auto"/>
        </w:rPr>
        <w:t xml:space="preserve">. Since the date of the Company’s most recent audited financial statements contained in a Form 10-K, there has been no material adverse change and no material adverse development in the business, assets, liabilities, properties, operations (including results thereof), condition (financial or otherwise) or prospects of the Company or any of its Subsidiaries, except as set forth in the SEC Documents or </w:t>
      </w:r>
      <w:r>
        <w:rPr>
          <w:rFonts w:ascii="Times New Roman" w:cs="Times New Roman" w:eastAsia="Times New Roman" w:hAnsi="Times New Roman"/>
          <w:sz w:val="16"/>
          <w:szCs w:val="16"/>
          <w:u w:val="single" w:color="auto"/>
          <w:color w:val="auto"/>
        </w:rPr>
        <w:t>Schedule 3(l)</w:t>
      </w:r>
      <w:r>
        <w:rPr>
          <w:rFonts w:ascii="Times New Roman" w:cs="Times New Roman" w:eastAsia="Times New Roman" w:hAnsi="Times New Roman"/>
          <w:sz w:val="16"/>
          <w:szCs w:val="16"/>
          <w:color w:val="auto"/>
        </w:rPr>
        <w:t xml:space="preserve">. Since the date of the Company’s most recent audited financial statements contained in a Form 10-K, neither the Company nor any of its Subsidiaries has (i) declared or paid any dividends, (ii) sold any assets, individually or in the aggregate, outside of the ordinary course of business or (iii) made any capital expenditures, individually or in the aggregate, outside of the ordinary course of business, except as set forth in the SEC Documents or </w:t>
      </w:r>
      <w:r>
        <w:rPr>
          <w:rFonts w:ascii="Times New Roman" w:cs="Times New Roman" w:eastAsia="Times New Roman" w:hAnsi="Times New Roman"/>
          <w:sz w:val="16"/>
          <w:szCs w:val="16"/>
          <w:u w:val="single" w:color="auto"/>
          <w:color w:val="auto"/>
        </w:rPr>
        <w:t>Schedule 3(l)</w:t>
      </w:r>
      <w:r>
        <w:rPr>
          <w:rFonts w:ascii="Times New Roman" w:cs="Times New Roman" w:eastAsia="Times New Roman" w:hAnsi="Times New Roman"/>
          <w:sz w:val="16"/>
          <w:szCs w:val="16"/>
          <w:color w:val="auto"/>
        </w:rPr>
        <w:t>.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after giving effect to the transactions contemplated hereby to occur at the Closing, will not be Insolvent (as defined below). For purposes of this Section 3(l), “</w:t>
      </w:r>
      <w:r>
        <w:rPr>
          <w:rFonts w:ascii="Times New Roman" w:cs="Times New Roman" w:eastAsia="Times New Roman" w:hAnsi="Times New Roman"/>
          <w:sz w:val="16"/>
          <w:szCs w:val="16"/>
          <w:b w:val="1"/>
          <w:bCs w:val="1"/>
          <w:color w:val="auto"/>
        </w:rPr>
        <w:t>Insolvent</w:t>
      </w:r>
      <w:r>
        <w:rPr>
          <w:rFonts w:ascii="Times New Roman" w:cs="Times New Roman" w:eastAsia="Times New Roman" w:hAnsi="Times New Roman"/>
          <w:sz w:val="16"/>
          <w:szCs w:val="16"/>
          <w:color w:val="auto"/>
        </w:rPr>
        <w:t>” means, (i) with respect to the Company and its Subsidiaries, on a consolidated basis, (A) the present fair saleable value of the Company’s and its Subsidiaries’ assets is less than the amount required to pay the Company’s and its Subsidiaries’ total Indebtedness (as defined in the Certificate of Designations), (B) the Company and its Subsidiaries are unable to pay their debts and liabilities, subordinated, contingent or otherwise, as such debts and liabilities become absolute and matured or (C) the Company and its Subsidiaries intend to incur or believe that they will incur debts that would be beyond their ability to pay as such debts mature; and (ii) with respect to the Company and each Subsidiary, individually, (A) the present fair saleable value of the Company’s or such Subsidiary’s (as the case may be) assets is less than the amount required to pay its respective total Indebtedness, (B) the Company or such Subsidiary (as the case may be) is unable to pay its respective debts and liabilities, subordinated, contingent or otherwise, as such debts and liabilities become absolute and matured or (C) the Company or such Subsidiary (as the case may be) intends to incur or believes that it will incur debts that would be beyond its respective ability to pay as such debts mature. Neither the Company nor any of its Subsidiaries has engaged in any business or in any transaction, and is not about to engage in any business or in any transaction, for which the Company’s or such Subsidiary’s remaining assets constitute unreasonably small capital with which to conduct the business in which it is engaged as such business is now conducted and is proposed to be conducted.</w:t>
      </w:r>
    </w:p>
    <w:p>
      <w:pPr>
        <w:spacing w:after="0" w:line="173" w:lineRule="exact"/>
        <w:rPr>
          <w:rFonts w:ascii="Times New Roman" w:cs="Times New Roman" w:eastAsia="Times New Roman" w:hAnsi="Times New Roman"/>
          <w:sz w:val="16"/>
          <w:szCs w:val="16"/>
          <w:color w:val="auto"/>
        </w:rPr>
      </w:pPr>
    </w:p>
    <w:p>
      <w:pPr>
        <w:jc w:val="both"/>
        <w:ind w:firstLine="606"/>
        <w:spacing w:after="0" w:line="253" w:lineRule="auto"/>
        <w:tabs>
          <w:tab w:leader="none" w:pos="902"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Undisclosed Events, Liabilities, Developments or Circumstances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3(m)</w:t>
      </w:r>
      <w:r>
        <w:rPr>
          <w:rFonts w:ascii="Times New Roman" w:cs="Times New Roman" w:eastAsia="Times New Roman" w:hAnsi="Times New Roman"/>
          <w:sz w:val="17"/>
          <w:szCs w:val="17"/>
          <w:color w:val="auto"/>
        </w:rPr>
        <w:t>, to the Company’s knowledge, no event, liability, development or circumstance has occurred or exists, or is reasonably expected to exist or occur with respect to the Company, any of its Subsidiaries or any of their respective businesses, properties, liabilities, prospects, operations (including results thereof) or condition (financial or otherwise), that (i) would be required to be disclosed by the Company under applicable securities laws on a registration statement on Form S-1 filed with the SEC relating to an issuance and sale by the Company of its Common Stock and which has not been publicly announced, (ii) would have a material adverse effect on any Buyer’s investment hereunder or (iii) would have a Material Adverse Effect.</w:t>
      </w:r>
    </w:p>
    <w:p>
      <w:pPr>
        <w:spacing w:after="0" w:line="175" w:lineRule="exact"/>
        <w:rPr>
          <w:rFonts w:ascii="Times New Roman" w:cs="Times New Roman" w:eastAsia="Times New Roman" w:hAnsi="Times New Roman"/>
          <w:sz w:val="17"/>
          <w:szCs w:val="17"/>
          <w:color w:val="auto"/>
        </w:rPr>
      </w:pPr>
    </w:p>
    <w:p>
      <w:pPr>
        <w:jc w:val="both"/>
        <w:ind w:firstLine="606"/>
        <w:spacing w:after="0" w:line="249" w:lineRule="auto"/>
        <w:tabs>
          <w:tab w:leader="none" w:pos="843"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Conduct of Business; Regulatory Permits</w:t>
      </w:r>
      <w:r>
        <w:rPr>
          <w:rFonts w:ascii="Times New Roman" w:cs="Times New Roman" w:eastAsia="Times New Roman" w:hAnsi="Times New Roman"/>
          <w:sz w:val="17"/>
          <w:szCs w:val="17"/>
          <w:color w:val="auto"/>
        </w:rPr>
        <w:t>. Neither the Company nor any of its Subsidiaries is in violation of any term of or in default under its Certificate of Incorporation, any certificate of designation, preferences or rights of any other outstanding series of preferred stock of the Company or any of its Subsidiaries or Bylaws or their organizational charter, certificate of formation, memorandum of association, articles of association, Certificate of Incorporation or articles of incorporation or bylaws, respectively. Neither the Company nor any of its Subsidiaries is in violation of any judgment, decree or order or any statute, ordinance, rule or regulation applicable to the Company or any of its Subsidiaries, and neither the Company nor any of its Subsidiaries will conduct its business in violation of any of the foregoing, except in all cases for possible violations which could not, individually or in the aggregate, have a Material Adverse Effect. Except as set forth in the SEC Documents, without limiting the generality of the foregoing, the Company is not in violation of any of the rules, regulations or requirements of the Principal Market and has no knowledge of any facts or circumstances that could reasonably lead to delisting or suspension of the Common Stock by the Principal Market in the foreseeable future. Except as set forth in the SEC Documents, during the two years prior to the date hereof, (i) the Common Stock has been listed or designated for quotation on the Principal Market, (ii) trading in the Common Stock has not been suspended by the SEC or the Principal Market and (iii) the Company has received no communication, written or oral, from the SEC or the Principal Market regarding the suspension or delisting of the Common Stock from the Principal Market. The Company and each of its Subsidiaries possess all certificates, authorizations and permits issued by the appropriate regulatory authorities necessary to conduct their respective businesses, except where the failure to possess such certificates, authorizations or permits would not have, individually or in the aggregate, a Material Adverse Effect, and neither the Company nor any such Subsidiary has received any notice of proceedings relating to the revocation or modification of any such certificate, authorization or permit. There is no agreement, commitment, judgment, injunction, order or decree binding upon the Company or any of its Subsidiaries or to which the Company or any of its Subsidiaries is a party which has or would reasonably be expected to have the effect of prohibiting or materially impairing any business practice of the Company or any of its Subsidiaries, any acquisition of property by the Company or any of its Subsidiaries or the conduct of business by the Company or any of its Subsidiaries as currently conducted other than such effects, individually or in the aggregate, which have not had and would not reasonably be expected to have a Material Adverse Effect on the Company or any of its Subsidiaries.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4" w:name="page105"/>
    <w:bookmarkEnd w:id="104"/>
    <w:p>
      <w:pPr>
        <w:jc w:val="both"/>
        <w:ind w:firstLine="606"/>
        <w:spacing w:after="0" w:line="252" w:lineRule="auto"/>
        <w:tabs>
          <w:tab w:leader="none" w:pos="843"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Foreign Corrupt Practices</w:t>
      </w:r>
      <w:r>
        <w:rPr>
          <w:rFonts w:ascii="Times New Roman" w:cs="Times New Roman" w:eastAsia="Times New Roman" w:hAnsi="Times New Roman"/>
          <w:sz w:val="17"/>
          <w:szCs w:val="17"/>
          <w:color w:val="auto"/>
        </w:rPr>
        <w:t>. Neither the Company, the Company’s subsidiary or any director, officer, agent, employee, nor any other person acting for or on behalf of the foregoing (individually and collectively, a “</w:t>
      </w:r>
      <w:r>
        <w:rPr>
          <w:rFonts w:ascii="Times New Roman" w:cs="Times New Roman" w:eastAsia="Times New Roman" w:hAnsi="Times New Roman"/>
          <w:sz w:val="17"/>
          <w:szCs w:val="17"/>
          <w:b w:val="1"/>
          <w:bCs w:val="1"/>
          <w:color w:val="auto"/>
        </w:rPr>
        <w:t>Company Affiliate</w:t>
      </w:r>
      <w:r>
        <w:rPr>
          <w:rFonts w:ascii="Times New Roman" w:cs="Times New Roman" w:eastAsia="Times New Roman" w:hAnsi="Times New Roman"/>
          <w:sz w:val="17"/>
          <w:szCs w:val="17"/>
          <w:color w:val="auto"/>
        </w:rPr>
        <w:t>”) have violated the U.S. Foreign Corrupt Practices Act (the “</w:t>
      </w:r>
      <w:r>
        <w:rPr>
          <w:rFonts w:ascii="Times New Roman" w:cs="Times New Roman" w:eastAsia="Times New Roman" w:hAnsi="Times New Roman"/>
          <w:sz w:val="17"/>
          <w:szCs w:val="17"/>
          <w:b w:val="1"/>
          <w:bCs w:val="1"/>
          <w:color w:val="auto"/>
        </w:rPr>
        <w:t>FCPA</w:t>
      </w:r>
      <w:r>
        <w:rPr>
          <w:rFonts w:ascii="Times New Roman" w:cs="Times New Roman" w:eastAsia="Times New Roman" w:hAnsi="Times New Roman"/>
          <w:sz w:val="17"/>
          <w:szCs w:val="17"/>
          <w:color w:val="auto"/>
        </w:rPr>
        <w:t>”) or any other applicable anti-bribery or anti-corruption laws, nor, to the Company’s knowledge, has any Company Affiliate offered, paid, promised to pay, or authorized the payment of any money, or offered, given, promised to give, or authorized the giving of anything of value, to any officer, employee or any other person acting in an official capacity for any Governmental Entity to any political party or official thereof or to any candidate for political office (individually and collectively, a “</w:t>
      </w:r>
      <w:r>
        <w:rPr>
          <w:rFonts w:ascii="Times New Roman" w:cs="Times New Roman" w:eastAsia="Times New Roman" w:hAnsi="Times New Roman"/>
          <w:sz w:val="17"/>
          <w:szCs w:val="17"/>
          <w:b w:val="1"/>
          <w:bCs w:val="1"/>
          <w:color w:val="auto"/>
        </w:rPr>
        <w:t>Government Official</w:t>
      </w:r>
      <w:r>
        <w:rPr>
          <w:rFonts w:ascii="Times New Roman" w:cs="Times New Roman" w:eastAsia="Times New Roman" w:hAnsi="Times New Roman"/>
          <w:sz w:val="17"/>
          <w:szCs w:val="17"/>
          <w:color w:val="auto"/>
        </w:rPr>
        <w:t>”) or to any person under circumstances where such Company Affiliate knew or was aware of a high probability that all or a portion of such money or thing of value would be offered, given or promised, directly or indirectly, to any Government Official, for the purpose of:</w:t>
      </w:r>
    </w:p>
    <w:p>
      <w:pPr>
        <w:spacing w:after="0" w:line="177" w:lineRule="exact"/>
        <w:rPr>
          <w:rFonts w:ascii="Times New Roman" w:cs="Times New Roman" w:eastAsia="Times New Roman" w:hAnsi="Times New Roman"/>
          <w:sz w:val="17"/>
          <w:szCs w:val="17"/>
          <w:color w:val="auto"/>
        </w:rPr>
      </w:pPr>
    </w:p>
    <w:p>
      <w:pPr>
        <w:jc w:val="both"/>
        <w:ind w:left="600" w:firstLine="1216"/>
        <w:spacing w:after="0" w:line="261" w:lineRule="auto"/>
        <w:tabs>
          <w:tab w:leader="none" w:pos="2011"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influencing any act or decision of such Government Official in his/her official capacity, (B) inducing such Government Official to do or omit to do any act in violation of his/her lawful duty, (C) securing any improper advantage, or (D) inducing such Government Official to influence or affect any act or decision of any Governmental Entity, or</w:t>
      </w:r>
    </w:p>
    <w:p>
      <w:pPr>
        <w:spacing w:after="0" w:line="169" w:lineRule="exact"/>
        <w:rPr>
          <w:rFonts w:ascii="Times New Roman" w:cs="Times New Roman" w:eastAsia="Times New Roman" w:hAnsi="Times New Roman"/>
          <w:sz w:val="17"/>
          <w:szCs w:val="17"/>
          <w:color w:val="auto"/>
        </w:rPr>
      </w:pPr>
    </w:p>
    <w:p>
      <w:pPr>
        <w:ind w:left="2080" w:hanging="264"/>
        <w:spacing w:after="0"/>
        <w:tabs>
          <w:tab w:leader="none" w:pos="208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the Company or its Subsidiaries in obtaining or retaining business for or with, or directing business to, the Company or its</w:t>
      </w:r>
    </w:p>
    <w:p>
      <w:pPr>
        <w:spacing w:after="0" w:line="22"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Subsidiaries.</w:t>
      </w:r>
    </w:p>
    <w:p>
      <w:pPr>
        <w:spacing w:after="0" w:line="191" w:lineRule="exact"/>
        <w:rPr>
          <w:rFonts w:ascii="Times New Roman" w:cs="Times New Roman" w:eastAsia="Times New Roman" w:hAnsi="Times New Roman"/>
          <w:sz w:val="17"/>
          <w:szCs w:val="17"/>
          <w:color w:val="auto"/>
        </w:rPr>
      </w:pPr>
    </w:p>
    <w:p>
      <w:pPr>
        <w:ind w:firstLine="606"/>
        <w:spacing w:after="0" w:line="274" w:lineRule="auto"/>
        <w:tabs>
          <w:tab w:leader="none" w:pos="843"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Sarbanes-Oxley Act</w:t>
      </w:r>
      <w:r>
        <w:rPr>
          <w:rFonts w:ascii="Times New Roman" w:cs="Times New Roman" w:eastAsia="Times New Roman" w:hAnsi="Times New Roman"/>
          <w:sz w:val="17"/>
          <w:szCs w:val="17"/>
          <w:color w:val="auto"/>
        </w:rPr>
        <w:t>. The Company and each Subsidiary is in compliance with any and all applicable requirements of the Sarbanes-Oxley Act of 2002, as amended, and any and all applicable rules and regulations promulgated by the SEC thereunder.</w:t>
      </w:r>
    </w:p>
    <w:p>
      <w:pPr>
        <w:spacing w:after="0" w:line="158" w:lineRule="exact"/>
        <w:rPr>
          <w:rFonts w:ascii="Times New Roman" w:cs="Times New Roman" w:eastAsia="Times New Roman" w:hAnsi="Times New Roman"/>
          <w:sz w:val="17"/>
          <w:szCs w:val="17"/>
          <w:color w:val="auto"/>
        </w:rPr>
      </w:pPr>
    </w:p>
    <w:p>
      <w:pPr>
        <w:jc w:val="both"/>
        <w:ind w:firstLine="606"/>
        <w:spacing w:after="0" w:line="249" w:lineRule="auto"/>
        <w:tabs>
          <w:tab w:leader="none" w:pos="856"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Transactions With Affiliates</w:t>
      </w:r>
      <w:r>
        <w:rPr>
          <w:rFonts w:ascii="Times New Roman" w:cs="Times New Roman" w:eastAsia="Times New Roman" w:hAnsi="Times New Roman"/>
          <w:sz w:val="17"/>
          <w:szCs w:val="17"/>
          <w:color w:val="auto"/>
        </w:rPr>
        <w:t xml:space="preserve">. Except as set forth in the SEC Documents or on </w:t>
      </w:r>
      <w:r>
        <w:rPr>
          <w:rFonts w:ascii="Times New Roman" w:cs="Times New Roman" w:eastAsia="Times New Roman" w:hAnsi="Times New Roman"/>
          <w:sz w:val="17"/>
          <w:szCs w:val="17"/>
          <w:u w:val="single" w:color="auto"/>
          <w:color w:val="auto"/>
        </w:rPr>
        <w:t>Schedule 3(q)</w:t>
      </w:r>
      <w:r>
        <w:rPr>
          <w:rFonts w:ascii="Times New Roman" w:cs="Times New Roman" w:eastAsia="Times New Roman" w:hAnsi="Times New Roman"/>
          <w:sz w:val="17"/>
          <w:szCs w:val="17"/>
          <w:color w:val="auto"/>
        </w:rPr>
        <w:t xml:space="preserve">, no current employee, partner, director, officer or 5% or greater stockholder (direct or indirect) of the Company or its Subsidiaries, or any associate, or, to the knowledge of the Company, any affiliate of any thereof, or any relative with a relationship no more remote than first cousin of any of the foregoing, is presently, or has ever been, (i) a party to any transaction with the Company or its Subsidiaries (including any contract, agreement or other arrangement providing for the furnishing of services by, or rental of real or personal property from, or otherwise requiring payments to, any such director, officer or stockholder or such associate or affiliate or relative Subsidiaries (other than for ordinary course services as employees, officers or directors of the Company or any of its Subsidiaries)) or (ii) the direct or indirect owner of an interest in any corporation, firm, association or business organization which is a competitor, supplier or customer of the Company or its Subsidiaries (except for a passive investment (direct or indirect) in less than 5% of the common stock of a company whose securities are traded on or quoted through an Eligible Market (as defined below)), nor does any such Person receive income from any source other than the Company or its Subsidiaries which relates to the business of the Company or its Subsidiaries or should properly accrue to the Company or its Subsidiaries, except as set forth on </w:t>
      </w:r>
      <w:r>
        <w:rPr>
          <w:rFonts w:ascii="Times New Roman" w:cs="Times New Roman" w:eastAsia="Times New Roman" w:hAnsi="Times New Roman"/>
          <w:sz w:val="17"/>
          <w:szCs w:val="17"/>
          <w:u w:val="single" w:color="auto"/>
          <w:color w:val="auto"/>
        </w:rPr>
        <w:t>Schedule 3(q)</w:t>
      </w:r>
      <w:r>
        <w:rPr>
          <w:rFonts w:ascii="Times New Roman" w:cs="Times New Roman" w:eastAsia="Times New Roman" w:hAnsi="Times New Roman"/>
          <w:sz w:val="17"/>
          <w:szCs w:val="17"/>
          <w:color w:val="auto"/>
        </w:rPr>
        <w:t>. No employee, officer, stockholder or director of the Company or any of its Subsidiaries or member of his or her immediate family is indebted to the Company or its Subsidiaries, as the case may be, nor is the Company or any of its Subsidiaries indebted (or committed to make loans or extend or guarantee credit) to any of them, other than (i) for payment of salary for services rendered, (ii) reimbursement for reasonable expenses incurred on behalf of the Company, and (iii) for other standard employee benefits made generally available to all employees or executives (including stock option agreements outstanding under any Stock Option and Incentive Plans approved by the Board of Directors of the Company).</w:t>
      </w:r>
    </w:p>
    <w:p>
      <w:pPr>
        <w:spacing w:after="0" w:line="186" w:lineRule="exact"/>
        <w:rPr>
          <w:rFonts w:ascii="Times New Roman" w:cs="Times New Roman" w:eastAsia="Times New Roman" w:hAnsi="Times New Roman"/>
          <w:sz w:val="17"/>
          <w:szCs w:val="17"/>
          <w:color w:val="auto"/>
        </w:rPr>
      </w:pPr>
    </w:p>
    <w:p>
      <w:pPr>
        <w:ind w:left="820" w:hanging="214"/>
        <w:spacing w:after="0"/>
        <w:tabs>
          <w:tab w:leader="none" w:pos="8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Equity Capitalization.</w:t>
      </w:r>
    </w:p>
    <w:p>
      <w:pPr>
        <w:spacing w:after="0" w:line="208" w:lineRule="exact"/>
        <w:rPr>
          <w:sz w:val="20"/>
          <w:szCs w:val="20"/>
          <w:color w:val="auto"/>
        </w:rPr>
      </w:pPr>
    </w:p>
    <w:p>
      <w:pPr>
        <w:ind w:left="1420" w:hanging="209"/>
        <w:spacing w:after="0"/>
        <w:tabs>
          <w:tab w:leader="none" w:pos="142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203" w:lineRule="exact"/>
        <w:rPr>
          <w:rFonts w:ascii="Times New Roman" w:cs="Times New Roman" w:eastAsia="Times New Roman" w:hAnsi="Times New Roman"/>
          <w:sz w:val="17"/>
          <w:szCs w:val="17"/>
          <w:color w:val="auto"/>
        </w:rPr>
      </w:pPr>
    </w:p>
    <w:p>
      <w:pPr>
        <w:ind w:left="1220" w:firstLine="596"/>
        <w:spacing w:after="0" w:line="279" w:lineRule="auto"/>
        <w:tabs>
          <w:tab w:leader="none" w:pos="210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means (x) the Company’s shares of common stock, $0.0001 par value per share, and (y) any capital stock into which such common stock shall have been changed or any share capital resulting from a reclassification of such common stock.</w:t>
      </w:r>
    </w:p>
    <w:p>
      <w:pPr>
        <w:spacing w:after="0" w:line="150" w:lineRule="exact"/>
        <w:rPr>
          <w:rFonts w:ascii="Times New Roman" w:cs="Times New Roman" w:eastAsia="Times New Roman" w:hAnsi="Times New Roman"/>
          <w:sz w:val="17"/>
          <w:szCs w:val="17"/>
          <w:color w:val="auto"/>
        </w:rPr>
      </w:pPr>
    </w:p>
    <w:p>
      <w:pPr>
        <w:jc w:val="both"/>
        <w:ind w:left="1220" w:firstLine="596"/>
        <w:spacing w:after="0" w:line="258" w:lineRule="auto"/>
        <w:tabs>
          <w:tab w:leader="none" w:pos="2091"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 means (x) the Company’s preferred stock, $0.0001 par value per share, the terms of which may be designated by the board of directors of the Company in a certificate of designations and (y) any capital stock into which such preferred stock shall have been changed or any share capital resulting from a reclassification of such preferred stock (other than a conversion of such preferred stock into Common Stock in accordance with the terms of such certificate of designations).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5" w:name="page106"/>
    <w:bookmarkEnd w:id="105"/>
    <w:p>
      <w:pPr>
        <w:jc w:val="both"/>
        <w:ind w:left="-520" w:firstLine="611"/>
        <w:spacing w:after="0" w:line="251" w:lineRule="auto"/>
        <w:tabs>
          <w:tab w:leader="none" w:pos="332"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Authorized and Outstanding Capital Stock</w:t>
      </w:r>
      <w:r>
        <w:rPr>
          <w:rFonts w:ascii="Times New Roman" w:cs="Times New Roman" w:eastAsia="Times New Roman" w:hAnsi="Times New Roman"/>
          <w:sz w:val="17"/>
          <w:szCs w:val="17"/>
          <w:color w:val="auto"/>
        </w:rPr>
        <w:t>. As of the date hereof, the authorized capital stock of the Company consists of (A) 250,000,000 shares of Common Stock, of which, 7,256,076 shares are issued and outstanding and 3,925,950 are reserved for issuance pursuant to Convertible Securities (as defined below) (other than the Preferred Shares and the Incremental Warrants) exercisable or exchangeable for, or convertible into, shares of Common Stock and (B) 5,000,000 shares of Preferred Stock, of which, 5,000 shares have been designated as Series A Preferred Stock, none of which shares are issued and outstanding. No shares of Common Stock are held in the treasury of the Company. “</w:t>
      </w:r>
      <w:r>
        <w:rPr>
          <w:rFonts w:ascii="Times New Roman" w:cs="Times New Roman" w:eastAsia="Times New Roman" w:hAnsi="Times New Roman"/>
          <w:sz w:val="17"/>
          <w:szCs w:val="17"/>
          <w:b w:val="1"/>
          <w:bCs w:val="1"/>
          <w:color w:val="auto"/>
        </w:rPr>
        <w:t>Convertible Securities</w:t>
      </w:r>
      <w:r>
        <w:rPr>
          <w:rFonts w:ascii="Times New Roman" w:cs="Times New Roman" w:eastAsia="Times New Roman" w:hAnsi="Times New Roman"/>
          <w:sz w:val="17"/>
          <w:szCs w:val="17"/>
          <w:color w:val="auto"/>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w:t>
      </w:r>
    </w:p>
    <w:p>
      <w:pPr>
        <w:spacing w:after="0" w:line="180" w:lineRule="exact"/>
        <w:rPr>
          <w:rFonts w:ascii="Times New Roman" w:cs="Times New Roman" w:eastAsia="Times New Roman" w:hAnsi="Times New Roman"/>
          <w:sz w:val="17"/>
          <w:szCs w:val="17"/>
          <w:color w:val="auto"/>
        </w:rPr>
      </w:pPr>
    </w:p>
    <w:p>
      <w:pPr>
        <w:jc w:val="both"/>
        <w:ind w:left="-520" w:firstLine="611"/>
        <w:spacing w:after="0" w:line="250" w:lineRule="auto"/>
        <w:tabs>
          <w:tab w:leader="none" w:pos="379"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Valid Issuance; Available Shares; Affiliates</w:t>
      </w:r>
      <w:r>
        <w:rPr>
          <w:rFonts w:ascii="Times New Roman" w:cs="Times New Roman" w:eastAsia="Times New Roman" w:hAnsi="Times New Roman"/>
          <w:sz w:val="17"/>
          <w:szCs w:val="17"/>
          <w:color w:val="auto"/>
        </w:rPr>
        <w:t xml:space="preserve">. All of such outstanding shares are duly authorized and have been, or upon issuance will be, validly issued and are fully paid and nonassessable. </w:t>
      </w:r>
      <w:r>
        <w:rPr>
          <w:rFonts w:ascii="Times New Roman" w:cs="Times New Roman" w:eastAsia="Times New Roman" w:hAnsi="Times New Roman"/>
          <w:sz w:val="17"/>
          <w:szCs w:val="17"/>
          <w:u w:val="single" w:color="auto"/>
          <w:color w:val="auto"/>
        </w:rPr>
        <w:t>Schedule 3(r)(iii)</w:t>
      </w:r>
      <w:r>
        <w:rPr>
          <w:rFonts w:ascii="Times New Roman" w:cs="Times New Roman" w:eastAsia="Times New Roman" w:hAnsi="Times New Roman"/>
          <w:sz w:val="17"/>
          <w:szCs w:val="17"/>
          <w:color w:val="auto"/>
        </w:rPr>
        <w:t xml:space="preserve"> sets forth the number of shares of Common Stock that are (A) reserved for issuance pursuant to Convertible Securities (other than the Preferred Shares, the Incremental Warrants and shares to be issued under the Company’s Stock Option and Incentive Plans) and (B) that are, as of the date hereof, owned by Persons who are “affiliates” (as defined in Rule 405 of the 1933 Act and calculated based on the assumption that only officers, directors and holders of at least 10% of the Company’s issued and outstanding Common Stock are “affiliates,” other than any holders of 10% of the Company’s issued and outstanding Common Stock that the Company has determined, in consultation with its legal counsel, are not “affiliates,” without conceding that any such Persons are “affiliates” for purposes of federal securities laws) of the Company or any of its Subsidiaries. To the Company’s knowledge, except as set forth on </w:t>
      </w:r>
      <w:r>
        <w:rPr>
          <w:rFonts w:ascii="Times New Roman" w:cs="Times New Roman" w:eastAsia="Times New Roman" w:hAnsi="Times New Roman"/>
          <w:sz w:val="17"/>
          <w:szCs w:val="17"/>
          <w:u w:val="single" w:color="auto"/>
          <w:color w:val="auto"/>
        </w:rPr>
        <w:t>Schedule 3(r)(iii)</w:t>
      </w:r>
      <w:r>
        <w:rPr>
          <w:rFonts w:ascii="Times New Roman" w:cs="Times New Roman" w:eastAsia="Times New Roman" w:hAnsi="Times New Roman"/>
          <w:sz w:val="17"/>
          <w:szCs w:val="17"/>
          <w:color w:val="auto"/>
        </w:rPr>
        <w:t>, no Person owns 10% or more of the Company’s issued and outstanding shares of Common Stock (calculated based on the assumption that all Convertible Securities, whether or not presently exercisable or convertible, have been fully exercised or converted (as the case may be) taking account of any limitations on exercise or conversion (including “blockers”) contained therein without conceding that such identified Person is a 10% stockholder for purposes of federal securities laws).</w:t>
      </w:r>
    </w:p>
    <w:p>
      <w:pPr>
        <w:spacing w:after="0" w:line="180" w:lineRule="exact"/>
        <w:rPr>
          <w:rFonts w:ascii="Times New Roman" w:cs="Times New Roman" w:eastAsia="Times New Roman" w:hAnsi="Times New Roman"/>
          <w:sz w:val="17"/>
          <w:szCs w:val="17"/>
          <w:color w:val="auto"/>
        </w:rPr>
      </w:pPr>
    </w:p>
    <w:p>
      <w:pPr>
        <w:jc w:val="both"/>
        <w:ind w:left="-520" w:firstLine="611"/>
        <w:spacing w:after="0" w:line="266" w:lineRule="auto"/>
        <w:tabs>
          <w:tab w:leader="none" w:pos="395"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Existing Securities; Obligations</w:t>
      </w:r>
      <w:r>
        <w:rPr>
          <w:rFonts w:ascii="Times New Roman" w:cs="Times New Roman" w:eastAsia="Times New Roman" w:hAnsi="Times New Roman"/>
          <w:sz w:val="16"/>
          <w:szCs w:val="16"/>
          <w:color w:val="auto"/>
        </w:rPr>
        <w:t xml:space="preserve">. Except as set forth in the SEC Documents or on </w:t>
      </w:r>
      <w:r>
        <w:rPr>
          <w:rFonts w:ascii="Times New Roman" w:cs="Times New Roman" w:eastAsia="Times New Roman" w:hAnsi="Times New Roman"/>
          <w:sz w:val="16"/>
          <w:szCs w:val="16"/>
          <w:u w:val="single" w:color="auto"/>
          <w:color w:val="auto"/>
        </w:rPr>
        <w:t>Schedule 3(r)(iv)</w:t>
      </w:r>
      <w:r>
        <w:rPr>
          <w:rFonts w:ascii="Times New Roman" w:cs="Times New Roman" w:eastAsia="Times New Roman" w:hAnsi="Times New Roman"/>
          <w:sz w:val="16"/>
          <w:szCs w:val="16"/>
          <w:color w:val="auto"/>
        </w:rPr>
        <w:t>: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1933 Act (except pursuant to the Registration Rights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Securities; and (F) neither the Company nor any Subsidiary has any stock appreciation rights or “phantom stock” plans or agreements or any similar plan or agreement.</w:t>
      </w:r>
    </w:p>
    <w:p>
      <w:pPr>
        <w:spacing w:after="0" w:line="173" w:lineRule="exact"/>
        <w:rPr>
          <w:rFonts w:ascii="Times New Roman" w:cs="Times New Roman" w:eastAsia="Times New Roman" w:hAnsi="Times New Roman"/>
          <w:sz w:val="16"/>
          <w:szCs w:val="16"/>
          <w:color w:val="auto"/>
        </w:rPr>
      </w:pPr>
    </w:p>
    <w:p>
      <w:pPr>
        <w:jc w:val="both"/>
        <w:ind w:left="-520" w:firstLine="611"/>
        <w:spacing w:after="0" w:line="261" w:lineRule="auto"/>
        <w:tabs>
          <w:tab w:leader="none" w:pos="361"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Organizational Documents</w:t>
      </w:r>
      <w:r>
        <w:rPr>
          <w:rFonts w:ascii="Times New Roman" w:cs="Times New Roman" w:eastAsia="Times New Roman" w:hAnsi="Times New Roman"/>
          <w:sz w:val="17"/>
          <w:szCs w:val="17"/>
          <w:color w:val="auto"/>
        </w:rPr>
        <w:t>. The Company has furnished to the Buyers true, correct and complete copies of the Company’s Articles of Incorporation, as amended and as in effect on the date hereof (the “</w:t>
      </w:r>
      <w:r>
        <w:rPr>
          <w:rFonts w:ascii="Times New Roman" w:cs="Times New Roman" w:eastAsia="Times New Roman" w:hAnsi="Times New Roman"/>
          <w:sz w:val="17"/>
          <w:szCs w:val="17"/>
          <w:b w:val="1"/>
          <w:bCs w:val="1"/>
          <w:color w:val="auto"/>
        </w:rPr>
        <w:t>Certificate of Incorporation</w:t>
      </w:r>
      <w:r>
        <w:rPr>
          <w:rFonts w:ascii="Times New Roman" w:cs="Times New Roman" w:eastAsia="Times New Roman" w:hAnsi="Times New Roman"/>
          <w:sz w:val="17"/>
          <w:szCs w:val="17"/>
          <w:color w:val="auto"/>
        </w:rPr>
        <w:t>”), and the Company’s bylaws, as amended and as in effect on the date hereof (the “</w:t>
      </w:r>
      <w:r>
        <w:rPr>
          <w:rFonts w:ascii="Times New Roman" w:cs="Times New Roman" w:eastAsia="Times New Roman" w:hAnsi="Times New Roman"/>
          <w:sz w:val="17"/>
          <w:szCs w:val="17"/>
          <w:b w:val="1"/>
          <w:bCs w:val="1"/>
          <w:color w:val="auto"/>
        </w:rPr>
        <w:t>Bylaws</w:t>
      </w:r>
      <w:r>
        <w:rPr>
          <w:rFonts w:ascii="Times New Roman" w:cs="Times New Roman" w:eastAsia="Times New Roman" w:hAnsi="Times New Roman"/>
          <w:sz w:val="17"/>
          <w:szCs w:val="17"/>
          <w:color w:val="auto"/>
        </w:rPr>
        <w:t>”), and the terms of all Convertible Securities and the material rights of the holders thereof in respect thereto.</w:t>
      </w:r>
    </w:p>
    <w:p>
      <w:pPr>
        <w:spacing w:after="0" w:line="16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2" w:right="339" w:bottom="1440" w:gutter="0" w:footer="0" w:header="0"/>
        </w:sectPr>
      </w:pPr>
    </w:p>
    <w:bookmarkStart w:id="106" w:name="page107"/>
    <w:bookmarkEnd w:id="106"/>
    <w:p>
      <w:pPr>
        <w:jc w:val="both"/>
        <w:ind w:firstLine="606"/>
        <w:spacing w:after="0" w:line="249" w:lineRule="auto"/>
        <w:tabs>
          <w:tab w:leader="none" w:pos="837"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Indebtedness and Other Contracts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3(s)</w:t>
      </w:r>
      <w:r>
        <w:rPr>
          <w:rFonts w:ascii="Times New Roman" w:cs="Times New Roman" w:eastAsia="Times New Roman" w:hAnsi="Times New Roman"/>
          <w:sz w:val="17"/>
          <w:szCs w:val="17"/>
          <w:color w:val="auto"/>
        </w:rPr>
        <w:t>, neither the Company nor any of its Subsidiaries, (i) has any outstanding debt securities, notes, credit agreements, credit facilities or other agreements, documents or instruments evidencing Indebtedness of the Company or any of its Subsidiaries or by which the Company or any of its Subsidiaries is or may become bound, (ii) is a party to any contract, agreement or instrument, the violation of which, or default under which, by the other party(ies) to such contract, agreement or instrument could reasonably be expected to result in a Material Adverse Effect, (iii) has any financing statements securing obligations in any amounts filed in connection with the Company or any of its Subsidiaries; (iv) is in violation of any term of, or in default under, any contract, agreement or instrument relating to any Indebtedness, except where such violations and defaults would not result, individually or in the aggregate, in a Material Adverse Effect, or (v) is a party to any contract, agreement or instrument relating to any Indebtedness, the performance of which, in the judgment of the Company’s officers, has or is expected to have a Material Adverse Effect. Neither the Company nor any of its Subsidiaries have any liabilities or obligations required to be disclosed in the SEC Documents which are not so disclosed in the SEC Documents, other than those incurred in the ordinary course of the Company’s or its Subsidiaries’ respective businesses and which, individually or in the aggregate, do not or could not have a Material Adverse Effect. For purposes of this Agreement: “</w:t>
      </w:r>
      <w:r>
        <w:rPr>
          <w:rFonts w:ascii="Times New Roman" w:cs="Times New Roman" w:eastAsia="Times New Roman" w:hAnsi="Times New Roman"/>
          <w:sz w:val="17"/>
          <w:szCs w:val="17"/>
          <w:b w:val="1"/>
          <w:bCs w:val="1"/>
          <w:color w:val="auto"/>
        </w:rPr>
        <w:t>Contingent Obligation</w:t>
      </w:r>
      <w:r>
        <w:rPr>
          <w:rFonts w:ascii="Times New Roman" w:cs="Times New Roman" w:eastAsia="Times New Roman" w:hAnsi="Times New Roman"/>
          <w:sz w:val="17"/>
          <w:szCs w:val="17"/>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86" w:lineRule="exact"/>
        <w:rPr>
          <w:rFonts w:ascii="Times New Roman" w:cs="Times New Roman" w:eastAsia="Times New Roman" w:hAnsi="Times New Roman"/>
          <w:sz w:val="17"/>
          <w:szCs w:val="17"/>
          <w:color w:val="auto"/>
        </w:rPr>
      </w:pPr>
    </w:p>
    <w:p>
      <w:pPr>
        <w:jc w:val="both"/>
        <w:ind w:firstLine="606"/>
        <w:spacing w:after="0" w:line="251" w:lineRule="auto"/>
        <w:tabs>
          <w:tab w:leader="none" w:pos="818"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xml:space="preserve">. There is no action, suit, arbitration, proceeding, inquiry or investigation before or by the Principal Market, any court, public board, other Governmental Entity, self-regulatory organization or body pending or, to the knowledge of the Company, threatened against or affecting the Company or any of its Subsidiaries, the Common Stock or any of the Company’s or its Subsidiaries’ officers or directors, whether of a civil or criminal nature or otherwise, in their capacities as such, except as set forth in </w:t>
      </w:r>
      <w:r>
        <w:rPr>
          <w:rFonts w:ascii="Times New Roman" w:cs="Times New Roman" w:eastAsia="Times New Roman" w:hAnsi="Times New Roman"/>
          <w:sz w:val="17"/>
          <w:szCs w:val="17"/>
          <w:u w:val="single" w:color="auto"/>
          <w:color w:val="auto"/>
        </w:rPr>
        <w:t>Schedule 3(t)</w:t>
      </w:r>
      <w:r>
        <w:rPr>
          <w:rFonts w:ascii="Times New Roman" w:cs="Times New Roman" w:eastAsia="Times New Roman" w:hAnsi="Times New Roman"/>
          <w:sz w:val="17"/>
          <w:szCs w:val="17"/>
          <w:color w:val="auto"/>
        </w:rPr>
        <w:t>. No director, officer or employee of the Company or any of its subsidiaries has willfully violated 18 U.S.C. §1519 or engaged in spoliation in reasonable anticipation of litigation. Without limitation of the foregoing, there has not been, and to the knowledge of the Company, there is not pending or contemplated, any investigation by the SEC involving the Company, any of its Subsidiaries or any current or former director or officer of the Company or any of its Subsidiaries. The SEC has not issued any stop order or other order suspending the effectiveness of any registration statement filed by the Company under the 1933 Act or the 1934 Act. Neither the Company nor any of its Subsidiaries is subject to any order, writ, judgment, injunction, decree, determination or award of any Governmental Entity.</w:t>
      </w:r>
    </w:p>
    <w:p>
      <w:pPr>
        <w:spacing w:after="0" w:line="177" w:lineRule="exact"/>
        <w:rPr>
          <w:rFonts w:ascii="Times New Roman" w:cs="Times New Roman" w:eastAsia="Times New Roman" w:hAnsi="Times New Roman"/>
          <w:sz w:val="17"/>
          <w:szCs w:val="17"/>
          <w:color w:val="auto"/>
        </w:rPr>
      </w:pPr>
    </w:p>
    <w:p>
      <w:pPr>
        <w:jc w:val="both"/>
        <w:ind w:firstLine="606"/>
        <w:spacing w:after="0" w:line="254" w:lineRule="auto"/>
        <w:tabs>
          <w:tab w:leader="none" w:pos="856"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Neither the Company nor any such Subsidiary has been refused any insurance coverage sought or applied for, and neither the Company nor any such Subsidiary has any reason to believe that it will be unable to renew its existing insurance coverage as and when such coverage expires or to obtain similar coverage from similar insurers as may be necessary to continue its business at a cost that would not have a Material Adverse Effect.</w:t>
      </w:r>
    </w:p>
    <w:p>
      <w:pPr>
        <w:spacing w:after="0" w:line="175" w:lineRule="exact"/>
        <w:rPr>
          <w:rFonts w:ascii="Times New Roman" w:cs="Times New Roman" w:eastAsia="Times New Roman" w:hAnsi="Times New Roman"/>
          <w:sz w:val="17"/>
          <w:szCs w:val="17"/>
          <w:color w:val="auto"/>
        </w:rPr>
      </w:pPr>
    </w:p>
    <w:p>
      <w:pPr>
        <w:jc w:val="both"/>
        <w:ind w:firstLine="606"/>
        <w:spacing w:after="0" w:line="250" w:lineRule="auto"/>
        <w:tabs>
          <w:tab w:leader="none" w:pos="843"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Employee Relations</w:t>
      </w:r>
      <w:r>
        <w:rPr>
          <w:rFonts w:ascii="Times New Roman" w:cs="Times New Roman" w:eastAsia="Times New Roman" w:hAnsi="Times New Roman"/>
          <w:sz w:val="17"/>
          <w:szCs w:val="17"/>
          <w:color w:val="auto"/>
        </w:rPr>
        <w:t>. Neither the Company nor any of its Subsidiaries is a party to any collective bargaining agreement or to the Company’s knowledge employs any member of a union. The Company and its Subsidiaries believe that their relations with their employees are good. No executive officer (as defined in Rule 501(f) promulgated under the 1933 Act) or other key employee of the Company or any of its Subsidiaries has notified the Company or any such Subsidiary that such officer intends to leave the Company or any such Subsidiary or otherwise terminate such officer’s employment with the Company or any such Subsidiary. No current (or former) executive officer or other key employee of the Company or any of its Subsidiaries is, or is now expected to be, in violation of any material term of any employment contract, confidentiality, disclosure or proprietary information agreement, non-competition agreement, or any other contract or agreement or any restrictive covenant, and the continued employment of each such executive officer or other key employee (as the case may be) does not subject the Company or any of its Subsidiaries to any liability with respect to any of the foregoing matters. The Company and its Subsidiaries are in compliance with all federal, state, local and foreign laws and regulations respecting labor, employment and employment practices and benefits, terms and conditions of employment and wages and hours, except where failure to be in compliance would not, either individually or in the aggregate, reasonably be expected to result in a Material Adverse Effect.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7" w:name="page108"/>
    <w:bookmarkEnd w:id="107"/>
    <w:p>
      <w:pPr>
        <w:ind w:left="880" w:hanging="274"/>
        <w:spacing w:after="0"/>
        <w:tabs>
          <w:tab w:leader="none" w:pos="88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Title</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00" w:firstLine="611"/>
        <w:spacing w:after="0" w:line="252" w:lineRule="auto"/>
        <w:tabs>
          <w:tab w:leader="none" w:pos="1406"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 Each of the Company and its Subsidiaries holds good title to all real property, leases in real property, facilities or other interests in real property owned or held by the Company or any of its Subsidiaries (the “</w:t>
      </w:r>
      <w:r>
        <w:rPr>
          <w:rFonts w:ascii="Times New Roman" w:cs="Times New Roman" w:eastAsia="Times New Roman" w:hAnsi="Times New Roman"/>
          <w:sz w:val="17"/>
          <w:szCs w:val="17"/>
          <w:b w:val="1"/>
          <w:bCs w:val="1"/>
          <w:color w:val="auto"/>
        </w:rPr>
        <w:t>Real Property</w:t>
      </w:r>
      <w:r>
        <w:rPr>
          <w:rFonts w:ascii="Times New Roman" w:cs="Times New Roman" w:eastAsia="Times New Roman" w:hAnsi="Times New Roman"/>
          <w:sz w:val="17"/>
          <w:szCs w:val="17"/>
          <w:color w:val="auto"/>
        </w:rPr>
        <w:t>”) owned by the Company or any of its Subsidiaries (as applicable). The Real Property is free and clear of all Liens and is not subject to any rights of way, building use restrictions, exceptions, variances, reservations, or limitations of any nature except for (a) Liens for current taxes not yet due and (b) zoning laws and other land use restrictions that do not impair the present or anticipated use of the property subject thereto. Any Real Property held under lease by the Company or any of its Subsidiaries are held by them under valid, subsisting and enforceable leases with such exceptions as are not material and do not interfere with the use made and proposed to be made of such property and buildings by the Company or any of its Subsidiaries.</w:t>
      </w:r>
    </w:p>
    <w:p>
      <w:pPr>
        <w:spacing w:after="0" w:line="177" w:lineRule="exact"/>
        <w:rPr>
          <w:rFonts w:ascii="Times New Roman" w:cs="Times New Roman" w:eastAsia="Times New Roman" w:hAnsi="Times New Roman"/>
          <w:sz w:val="17"/>
          <w:szCs w:val="17"/>
          <w:color w:val="auto"/>
        </w:rPr>
      </w:pPr>
    </w:p>
    <w:p>
      <w:pPr>
        <w:jc w:val="both"/>
        <w:ind w:left="600" w:firstLine="611"/>
        <w:spacing w:after="0" w:line="252" w:lineRule="auto"/>
        <w:tabs>
          <w:tab w:leader="none" w:pos="1452"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Fixtures and Equipment</w:t>
      </w:r>
      <w:r>
        <w:rPr>
          <w:rFonts w:ascii="Times New Roman" w:cs="Times New Roman" w:eastAsia="Times New Roman" w:hAnsi="Times New Roman"/>
          <w:sz w:val="17"/>
          <w:szCs w:val="17"/>
          <w:color w:val="auto"/>
        </w:rPr>
        <w:t>. Each of the Company and its Subsidiaries (as applicable) has good title to, or a valid leasehold interest in, the tangible personal property, equipment, improvements, fixtures, and other personal property and appurtenances that are used by the Company or its Subsidiary in connection with the conduct of its business (the “</w:t>
      </w:r>
      <w:r>
        <w:rPr>
          <w:rFonts w:ascii="Times New Roman" w:cs="Times New Roman" w:eastAsia="Times New Roman" w:hAnsi="Times New Roman"/>
          <w:sz w:val="17"/>
          <w:szCs w:val="17"/>
          <w:b w:val="1"/>
          <w:bCs w:val="1"/>
          <w:color w:val="auto"/>
        </w:rPr>
        <w:t>Fixtures and Equipment</w:t>
      </w:r>
      <w:r>
        <w:rPr>
          <w:rFonts w:ascii="Times New Roman" w:cs="Times New Roman" w:eastAsia="Times New Roman" w:hAnsi="Times New Roman"/>
          <w:sz w:val="17"/>
          <w:szCs w:val="17"/>
          <w:color w:val="auto"/>
        </w:rPr>
        <w:t>”). The Fixtures and Equipment are structurally sound, are in good operating condition and repair, are adequate for the uses to which they are being put, are not in need of maintenance or repairs except for ordinary, routine maintenance and repairs and are sufficient for the conduct of the Company’s and/or its Subsidiaries’ businesses (as applicable) in the manner as conducted prior to the Closing. Each of the Company and its Subsidiaries owns all of its Fixtures and Equipment free and clear of all Liens except for (a) liens for current taxes not yet due and (b) zoning laws and other land use restrictions that do not impair the present or anticipated use of the property subject thereto.</w:t>
      </w:r>
    </w:p>
    <w:p>
      <w:pPr>
        <w:spacing w:after="0" w:line="177" w:lineRule="exact"/>
        <w:rPr>
          <w:rFonts w:ascii="Times New Roman" w:cs="Times New Roman" w:eastAsia="Times New Roman" w:hAnsi="Times New Roman"/>
          <w:sz w:val="17"/>
          <w:szCs w:val="17"/>
          <w:color w:val="auto"/>
        </w:rPr>
      </w:pPr>
    </w:p>
    <w:p>
      <w:pPr>
        <w:jc w:val="both"/>
        <w:ind w:firstLine="606"/>
        <w:spacing w:after="0" w:line="250" w:lineRule="auto"/>
        <w:tabs>
          <w:tab w:leader="none" w:pos="85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Intellectual Property Rights</w:t>
      </w:r>
      <w:r>
        <w:rPr>
          <w:rFonts w:ascii="Times New Roman" w:cs="Times New Roman" w:eastAsia="Times New Roman" w:hAnsi="Times New Roman"/>
          <w:sz w:val="17"/>
          <w:szCs w:val="17"/>
          <w:color w:val="auto"/>
        </w:rPr>
        <w:t>. The Company and its Subsidiaries own or possess adequate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 (“</w:t>
      </w:r>
      <w:r>
        <w:rPr>
          <w:rFonts w:ascii="Times New Roman" w:cs="Times New Roman" w:eastAsia="Times New Roman" w:hAnsi="Times New Roman"/>
          <w:sz w:val="17"/>
          <w:szCs w:val="17"/>
          <w:b w:val="1"/>
          <w:bCs w:val="1"/>
          <w:color w:val="auto"/>
        </w:rPr>
        <w:t>Intellectual Property Rights</w:t>
      </w:r>
      <w:r>
        <w:rPr>
          <w:rFonts w:ascii="Times New Roman" w:cs="Times New Roman" w:eastAsia="Times New Roman" w:hAnsi="Times New Roman"/>
          <w:sz w:val="17"/>
          <w:szCs w:val="17"/>
          <w:color w:val="auto"/>
        </w:rPr>
        <w:t xml:space="preserve">”) necessary to conduct their respective businesses as now conducted and presently proposed to be conducted. Each of patents owned by the Company or any of its Subsidiaries is listed on </w:t>
      </w:r>
      <w:r>
        <w:rPr>
          <w:rFonts w:ascii="Times New Roman" w:cs="Times New Roman" w:eastAsia="Times New Roman" w:hAnsi="Times New Roman"/>
          <w:sz w:val="17"/>
          <w:szCs w:val="17"/>
          <w:u w:val="single" w:color="auto"/>
          <w:color w:val="auto"/>
        </w:rPr>
        <w:t>Schedule 3(x)(i).</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Schedule 3(x)(ii)</w:t>
      </w:r>
      <w:r>
        <w:rPr>
          <w:rFonts w:ascii="Times New Roman" w:cs="Times New Roman" w:eastAsia="Times New Roman" w:hAnsi="Times New Roman"/>
          <w:sz w:val="17"/>
          <w:szCs w:val="17"/>
          <w:color w:val="auto"/>
        </w:rPr>
        <w:t xml:space="preserve">, none of the Company’s Intellectual Property Rights have expired or terminated or have been abandoned or are expected to expire or terminate or are expected to be abandoned, within three years from the date of this Agreement. The Company does not have any knowledge of any infringement by the Company or its Subsidiaries of Intellectual Property Rights of others. Except as set forth in </w:t>
      </w:r>
      <w:r>
        <w:rPr>
          <w:rFonts w:ascii="Times New Roman" w:cs="Times New Roman" w:eastAsia="Times New Roman" w:hAnsi="Times New Roman"/>
          <w:sz w:val="17"/>
          <w:szCs w:val="17"/>
          <w:u w:val="single" w:color="auto"/>
          <w:color w:val="auto"/>
        </w:rPr>
        <w:t>Schedule 3(t)</w:t>
      </w:r>
      <w:r>
        <w:rPr>
          <w:rFonts w:ascii="Times New Roman" w:cs="Times New Roman" w:eastAsia="Times New Roman" w:hAnsi="Times New Roman"/>
          <w:sz w:val="17"/>
          <w:szCs w:val="17"/>
          <w:color w:val="auto"/>
        </w:rPr>
        <w:t>, there is no claim, action or proceeding being made or brought, or to the knowledge of the Company or any of its Subsidiaries, being threatened, against the Company or any of its Subsidiaries regarding its Intellectual Property Rights. Neither the Company nor any of its Subsidiaries is aware of any facts or circumstances which might give rise to any of the foregoing infringements or claims, actions or proceedings. The Company and its Subsidiaries have taken reasonable security measures to protect the secrecy, confidentiality and value of all of their Intellectual Property Rights.</w:t>
      </w:r>
    </w:p>
    <w:p>
      <w:pPr>
        <w:spacing w:after="0" w:line="180" w:lineRule="exact"/>
        <w:rPr>
          <w:rFonts w:ascii="Times New Roman" w:cs="Times New Roman" w:eastAsia="Times New Roman" w:hAnsi="Times New Roman"/>
          <w:sz w:val="17"/>
          <w:szCs w:val="17"/>
          <w:color w:val="auto"/>
        </w:rPr>
      </w:pPr>
    </w:p>
    <w:p>
      <w:pPr>
        <w:jc w:val="both"/>
        <w:ind w:firstLine="606"/>
        <w:spacing w:after="0" w:line="251" w:lineRule="auto"/>
        <w:tabs>
          <w:tab w:leader="none" w:pos="856"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(i) The Company and its Subsidiaries (A) are in compliance with any and all Environmental Laws (as defined below), (B) have received all permits, licenses or other approvals required of them under applicable Environmental Laws to conduct their respective businesses and (C) are in compliance with all terms and conditions of any such permit, license or approval where, in each of the foregoing clauses (A), (B) and (C), the failure to so comply could be reasonably expected to have, individually or in the aggregate, a Material Adverse Effect. The term “</w:t>
      </w:r>
      <w:r>
        <w:rPr>
          <w:rFonts w:ascii="Times New Roman" w:cs="Times New Roman" w:eastAsia="Times New Roman" w:hAnsi="Times New Roman"/>
          <w:sz w:val="17"/>
          <w:szCs w:val="17"/>
          <w:b w:val="1"/>
          <w:bCs w:val="1"/>
          <w:color w:val="auto"/>
        </w:rPr>
        <w:t>Environmental Laws</w:t>
      </w:r>
      <w:r>
        <w:rPr>
          <w:rFonts w:ascii="Times New Roman" w:cs="Times New Roman" w:eastAsia="Times New Roman" w:hAnsi="Times New Roman"/>
          <w:sz w:val="17"/>
          <w:szCs w:val="17"/>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7"/>
          <w:szCs w:val="17"/>
          <w:b w:val="1"/>
          <w:bCs w:val="1"/>
          <w:color w:val="auto"/>
        </w:rPr>
        <w:t>Hazardous Materials</w:t>
      </w:r>
      <w:r>
        <w:rPr>
          <w:rFonts w:ascii="Times New Roman" w:cs="Times New Roman" w:eastAsia="Times New Roman" w:hAnsi="Times New Roman"/>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8" w:name="page109"/>
    <w:bookmarkEnd w:id="108"/>
    <w:p>
      <w:pPr>
        <w:ind w:left="1460" w:hanging="249"/>
        <w:spacing w:after="0"/>
        <w:tabs>
          <w:tab w:leader="none" w:pos="146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Hazardous Materials</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ind w:left="1220" w:firstLine="1202"/>
        <w:spacing w:after="0" w:line="274" w:lineRule="auto"/>
        <w:tabs>
          <w:tab w:leader="none" w:pos="2711"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been disposed of or otherwise released from any Real Property of the Company or any of its Subsidiaries in violation of any Environmental Laws; or</w:t>
      </w:r>
    </w:p>
    <w:p>
      <w:pPr>
        <w:spacing w:after="0" w:line="158" w:lineRule="exact"/>
        <w:rPr>
          <w:rFonts w:ascii="Times New Roman" w:cs="Times New Roman" w:eastAsia="Times New Roman" w:hAnsi="Times New Roman"/>
          <w:sz w:val="17"/>
          <w:szCs w:val="17"/>
          <w:color w:val="auto"/>
        </w:rPr>
      </w:pPr>
    </w:p>
    <w:p>
      <w:pPr>
        <w:jc w:val="both"/>
        <w:ind w:left="1220" w:firstLine="1202"/>
        <w:spacing w:after="0" w:line="261" w:lineRule="auto"/>
        <w:tabs>
          <w:tab w:leader="none" w:pos="2697"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present on, over, beneath, in or upon any Real Property or any portion thereof in quantities that would constitute a violation of any Environmental Laws. No prior use by the Company or any of its Subsidiaries of any Real Property has occurred that violates any Environmental Laws, which violation would have a material adverse effect on the business of the Company or any of its Subsidiaries.</w:t>
      </w:r>
    </w:p>
    <w:p>
      <w:pPr>
        <w:spacing w:after="0" w:line="169" w:lineRule="exact"/>
        <w:rPr>
          <w:rFonts w:ascii="Times New Roman" w:cs="Times New Roman" w:eastAsia="Times New Roman" w:hAnsi="Times New Roman"/>
          <w:sz w:val="17"/>
          <w:szCs w:val="17"/>
          <w:color w:val="auto"/>
        </w:rPr>
      </w:pPr>
    </w:p>
    <w:p>
      <w:pPr>
        <w:ind w:left="600" w:firstLine="611"/>
        <w:spacing w:after="0" w:line="274" w:lineRule="auto"/>
        <w:tabs>
          <w:tab w:leader="none" w:pos="1513"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knows of any other person who or entity which has stored, treated, recycled, disposed of or otherwise located on any Real Property any Hazardous Materials, including, without limitation, such substances as asbestos and polychlorinated biphenyls.</w:t>
      </w:r>
    </w:p>
    <w:p>
      <w:pPr>
        <w:spacing w:after="0" w:line="154" w:lineRule="exact"/>
        <w:rPr>
          <w:rFonts w:ascii="Times New Roman" w:cs="Times New Roman" w:eastAsia="Times New Roman" w:hAnsi="Times New Roman"/>
          <w:sz w:val="17"/>
          <w:szCs w:val="17"/>
          <w:color w:val="auto"/>
        </w:rPr>
      </w:pPr>
    </w:p>
    <w:p>
      <w:pPr>
        <w:ind w:left="600" w:firstLine="611"/>
        <w:spacing w:after="0" w:line="279" w:lineRule="auto"/>
        <w:tabs>
          <w:tab w:leader="none" w:pos="15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Real Properties are on any federal or state “Superfund” list or Liability Information System (“</w:t>
      </w:r>
      <w:r>
        <w:rPr>
          <w:rFonts w:ascii="Times New Roman" w:cs="Times New Roman" w:eastAsia="Times New Roman" w:hAnsi="Times New Roman"/>
          <w:sz w:val="17"/>
          <w:szCs w:val="17"/>
          <w:b w:val="1"/>
          <w:bCs w:val="1"/>
          <w:color w:val="auto"/>
        </w:rPr>
        <w:t>CERCLIS</w:t>
      </w:r>
      <w:r>
        <w:rPr>
          <w:rFonts w:ascii="Times New Roman" w:cs="Times New Roman" w:eastAsia="Times New Roman" w:hAnsi="Times New Roman"/>
          <w:sz w:val="17"/>
          <w:szCs w:val="17"/>
          <w:color w:val="auto"/>
        </w:rPr>
        <w:t>”) list or any state environmental agency list of sites under consideration for CERCLIS, nor subject to any environmental related Liens.</w:t>
      </w:r>
    </w:p>
    <w:p>
      <w:pPr>
        <w:spacing w:after="0" w:line="155" w:lineRule="exact"/>
        <w:rPr>
          <w:sz w:val="20"/>
          <w:szCs w:val="20"/>
          <w:color w:val="auto"/>
        </w:rPr>
      </w:pPr>
    </w:p>
    <w:p>
      <w:pPr>
        <w:ind w:firstLine="606"/>
        <w:spacing w:after="0" w:line="274" w:lineRule="auto"/>
        <w:tabs>
          <w:tab w:leader="none" w:pos="846"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Subsidiary Rights</w:t>
      </w:r>
      <w:r>
        <w:rPr>
          <w:rFonts w:ascii="Times New Roman" w:cs="Times New Roman" w:eastAsia="Times New Roman" w:hAnsi="Times New Roman"/>
          <w:sz w:val="17"/>
          <w:szCs w:val="17"/>
          <w:color w:val="auto"/>
        </w:rPr>
        <w:t>. The Company or one of its Subsidiaries has the unrestricted right to vote, and (subject to limitations imposed by applicable law) to receive dividends and distributions on, all capital securities of its Subsidiaries as owned by the Company or such Subsidiary.</w:t>
      </w:r>
    </w:p>
    <w:p>
      <w:pPr>
        <w:spacing w:after="0" w:line="159" w:lineRule="exact"/>
        <w:rPr>
          <w:sz w:val="20"/>
          <w:szCs w:val="20"/>
          <w:color w:val="auto"/>
        </w:rPr>
      </w:pPr>
    </w:p>
    <w:p>
      <w:pPr>
        <w:jc w:val="both"/>
        <w:ind w:firstLine="606"/>
        <w:spacing w:after="0" w:line="253" w:lineRule="auto"/>
        <w:tabs>
          <w:tab w:leader="none" w:pos="908"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Status</w:t>
      </w:r>
      <w:r>
        <w:rPr>
          <w:rFonts w:ascii="Times New Roman" w:cs="Times New Roman" w:eastAsia="Times New Roman" w:hAnsi="Times New Roman"/>
          <w:sz w:val="17"/>
          <w:szCs w:val="17"/>
          <w:color w:val="auto"/>
        </w:rPr>
        <w:t>. The Company and each of its Subsidiaries (i) has timely made or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There are no unpaid taxes in any material amount claimed to be due by the taxing authority of any jurisdiction, and the officers of the Company and its Subsidiaries know of no basis for any such claim.</w:t>
      </w:r>
    </w:p>
    <w:p>
      <w:pPr>
        <w:spacing w:after="0" w:line="175" w:lineRule="exact"/>
        <w:rPr>
          <w:rFonts w:ascii="Times New Roman" w:cs="Times New Roman" w:eastAsia="Times New Roman" w:hAnsi="Times New Roman"/>
          <w:sz w:val="17"/>
          <w:szCs w:val="17"/>
          <w:color w:val="auto"/>
        </w:rPr>
      </w:pPr>
    </w:p>
    <w:p>
      <w:pPr>
        <w:jc w:val="both"/>
        <w:ind w:firstLine="606"/>
        <w:spacing w:after="0" w:line="249" w:lineRule="auto"/>
        <w:tabs>
          <w:tab w:leader="none" w:pos="927"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Internal Accounting and Disclosure Controls</w:t>
      </w:r>
      <w:r>
        <w:rPr>
          <w:rFonts w:ascii="Times New Roman" w:cs="Times New Roman" w:eastAsia="Times New Roman" w:hAnsi="Times New Roman"/>
          <w:sz w:val="17"/>
          <w:szCs w:val="17"/>
          <w:color w:val="auto"/>
        </w:rPr>
        <w:t>. The Company and each of its Subsidiaries maintains internal control over financial reporting (as such term is defined in Rule 13a-15(f) under the 1934 Act) that is effective to provide reasonable assurance regarding the reliability of financial reporting and the preparation of financial statements for external purposes in accordance with generally accepted accounting principles, including that (i) transactions are executed in accordance with management’s general or specific authorizations, (ii) transactions are recorded as necessary to permit preparation of financial statements in conformity with GAAP and to maintain asset and liability accountability, (iii) access to assets or incurrence of liabilities is permitted only in accordance with management’s general or specific authorization and (iv) the recorded accountability for assets and liabilities is compared with the existing assets and liabilities at reasonable intervals and appropriate action is taken with respect to any difference. Except as set forth in the SEC Documents, the Company maintains disclosure controls and procedures (as such term is defined in Rule 13a-15(e) under the 1934 Act) that are effective in ensuring that information required to be disclosed by the Company in the reports that it files or submits under the 1934 Act is recorded, processed, summarized and reported, within the time periods specified in the rules and forms of the SEC, including, without limitation, controls and procedures designed to ensure that information required to be disclosed by the Company in the reports that it files or submits under the 1934 Act is accumulated and communicated to the Company’s management, including its principal executive officer or officers and its principal financial officer or officers, as appropriate, to allow timely decisions regarding required disclosure. Neither the Company nor any of its Subsidiaries has received any notice or correspondence from any accountant, Governmental Entity or other Person relating to any potential material weakness or significant deficiency in any part of the internal controls over financial reporting of the Company or any of its Subsidiaries.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9" w:name="page110"/>
    <w:bookmarkEnd w:id="109"/>
    <w:p>
      <w:pPr>
        <w:jc w:val="both"/>
        <w:ind w:firstLine="606"/>
        <w:spacing w:after="0" w:line="261" w:lineRule="auto"/>
        <w:tabs>
          <w:tab w:leader="none" w:pos="921"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 Balance Sheet Arrangements</w:t>
      </w:r>
      <w:r>
        <w:rPr>
          <w:rFonts w:ascii="Times New Roman" w:cs="Times New Roman" w:eastAsia="Times New Roman" w:hAnsi="Times New Roman"/>
          <w:sz w:val="17"/>
          <w:szCs w:val="17"/>
          <w:color w:val="auto"/>
        </w:rPr>
        <w:t>. There is no transaction, arrangement, or other relationship between the Company or any of its Subsidiaries and an unconsolidated or other off balance sheet entity that is required to be disclosed by the Company in its 1934 Act filings and is not so disclosed or that otherwise could be reasonably likely to have a Material Adverse Effect.</w:t>
      </w:r>
    </w:p>
    <w:p>
      <w:pPr>
        <w:spacing w:after="0" w:line="169" w:lineRule="exact"/>
        <w:rPr>
          <w:rFonts w:ascii="Times New Roman" w:cs="Times New Roman" w:eastAsia="Times New Roman" w:hAnsi="Times New Roman"/>
          <w:sz w:val="17"/>
          <w:szCs w:val="17"/>
          <w:color w:val="auto"/>
        </w:rPr>
      </w:pPr>
    </w:p>
    <w:p>
      <w:pPr>
        <w:jc w:val="both"/>
        <w:ind w:firstLine="606"/>
        <w:spacing w:after="0" w:line="261" w:lineRule="auto"/>
        <w:tabs>
          <w:tab w:leader="none" w:pos="9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Company Status</w:t>
      </w:r>
      <w:r>
        <w:rPr>
          <w:rFonts w:ascii="Times New Roman" w:cs="Times New Roman" w:eastAsia="Times New Roman" w:hAnsi="Times New Roman"/>
          <w:sz w:val="17"/>
          <w:szCs w:val="17"/>
          <w:color w:val="auto"/>
        </w:rPr>
        <w:t>. The Company is not, and upon consummation of the sale of the Securities will not be, an “investment company,” an affiliate of an “investment company,” a company controlled by an “investment company” or an “affiliated person” of, or “promoter” or “principal underwriter” for, an “investment company” as such terms are defined in the Investment Company Act of 1940, as amended.</w:t>
      </w:r>
    </w:p>
    <w:p>
      <w:pPr>
        <w:spacing w:after="0" w:line="169" w:lineRule="exact"/>
        <w:rPr>
          <w:rFonts w:ascii="Times New Roman" w:cs="Times New Roman" w:eastAsia="Times New Roman" w:hAnsi="Times New Roman"/>
          <w:sz w:val="17"/>
          <w:szCs w:val="17"/>
          <w:color w:val="auto"/>
        </w:rPr>
      </w:pPr>
    </w:p>
    <w:p>
      <w:pPr>
        <w:jc w:val="both"/>
        <w:ind w:firstLine="606"/>
        <w:spacing w:after="0" w:line="249" w:lineRule="auto"/>
        <w:tabs>
          <w:tab w:leader="none" w:pos="908"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Acknowledgement Regarding Buyers’ Trading Activity</w:t>
      </w:r>
      <w:r>
        <w:rPr>
          <w:rFonts w:ascii="Times New Roman" w:cs="Times New Roman" w:eastAsia="Times New Roman" w:hAnsi="Times New Roman"/>
          <w:sz w:val="17"/>
          <w:szCs w:val="17"/>
          <w:color w:val="auto"/>
        </w:rPr>
        <w:t>. It is understood and acknowledged by the Company that (i) following the public disclosure of the transactions contemplated by the Transaction Documents, in accordance with the terms thereof, none of the Buyers have been asked by the Company or any of its Subsidiaries to agree, nor has any Buyer agreed with the Company or any of its Subsidiaries, to desist from effecting any transactions in or with respect to (including, without limitation, purchasing or selling, long and/or short) any securities of the Company, or “derivative” securities based on securities issued by the Company or to hold any of the Securities for any specified term; (ii) any Buyer, and counterparties in “derivative” transactions to which any such Buyer is a party, directly or indirectly, presently may have a “short” position in the Common Stock which was established prior to such Buyer’s knowledge of the transactions contemplated by the Transaction Documents; (iii) each Buyer shall not be deemed to have any affiliation with or control over any arm’s length counterparty in any “derivative” transaction; and (iv) each Buyer may rely on the Company’s obligation to timely deliver shares of Common Stock upon conversion, exercise or exchange, as applicable, of the Securities as and when required pursuant to the Transaction Documents for purposes of effecting trading in the Common Stock of the Company. The Company further understands and acknowledges that following the public disclosure of the transactions contemplated by the Transaction Documents pursuant to the Press Release (as defined below) one or more Buyers may engage in hedging and/or trading activities (including, without limitation, the location and/or reservation of borrowable shares of Common Stock) at various times during the period that the Securities are outstanding, including, without limitation, during the periods that the value and/or number of the Conversion Shares or Incremental Warrant Conversion Shares, as applicable, deliverable with respect to the Securities are being determined and such hedging and/or trading activities (including, without limitation, the location and/or reservation of borrowable shares of Common Stock), if any, can reduce the value of the existing stockholders’ equity interest in the Company both at and after the time the hedging and/or trading activities are being conducted. The Company acknowledges that such aforementioned hedging and/or trading activities do not constitute a breach of this Agreement, the Certificate of Designations, the Incremental Warrants or any other Transaction Document or any of the documents executed in connection herewith or therewith.</w:t>
      </w:r>
    </w:p>
    <w:p>
      <w:pPr>
        <w:spacing w:after="0" w:line="183" w:lineRule="exact"/>
        <w:rPr>
          <w:rFonts w:ascii="Times New Roman" w:cs="Times New Roman" w:eastAsia="Times New Roman" w:hAnsi="Times New Roman"/>
          <w:sz w:val="17"/>
          <w:szCs w:val="17"/>
          <w:color w:val="auto"/>
        </w:rPr>
      </w:pPr>
    </w:p>
    <w:p>
      <w:pPr>
        <w:jc w:val="both"/>
        <w:ind w:firstLine="606"/>
        <w:spacing w:after="0" w:line="253" w:lineRule="auto"/>
        <w:tabs>
          <w:tab w:leader="none" w:pos="868"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Manipulation of Price</w:t>
      </w:r>
      <w:r>
        <w:rPr>
          <w:rFonts w:ascii="Times New Roman" w:cs="Times New Roman" w:eastAsia="Times New Roman" w:hAnsi="Times New Roman"/>
          <w:sz w:val="17"/>
          <w:szCs w:val="17"/>
          <w:color w:val="auto"/>
        </w:rPr>
        <w:t>. Neither the Company nor any of its Subsidiaries has, and, to the knowledge of the Company, no Person acting on their behalf has, directly or indirectly, (i) taken any action designed to cause or to result in the stabilization or manipulation of the price of any security of the Company or any of its Subsidiaries to facilitate the sale or resale of any of the Securities, (ii) sold, bid for, purchased, or paid any compensation for soliciting purchases of, any of the Securities (other than the Placement Agent and the Financial Advisor), (iii) paid or agreed to pay to any Person any compensation for soliciting another to purchase any other securities of the Company or any of its Subsidiaries or (iv) paid or agreed to pay any Person for research services with respect to any securities of the Company or any of its Subsidiaries.</w:t>
      </w:r>
    </w:p>
    <w:p>
      <w:pPr>
        <w:spacing w:after="0" w:line="175" w:lineRule="exact"/>
        <w:rPr>
          <w:rFonts w:ascii="Times New Roman" w:cs="Times New Roman" w:eastAsia="Times New Roman" w:hAnsi="Times New Roman"/>
          <w:sz w:val="17"/>
          <w:szCs w:val="17"/>
          <w:color w:val="auto"/>
        </w:rPr>
      </w:pPr>
    </w:p>
    <w:p>
      <w:pPr>
        <w:jc w:val="both"/>
        <w:ind w:firstLine="606"/>
        <w:spacing w:after="0" w:line="261" w:lineRule="auto"/>
        <w:tabs>
          <w:tab w:leader="none" w:pos="927"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 Real Property Holding Corporation</w:t>
      </w:r>
      <w:r>
        <w:rPr>
          <w:rFonts w:ascii="Times New Roman" w:cs="Times New Roman" w:eastAsia="Times New Roman" w:hAnsi="Times New Roman"/>
          <w:sz w:val="17"/>
          <w:szCs w:val="17"/>
          <w:color w:val="auto"/>
        </w:rPr>
        <w:t>. Neither the Company nor any of its Subsidiaries is, or has ever been, and so long as any of the Securities are held by any of the Buyers, shall become, a U.S. real property holding corporation within the meaning of Section 897 of the Code, and the Company and each Subsidiary shall so certify upon any Buyer’s request.</w:t>
      </w:r>
    </w:p>
    <w:p>
      <w:pPr>
        <w:spacing w:after="0" w:line="169" w:lineRule="exact"/>
        <w:rPr>
          <w:rFonts w:ascii="Times New Roman" w:cs="Times New Roman" w:eastAsia="Times New Roman" w:hAnsi="Times New Roman"/>
          <w:sz w:val="17"/>
          <w:szCs w:val="17"/>
          <w:color w:val="auto"/>
        </w:rPr>
      </w:pPr>
    </w:p>
    <w:p>
      <w:pPr>
        <w:ind w:firstLine="606"/>
        <w:spacing w:after="0" w:line="274" w:lineRule="auto"/>
        <w:tabs>
          <w:tab w:leader="none" w:pos="927"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Eligibility</w:t>
      </w:r>
      <w:r>
        <w:rPr>
          <w:rFonts w:ascii="Times New Roman" w:cs="Times New Roman" w:eastAsia="Times New Roman" w:hAnsi="Times New Roman"/>
          <w:sz w:val="17"/>
          <w:szCs w:val="17"/>
          <w:color w:val="auto"/>
        </w:rPr>
        <w:t>. The Company is eligible to register the Registrable Securities (defined in the Registration Rights Agreement) for resale by the Buyers using Form S-1 promulgated under the 1933 Act.</w:t>
      </w:r>
    </w:p>
    <w:p>
      <w:pPr>
        <w:spacing w:after="0" w:line="158" w:lineRule="exact"/>
        <w:rPr>
          <w:rFonts w:ascii="Times New Roman" w:cs="Times New Roman" w:eastAsia="Times New Roman" w:hAnsi="Times New Roman"/>
          <w:sz w:val="17"/>
          <w:szCs w:val="17"/>
          <w:color w:val="auto"/>
        </w:rPr>
      </w:pPr>
    </w:p>
    <w:p>
      <w:pPr>
        <w:jc w:val="both"/>
        <w:ind w:firstLine="606"/>
        <w:spacing w:after="0" w:line="261" w:lineRule="auto"/>
        <w:tabs>
          <w:tab w:leader="none" w:pos="852"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On the Closing Date, all stock transfer or other taxes (other than income or similar taxes) which are required to be paid in connection with the issuance, sale and transfer of the Securities to be sold to each Buyer hereunder will be, or will have been, fully paid or provided for by the Company, and all laws imposing such taxes will be or will have been complied with.</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0" w:name="page111"/>
    <w:bookmarkEnd w:id="110"/>
    <w:p>
      <w:pPr>
        <w:jc w:val="both"/>
        <w:ind w:firstLine="606"/>
        <w:spacing w:after="0" w:line="253" w:lineRule="auto"/>
        <w:tabs>
          <w:tab w:leader="none" w:pos="865"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Bank Holding Company Act</w:t>
      </w:r>
      <w:r>
        <w:rPr>
          <w:rFonts w:ascii="Times New Roman" w:cs="Times New Roman" w:eastAsia="Times New Roman" w:hAnsi="Times New Roman"/>
          <w:sz w:val="17"/>
          <w:szCs w:val="17"/>
          <w:color w:val="auto"/>
        </w:rPr>
        <w:t>. Neither the Company nor any of its Subsidiaries is subject to the Bank Holding Company Act of 1956, as amended (the “</w:t>
      </w:r>
      <w:r>
        <w:rPr>
          <w:rFonts w:ascii="Times New Roman" w:cs="Times New Roman" w:eastAsia="Times New Roman" w:hAnsi="Times New Roman"/>
          <w:sz w:val="17"/>
          <w:szCs w:val="17"/>
          <w:b w:val="1"/>
          <w:bCs w:val="1"/>
          <w:color w:val="auto"/>
        </w:rPr>
        <w:t>BHCA</w:t>
      </w:r>
      <w:r>
        <w:rPr>
          <w:rFonts w:ascii="Times New Roman" w:cs="Times New Roman" w:eastAsia="Times New Roman" w:hAnsi="Times New Roman"/>
          <w:sz w:val="17"/>
          <w:szCs w:val="17"/>
          <w:color w:val="auto"/>
        </w:rPr>
        <w:t>”) and to regulation by the Board of Governors of the Federal Reserve System (the “</w:t>
      </w:r>
      <w:r>
        <w:rPr>
          <w:rFonts w:ascii="Times New Roman" w:cs="Times New Roman" w:eastAsia="Times New Roman" w:hAnsi="Times New Roman"/>
          <w:sz w:val="17"/>
          <w:szCs w:val="17"/>
          <w:b w:val="1"/>
          <w:bCs w:val="1"/>
          <w:color w:val="auto"/>
        </w:rPr>
        <w:t>Federal Reserve</w:t>
      </w:r>
      <w:r>
        <w:rPr>
          <w:rFonts w:ascii="Times New Roman" w:cs="Times New Roman" w:eastAsia="Times New Roman" w:hAnsi="Times New Roman"/>
          <w:sz w:val="17"/>
          <w:szCs w:val="17"/>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75" w:lineRule="exact"/>
        <w:rPr>
          <w:rFonts w:ascii="Times New Roman" w:cs="Times New Roman" w:eastAsia="Times New Roman" w:hAnsi="Times New Roman"/>
          <w:sz w:val="17"/>
          <w:szCs w:val="17"/>
          <w:color w:val="auto"/>
        </w:rPr>
      </w:pPr>
    </w:p>
    <w:p>
      <w:pPr>
        <w:ind w:left="920" w:hanging="314"/>
        <w:spacing w:after="0"/>
        <w:tabs>
          <w:tab w:leader="none" w:pos="9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Shell Company Status</w:t>
      </w:r>
      <w:r>
        <w:rPr>
          <w:rFonts w:ascii="Times New Roman" w:cs="Times New Roman" w:eastAsia="Times New Roman" w:hAnsi="Times New Roman"/>
          <w:sz w:val="17"/>
          <w:szCs w:val="17"/>
          <w:color w:val="auto"/>
        </w:rPr>
        <w:t>. The Company is not, and has not been in the past twelve (12) months, an issuer identified in, or subject to, Rule 144(i).</w:t>
      </w:r>
    </w:p>
    <w:p>
      <w:pPr>
        <w:spacing w:after="0" w:line="207" w:lineRule="exact"/>
        <w:rPr>
          <w:rFonts w:ascii="Times New Roman" w:cs="Times New Roman" w:eastAsia="Times New Roman" w:hAnsi="Times New Roman"/>
          <w:sz w:val="17"/>
          <w:szCs w:val="17"/>
          <w:color w:val="auto"/>
        </w:rPr>
      </w:pPr>
    </w:p>
    <w:p>
      <w:pPr>
        <w:jc w:val="both"/>
        <w:ind w:firstLine="606"/>
        <w:spacing w:after="0" w:line="253" w:lineRule="auto"/>
        <w:tabs>
          <w:tab w:leader="none" w:pos="852"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Illegal or Unauthorized Payments; Political Contributions</w:t>
      </w:r>
      <w:r>
        <w:rPr>
          <w:rFonts w:ascii="Times New Roman" w:cs="Times New Roman" w:eastAsia="Times New Roman" w:hAnsi="Times New Roman"/>
          <w:sz w:val="17"/>
          <w:szCs w:val="17"/>
          <w:color w:val="auto"/>
        </w:rPr>
        <w:t>. Neither the Company nor any of its Subsidiaries nor, to the best of the Company’s knowledge (after reasonable inquiry of its officers and directors), any of the officers, directors, employees, agents or other representatives of the Company or any of its Subsidiaries or any other business entity or enterprise with which the Company or any Subsidiary is or has been affiliated or associated, has, directly or indirectly, made or authorized any payment, contribution or gift of money, property, or services, whether or not in contravention of applicable law, (i) as a kickback or bribe to any Person or (ii) to any political organization, or the holder of or any aspirant to any elective or appointive public office except for personal political contributions not involving the direct or indirect use of funds of the Company or any of its Subsidiaries.</w:t>
      </w:r>
    </w:p>
    <w:p>
      <w:pPr>
        <w:spacing w:after="0" w:line="175" w:lineRule="exact"/>
        <w:rPr>
          <w:rFonts w:ascii="Times New Roman" w:cs="Times New Roman" w:eastAsia="Times New Roman" w:hAnsi="Times New Roman"/>
          <w:sz w:val="17"/>
          <w:szCs w:val="17"/>
          <w:color w:val="auto"/>
        </w:rPr>
      </w:pPr>
    </w:p>
    <w:p>
      <w:pPr>
        <w:jc w:val="both"/>
        <w:ind w:firstLine="606"/>
        <w:spacing w:after="0" w:line="254" w:lineRule="auto"/>
        <w:tabs>
          <w:tab w:leader="none" w:pos="1021"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Money Laundering</w:t>
      </w:r>
      <w:r>
        <w:rPr>
          <w:rFonts w:ascii="Times New Roman" w:cs="Times New Roman" w:eastAsia="Times New Roman" w:hAnsi="Times New Roman"/>
          <w:sz w:val="17"/>
          <w:szCs w:val="17"/>
          <w:color w:val="auto"/>
        </w:rPr>
        <w:t>. The Company and its Subsidiaries are in compliance with, and have not previously violated, the USA Patriot Act of 2001 and all other applicable U.S. and non-U.S. anti-money laundering laws and regulations, including, without limitation, the laws, regulations and Executive Orders and sanctions programs administered by the U.S. Office of Foreign Assets Control, including, but not limited, to (i) Executive Order 13224 of September 23, 2001 entitled, “Blocking Property and Prohibiting Transactions With Persons Who Commit, Threaten to Commit, or Support Terrorism” (66 Fed. Reg. 49079 (2001)); and (ii) any regulations contained in 31 CFR, Subtitle B, Chapter V.</w:t>
      </w:r>
    </w:p>
    <w:p>
      <w:pPr>
        <w:spacing w:after="0" w:line="175" w:lineRule="exact"/>
        <w:rPr>
          <w:rFonts w:ascii="Times New Roman" w:cs="Times New Roman" w:eastAsia="Times New Roman" w:hAnsi="Times New Roman"/>
          <w:sz w:val="17"/>
          <w:szCs w:val="17"/>
          <w:color w:val="auto"/>
        </w:rPr>
      </w:pPr>
    </w:p>
    <w:p>
      <w:pPr>
        <w:ind w:left="920" w:hanging="314"/>
        <w:spacing w:after="0"/>
        <w:tabs>
          <w:tab w:leader="none" w:pos="92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Management</w:t>
      </w:r>
      <w:r>
        <w:rPr>
          <w:rFonts w:ascii="Times New Roman" w:cs="Times New Roman" w:eastAsia="Times New Roman" w:hAnsi="Times New Roman"/>
          <w:sz w:val="17"/>
          <w:szCs w:val="17"/>
          <w:color w:val="auto"/>
        </w:rPr>
        <w:t>. During the past five year period, no current officer or director has been the subject of:</w:t>
      </w:r>
    </w:p>
    <w:p>
      <w:pPr>
        <w:spacing w:after="0" w:line="207" w:lineRule="exact"/>
        <w:rPr>
          <w:rFonts w:ascii="Times New Roman" w:cs="Times New Roman" w:eastAsia="Times New Roman" w:hAnsi="Times New Roman"/>
          <w:sz w:val="17"/>
          <w:szCs w:val="17"/>
          <w:color w:val="auto"/>
        </w:rPr>
      </w:pPr>
    </w:p>
    <w:p>
      <w:pPr>
        <w:jc w:val="both"/>
        <w:ind w:left="600" w:firstLine="611"/>
        <w:spacing w:after="0" w:line="256" w:lineRule="auto"/>
        <w:tabs>
          <w:tab w:leader="none" w:pos="1416"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petition under bankruptcy laws or any other insolvency or moratorium law or the appointment by a court of a receiver, fiscal agent or similar officer for such Person, or any partnership in which such person was a general partner at or within two years before the filing of such petition or such appointment, or any corporation or business association of which such person was an executive officer at or within two years before the time of the filing of such petition or such appointment;</w:t>
      </w:r>
    </w:p>
    <w:p>
      <w:pPr>
        <w:spacing w:after="0" w:line="174" w:lineRule="exact"/>
        <w:rPr>
          <w:rFonts w:ascii="Times New Roman" w:cs="Times New Roman" w:eastAsia="Times New Roman" w:hAnsi="Times New Roman"/>
          <w:sz w:val="17"/>
          <w:szCs w:val="17"/>
          <w:color w:val="auto"/>
        </w:rPr>
      </w:pPr>
    </w:p>
    <w:p>
      <w:pPr>
        <w:ind w:left="600" w:firstLine="611"/>
        <w:spacing w:after="0" w:line="274" w:lineRule="auto"/>
        <w:tabs>
          <w:tab w:leader="none" w:pos="1471"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conviction in a criminal proceeding or a named subject of a pending criminal proceeding (excluding traffic violations that do not relate to driving while intoxicated or driving under the influence);</w:t>
      </w:r>
    </w:p>
    <w:p>
      <w:pPr>
        <w:spacing w:after="0" w:line="158" w:lineRule="exact"/>
        <w:rPr>
          <w:rFonts w:ascii="Times New Roman" w:cs="Times New Roman" w:eastAsia="Times New Roman" w:hAnsi="Times New Roman"/>
          <w:sz w:val="17"/>
          <w:szCs w:val="17"/>
          <w:color w:val="auto"/>
        </w:rPr>
      </w:pPr>
    </w:p>
    <w:p>
      <w:pPr>
        <w:ind w:left="600" w:firstLine="611"/>
        <w:spacing w:after="0" w:line="274" w:lineRule="auto"/>
        <w:tabs>
          <w:tab w:leader="none" w:pos="1533"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order, judgment or decree, not subsequently reversed, suspended or vacated, of any court of competent jurisdiction, permanently or temporarily enjoining any such person from, or otherwise limiting, the following activities:</w:t>
      </w:r>
    </w:p>
    <w:p>
      <w:pPr>
        <w:spacing w:after="0" w:line="158" w:lineRule="exact"/>
        <w:rPr>
          <w:rFonts w:ascii="Times New Roman" w:cs="Times New Roman" w:eastAsia="Times New Roman" w:hAnsi="Times New Roman"/>
          <w:sz w:val="17"/>
          <w:szCs w:val="17"/>
          <w:color w:val="auto"/>
        </w:rPr>
      </w:pPr>
    </w:p>
    <w:p>
      <w:pPr>
        <w:jc w:val="both"/>
        <w:ind w:left="1220" w:firstLine="1202"/>
        <w:spacing w:after="0" w:line="254" w:lineRule="auto"/>
        <w:tabs>
          <w:tab w:leader="none" w:pos="2684"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Acting as a futures commission merchant, introducing broker, commodity trading advisor, commodity pool operator, floor broker, leverage transaction merchant, any other person regulated by the United States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75" w:lineRule="exact"/>
        <w:rPr>
          <w:rFonts w:ascii="Times New Roman" w:cs="Times New Roman" w:eastAsia="Times New Roman" w:hAnsi="Times New Roman"/>
          <w:sz w:val="17"/>
          <w:szCs w:val="17"/>
          <w:color w:val="auto"/>
        </w:rPr>
      </w:pPr>
    </w:p>
    <w:p>
      <w:pPr>
        <w:ind w:left="2660" w:hanging="238"/>
        <w:spacing w:after="0"/>
        <w:tabs>
          <w:tab w:leader="none" w:pos="2660"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Engaging in any particular type of business practice; or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11" w:name="page112"/>
    <w:bookmarkEnd w:id="111"/>
    <w:p>
      <w:pPr>
        <w:ind w:left="1220" w:firstLine="1202"/>
        <w:spacing w:after="0" w:line="274" w:lineRule="auto"/>
        <w:tabs>
          <w:tab w:leader="none" w:pos="2691" w:val="left"/>
        </w:tabs>
        <w:numPr>
          <w:ilvl w:val="2"/>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Engaging in any activity in connection with the purchase or sale of any security or commodity or in connection with any violation of securities laws or commodities laws;</w:t>
      </w:r>
    </w:p>
    <w:p>
      <w:pPr>
        <w:spacing w:after="0" w:line="158" w:lineRule="exact"/>
        <w:rPr>
          <w:rFonts w:ascii="Times New Roman" w:cs="Times New Roman" w:eastAsia="Times New Roman" w:hAnsi="Times New Roman"/>
          <w:sz w:val="17"/>
          <w:szCs w:val="17"/>
          <w:color w:val="auto"/>
        </w:rPr>
      </w:pPr>
    </w:p>
    <w:p>
      <w:pPr>
        <w:jc w:val="both"/>
        <w:ind w:left="600" w:firstLine="611"/>
        <w:spacing w:after="0" w:line="261" w:lineRule="auto"/>
        <w:tabs>
          <w:tab w:leader="none" w:pos="1498"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order, judgment or decree, not subsequently reversed, suspended or vacated, of any authority barring, suspending or otherwise limiting for more than sixty (60) days the right of any such person to engage in any activity described in the preceding sub paragraph, or to be associated with persons engaged in any such activity;</w:t>
      </w:r>
    </w:p>
    <w:p>
      <w:pPr>
        <w:spacing w:after="0" w:line="169" w:lineRule="exact"/>
        <w:rPr>
          <w:rFonts w:ascii="Times New Roman" w:cs="Times New Roman" w:eastAsia="Times New Roman" w:hAnsi="Times New Roman"/>
          <w:sz w:val="17"/>
          <w:szCs w:val="17"/>
          <w:color w:val="auto"/>
        </w:rPr>
      </w:pPr>
    </w:p>
    <w:p>
      <w:pPr>
        <w:ind w:left="600" w:firstLine="611"/>
        <w:spacing w:after="0" w:line="274" w:lineRule="auto"/>
        <w:tabs>
          <w:tab w:leader="none" w:pos="1449"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finding by a court of competent jurisdiction in a civil action or by the SEC or other authority to have violated any securities law, regulation or decree and the judgment in such civil action or finding by the SEC or any other authority has not been subsequently reversed, suspended or vacated; or</w:t>
      </w:r>
    </w:p>
    <w:p>
      <w:pPr>
        <w:spacing w:after="0" w:line="158" w:lineRule="exact"/>
        <w:rPr>
          <w:rFonts w:ascii="Times New Roman" w:cs="Times New Roman" w:eastAsia="Times New Roman" w:hAnsi="Times New Roman"/>
          <w:sz w:val="17"/>
          <w:szCs w:val="17"/>
          <w:color w:val="auto"/>
        </w:rPr>
      </w:pPr>
    </w:p>
    <w:p>
      <w:pPr>
        <w:ind w:left="600" w:firstLine="611"/>
        <w:spacing w:after="0" w:line="274" w:lineRule="auto"/>
        <w:tabs>
          <w:tab w:leader="none" w:pos="1499"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finding by a court of competent jurisdiction in a civil action or by the Commodity Futures Trading Commission to have violated any federal commodities law, and the judgment in such civil action or finding has not been subsequently reversed, suspended or vacated.</w:t>
      </w:r>
    </w:p>
    <w:p>
      <w:pPr>
        <w:spacing w:after="0" w:line="158" w:lineRule="exact"/>
        <w:rPr>
          <w:rFonts w:ascii="Times New Roman" w:cs="Times New Roman" w:eastAsia="Times New Roman" w:hAnsi="Times New Roman"/>
          <w:sz w:val="17"/>
          <w:szCs w:val="17"/>
          <w:color w:val="auto"/>
        </w:rPr>
      </w:pPr>
    </w:p>
    <w:p>
      <w:pPr>
        <w:jc w:val="both"/>
        <w:ind w:firstLine="606"/>
        <w:spacing w:after="0" w:line="253" w:lineRule="auto"/>
        <w:tabs>
          <w:tab w:leader="none" w:pos="927"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Option Plans</w:t>
      </w:r>
      <w:r>
        <w:rPr>
          <w:rFonts w:ascii="Times New Roman" w:cs="Times New Roman" w:eastAsia="Times New Roman" w:hAnsi="Times New Roman"/>
          <w:sz w:val="17"/>
          <w:szCs w:val="17"/>
          <w:color w:val="auto"/>
        </w:rPr>
        <w:t>. Each stock option granted by the Company was granted (i) in accordance with the terms of the applicable stock option and incentive plans of the Company (the “Stock Option and Incentive Plans”) and (ii) with an exercise price at least equal to the fair market value of the Common Stock on the date such stock option would be considered granted under GAAP and applicable law. No stock option granted under the Company’s Stock Option and Incentive Plans has been backdated. The Company has not knowingly granted, and there is no and has been no policy or practice of the Company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75" w:lineRule="exact"/>
        <w:rPr>
          <w:rFonts w:ascii="Times New Roman" w:cs="Times New Roman" w:eastAsia="Times New Roman" w:hAnsi="Times New Roman"/>
          <w:sz w:val="17"/>
          <w:szCs w:val="17"/>
          <w:color w:val="auto"/>
        </w:rPr>
      </w:pPr>
    </w:p>
    <w:p>
      <w:pPr>
        <w:jc w:val="both"/>
        <w:ind w:firstLine="606"/>
        <w:spacing w:after="0" w:line="254" w:lineRule="auto"/>
        <w:tabs>
          <w:tab w:leader="none" w:pos="927"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Disagreements with Accountants</w:t>
      </w:r>
      <w:r>
        <w:rPr>
          <w:rFonts w:ascii="Times New Roman" w:cs="Times New Roman" w:eastAsia="Times New Roman" w:hAnsi="Times New Roman"/>
          <w:sz w:val="17"/>
          <w:szCs w:val="17"/>
          <w:color w:val="auto"/>
        </w:rPr>
        <w:t>. There are no material disagreements of any kind presently existing, or reasonably anticipated by the Company to arise, between the Company and the accountants formerly or presently employed by the Company and the Company is current with respect to any fees owed to its accountants which could affect the Company’s ability to perform any of its obligations under any of the Transaction Documents. In addition, on or prior to the date hereof, the Company had discussions with its accountants about its financial statements previously filed with the SEC. Based on those discussions, the Company has no reason to believe that it will need to restate any such financial statements or any part thereof.</w:t>
      </w:r>
    </w:p>
    <w:p>
      <w:pPr>
        <w:spacing w:after="0" w:line="171" w:lineRule="exact"/>
        <w:rPr>
          <w:rFonts w:ascii="Times New Roman" w:cs="Times New Roman" w:eastAsia="Times New Roman" w:hAnsi="Times New Roman"/>
          <w:sz w:val="17"/>
          <w:szCs w:val="17"/>
          <w:color w:val="auto"/>
        </w:rPr>
      </w:pPr>
    </w:p>
    <w:p>
      <w:pPr>
        <w:jc w:val="both"/>
        <w:ind w:firstLine="606"/>
        <w:spacing w:after="0" w:line="253" w:lineRule="auto"/>
        <w:tabs>
          <w:tab w:leader="none" w:pos="927"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Disqualification Events</w:t>
      </w:r>
      <w:r>
        <w:rPr>
          <w:rFonts w:ascii="Times New Roman" w:cs="Times New Roman" w:eastAsia="Times New Roman" w:hAnsi="Times New Roman"/>
          <w:sz w:val="17"/>
          <w:szCs w:val="17"/>
          <w:color w:val="auto"/>
        </w:rPr>
        <w:t>. With respect to Securities to be offered and sold hereunder in reliance on Rule 506(b) under the 1933 Act (“</w:t>
      </w:r>
      <w:r>
        <w:rPr>
          <w:rFonts w:ascii="Times New Roman" w:cs="Times New Roman" w:eastAsia="Times New Roman" w:hAnsi="Times New Roman"/>
          <w:sz w:val="17"/>
          <w:szCs w:val="17"/>
          <w:b w:val="1"/>
          <w:bCs w:val="1"/>
          <w:color w:val="auto"/>
        </w:rPr>
        <w:t>Regulation 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none of the Company, any of its predecessors, any affiliated issuer, any director, executive officer, other officer of the Company participating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offering contemplated hereby, any beneficial owner of 20% or more of the Company’s outstanding voting equity securities, calculated on the basis of voting power, nor any promoter (as that term is defined in Rule 405 under the 1933 Act) connected with the Company in any capacity at the time of sale (each, an “</w:t>
      </w:r>
      <w:r>
        <w:rPr>
          <w:rFonts w:ascii="Times New Roman" w:cs="Times New Roman" w:eastAsia="Times New Roman" w:hAnsi="Times New Roman"/>
          <w:sz w:val="17"/>
          <w:szCs w:val="17"/>
          <w:b w:val="1"/>
          <w:bCs w:val="1"/>
          <w:color w:val="auto"/>
        </w:rPr>
        <w:t>Issuer Covered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and, together, “</w:t>
      </w:r>
      <w:r>
        <w:rPr>
          <w:rFonts w:ascii="Times New Roman" w:cs="Times New Roman" w:eastAsia="Times New Roman" w:hAnsi="Times New Roman"/>
          <w:sz w:val="17"/>
          <w:szCs w:val="17"/>
          <w:b w:val="1"/>
          <w:bCs w:val="1"/>
          <w:color w:val="auto"/>
        </w:rPr>
        <w:t>Issuer Covered Persons</w:t>
      </w:r>
      <w:r>
        <w:rPr>
          <w:rFonts w:ascii="Times New Roman" w:cs="Times New Roman" w:eastAsia="Times New Roman" w:hAnsi="Times New Roman"/>
          <w:sz w:val="17"/>
          <w:szCs w:val="17"/>
          <w:color w:val="auto"/>
        </w:rPr>
        <w:t>”) is subject to any Disqualification Event, except for a Disqualification Event covered by Rule 506(d)(2) or (d)(3).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has exercised reasonable care to determine whether any Issuer Covered Person is subject to a Disqualification Event. The Company has complied, to the extent applicable, with its disclosure obligations under Rule 506(e), and has furnished to the Buyers a copy of any disclosures provided thereunder.</w:t>
      </w:r>
    </w:p>
    <w:p>
      <w:pPr>
        <w:spacing w:after="0" w:line="175" w:lineRule="exact"/>
        <w:rPr>
          <w:rFonts w:ascii="Times New Roman" w:cs="Times New Roman" w:eastAsia="Times New Roman" w:hAnsi="Times New Roman"/>
          <w:sz w:val="17"/>
          <w:szCs w:val="17"/>
          <w:color w:val="auto"/>
        </w:rPr>
      </w:pPr>
    </w:p>
    <w:p>
      <w:pPr>
        <w:ind w:firstLine="606"/>
        <w:spacing w:after="0" w:line="274" w:lineRule="auto"/>
        <w:tabs>
          <w:tab w:leader="none" w:pos="871"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Covered Persons</w:t>
      </w:r>
      <w:r>
        <w:rPr>
          <w:rFonts w:ascii="Times New Roman" w:cs="Times New Roman" w:eastAsia="Times New Roman" w:hAnsi="Times New Roman"/>
          <w:sz w:val="17"/>
          <w:szCs w:val="17"/>
          <w:color w:val="auto"/>
        </w:rPr>
        <w:t>. The Company is not aware of any Person (other than the Placement Agent and the Financial Advisor) that has been or will be paid (directly or indirectly) remuneration for solicitation of Buyers or potential purchasers in connection with the sale of any Regulation D Securities.</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89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Additional Agreements</w:t>
      </w:r>
      <w:r>
        <w:rPr>
          <w:rFonts w:ascii="Times New Roman" w:cs="Times New Roman" w:eastAsia="Times New Roman" w:hAnsi="Times New Roman"/>
          <w:sz w:val="17"/>
          <w:szCs w:val="17"/>
          <w:color w:val="auto"/>
        </w:rPr>
        <w:t>. The Company does not have any agreement or understanding with any Buyer with respect to the transactions contemplated by the Transaction Documents other than as specified in the Transaction Documents.</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852"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Public Utility Holding Act</w:t>
      </w:r>
      <w:r>
        <w:rPr>
          <w:rFonts w:ascii="Times New Roman" w:cs="Times New Roman" w:eastAsia="Times New Roman" w:hAnsi="Times New Roman"/>
          <w:sz w:val="17"/>
          <w:szCs w:val="17"/>
          <w:color w:val="auto"/>
        </w:rPr>
        <w:t>. None of the Company nor any of its Subsidiaries is a “holding company,” or an “affiliate” of a “holding company,” as such terms are defined in the Public Utility Holding Act of 2005.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2" w:name="page113"/>
    <w:bookmarkEnd w:id="112"/>
    <w:p>
      <w:pPr>
        <w:ind w:left="940" w:hanging="334"/>
        <w:spacing w:after="0"/>
        <w:tabs>
          <w:tab w:leader="none" w:pos="9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Federal Power Act</w:t>
      </w:r>
      <w:r>
        <w:rPr>
          <w:rFonts w:ascii="Times New Roman" w:cs="Times New Roman" w:eastAsia="Times New Roman" w:hAnsi="Times New Roman"/>
          <w:sz w:val="17"/>
          <w:szCs w:val="17"/>
          <w:color w:val="auto"/>
        </w:rPr>
        <w:t>. None of the Company nor any of its Subsidiaries is subject to regulation as a “public utility” under the Federal Power Act, as</w:t>
      </w:r>
    </w:p>
    <w:p>
      <w:pPr>
        <w:spacing w:after="0" w:line="2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w:t>
      </w:r>
    </w:p>
    <w:p>
      <w:pPr>
        <w:spacing w:after="0" w:line="191" w:lineRule="exact"/>
        <w:rPr>
          <w:rFonts w:ascii="Times New Roman" w:cs="Times New Roman" w:eastAsia="Times New Roman" w:hAnsi="Times New Roman"/>
          <w:sz w:val="17"/>
          <w:szCs w:val="17"/>
          <w:color w:val="auto"/>
        </w:rPr>
      </w:pPr>
    </w:p>
    <w:p>
      <w:pPr>
        <w:ind w:left="920" w:hanging="314"/>
        <w:spacing w:after="0"/>
        <w:tabs>
          <w:tab w:leader="none" w:pos="92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[Reserved].</w:t>
      </w:r>
    </w:p>
    <w:p>
      <w:pPr>
        <w:spacing w:after="0" w:line="207" w:lineRule="exact"/>
        <w:rPr>
          <w:rFonts w:ascii="Times New Roman" w:cs="Times New Roman" w:eastAsia="Times New Roman" w:hAnsi="Times New Roman"/>
          <w:sz w:val="17"/>
          <w:szCs w:val="17"/>
          <w:color w:val="auto"/>
        </w:rPr>
      </w:pPr>
    </w:p>
    <w:p>
      <w:pPr>
        <w:jc w:val="both"/>
        <w:ind w:firstLine="606"/>
        <w:spacing w:after="0" w:line="265" w:lineRule="auto"/>
        <w:tabs>
          <w:tab w:leader="none" w:pos="1014"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Cybersecurity</w:t>
      </w:r>
      <w:r>
        <w:rPr>
          <w:rFonts w:ascii="Times New Roman" w:cs="Times New Roman" w:eastAsia="Times New Roman" w:hAnsi="Times New Roman"/>
          <w:sz w:val="16"/>
          <w:szCs w:val="16"/>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6"/>
          <w:szCs w:val="16"/>
          <w:b w:val="1"/>
          <w:bCs w:val="1"/>
          <w:color w:val="auto"/>
        </w:rPr>
        <w:t>IT Systems</w:t>
      </w:r>
      <w:r>
        <w:rPr>
          <w:rFonts w:ascii="Times New Roman" w:cs="Times New Roman" w:eastAsia="Times New Roman" w:hAnsi="Times New Roman"/>
          <w:sz w:val="16"/>
          <w:szCs w:val="16"/>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that would reasonably be expected to have a Material Adverse Effect on the Company’s business.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6"/>
          <w:szCs w:val="16"/>
          <w:b w:val="1"/>
          <w:bCs w:val="1"/>
          <w:color w:val="auto"/>
        </w:rPr>
        <w:t>Personal Data</w:t>
      </w:r>
      <w:r>
        <w:rPr>
          <w:rFonts w:ascii="Times New Roman" w:cs="Times New Roman" w:eastAsia="Times New Roman" w:hAnsi="Times New Roman"/>
          <w:sz w:val="16"/>
          <w:szCs w:val="16"/>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the European Union General Data Protection Regulation (“</w:t>
      </w:r>
      <w:r>
        <w:rPr>
          <w:rFonts w:ascii="Times New Roman" w:cs="Times New Roman" w:eastAsia="Times New Roman" w:hAnsi="Times New Roman"/>
          <w:sz w:val="16"/>
          <w:szCs w:val="16"/>
          <w:b w:val="1"/>
          <w:bCs w:val="1"/>
          <w:color w:val="auto"/>
        </w:rPr>
        <w:t>GDPR</w:t>
      </w:r>
      <w:r>
        <w:rPr>
          <w:rFonts w:ascii="Times New Roman" w:cs="Times New Roman" w:eastAsia="Times New Roman" w:hAnsi="Times New Roman"/>
          <w:sz w:val="16"/>
          <w:szCs w:val="16"/>
          <w:color w:val="auto"/>
        </w:rPr>
        <w:t>”) (EU 2016/679);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6"/>
          <w:szCs w:val="16"/>
          <w:b w:val="1"/>
          <w:bCs w:val="1"/>
          <w:color w:val="auto"/>
        </w:rPr>
        <w:t>HIPAA</w:t>
      </w:r>
      <w:r>
        <w:rPr>
          <w:rFonts w:ascii="Times New Roman" w:cs="Times New Roman" w:eastAsia="Times New Roman" w:hAnsi="Times New Roman"/>
          <w:sz w:val="16"/>
          <w:szCs w:val="16"/>
          <w:color w:val="auto"/>
        </w:rPr>
        <w:t>”); and (v)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or such, nor any incidents under internal review or investigations relating to the same except in each case, where such would not, either individually or in the aggregate, reasonably be expected to result in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where such would not, either individually or in the aggregate, reasonably be expected to result in a Material Adverse Effect.</w:t>
      </w:r>
    </w:p>
    <w:p>
      <w:pPr>
        <w:spacing w:after="0" w:line="377" w:lineRule="exact"/>
        <w:rPr>
          <w:rFonts w:ascii="Times New Roman" w:cs="Times New Roman" w:eastAsia="Times New Roman" w:hAnsi="Times New Roman"/>
          <w:sz w:val="16"/>
          <w:szCs w:val="16"/>
          <w:color w:val="auto"/>
        </w:rPr>
      </w:pPr>
    </w:p>
    <w:p>
      <w:pPr>
        <w:jc w:val="both"/>
        <w:ind w:firstLine="606"/>
        <w:spacing w:after="0" w:line="249" w:lineRule="auto"/>
        <w:tabs>
          <w:tab w:leader="none" w:pos="9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Data Privacy Laws</w:t>
      </w:r>
      <w:r>
        <w:rPr>
          <w:rFonts w:ascii="Times New Roman" w:cs="Times New Roman" w:eastAsia="Times New Roman" w:hAnsi="Times New Roman"/>
          <w:sz w:val="17"/>
          <w:szCs w:val="17"/>
          <w:color w:val="auto"/>
        </w:rPr>
        <w:t>. The Company and its Subsidiaries are, and at all prior times were, in compliance with all applicable state and federal data privacy and security laws and regulations, including without limitation HIPAA, and the Company and its Subsidiaries have taken commercially reasonable actions to prepare to comply with, and since May 25, 2018, have been and currently are in compliance with, the GDPR (EU 2016/679) (collectively, the “</w:t>
      </w:r>
      <w:r>
        <w:rPr>
          <w:rFonts w:ascii="Times New Roman" w:cs="Times New Roman" w:eastAsia="Times New Roman" w:hAnsi="Times New Roman"/>
          <w:sz w:val="17"/>
          <w:szCs w:val="17"/>
          <w:b w:val="1"/>
          <w:bCs w:val="1"/>
          <w:color w:val="auto"/>
        </w:rPr>
        <w:t>Privacy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Laws</w:t>
      </w:r>
      <w:r>
        <w:rPr>
          <w:rFonts w:ascii="Times New Roman" w:cs="Times New Roman" w:eastAsia="Times New Roman" w:hAnsi="Times New Roman"/>
          <w:sz w:val="17"/>
          <w:szCs w:val="17"/>
          <w:color w:val="auto"/>
        </w:rPr>
        <w:t>”) except in each case, where such would not, either individually or in the aggregate, reasonably be expected to result in a Material Adverse Effect. To ensure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7"/>
          <w:szCs w:val="17"/>
          <w:b w:val="1"/>
          <w:bCs w:val="1"/>
          <w:color w:val="auto"/>
        </w:rPr>
        <w:t>Policies</w:t>
      </w:r>
      <w:r>
        <w:rPr>
          <w:rFonts w:ascii="Times New Roman" w:cs="Times New Roman" w:eastAsia="Times New Roman" w:hAnsi="Times New Roman"/>
          <w:sz w:val="17"/>
          <w:szCs w:val="17"/>
          <w:color w:val="auto"/>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13" w:name="page114"/>
    <w:bookmarkEnd w:id="113"/>
    <w:p>
      <w:pPr>
        <w:jc w:val="both"/>
        <w:ind w:firstLine="606"/>
        <w:spacing w:after="0" w:line="265" w:lineRule="auto"/>
        <w:tabs>
          <w:tab w:leader="none" w:pos="927" w:val="left"/>
        </w:tabs>
        <w:numPr>
          <w:ilvl w:val="1"/>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w:t>
      </w:r>
      <w:r>
        <w:rPr>
          <w:rFonts w:ascii="Times New Roman" w:cs="Times New Roman" w:eastAsia="Times New Roman" w:hAnsi="Times New Roman"/>
          <w:sz w:val="16"/>
          <w:szCs w:val="16"/>
          <w:color w:val="auto"/>
        </w:rPr>
        <w:t>. The Company confirms that neither it nor any other Person acting on its behalf has provided any of the Buyers or their agents or counsel with any information that constitutes or could reasonably be expected to constitute material, non-public information concerning the Company or any of its Subsidiaries, other than the existence of the transactions contemplated by this Agreement and the other Transaction Documents. The Company understands and confirms that each of the Buyers will rely on the foregoing representations in effecting transactions in securities of the Company. All disclosure provided to the Buyers regarding the Company and its Subsidiaries, their businesses and the transactions contemplated hereby, including the schedules to this Agreement, furnished by or on behalf of the Company or any of its Subsidiaries is true and correct and does not contain any untrue statement of a material fact or omit to state any material fact necessary in order to make the statements made therein, in the light of the circumstances under which they were made, not misleading. All of the written information furnished after the date hereof by or on behalf of the Company or any of its Subsidiaries to each Buyer pursuant to or in connection with this Agreement and the other Transaction Documents, taken as a whole, will be true and correct in all material respects as of the date on which such information is so provided and will not contain any untrue statement of a material fact or omit to state any material fact necessary in order to make the statements made therein, in the light of the circumstances under which they were made, not misleading. Each press release issued by the Company or any of its Subsidiaries during the twelve (12) months preceding the date of this Agreement did not at the time of release contain any untrue statement of a material fact or omit to state a material fact required to be stated therein or necessary in order to make the statements therein, in the light of the circumstances under which they are made, not misleading. To the Company’s knowledge, no event or circumstance has occurred or information exists with respect to the Company or any of its Subsidiaries or its or their business, properties, liabilities, prospects, operations (including results thereof) or conditions (financial or otherwise), which, under applicable law, rule or regulation, requires public disclosure at or before the date hereof or announcement by the Company but which has not been so publicly disclosed. The Company acknowledges and agrees that no Buyer makes or has made any representations or warranties with respect to the transactions contemplated hereby other than those specifically set forth in Section 2.</w:t>
      </w:r>
    </w:p>
    <w:p>
      <w:pPr>
        <w:spacing w:after="0" w:line="376" w:lineRule="exact"/>
        <w:rPr>
          <w:rFonts w:ascii="Times New Roman" w:cs="Times New Roman" w:eastAsia="Times New Roman" w:hAnsi="Times New Roman"/>
          <w:sz w:val="16"/>
          <w:szCs w:val="16"/>
          <w:color w:val="auto"/>
        </w:rPr>
      </w:pPr>
    </w:p>
    <w:p>
      <w:pPr>
        <w:ind w:left="160" w:hanging="159"/>
        <w:spacing w:after="0"/>
        <w:tabs>
          <w:tab w:leader="none" w:pos="16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COVENANTS.</w:t>
      </w:r>
    </w:p>
    <w:p>
      <w:pPr>
        <w:spacing w:after="0" w:line="211" w:lineRule="exact"/>
        <w:rPr>
          <w:rFonts w:ascii="Times New Roman" w:cs="Times New Roman" w:eastAsia="Times New Roman" w:hAnsi="Times New Roman"/>
          <w:sz w:val="17"/>
          <w:szCs w:val="17"/>
          <w:b w:val="1"/>
          <w:bCs w:val="1"/>
          <w:color w:val="auto"/>
        </w:rPr>
      </w:pPr>
    </w:p>
    <w:p>
      <w:pPr>
        <w:jc w:val="both"/>
        <w:ind w:firstLine="606"/>
        <w:spacing w:after="0" w:line="261" w:lineRule="auto"/>
        <w:tabs>
          <w:tab w:leader="none" w:pos="846"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Best Efforts</w:t>
      </w:r>
      <w:r>
        <w:rPr>
          <w:rFonts w:ascii="Times New Roman" w:cs="Times New Roman" w:eastAsia="Times New Roman" w:hAnsi="Times New Roman"/>
          <w:sz w:val="17"/>
          <w:szCs w:val="17"/>
          <w:color w:val="auto"/>
        </w:rPr>
        <w:t>. Each Buyer shall use its best efforts to timely satisfy each of the covenants hereunder and conditions to be satisfied by it as provided in Section 6 of this Agreement. The Company shall use its best efforts to timely satisfy each of the covenants hereunder and conditions to be satisfied by it as provided in Section 7 of this Agreement.</w:t>
      </w:r>
    </w:p>
    <w:p>
      <w:pPr>
        <w:spacing w:after="0" w:line="169" w:lineRule="exact"/>
        <w:rPr>
          <w:rFonts w:ascii="Times New Roman" w:cs="Times New Roman" w:eastAsia="Times New Roman" w:hAnsi="Times New Roman"/>
          <w:sz w:val="17"/>
          <w:szCs w:val="17"/>
          <w:color w:val="auto"/>
        </w:rPr>
      </w:pPr>
    </w:p>
    <w:p>
      <w:pPr>
        <w:jc w:val="both"/>
        <w:ind w:firstLine="606"/>
        <w:spacing w:after="0" w:line="251" w:lineRule="auto"/>
        <w:tabs>
          <w:tab w:leader="none" w:pos="843"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D and Blue Sky</w:t>
      </w:r>
      <w:r>
        <w:rPr>
          <w:rFonts w:ascii="Times New Roman" w:cs="Times New Roman" w:eastAsia="Times New Roman" w:hAnsi="Times New Roman"/>
          <w:sz w:val="17"/>
          <w:szCs w:val="17"/>
          <w:color w:val="auto"/>
        </w:rPr>
        <w:t>. The Company shall file a Form D with respect to the Securities as required under Regulation D and to provide a copy thereof to each Buyer promptly after such filing. The Company shall, on or before the Closing Date, take such action as the Company shall reasonably determine is necessary in order to obtain an exemption for, or to, qualify the Securities for sale to the Buyers at the Closing pursuant to this Agreement under applicable securities or “Blue Sky” laws of the states of the United States (or to obtain an exemption from such qualification), and shall provide evidence of any such action so taken to the Buyers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foreign, federal, state and local laws, statutes, rules, regulations and the like relating to the offering and sale of the Securities to the Buyers.</w:t>
      </w:r>
    </w:p>
    <w:p>
      <w:pPr>
        <w:spacing w:after="0" w:line="176" w:lineRule="exact"/>
        <w:rPr>
          <w:rFonts w:ascii="Times New Roman" w:cs="Times New Roman" w:eastAsia="Times New Roman" w:hAnsi="Times New Roman"/>
          <w:sz w:val="17"/>
          <w:szCs w:val="17"/>
          <w:color w:val="auto"/>
        </w:rPr>
      </w:pPr>
    </w:p>
    <w:p>
      <w:pPr>
        <w:jc w:val="both"/>
        <w:ind w:firstLine="606"/>
        <w:spacing w:after="0" w:line="255" w:lineRule="auto"/>
        <w:tabs>
          <w:tab w:leader="none" w:pos="834"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Reporting Status</w:t>
      </w:r>
      <w:r>
        <w:rPr>
          <w:rFonts w:ascii="Times New Roman" w:cs="Times New Roman" w:eastAsia="Times New Roman" w:hAnsi="Times New Roman"/>
          <w:sz w:val="17"/>
          <w:szCs w:val="17"/>
          <w:color w:val="auto"/>
        </w:rPr>
        <w:t>. Until the date on which the Buyers shall have sold all of the Registrable Securities (the “</w:t>
      </w:r>
      <w:r>
        <w:rPr>
          <w:rFonts w:ascii="Times New Roman" w:cs="Times New Roman" w:eastAsia="Times New Roman" w:hAnsi="Times New Roman"/>
          <w:sz w:val="17"/>
          <w:szCs w:val="17"/>
          <w:b w:val="1"/>
          <w:bCs w:val="1"/>
          <w:color w:val="auto"/>
        </w:rPr>
        <w:t>Reporting Period</w:t>
      </w:r>
      <w:r>
        <w:rPr>
          <w:rFonts w:ascii="Times New Roman" w:cs="Times New Roman" w:eastAsia="Times New Roman" w:hAnsi="Times New Roman"/>
          <w:sz w:val="17"/>
          <w:szCs w:val="17"/>
          <w:color w:val="auto"/>
        </w:rPr>
        <w:t>”), the Company shall timely file (subject to any allowable extensions) all reports required to be filed with the SEC pursuant to the 1934 Act, and the Company shall not terminate its status as an issuer required to file reports under the 1934 Act even if the 1934 Act or the rules and regulations thereunder would no longer require or otherwise permit such termination. From the time Form S-3 is available to the Company for the registration of the Registrable Securities, the Company shall take all actions necessary to maintain its eligibility to register the Registrable Securities for resale by the Buyers on Form S-3.</w:t>
      </w:r>
    </w:p>
    <w:p>
      <w:pPr>
        <w:spacing w:after="0" w:line="175" w:lineRule="exact"/>
        <w:rPr>
          <w:rFonts w:ascii="Times New Roman" w:cs="Times New Roman" w:eastAsia="Times New Roman" w:hAnsi="Times New Roman"/>
          <w:sz w:val="17"/>
          <w:szCs w:val="17"/>
          <w:color w:val="auto"/>
        </w:rPr>
      </w:pPr>
    </w:p>
    <w:p>
      <w:pPr>
        <w:jc w:val="both"/>
        <w:ind w:firstLine="606"/>
        <w:spacing w:after="0" w:line="256" w:lineRule="auto"/>
        <w:tabs>
          <w:tab w:leader="none" w:pos="843"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xml:space="preserve">. The Company will use the proceeds from the sale of the Securities for working capital and general corporate purposes, but not, directly or indirectly, for (i) except (x) as set forth on </w:t>
      </w:r>
      <w:r>
        <w:rPr>
          <w:rFonts w:ascii="Times New Roman" w:cs="Times New Roman" w:eastAsia="Times New Roman" w:hAnsi="Times New Roman"/>
          <w:sz w:val="17"/>
          <w:szCs w:val="17"/>
          <w:u w:val="single" w:color="auto"/>
          <w:color w:val="auto"/>
        </w:rPr>
        <w:t>Schedule 4(d)</w:t>
      </w:r>
      <w:r>
        <w:rPr>
          <w:rFonts w:ascii="Times New Roman" w:cs="Times New Roman" w:eastAsia="Times New Roman" w:hAnsi="Times New Roman"/>
          <w:sz w:val="17"/>
          <w:szCs w:val="17"/>
          <w:color w:val="auto"/>
        </w:rPr>
        <w:t xml:space="preserve"> or (y) any mandatory prepayments required by the Term Loan in respect of the sale of Securities beyond the initial $8,000,000 of sales made by the Company, the satisfaction of any indebtedness of the Company or any of its Subsidiaries, (ii) the redemption or repurchase of any securities of the Company or any of its Subsidiaries, or (iii) the settlement of any outstanding litigation.</w:t>
      </w:r>
    </w:p>
    <w:p>
      <w:pPr>
        <w:spacing w:after="0" w:line="174"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4" w:name="page115"/>
    <w:bookmarkEnd w:id="114"/>
    <w:p>
      <w:pPr>
        <w:jc w:val="both"/>
        <w:ind w:firstLine="606"/>
        <w:spacing w:after="0" w:line="251" w:lineRule="auto"/>
        <w:tabs>
          <w:tab w:leader="none" w:pos="82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Listing</w:t>
      </w:r>
      <w:r>
        <w:rPr>
          <w:rFonts w:ascii="Times New Roman" w:cs="Times New Roman" w:eastAsia="Times New Roman" w:hAnsi="Times New Roman"/>
          <w:sz w:val="17"/>
          <w:szCs w:val="17"/>
          <w:color w:val="auto"/>
        </w:rPr>
        <w:t>. The Company shall promptly secure the listing or designation for quotation (as the case may be) of all of the Registrable Securities upon each national securities exchange and automated quotation system, if any, upon which the Common Stock is then listed or designated for quotation (as the case may be) (subject to official notice of issuance) and shall maintain such listing or designation for quotation (as the case may be) of all Registrable Securities from time to time issuable under the terms of the Transaction Documents on such national securities exchange or automated quotation system. The Company shall maintain the Common Stock’s listing or authorization for quotation (as the case may be) on the Principal Market, The New York Stock Exchange, the NYSE American, the Nasdaq Capital Market, the Nasdaq Global Market or the Nasdaq Global Select Market (each, an “</w:t>
      </w:r>
      <w:r>
        <w:rPr>
          <w:rFonts w:ascii="Times New Roman" w:cs="Times New Roman" w:eastAsia="Times New Roman" w:hAnsi="Times New Roman"/>
          <w:sz w:val="17"/>
          <w:szCs w:val="17"/>
          <w:b w:val="1"/>
          <w:bCs w:val="1"/>
          <w:color w:val="auto"/>
        </w:rPr>
        <w:t>Eligible Market</w:t>
      </w:r>
      <w:r>
        <w:rPr>
          <w:rFonts w:ascii="Times New Roman" w:cs="Times New Roman" w:eastAsia="Times New Roman" w:hAnsi="Times New Roman"/>
          <w:sz w:val="17"/>
          <w:szCs w:val="17"/>
          <w:color w:val="auto"/>
        </w:rPr>
        <w:t>”). While the Preferred Shares are outstanding, neither the Company nor any of its Subsidiaries shall take any action which could be reasonably expected to result in the delisting or suspension of the Common Stock on an Eligible Market. The Company shall pay all fees and expenses in connection with satisfying its obligations under this Section 4(f).</w:t>
      </w:r>
    </w:p>
    <w:p>
      <w:pPr>
        <w:spacing w:after="0" w:line="180" w:lineRule="exact"/>
        <w:rPr>
          <w:rFonts w:ascii="Times New Roman" w:cs="Times New Roman" w:eastAsia="Times New Roman" w:hAnsi="Times New Roman"/>
          <w:sz w:val="17"/>
          <w:szCs w:val="17"/>
          <w:color w:val="auto"/>
        </w:rPr>
      </w:pPr>
    </w:p>
    <w:p>
      <w:pPr>
        <w:jc w:val="both"/>
        <w:ind w:firstLine="606"/>
        <w:spacing w:after="0" w:line="266" w:lineRule="auto"/>
        <w:tabs>
          <w:tab w:leader="none" w:pos="868"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Fees</w:t>
      </w:r>
      <w:r>
        <w:rPr>
          <w:rFonts w:ascii="Times New Roman" w:cs="Times New Roman" w:eastAsia="Times New Roman" w:hAnsi="Times New Roman"/>
          <w:sz w:val="16"/>
          <w:szCs w:val="16"/>
          <w:color w:val="auto"/>
        </w:rPr>
        <w:t>. The Company shall reimburse the lead Buyer for all costs and expenses incurred by it or its affiliates in connection with the structuring, documentation, negotiation and closing of the transactions contemplated by the Transaction Documents and certain prior transactions with the Company (including, without limitation, as applicable, all reasonable legal fees of outside counsels and disbursements of Pryor Cashman LLP and RPCK Rastegar Panchal, LLP, counsels to the lead Buyer, any other reasonable fees and expenses in connection with the structuring, documentation, negotiation and closing of the transactions contemplated by the Transaction Documents and due diligence and regulatory filings in connection therewith) (the “</w:t>
      </w:r>
      <w:r>
        <w:rPr>
          <w:rFonts w:ascii="Times New Roman" w:cs="Times New Roman" w:eastAsia="Times New Roman" w:hAnsi="Times New Roman"/>
          <w:sz w:val="16"/>
          <w:szCs w:val="16"/>
          <w:b w:val="1"/>
          <w:bCs w:val="1"/>
          <w:color w:val="auto"/>
        </w:rPr>
        <w:t>Transaction Expenses</w:t>
      </w:r>
      <w:r>
        <w:rPr>
          <w:rFonts w:ascii="Times New Roman" w:cs="Times New Roman" w:eastAsia="Times New Roman" w:hAnsi="Times New Roman"/>
          <w:sz w:val="16"/>
          <w:szCs w:val="16"/>
          <w:color w:val="auto"/>
        </w:rPr>
        <w:t>”), which shall be withheld by the lead Buyer from its Purchase Price at the Closing, less $50,000 previously paid by the Company to the lead Buyer; provided, that the Company shall promptly reimburse Pryor Cashman LLP on demand for all Transaction Expenses not so reimbursed through such withholding at the Closing; provided further, that in no event shall the Transaction Expenses under this Agreement and the other Transaction Documents exceed (i) $95,000, with respect to the initial Closing, or (ii) $25,000, with respect to the exercise of any Incremental Warrant and the Closing related to the Holdback Date. The Company shall be responsible for the payment of any placement agent’s fees, financial advisory fees, transfer agent fees, DTC (as defined below) fees or broker’s commissions (other than for Persons engaged by any Buyer) relating to or arising out of the transactions contemplated hereby (including, without limitation, any fees or commissions payable to the Placement Agent, who is the Company’s sole placement agent in connection with the transactions contemplated by this Agreement, and the Financial Advisor, who is the Company’s sole agent in connection with the transactions contemplated by this Agreement). The Company shall pay, and hold each Buyer harmless against, any liability, loss or expense (including, without limitation, reasonable attorneys’ fees and out-of-pocket expenses) arising in connection with any claim relating to any such payment. Except as otherwise set forth in the Transaction Documents, each party to this Agreement shall bear its own expenses in connection with the sale of the Securities to the Buyers.</w:t>
      </w:r>
    </w:p>
    <w:p>
      <w:pPr>
        <w:spacing w:after="0" w:line="168" w:lineRule="exact"/>
        <w:rPr>
          <w:rFonts w:ascii="Times New Roman" w:cs="Times New Roman" w:eastAsia="Times New Roman" w:hAnsi="Times New Roman"/>
          <w:sz w:val="16"/>
          <w:szCs w:val="16"/>
          <w:color w:val="auto"/>
        </w:rPr>
      </w:pPr>
    </w:p>
    <w:p>
      <w:pPr>
        <w:jc w:val="both"/>
        <w:ind w:firstLine="606"/>
        <w:spacing w:after="0" w:line="251" w:lineRule="auto"/>
        <w:tabs>
          <w:tab w:leader="none" w:pos="856"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Pledge of Securities</w:t>
      </w:r>
      <w:r>
        <w:rPr>
          <w:rFonts w:ascii="Times New Roman" w:cs="Times New Roman" w:eastAsia="Times New Roman" w:hAnsi="Times New Roman"/>
          <w:sz w:val="17"/>
          <w:szCs w:val="17"/>
          <w:color w:val="auto"/>
        </w:rPr>
        <w:t xml:space="preserve">. Notwithstanding anything to the contrary contained in this Agreement and subject to compliance with state and federal securities laws, the Company acknowledges and agrees that the Securities may be pledged by the Buyer in connection with a bona fide margin agreement or other loan or financing arrangement that is secured by the Securities. The pledge of Securities shall not be deemed to be a transfer, sale or assignment of the Securities hereunder, and no Buyer effecting a pledge of Securities shall be required to provide the Company with any notice thereof or otherwise make any delivery to the Company pursuant to this Agreement or any other Transaction Document, including, without limitation, Section 2(g) 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Buyer and its pledgee shall be required to comply with the provisions of Section 2(g) hereof in order to effect a sale, transfer or assignment of Securities to such pledgee. The Company hereby agrees to execute and deliver such documentation as a pledgee of the Securities may reasonably request in connection with a pledge of the Securities to such pledgee by a Buyer.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15" w:name="page116"/>
    <w:bookmarkEnd w:id="115"/>
    <w:p>
      <w:pPr>
        <w:ind w:left="200" w:hanging="194"/>
        <w:spacing w:after="0"/>
        <w:tabs>
          <w:tab w:leader="none" w:pos="2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Disclosure of Transactions and Other Material Information</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firstLine="611"/>
        <w:spacing w:after="0" w:line="273" w:lineRule="auto"/>
        <w:tabs>
          <w:tab w:leader="none" w:pos="818" w:val="left"/>
        </w:tabs>
        <w:numPr>
          <w:ilvl w:val="1"/>
          <w:numId w:val="1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 of Transaction</w:t>
      </w:r>
      <w:r>
        <w:rPr>
          <w:rFonts w:ascii="Times New Roman" w:cs="Times New Roman" w:eastAsia="Times New Roman" w:hAnsi="Times New Roman"/>
          <w:sz w:val="16"/>
          <w:szCs w:val="16"/>
          <w:color w:val="auto"/>
        </w:rPr>
        <w:t>. The Company shall, on or before 9:30 a.m., New York time, on the first (1st) Business Day after the date of this Agreement, issue a press release (the “</w:t>
      </w:r>
      <w:r>
        <w:rPr>
          <w:rFonts w:ascii="Times New Roman" w:cs="Times New Roman" w:eastAsia="Times New Roman" w:hAnsi="Times New Roman"/>
          <w:sz w:val="16"/>
          <w:szCs w:val="16"/>
          <w:b w:val="1"/>
          <w:bCs w:val="1"/>
          <w:color w:val="auto"/>
        </w:rPr>
        <w:t>Press Release</w:t>
      </w:r>
      <w:r>
        <w:rPr>
          <w:rFonts w:ascii="Times New Roman" w:cs="Times New Roman" w:eastAsia="Times New Roman" w:hAnsi="Times New Roman"/>
          <w:sz w:val="16"/>
          <w:szCs w:val="16"/>
          <w:color w:val="auto"/>
        </w:rPr>
        <w:t>”) reasonably acceptable to the Buyers disclosing all the material terms of the transactions contemplated</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by the Transaction Documents. On or before 9:30 a.m., New York time, on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6"/>
          <w:szCs w:val="16"/>
          <w:color w:val="auto"/>
        </w:rPr>
        <w:t>) Business Day after the date of this Agreement, the Company shall file a Current Report on Form 8-K describing all the material terms of the transactions contemplated by the Transaction Documents in the form required by the 1934 Act and attaching all the material Transaction Documents (including, without limitation, this Agreement (and all schedules to this Agreement), the form of the Incremental Warrants, the form of Certificate of Designations and the form of the Registration Rights Agreement) (including all attachments, the “</w:t>
      </w:r>
      <w:r>
        <w:rPr>
          <w:rFonts w:ascii="Times New Roman" w:cs="Times New Roman" w:eastAsia="Times New Roman" w:hAnsi="Times New Roman"/>
          <w:sz w:val="16"/>
          <w:szCs w:val="16"/>
          <w:b w:val="1"/>
          <w:bCs w:val="1"/>
          <w:color w:val="auto"/>
        </w:rPr>
        <w:t>8-K Filing</w:t>
      </w:r>
      <w:r>
        <w:rPr>
          <w:rFonts w:ascii="Times New Roman" w:cs="Times New Roman" w:eastAsia="Times New Roman" w:hAnsi="Times New Roman"/>
          <w:sz w:val="16"/>
          <w:szCs w:val="16"/>
          <w:color w:val="auto"/>
        </w:rPr>
        <w:t>”). From and after the filing of the 8-K Filing, the Company shall have disclosed all material, non-public information (if any) provided to any of the Buyers by the Company or any of its Subsidiaries or any of their respective officers, directors, employees or agents in connection with the transactions contemplated by the Transaction Documents. In addition, effective upon the filing of the 8-K Filing, the Company acknowledges and agrees that any and all confidentiality or similar obligations under any agreement, whether written or oral, between the Company, any of its Subsidiaries or any of their respective officers, directors, affiliates, employees or agents, on the one hand, and any of the Buyers or any of their affiliates, on the other hand, shall terminate.</w:t>
      </w:r>
    </w:p>
    <w:p>
      <w:pPr>
        <w:spacing w:after="0" w:line="182" w:lineRule="exact"/>
        <w:rPr>
          <w:sz w:val="20"/>
          <w:szCs w:val="20"/>
          <w:color w:val="auto"/>
        </w:rPr>
      </w:pPr>
    </w:p>
    <w:p>
      <w:pPr>
        <w:jc w:val="both"/>
        <w:ind w:firstLine="611"/>
        <w:spacing w:after="0" w:line="265" w:lineRule="auto"/>
        <w:tabs>
          <w:tab w:leader="none" w:pos="865"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Limitations on Disclosure</w:t>
      </w:r>
      <w:r>
        <w:rPr>
          <w:rFonts w:ascii="Times New Roman" w:cs="Times New Roman" w:eastAsia="Times New Roman" w:hAnsi="Times New Roman"/>
          <w:sz w:val="16"/>
          <w:szCs w:val="16"/>
          <w:color w:val="auto"/>
        </w:rPr>
        <w:t>. The Company shall not, and the Company shall cause each of its Subsidiaries and each of its and their respective officers, directors, employees and agents not to, provide any Buyer with any material, non-public information regarding the Company or any of its Subsidiaries from and after the date hereof without the express prior written consent of such Buyer (which may be granted or withheld in such Buyer’s sole discretion). In the event of a breach of any of the foregoing covenants, including, without limitation, Section 4(o) of this Agreement, or any of the covenants or agreements contained in any other Transaction Document, by the Company, any of its Subsidiaries, or any of its or their respective officers, directors, employees and agents (as determined in the reasonable good faith judgment of such Buyer), in addition to any other remedy provided herein or in the Transaction Documents, as long as such Buyers has given the Company at least two (2) Business Days prior written notice such Buyer shall have the right to make a public disclosure, in the form of a press release, public advertisement or otherwise, of such breach or such material, non-public information, as applicable, without the prior approval by the Company, any of its Subsidiaries, or any of its or their respective officers, directors, employees or agents. No Buyer shall have any liability to the Company, any of its Subsidiaries, or any of its or their respective officers, directors, employees, affiliates, stockholders or agents, for any such disclosure. To the extent that the Company delivers any material, non-public information to a Buyer without such Buyer’s consent, the Company hereby covenants and agrees that such Buyer shall not have any duty of confidentiality with respect to, or a duty not to trade on the basis of, such material, non-public information. Subject to the foregoing, neither the Company, its Subsidiaries nor any Buyer shall issue any press releases or any other public statements with respect to the transactions contemplated hereby; provided, however, the Company shall be entitled, without the prior approval of any Buyer, to make the Press Release and any press release or other public disclosure with respect to such transactions (i) in substantial conformity with the 8-K Filing and contemporaneously therewith and (ii) as is required by applicable law and regulations (provided that in the case of clause (i) each Buyer shall be consulted by the Company in connection with any such press release or other public disclosure prior to its release). Without the prior written consent of the applicable Buyer (which may be granted or withheld in such Buyer’s sole discretion), the Company shall not (and shall cause each of its Subsidiaries and affiliates to not) disclose the name of such Buyer in any filing, announcement, release or otherwise. Notwithstanding anything contained in this Agreement to the contrary and without implication that the contrary would otherwise be true, the Company expressly acknowledges and agrees that no Buyer shall have (unless expressly agreed to by a particular Buyer after the date hereof in a written definitive and binding agreement executed by the Company and such particular Buyer (it being understood and agreed that no Buyer may bind any other Buyer with respect thereto)), any duty of confidentiality with respect to, or a duty not to trade on the basis of, any material, non-public information regarding the Company or any of its Subsidiaries.</w:t>
      </w:r>
    </w:p>
    <w:p>
      <w:pPr>
        <w:spacing w:after="0" w:line="37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52" w:right="339" w:bottom="1440" w:gutter="0" w:footer="0" w:header="0"/>
        </w:sectPr>
      </w:pPr>
    </w:p>
    <w:bookmarkStart w:id="116" w:name="page117"/>
    <w:bookmarkEnd w:id="116"/>
    <w:p>
      <w:pPr>
        <w:jc w:val="both"/>
        <w:ind w:firstLine="606"/>
        <w:spacing w:after="0" w:line="249" w:lineRule="auto"/>
        <w:tabs>
          <w:tab w:leader="none" w:pos="818"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Additional Registration Statements</w:t>
      </w:r>
      <w:r>
        <w:rPr>
          <w:rFonts w:ascii="Times New Roman" w:cs="Times New Roman" w:eastAsia="Times New Roman" w:hAnsi="Times New Roman"/>
          <w:sz w:val="17"/>
          <w:szCs w:val="17"/>
          <w:color w:val="auto"/>
        </w:rPr>
        <w:t>. Until the Applicable Date (as defined below) and at any time thereafter while any Registration Statement is not effective or the prospectus contained therein is not available for use or any Current Public Information Failure (as defined in the Registration Rights Agreement) exists, the Company shall not file a registration statement or an offering statement under the 1933 Act relating to securities that are not the Registrable Securities (other than (i) a registration statement on Form S-8; (ii) such supplements, amendments or post-effective amendments to registration statements that are outstanding and have been declared effective by the SEC as of the date hereof (solely to the extent necessary to keep such registration statements effective and available and not with respect to any Subsequent Placement (as defined below)); or (iii) an amendment to the Company’s Registration Statement on Form S-3 (File No. 333-284669) (solely to the extent necessary to respond to comments made by the SEC and to incorporate by reference the Company’s Annual Report on Form 10-K for the fiscal year ended December 31, 2024) or the filing of an additional registration statement on Form S-3 for the registration for resale of additional “penny warrants” issued to the Lenders. “</w:t>
      </w:r>
      <w:r>
        <w:rPr>
          <w:rFonts w:ascii="Times New Roman" w:cs="Times New Roman" w:eastAsia="Times New Roman" w:hAnsi="Times New Roman"/>
          <w:sz w:val="17"/>
          <w:szCs w:val="17"/>
          <w:b w:val="1"/>
          <w:bCs w:val="1"/>
          <w:color w:val="auto"/>
        </w:rPr>
        <w:t>Applicable Date</w:t>
      </w:r>
      <w:r>
        <w:rPr>
          <w:rFonts w:ascii="Times New Roman" w:cs="Times New Roman" w:eastAsia="Times New Roman" w:hAnsi="Times New Roman"/>
          <w:sz w:val="17"/>
          <w:szCs w:val="17"/>
          <w:color w:val="auto"/>
        </w:rPr>
        <w:t>” means the later of (x) the date on which the Nasdaq Approval (as defined below) is obtained and (y) the earlier to occur of (I) the first date on which the resale by the Buyers of the Registrable Securities required to be filed on the initial Registration Statement pursuant to the Registration Rights Agreement (subject to any reduction pursuant to (i) Section 2(f) of the Registration Rights Agreement and (ii) an amount of Registrable Securities less than all of the Registrable Securities in the event the Company and Required Holder agree to register less than all of the Registrable Securities pursuant to Section 4(a) of the Registration Rights Agreement, the Incremental Warrant Conversion Shares), is declared effective by the SEC (and each prospectus contained therein is available for use on such date) or (II) the first date on which all of the Registrable Securities, other than in the event the Company and Required Holder agree to register less than all of the Registrable Securities, the Incremental Warrant Conversion Shares, are eligible to be resold by the Buyers pursuant to Rule 144 (or, if a Current Public Information Failure has occurred and is continuing, such later date after which the Company has cured such Current Public Information Failure).</w:t>
      </w:r>
    </w:p>
    <w:p>
      <w:pPr>
        <w:spacing w:after="0" w:line="184" w:lineRule="exact"/>
        <w:rPr>
          <w:rFonts w:ascii="Times New Roman" w:cs="Times New Roman" w:eastAsia="Times New Roman" w:hAnsi="Times New Roman"/>
          <w:sz w:val="17"/>
          <w:szCs w:val="17"/>
          <w:color w:val="auto"/>
        </w:rPr>
      </w:pPr>
    </w:p>
    <w:p>
      <w:pPr>
        <w:jc w:val="both"/>
        <w:ind w:firstLine="606"/>
        <w:spacing w:after="0" w:line="270" w:lineRule="auto"/>
        <w:tabs>
          <w:tab w:leader="none" w:pos="843"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Issuance of Securities</w:t>
      </w:r>
      <w:r>
        <w:rPr>
          <w:rFonts w:ascii="Times New Roman" w:cs="Times New Roman" w:eastAsia="Times New Roman" w:hAnsi="Times New Roman"/>
          <w:sz w:val="16"/>
          <w:szCs w:val="16"/>
          <w:color w:val="auto"/>
        </w:rPr>
        <w:t>. So long as any Buyer beneficially owns any Securities, the Company will not, without the prior written consent of the Required Holder (as defined below), issue any Preferred Shares (other than to the Buyers as contemplated hereby) and the Company shall not issue any other securities that would cause a breach or default under the Certificate of Designations or the Incremental Warrants. The Company agrees that for the period commencing on the</w:t>
      </w:r>
    </w:p>
    <w:p>
      <w:pPr>
        <w:jc w:val="both"/>
        <w:spacing w:after="0" w:line="249" w:lineRule="auto"/>
        <w:rPr>
          <w:sz w:val="20"/>
          <w:szCs w:val="20"/>
          <w:color w:val="auto"/>
        </w:rPr>
      </w:pPr>
      <w:r>
        <w:rPr>
          <w:rFonts w:ascii="Times New Roman" w:cs="Times New Roman" w:eastAsia="Times New Roman" w:hAnsi="Times New Roman"/>
          <w:sz w:val="16"/>
          <w:szCs w:val="16"/>
          <w:color w:val="auto"/>
        </w:rPr>
        <w:t>date hereof and ending on the date immediately following the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Trading Day after the Applicable Date (provided that such period shall be extended by the number of calendar days during such period and any extension thereof contemplated by this proviso on which any Registration Statement is not effective or any prospectus contained therein is not available for use or any Current Public Information Failure exists) (the “</w:t>
      </w:r>
      <w:r>
        <w:rPr>
          <w:rFonts w:ascii="Times New Roman" w:cs="Times New Roman" w:eastAsia="Times New Roman" w:hAnsi="Times New Roman"/>
          <w:sz w:val="16"/>
          <w:szCs w:val="16"/>
          <w:b w:val="1"/>
          <w:bCs w:val="1"/>
          <w:color w:val="auto"/>
        </w:rPr>
        <w:t>Restricted Period</w:t>
      </w:r>
      <w:r>
        <w:rPr>
          <w:rFonts w:ascii="Times New Roman" w:cs="Times New Roman" w:eastAsia="Times New Roman" w:hAnsi="Times New Roman"/>
          <w:sz w:val="16"/>
          <w:szCs w:val="16"/>
          <w:color w:val="auto"/>
        </w:rPr>
        <w:t>”), neither the Company nor any of its Subsidiaries shall directly or indirectly 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that term is defined under Rule 405 promulgated under the 1933 Act), any Convertible Securities, any debt, any preferred stock or any purchase rights) (any such issuance, offer, sale, grant, disposition or announcement (whether occurring during the Restricted Period or at any time thereafter) is referred to as a “</w:t>
      </w:r>
      <w:r>
        <w:rPr>
          <w:rFonts w:ascii="Times New Roman" w:cs="Times New Roman" w:eastAsia="Times New Roman" w:hAnsi="Times New Roman"/>
          <w:sz w:val="16"/>
          <w:szCs w:val="16"/>
          <w:b w:val="1"/>
          <w:bCs w:val="1"/>
          <w:color w:val="auto"/>
        </w:rPr>
        <w:t>Subsequent Placement</w:t>
      </w:r>
      <w:r>
        <w:rPr>
          <w:rFonts w:ascii="Times New Roman" w:cs="Times New Roman" w:eastAsia="Times New Roman" w:hAnsi="Times New Roman"/>
          <w:sz w:val="16"/>
          <w:szCs w:val="16"/>
          <w:color w:val="auto"/>
        </w:rPr>
        <w:t>”). Notwithstanding the foregoing, this Section 4(k) shall not apply in respect of the issuance of any Excluded Securities (as defined in the Certificate of Designations).</w:t>
      </w:r>
    </w:p>
    <w:p>
      <w:pPr>
        <w:spacing w:after="0" w:line="179" w:lineRule="exact"/>
        <w:rPr>
          <w:sz w:val="20"/>
          <w:szCs w:val="20"/>
          <w:color w:val="auto"/>
        </w:rPr>
      </w:pPr>
    </w:p>
    <w:p>
      <w:pPr>
        <w:jc w:val="both"/>
        <w:ind w:firstLine="606"/>
        <w:spacing w:after="0" w:line="249" w:lineRule="auto"/>
        <w:tabs>
          <w:tab w:leader="none" w:pos="806"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Reservation of Shares</w:t>
      </w:r>
      <w:r>
        <w:rPr>
          <w:rFonts w:ascii="Times New Roman" w:cs="Times New Roman" w:eastAsia="Times New Roman" w:hAnsi="Times New Roman"/>
          <w:sz w:val="17"/>
          <w:szCs w:val="17"/>
          <w:color w:val="auto"/>
        </w:rPr>
        <w:t>. So long as any of the Preferred Shares or Incremental Warrants remain outstanding, the Company shall take all action reasonably necessary to at all times have authorized, and reserved for the purpose of issuance, no less than 100% of the sum of (i) the maximum number of Conversion Shares issuable upon conversion of the Preferred Shares (assuming for purposes hereof that (x) the Preferred Shares are convertible at the Floor Price (as defined in the Certificate of Designations) then in effect as of such applicable date of determination and (y) any such conversion shall not take into account any limitations on the conversion of the Series A Preferred Stock set forth in the Certificate of Designations) and (ii) the maximum number of Incremental Warrant Conversion Shares issuable upon conversion of the maximum number of Incremental Warrant Shares (assuming for purposes hereof that (x) the Incremental Warrant Conversion Shares are convertible at the Floor Price (as defined in the Certificate of Designations) then in effect as of such applicable date of determination and (y) any such conversion shall not take into account any limitations on the conversion of the Incremental Warrant Conversion Shares set forth in the Certificate of Designations) issuable upon exercise or cancellation of all the Incremental Warrants outstanding (without regard to any limitations on exercise of the Incremental Warrants set forth therein) (collectively, the “</w:t>
      </w:r>
      <w:r>
        <w:rPr>
          <w:rFonts w:ascii="Times New Roman" w:cs="Times New Roman" w:eastAsia="Times New Roman" w:hAnsi="Times New Roman"/>
          <w:sz w:val="17"/>
          <w:szCs w:val="17"/>
          <w:b w:val="1"/>
          <w:bCs w:val="1"/>
          <w:color w:val="auto"/>
        </w:rPr>
        <w:t>Required Reserve Amount</w:t>
      </w:r>
      <w:r>
        <w:rPr>
          <w:rFonts w:ascii="Times New Roman" w:cs="Times New Roman" w:eastAsia="Times New Roman" w:hAnsi="Times New Roman"/>
          <w:sz w:val="17"/>
          <w:szCs w:val="17"/>
          <w:color w:val="auto"/>
        </w:rPr>
        <w:t>”); provided that at no time shall the number of shares of Common Stock reserved pursuant to this Section 4(l) be reduced other than proportionally in connection with any conversion, exercise and/or redemption, as applicable of Preferred Shares or Incremental Warrants.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7" w:name="page118"/>
    <w:bookmarkEnd w:id="117"/>
    <w:p>
      <w:pPr>
        <w:ind w:firstLine="606"/>
        <w:spacing w:after="0" w:line="274" w:lineRule="auto"/>
        <w:tabs>
          <w:tab w:leader="none" w:pos="902"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Conduct of Business</w:t>
      </w:r>
      <w:r>
        <w:rPr>
          <w:rFonts w:ascii="Times New Roman" w:cs="Times New Roman" w:eastAsia="Times New Roman" w:hAnsi="Times New Roman"/>
          <w:sz w:val="17"/>
          <w:szCs w:val="17"/>
          <w:color w:val="auto"/>
        </w:rPr>
        <w:t>. The business of the Company and its Subsidiaries shall not be conducted in violation of any law, ordinance or regulation of any Governmental Entity, except where such violations would not reasonably be expected to result, either individually or in the aggregate, in a Material Adverse Effect.</w:t>
      </w:r>
    </w:p>
    <w:p>
      <w:pPr>
        <w:spacing w:after="0" w:line="158" w:lineRule="exact"/>
        <w:rPr>
          <w:rFonts w:ascii="Times New Roman" w:cs="Times New Roman" w:eastAsia="Times New Roman" w:hAnsi="Times New Roman"/>
          <w:sz w:val="17"/>
          <w:szCs w:val="17"/>
          <w:color w:val="auto"/>
        </w:rPr>
      </w:pPr>
    </w:p>
    <w:p>
      <w:pPr>
        <w:jc w:val="both"/>
        <w:ind w:firstLine="606"/>
        <w:spacing w:after="0" w:line="250" w:lineRule="auto"/>
        <w:tabs>
          <w:tab w:leader="none" w:pos="856"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Preferred Shares; Variable Securities</w:t>
      </w:r>
      <w:r>
        <w:rPr>
          <w:rFonts w:ascii="Times New Roman" w:cs="Times New Roman" w:eastAsia="Times New Roman" w:hAnsi="Times New Roman"/>
          <w:sz w:val="17"/>
          <w:szCs w:val="17"/>
          <w:color w:val="auto"/>
        </w:rPr>
        <w:t>. So long as any Preferred Shares remain outstanding, the Company and each Subsidiary shall be prohibited from effecting or entering into an agreement to effect any Subsequent Placement involving a Variable Rate Transaction (excluding the Permitted Facility). “</w:t>
      </w:r>
      <w:r>
        <w:rPr>
          <w:rFonts w:ascii="Times New Roman" w:cs="Times New Roman" w:eastAsia="Times New Roman" w:hAnsi="Times New Roman"/>
          <w:sz w:val="17"/>
          <w:szCs w:val="17"/>
          <w:b w:val="1"/>
          <w:bCs w:val="1"/>
          <w:color w:val="auto"/>
        </w:rPr>
        <w:t>Variable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Rate Transaction</w:t>
      </w:r>
      <w:r>
        <w:rPr>
          <w:rFonts w:ascii="Times New Roman" w:cs="Times New Roman" w:eastAsia="Times New Roman" w:hAnsi="Times New Roman"/>
          <w:sz w:val="17"/>
          <w:szCs w:val="17"/>
          <w:color w:val="auto"/>
        </w:rPr>
        <w:t>” means a transaction in which the Company or any Subsidiary (i) issues or sells any Convertible Securities either (A) at a conversion, exercise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exchange rate or other price that is based upon and/or varies with the trading prices of or quotations for the shares of Common Stock at any time after the initial issuance of such Convertible Securities, or (B) with a conversion, exercise or exchange price that is subject to being reset at some future date after the initial issuance of such Convertible Securities or upon the occurrence of specified or contingent events directly or indirectly related to the business of the Company or the market for the Common Stock, other than pursuant to a customary “weighted average” anti-dilution provision or (ii) enters into any agreement (including, without limitation, any other equity line of credit or an “at-the-market” offering) whereby the Company or any Subsidiary may sell securities at a future determined price (other than standard and customary “preemptive” or “participation” rights). Each Buyer shall be entitled to obtain injunctive relief against the Company and its Subsidiaries to preclude any such issuance, which remedy shall be in addition to any right to collect damages.</w:t>
      </w:r>
    </w:p>
    <w:p>
      <w:pPr>
        <w:spacing w:after="0" w:line="182" w:lineRule="exact"/>
        <w:rPr>
          <w:rFonts w:ascii="Times New Roman" w:cs="Times New Roman" w:eastAsia="Times New Roman" w:hAnsi="Times New Roman"/>
          <w:sz w:val="17"/>
          <w:szCs w:val="17"/>
          <w:color w:val="auto"/>
        </w:rPr>
      </w:pPr>
    </w:p>
    <w:p>
      <w:pPr>
        <w:jc w:val="both"/>
        <w:ind w:firstLine="606"/>
        <w:spacing w:after="0" w:line="254" w:lineRule="auto"/>
        <w:tabs>
          <w:tab w:leader="none" w:pos="843"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 Right</w:t>
      </w:r>
      <w:r>
        <w:rPr>
          <w:rFonts w:ascii="Times New Roman" w:cs="Times New Roman" w:eastAsia="Times New Roman" w:hAnsi="Times New Roman"/>
          <w:sz w:val="17"/>
          <w:szCs w:val="17"/>
          <w:color w:val="auto"/>
        </w:rPr>
        <w:t>. At any time until the earlier of (i) the two (2) year anniversary of the Closing and (ii) the earlier of (A) a consummation of a Change of Control (as defined in the Certificate of Designations) and (B) the date there are no Preferred Shares, Incremental Warrants or Incremental Warrant Shares outstanding, neither the Company nor any of its Subsidiaries shall, directly or indirectly, effect any Subsequent Placement unless the Company shall have first complied with this Section 4(o). The Company acknowledges and agrees that the right set forth in this Section 4(o) is a right granted by the Company, separately, to each Buyer.</w:t>
      </w:r>
    </w:p>
    <w:p>
      <w:pPr>
        <w:spacing w:after="0" w:line="175" w:lineRule="exact"/>
        <w:rPr>
          <w:rFonts w:ascii="Times New Roman" w:cs="Times New Roman" w:eastAsia="Times New Roman" w:hAnsi="Times New Roman"/>
          <w:sz w:val="17"/>
          <w:szCs w:val="17"/>
          <w:color w:val="auto"/>
        </w:rPr>
      </w:pPr>
    </w:p>
    <w:p>
      <w:pPr>
        <w:jc w:val="both"/>
        <w:ind w:left="600" w:firstLine="611"/>
        <w:spacing w:after="0" w:line="265" w:lineRule="auto"/>
        <w:tabs>
          <w:tab w:leader="none" w:pos="1403" w:val="left"/>
        </w:tabs>
        <w:numPr>
          <w:ilvl w:val="1"/>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three (3) Trading Days (as defined in the Certificate of Designation), prior to any proposed or intended Subsequent Placement (or in the case of any proposed or intended Subsequent Placement of any equity or equity-linked securities, at least twelve (12) hours prior to such Subsequent Placement), the Company shall deliver to each Buyer a written notice (each such notice, a “</w:t>
      </w:r>
      <w:r>
        <w:rPr>
          <w:rFonts w:ascii="Times New Roman" w:cs="Times New Roman" w:eastAsia="Times New Roman" w:hAnsi="Times New Roman"/>
          <w:sz w:val="16"/>
          <w:szCs w:val="16"/>
          <w:b w:val="1"/>
          <w:bCs w:val="1"/>
          <w:color w:val="auto"/>
        </w:rPr>
        <w:t>Pre-Notice</w:t>
      </w:r>
      <w:r>
        <w:rPr>
          <w:rFonts w:ascii="Times New Roman" w:cs="Times New Roman" w:eastAsia="Times New Roman" w:hAnsi="Times New Roman"/>
          <w:sz w:val="16"/>
          <w:szCs w:val="16"/>
          <w:color w:val="auto"/>
        </w:rPr>
        <w:t>”), which Pre-Notice shall not contain any information (including, without limitation, material, non-public information) other than: (A) if the proposed Offer Notice (as defined below) constitutes or contains material, nonpublic information, a statement asking whether the Buyer is willing to accept material non-public information or (B) if the proposed Offer Notice does not constitute or contain material, non-public information, (x) a statement that the Company proposes or intends to effect a Subsequent Placement, (y) a statement that the statement in clause (x) above does not constitute material, non-public information and (z) a statement informing such Buyer that it is entitled to receive an Offer Notice (as defined below) with respect to such Subsequent Placement upon its written request. Upon the written request of a Buyer within three (3) Trading Days (or in the case of any proposed or intended Subsequent Placement of any equity or equity-linked securities, at least twelve (12) hours) after the Company’s delivery to such Buyer of such Pre-Notice, and only upon a written request by such Buyer, the Company shall promptly, but no later than one (1) Trading Day after such request (or in the case of any proposed or intended Subsequent Placement of any equity or equity-linked securities, immediately), deliver to such Buyer an irrevocable written notice (the “</w:t>
      </w:r>
      <w:r>
        <w:rPr>
          <w:rFonts w:ascii="Times New Roman" w:cs="Times New Roman" w:eastAsia="Times New Roman" w:hAnsi="Times New Roman"/>
          <w:sz w:val="16"/>
          <w:szCs w:val="16"/>
          <w:b w:val="1"/>
          <w:bCs w:val="1"/>
          <w:color w:val="auto"/>
        </w:rPr>
        <w:t>Offer Notice</w:t>
      </w:r>
      <w:r>
        <w:rPr>
          <w:rFonts w:ascii="Times New Roman" w:cs="Times New Roman" w:eastAsia="Times New Roman" w:hAnsi="Times New Roman"/>
          <w:sz w:val="16"/>
          <w:szCs w:val="16"/>
          <w:color w:val="auto"/>
        </w:rPr>
        <w:t>”) of any proposed or intended issuance or sale or exchange (the “</w:t>
      </w:r>
      <w:r>
        <w:rPr>
          <w:rFonts w:ascii="Times New Roman" w:cs="Times New Roman" w:eastAsia="Times New Roman" w:hAnsi="Times New Roman"/>
          <w:sz w:val="16"/>
          <w:szCs w:val="16"/>
          <w:b w:val="1"/>
          <w:bCs w:val="1"/>
          <w:color w:val="auto"/>
        </w:rPr>
        <w:t>Offer</w:t>
      </w:r>
      <w:r>
        <w:rPr>
          <w:rFonts w:ascii="Times New Roman" w:cs="Times New Roman" w:eastAsia="Times New Roman" w:hAnsi="Times New Roman"/>
          <w:sz w:val="16"/>
          <w:szCs w:val="16"/>
          <w:color w:val="auto"/>
        </w:rPr>
        <w:t>”) of the securities being offered (the “</w:t>
      </w:r>
      <w:r>
        <w:rPr>
          <w:rFonts w:ascii="Times New Roman" w:cs="Times New Roman" w:eastAsia="Times New Roman" w:hAnsi="Times New Roman"/>
          <w:sz w:val="16"/>
          <w:szCs w:val="16"/>
          <w:b w:val="1"/>
          <w:bCs w:val="1"/>
          <w:color w:val="auto"/>
        </w:rPr>
        <w:t>Offered Securities</w:t>
      </w:r>
      <w:r>
        <w:rPr>
          <w:rFonts w:ascii="Times New Roman" w:cs="Times New Roman" w:eastAsia="Times New Roman" w:hAnsi="Times New Roman"/>
          <w:sz w:val="16"/>
          <w:szCs w:val="16"/>
          <w:color w:val="auto"/>
        </w:rPr>
        <w:t>”) in a Subsequent Placement, which Offer Notice shall (A) identify and describe the Offered Securities, (B) describe the price and other terms upon which they are to be issued, sold or exchanged, and the number or amount of the Offered Securities to be issued, sold or exchanged, (C) identify the Persons (if known) to which or with which the Offered Securities are to be offered, issued, sold or exchanged and (D) offer to issue and sell to such Buyer in accordance with the terms of the Offer such Buyer’s pro rata portion of 25% of the Offered Securities, provided that the number of Offered Securities which such Buyer shall have the right to subscribe for under this Section 4(o) shall be (x) based on such Buyer’s pro rata portion of the aggregate Stated Value of the Preferred Shares purchased hereunder by all Buyers (the “</w:t>
      </w:r>
      <w:r>
        <w:rPr>
          <w:rFonts w:ascii="Times New Roman" w:cs="Times New Roman" w:eastAsia="Times New Roman" w:hAnsi="Times New Roman"/>
          <w:sz w:val="16"/>
          <w:szCs w:val="16"/>
          <w:b w:val="1"/>
          <w:bCs w:val="1"/>
          <w:color w:val="auto"/>
        </w:rPr>
        <w:t>Basic Amount</w:t>
      </w:r>
      <w:r>
        <w:rPr>
          <w:rFonts w:ascii="Times New Roman" w:cs="Times New Roman" w:eastAsia="Times New Roman" w:hAnsi="Times New Roman"/>
          <w:sz w:val="16"/>
          <w:szCs w:val="16"/>
          <w:color w:val="auto"/>
        </w:rPr>
        <w:t>”), and (y) with respect to each Buyer that elects to purchase its Basic Amount, any additional portion of the Offered Securities attributable to the Basic Amounts of other Buyers as such Buyer shall indicate it will purchase or acquire should the other Buyers subscribe for less than their Basic Amounts (the “</w:t>
      </w:r>
      <w:r>
        <w:rPr>
          <w:rFonts w:ascii="Times New Roman" w:cs="Times New Roman" w:eastAsia="Times New Roman" w:hAnsi="Times New Roman"/>
          <w:sz w:val="16"/>
          <w:szCs w:val="16"/>
          <w:b w:val="1"/>
          <w:bCs w:val="1"/>
          <w:color w:val="auto"/>
        </w:rPr>
        <w:t>Undersubscription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16"/>
          <w:szCs w:val="16"/>
          <w:color w:val="auto"/>
        </w:rPr>
        <w:t>”), which process shall be repeated until each Buyer shall have an opportunity to subscribe for any remaining Undersubscription Amount.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8" w:name="page119"/>
    <w:bookmarkEnd w:id="118"/>
    <w:p>
      <w:pPr>
        <w:jc w:val="both"/>
        <w:ind w:left="-520" w:firstLine="611"/>
        <w:spacing w:after="0" w:line="249" w:lineRule="auto"/>
        <w:tabs>
          <w:tab w:leader="none" w:pos="333"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accept an Offer, in whole or in part, such Buyer must deliver a written notice to the Company prior to the end of the third (3rd) Business Day (or in the case of any proposed or intended Subsequent Placement of any equity or equity-linked securities, the end of the twelve (12) hour period prior to such Subsequent Placement) after such Buyer’s receipt of the Offer Notice (the “</w:t>
      </w:r>
      <w:r>
        <w:rPr>
          <w:rFonts w:ascii="Times New Roman" w:cs="Times New Roman" w:eastAsia="Times New Roman" w:hAnsi="Times New Roman"/>
          <w:sz w:val="17"/>
          <w:szCs w:val="17"/>
          <w:b w:val="1"/>
          <w:bCs w:val="1"/>
          <w:color w:val="auto"/>
        </w:rPr>
        <w:t>Offer Period</w:t>
      </w:r>
      <w:r>
        <w:rPr>
          <w:rFonts w:ascii="Times New Roman" w:cs="Times New Roman" w:eastAsia="Times New Roman" w:hAnsi="Times New Roman"/>
          <w:sz w:val="17"/>
          <w:szCs w:val="17"/>
          <w:color w:val="auto"/>
        </w:rPr>
        <w:t>”), setting forth the portion of such Buyer’s Basic Amount that such Buyer elects to purchase and, if such Buyer shall elect to purchase all of its Basic Amount, the Undersubscription Amount, if any, that such Buyer elects to purchase (in either case, the “</w:t>
      </w:r>
      <w:r>
        <w:rPr>
          <w:rFonts w:ascii="Times New Roman" w:cs="Times New Roman" w:eastAsia="Times New Roman" w:hAnsi="Times New Roman"/>
          <w:sz w:val="17"/>
          <w:szCs w:val="17"/>
          <w:b w:val="1"/>
          <w:bCs w:val="1"/>
          <w:color w:val="auto"/>
        </w:rPr>
        <w:t>Notice of Acceptance</w:t>
      </w:r>
      <w:r>
        <w:rPr>
          <w:rFonts w:ascii="Times New Roman" w:cs="Times New Roman" w:eastAsia="Times New Roman" w:hAnsi="Times New Roman"/>
          <w:sz w:val="17"/>
          <w:szCs w:val="17"/>
          <w:color w:val="auto"/>
        </w:rPr>
        <w:t>”). If the Basic Amounts subscribed for by all Buyers are less than the total of all of the Basic Amounts, then each Buyer who has set forth an Undersubscription Amount in its Notice of Acceptance shall be entitled to purchase, in addition to the Basic Amounts subscribed for, the Undersubscription Amount it has subscribed for; provided, however, if the Undersubscription Amounts subscribed for exceed the difference between the total of all the Basic Amounts and the Basic Amounts subscribed for (the “</w:t>
      </w:r>
      <w:r>
        <w:rPr>
          <w:rFonts w:ascii="Times New Roman" w:cs="Times New Roman" w:eastAsia="Times New Roman" w:hAnsi="Times New Roman"/>
          <w:sz w:val="17"/>
          <w:szCs w:val="17"/>
          <w:b w:val="1"/>
          <w:bCs w:val="1"/>
          <w:color w:val="auto"/>
        </w:rPr>
        <w:t>Available Undersubscription Amount</w:t>
      </w:r>
      <w:r>
        <w:rPr>
          <w:rFonts w:ascii="Times New Roman" w:cs="Times New Roman" w:eastAsia="Times New Roman" w:hAnsi="Times New Roman"/>
          <w:sz w:val="17"/>
          <w:szCs w:val="17"/>
          <w:color w:val="auto"/>
        </w:rPr>
        <w:t>”), each Buyer who has subscribed for any Undersubscription Amount shall be entitled to purchase only that portion of the Available Undersubscription Amount as the Basic Amount of such Buyer bears to the total Basic Amounts of all Buyers that have subscribed for Undersubscription Amounts, subject to rounding by the Company to the extent it deems reasonably necessary. Notwithstanding the foregoing, if the Company desires to modify or amend the terms and conditions of the Offer prior to the expiration of the Offer Period, the Company may deliver to each Buyer a new Offer Notice and the Offer Period shall expire on the third (3rd) Business Day after such Buyer’s receipt of such new Offer Notice.</w:t>
      </w:r>
    </w:p>
    <w:p>
      <w:pPr>
        <w:spacing w:after="0" w:line="187" w:lineRule="exact"/>
        <w:rPr>
          <w:rFonts w:ascii="Times New Roman" w:cs="Times New Roman" w:eastAsia="Times New Roman" w:hAnsi="Times New Roman"/>
          <w:sz w:val="17"/>
          <w:szCs w:val="17"/>
          <w:color w:val="auto"/>
        </w:rPr>
      </w:pPr>
    </w:p>
    <w:p>
      <w:pPr>
        <w:jc w:val="both"/>
        <w:ind w:left="-520" w:firstLine="611"/>
        <w:spacing w:after="0" w:line="251" w:lineRule="auto"/>
        <w:tabs>
          <w:tab w:leader="none" w:pos="392"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five (5) Business Days (or in the case of any proposed or intended Subsequent Placement of any equity or equity-linked securities, the end of the twelve (12) hour period prior to such Subsequent Placement) from the expiration of the Offer Period above (A) to offer, issue, sell or exchange all or any part of such Offered Securities as to which a Notice of Acceptance has not been given by a Buyer (the “</w:t>
      </w:r>
      <w:r>
        <w:rPr>
          <w:rFonts w:ascii="Times New Roman" w:cs="Times New Roman" w:eastAsia="Times New Roman" w:hAnsi="Times New Roman"/>
          <w:sz w:val="17"/>
          <w:szCs w:val="17"/>
          <w:b w:val="1"/>
          <w:bCs w:val="1"/>
          <w:color w:val="auto"/>
        </w:rPr>
        <w:t>Refused Securities</w:t>
      </w:r>
      <w:r>
        <w:rPr>
          <w:rFonts w:ascii="Times New Roman" w:cs="Times New Roman" w:eastAsia="Times New Roman" w:hAnsi="Times New Roman"/>
          <w:sz w:val="17"/>
          <w:szCs w:val="17"/>
          <w:color w:val="auto"/>
        </w:rPr>
        <w:t>”) pursuant to a definitive agreement(s) (the “</w:t>
      </w:r>
      <w:r>
        <w:rPr>
          <w:rFonts w:ascii="Times New Roman" w:cs="Times New Roman" w:eastAsia="Times New Roman" w:hAnsi="Times New Roman"/>
          <w:sz w:val="17"/>
          <w:szCs w:val="17"/>
          <w:b w:val="1"/>
          <w:bCs w:val="1"/>
          <w:color w:val="auto"/>
        </w:rPr>
        <w:t>Subsequent Placement Agreement</w:t>
      </w:r>
      <w:r>
        <w:rPr>
          <w:rFonts w:ascii="Times New Roman" w:cs="Times New Roman" w:eastAsia="Times New Roman" w:hAnsi="Times New Roman"/>
          <w:sz w:val="17"/>
          <w:szCs w:val="17"/>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the Company than those set forth in the Offer Notice and (B) to publicly announce (x) the execution of such Subsequent Placement Agreement, and (y) either (I) the consummation of the transactions contemplated by such Subsequent Placement Agreement or (II) the termination of such Subsequent Placement Agreement, which shall be filed with the SEC on a Current Report on Form 8-K with such Subsequent Placement Agreement and any documents contemplated therein filed as exhibits thereto.</w:t>
      </w:r>
    </w:p>
    <w:p>
      <w:pPr>
        <w:spacing w:after="0" w:line="177" w:lineRule="exact"/>
        <w:rPr>
          <w:rFonts w:ascii="Times New Roman" w:cs="Times New Roman" w:eastAsia="Times New Roman" w:hAnsi="Times New Roman"/>
          <w:sz w:val="17"/>
          <w:szCs w:val="17"/>
          <w:color w:val="auto"/>
        </w:rPr>
      </w:pPr>
    </w:p>
    <w:p>
      <w:pPr>
        <w:jc w:val="both"/>
        <w:ind w:left="-520" w:firstLine="611"/>
        <w:spacing w:after="0" w:line="251" w:lineRule="auto"/>
        <w:tabs>
          <w:tab w:leader="none" w:pos="374"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Company shall propose to sell less than all the Refused Securities (any such sale to be in the manner and on the terms specified in Section 4(o)(iii) above), then each Buyer may, at its sole option and in its sole discretion, withdraw its Notice of Acceptance or reduce the number or amount of the Offered Securities specified in its Notice of Acceptance to an amount that shall be not less than the number or amount of the Offered Securities that such Buyer elected to purchase pursuant to Section 4(o)(ii) above multiplied by a fraction, (i) the numerator of which shall be the number or amount of Offered Securities the Company actually proposes to issue, sell or exchange (including Offered Securities to be issued or sold to Buyers pursuant to this Section 4(o) prior to such reduction) and (ii) the denominator of which shall be the original amount of the Offered Securities. In the event that any Buyer so elects to reduce the number or amount of Offered Securities specified in its Notice of Acceptance, the Company may not issue, sell or exchange more than the reduced number or amount of the Offered Securities unless and until such securities have again been offered to the Buyers in accordance with Section 4(o)(i) above.</w:t>
      </w:r>
    </w:p>
    <w:p>
      <w:pPr>
        <w:spacing w:after="0" w:line="177" w:lineRule="exact"/>
        <w:rPr>
          <w:rFonts w:ascii="Times New Roman" w:cs="Times New Roman" w:eastAsia="Times New Roman" w:hAnsi="Times New Roman"/>
          <w:sz w:val="17"/>
          <w:szCs w:val="17"/>
          <w:color w:val="auto"/>
        </w:rPr>
      </w:pPr>
    </w:p>
    <w:p>
      <w:pPr>
        <w:jc w:val="both"/>
        <w:ind w:left="-520" w:firstLine="611"/>
        <w:spacing w:after="0" w:line="254" w:lineRule="auto"/>
        <w:tabs>
          <w:tab w:leader="none" w:pos="33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closing of the issuance, sale or exchange of all or less than all of the Refused Securities, such Buyer shall acquire from the Company, and the Company shall issue to such Buyer, the number or amount of Offered Securities specified in its Notice of Acceptance, as reduced pursuant to Section 4(o)(iv) above if such Buyer has so elected, upon the terms and conditions specified in the Offer. The purchase by such Buyer of any Offered Securities is subject in all cases to the preparation, execution and delivery by the Company and such Buyer of a separate purchase agreement relating to such Offered Securities reasonably satisfactory in form and substance to such Buyer and its counsel.</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2" w:right="339" w:bottom="1440" w:gutter="0" w:footer="0" w:header="0"/>
        </w:sectPr>
      </w:pPr>
    </w:p>
    <w:bookmarkStart w:id="119" w:name="page120"/>
    <w:bookmarkEnd w:id="119"/>
    <w:p>
      <w:pPr>
        <w:ind w:left="600" w:firstLine="611"/>
        <w:spacing w:after="0" w:line="274" w:lineRule="auto"/>
        <w:tabs>
          <w:tab w:leader="none" w:pos="1482"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Offered Securities not acquired by a Buyer or other Persons in accordance with this Section 4(o) may not be issued, sold or exchanged until they are again offered to such Buyer under the procedures specified in this Agreement.</w:t>
      </w:r>
    </w:p>
    <w:p>
      <w:pPr>
        <w:spacing w:after="0" w:line="158" w:lineRule="exact"/>
        <w:rPr>
          <w:rFonts w:ascii="Times New Roman" w:cs="Times New Roman" w:eastAsia="Times New Roman" w:hAnsi="Times New Roman"/>
          <w:sz w:val="17"/>
          <w:szCs w:val="17"/>
          <w:color w:val="auto"/>
        </w:rPr>
      </w:pPr>
    </w:p>
    <w:p>
      <w:pPr>
        <w:jc w:val="both"/>
        <w:ind w:left="600" w:firstLine="611"/>
        <w:spacing w:after="0" w:line="249" w:lineRule="auto"/>
        <w:tabs>
          <w:tab w:leader="none" w:pos="1542"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Buyer agree that if any Buyer elects to participate in the Offer, (x) neither the Subsequent Placement Agreement with respect to such Offer nor any other transaction documents related thereto (collectively, the “</w:t>
      </w:r>
      <w:r>
        <w:rPr>
          <w:rFonts w:ascii="Times New Roman" w:cs="Times New Roman" w:eastAsia="Times New Roman" w:hAnsi="Times New Roman"/>
          <w:sz w:val="17"/>
          <w:szCs w:val="17"/>
          <w:b w:val="1"/>
          <w:bCs w:val="1"/>
          <w:color w:val="auto"/>
        </w:rPr>
        <w:t>Subsequent Placement Documents</w:t>
      </w:r>
      <w:r>
        <w:rPr>
          <w:rFonts w:ascii="Times New Roman" w:cs="Times New Roman" w:eastAsia="Times New Roman" w:hAnsi="Times New Roman"/>
          <w:sz w:val="17"/>
          <w:szCs w:val="17"/>
          <w:color w:val="auto"/>
        </w:rPr>
        <w:t>”) shall include any term or provision whereby such Buyer shall be required to agree to any restrictions on trading as to any securities of the Company or be required to consent to any amendment to or termination of, or grant any waiver, release or the like under or in connection with, any agreement previously entered into with the Company or any instrument received from the Company, and (y) any registration rights set forth in such Subsequent Placement Documents shall be similar in all material respects to the registration rights contained in the Registration Rights Agreement. Notwithstanding anything to the contrary in this Section 4(o) and unless otherwise agreed to by such Buyer, the Company shall either confirm in writing to such Buyer that the transaction with respect to the Subsequent Placement has been abandoned or shall publicly disclose its intention to issue the Offered Securities, in either case, in such a manner such that such Buyer will not be in possession of any material, non-public information, by the fifth (5th) Business Day following delivery of the Offer Notice. If by such fifth (5th) Business Day, no public disclosure regarding a transaction with respect to the Offered Securities has been made, and no notice regarding the abandonment of such transaction has been received by such Buyer, such transaction shall be deemed to have been abandoned and such Buyer shall not be in possession of any material, non-public information with respect to the Company or any of its Subsidiaries. Should the Company decide to pursue such transaction with respect to the Offered Securities, the Company shall provide such Buyer with another Offer Notice and such Buyer will again have the right of participation set forth in this Section 4(o). The Company shall not be permitted to deliver more than one such Offer Notice to such Buyer in any sixty (60) day period, except as expressly contemplated by the last sentence of Section 4(o)(ii).</w:t>
      </w:r>
    </w:p>
    <w:p>
      <w:pPr>
        <w:spacing w:after="0" w:line="185" w:lineRule="exact"/>
        <w:rPr>
          <w:rFonts w:ascii="Times New Roman" w:cs="Times New Roman" w:eastAsia="Times New Roman" w:hAnsi="Times New Roman"/>
          <w:sz w:val="17"/>
          <w:szCs w:val="17"/>
          <w:color w:val="auto"/>
        </w:rPr>
      </w:pPr>
    </w:p>
    <w:p>
      <w:pPr>
        <w:ind w:left="600" w:firstLine="611"/>
        <w:spacing w:after="0" w:line="274" w:lineRule="auto"/>
        <w:tabs>
          <w:tab w:leader="none" w:pos="1588"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restrictions contained in this Section 4(o) shall not apply in connection with the issuance of Excluded Securities. The Company shall not circumvent the provisions of this Section 4(o) by providing terms or conditions to one Buyer that are not provided to all.</w:t>
      </w:r>
    </w:p>
    <w:p>
      <w:pPr>
        <w:spacing w:after="0" w:line="158" w:lineRule="exact"/>
        <w:rPr>
          <w:rFonts w:ascii="Times New Roman" w:cs="Times New Roman" w:eastAsia="Times New Roman" w:hAnsi="Times New Roman"/>
          <w:sz w:val="17"/>
          <w:szCs w:val="17"/>
          <w:color w:val="auto"/>
        </w:rPr>
      </w:pPr>
    </w:p>
    <w:p>
      <w:pPr>
        <w:jc w:val="both"/>
        <w:ind w:firstLine="606"/>
        <w:spacing w:after="0" w:line="254" w:lineRule="auto"/>
        <w:tabs>
          <w:tab w:leader="none" w:pos="843"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Dilutive Issuances</w:t>
      </w:r>
      <w:r>
        <w:rPr>
          <w:rFonts w:ascii="Times New Roman" w:cs="Times New Roman" w:eastAsia="Times New Roman" w:hAnsi="Times New Roman"/>
          <w:sz w:val="17"/>
          <w:szCs w:val="17"/>
          <w:color w:val="auto"/>
        </w:rPr>
        <w:t>. For so long as any Preferred Shares or Incremental Warrants remain outstanding, the Company shall not, in any manner, enter into or affect any Dilutive Issuance (as defined in the Certificate of Designations) if the effect of such Dilutive Issuance is to cause the Company to be required to issue upon conversion of any Preferred Shares or exercise of any Incremental Warrant any shares of Common Stock in excess of that number of shares of Common Stock which the Company may issue upon conversion of the Preferred Shares and exercise of the Incremental Warrants without breaching the Company’s obligations under the rules or regulations of the Principal Market.</w:t>
      </w:r>
    </w:p>
    <w:p>
      <w:pPr>
        <w:spacing w:after="0" w:line="175" w:lineRule="exact"/>
        <w:rPr>
          <w:rFonts w:ascii="Times New Roman" w:cs="Times New Roman" w:eastAsia="Times New Roman" w:hAnsi="Times New Roman"/>
          <w:sz w:val="17"/>
          <w:szCs w:val="17"/>
          <w:color w:val="auto"/>
        </w:rPr>
      </w:pPr>
    </w:p>
    <w:p>
      <w:pPr>
        <w:jc w:val="both"/>
        <w:ind w:firstLine="606"/>
        <w:spacing w:after="0" w:line="261" w:lineRule="auto"/>
        <w:tabs>
          <w:tab w:leader="none" w:pos="843"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Passive Foreign Investment Company</w:t>
      </w:r>
      <w:r>
        <w:rPr>
          <w:rFonts w:ascii="Times New Roman" w:cs="Times New Roman" w:eastAsia="Times New Roman" w:hAnsi="Times New Roman"/>
          <w:sz w:val="17"/>
          <w:szCs w:val="17"/>
          <w:color w:val="auto"/>
        </w:rPr>
        <w:t>. The Company shall conduct its business, and shall cause its Subsidiaries to conduct their respective businesses, in such a manner as will ensure that the Company will not be deemed to constitute a passive foreign investment company within the meaning of Section 1297 of the Code.</w:t>
      </w:r>
    </w:p>
    <w:p>
      <w:pPr>
        <w:spacing w:after="0" w:line="169" w:lineRule="exact"/>
        <w:rPr>
          <w:rFonts w:ascii="Times New Roman" w:cs="Times New Roman" w:eastAsia="Times New Roman" w:hAnsi="Times New Roman"/>
          <w:sz w:val="17"/>
          <w:szCs w:val="17"/>
          <w:color w:val="auto"/>
        </w:rPr>
      </w:pPr>
    </w:p>
    <w:p>
      <w:pPr>
        <w:jc w:val="both"/>
        <w:ind w:firstLine="606"/>
        <w:spacing w:after="0" w:line="261" w:lineRule="auto"/>
        <w:tabs>
          <w:tab w:leader="none" w:pos="815"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 on Redemption and Cash Dividends</w:t>
      </w:r>
      <w:r>
        <w:rPr>
          <w:rFonts w:ascii="Times New Roman" w:cs="Times New Roman" w:eastAsia="Times New Roman" w:hAnsi="Times New Roman"/>
          <w:sz w:val="17"/>
          <w:szCs w:val="17"/>
          <w:color w:val="auto"/>
        </w:rPr>
        <w:t>. So long as any Preferred Shares are outstanding, the Company shall not, directly or indirectly, redeem, or declare or pay any cash dividend or distribution on, any securities of the Company without the prior express written consent of the Buyers (other than as required by the Certificate of Designations).</w:t>
      </w:r>
    </w:p>
    <w:p>
      <w:pPr>
        <w:spacing w:after="0" w:line="169" w:lineRule="exact"/>
        <w:rPr>
          <w:rFonts w:ascii="Times New Roman" w:cs="Times New Roman" w:eastAsia="Times New Roman" w:hAnsi="Times New Roman"/>
          <w:sz w:val="17"/>
          <w:szCs w:val="17"/>
          <w:color w:val="auto"/>
        </w:rPr>
      </w:pPr>
    </w:p>
    <w:p>
      <w:pPr>
        <w:jc w:val="both"/>
        <w:ind w:firstLine="606"/>
        <w:spacing w:after="0" w:line="261" w:lineRule="auto"/>
        <w:tabs>
          <w:tab w:leader="none" w:pos="837"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Existence</w:t>
      </w:r>
      <w:r>
        <w:rPr>
          <w:rFonts w:ascii="Times New Roman" w:cs="Times New Roman" w:eastAsia="Times New Roman" w:hAnsi="Times New Roman"/>
          <w:sz w:val="17"/>
          <w:szCs w:val="17"/>
          <w:color w:val="auto"/>
        </w:rPr>
        <w:t>. So long as any Buyer beneficially owns any Preferred Shares or Incremental Warrants, the Company shall not be party to any Fundamental Transaction (as defined in the Certificate of Designations) unless the Company is in compliance with the applicable provisions governing Fundamental Transactions set forth in the Certificate of Designations or the Incremental Warrants.</w:t>
      </w:r>
    </w:p>
    <w:p>
      <w:pPr>
        <w:spacing w:after="0" w:line="169" w:lineRule="exact"/>
        <w:rPr>
          <w:rFonts w:ascii="Times New Roman" w:cs="Times New Roman" w:eastAsia="Times New Roman" w:hAnsi="Times New Roman"/>
          <w:sz w:val="17"/>
          <w:szCs w:val="17"/>
          <w:color w:val="auto"/>
        </w:rPr>
      </w:pPr>
    </w:p>
    <w:p>
      <w:pPr>
        <w:ind w:left="800" w:hanging="194"/>
        <w:spacing w:after="0"/>
        <w:tabs>
          <w:tab w:leader="none" w:pos="80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0" w:name="page121"/>
    <w:bookmarkEnd w:id="120"/>
    <w:p>
      <w:pPr>
        <w:jc w:val="both"/>
        <w:ind w:firstLine="606"/>
        <w:spacing w:after="0" w:line="251" w:lineRule="auto"/>
        <w:tabs>
          <w:tab w:leader="none" w:pos="843"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Conversion and Exercise Procedures</w:t>
      </w:r>
      <w:r>
        <w:rPr>
          <w:rFonts w:ascii="Times New Roman" w:cs="Times New Roman" w:eastAsia="Times New Roman" w:hAnsi="Times New Roman"/>
          <w:sz w:val="17"/>
          <w:szCs w:val="17"/>
          <w:color w:val="auto"/>
        </w:rPr>
        <w:t>. Each of the form of Exercise Notice (as defined in the Incremental Warrants) included in the Incremental Warrants, respectively, and the form of Conversion Notice (as defined in the Certificate of Designations) included in the Certificate of Designations set forth the totality of the procedures required of the Buyers in order to exercise the Incremental Warrants or convert the Preferred Shares. Except as provided in Section 5(d), no additional legal opinion, other information or instructions shall be required of the Buyers to exercise their Incremental Warrants or convert their Preferred Shares. The Company shall honor exercises of the Incremental Warrants and conversions of the Preferred Shares and shall deliver the Conversion Shares and Incremental Warrant Shares in accordance with the terms, conditions and time periods set forth in the Certificate of Designations and Incremental Warrants. Without limiting the preceding sentences, no ink-original Conversion Notice or Exercise Notice shall be required, nor shall any medallion guarantee (or other type of guarantee or notarization) of any Conversion Notice or Exercise Notice form be required in order to convert the Preferred Shares or exercise the Incremental Warrants.</w:t>
      </w:r>
    </w:p>
    <w:p>
      <w:pPr>
        <w:spacing w:after="0" w:line="180" w:lineRule="exact"/>
        <w:rPr>
          <w:rFonts w:ascii="Times New Roman" w:cs="Times New Roman" w:eastAsia="Times New Roman" w:hAnsi="Times New Roman"/>
          <w:sz w:val="17"/>
          <w:szCs w:val="17"/>
          <w:color w:val="auto"/>
        </w:rPr>
      </w:pPr>
    </w:p>
    <w:p>
      <w:pPr>
        <w:ind w:firstLine="606"/>
        <w:spacing w:after="0" w:line="274" w:lineRule="auto"/>
        <w:tabs>
          <w:tab w:leader="none" w:pos="843"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Regulation M</w:t>
      </w:r>
      <w:r>
        <w:rPr>
          <w:rFonts w:ascii="Times New Roman" w:cs="Times New Roman" w:eastAsia="Times New Roman" w:hAnsi="Times New Roman"/>
          <w:sz w:val="17"/>
          <w:szCs w:val="17"/>
          <w:color w:val="auto"/>
        </w:rPr>
        <w:t>. The Company will not take any action prohibited by Regulation M under the 1934 Act, in connection with the distribution of the Securities contemplated hereby.</w:t>
      </w:r>
    </w:p>
    <w:p>
      <w:pPr>
        <w:spacing w:after="0" w:line="158" w:lineRule="exact"/>
        <w:rPr>
          <w:rFonts w:ascii="Times New Roman" w:cs="Times New Roman" w:eastAsia="Times New Roman" w:hAnsi="Times New Roman"/>
          <w:sz w:val="17"/>
          <w:szCs w:val="17"/>
          <w:color w:val="auto"/>
        </w:rPr>
      </w:pPr>
    </w:p>
    <w:p>
      <w:pPr>
        <w:jc w:val="both"/>
        <w:ind w:firstLine="606"/>
        <w:spacing w:after="0" w:line="256" w:lineRule="auto"/>
        <w:tabs>
          <w:tab w:leader="none" w:pos="893"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Solicitation</w:t>
      </w:r>
      <w:r>
        <w:rPr>
          <w:rFonts w:ascii="Times New Roman" w:cs="Times New Roman" w:eastAsia="Times New Roman" w:hAnsi="Times New Roman"/>
          <w:sz w:val="17"/>
          <w:szCs w:val="17"/>
          <w:color w:val="auto"/>
        </w:rPr>
        <w:t>. None of the Company, any of its affiliates (as defined in Rule 501(b) under the 1933 Act) or any person acting on behalf of the Company or such affiliate will solicit any offer to buy or offer or sell the Securities by means of any form of general solicitation or general advertising within the meaning of Regulation D, including: (i) any advertisement, article, notice or other communication published in any newspaper, magazine or similar medium or broadcast over television or radio; and (ii) any seminar or meeting whose attendees have been invited by any general solicitation or general advertising.</w:t>
      </w:r>
    </w:p>
    <w:p>
      <w:pPr>
        <w:spacing w:after="0" w:line="174" w:lineRule="exact"/>
        <w:rPr>
          <w:rFonts w:ascii="Times New Roman" w:cs="Times New Roman" w:eastAsia="Times New Roman" w:hAnsi="Times New Roman"/>
          <w:sz w:val="17"/>
          <w:szCs w:val="17"/>
          <w:color w:val="auto"/>
        </w:rPr>
      </w:pPr>
    </w:p>
    <w:p>
      <w:pPr>
        <w:jc w:val="both"/>
        <w:ind w:firstLine="606"/>
        <w:spacing w:after="0" w:line="254" w:lineRule="auto"/>
        <w:tabs>
          <w:tab w:leader="none" w:pos="843"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Integration</w:t>
      </w:r>
      <w:r>
        <w:rPr>
          <w:rFonts w:ascii="Times New Roman" w:cs="Times New Roman" w:eastAsia="Times New Roman" w:hAnsi="Times New Roman"/>
          <w:sz w:val="17"/>
          <w:szCs w:val="17"/>
          <w:color w:val="auto"/>
        </w:rPr>
        <w:t>. None of the Company, any of its affiliates (as defined in Rule 501(b) under the 1933 Act), or any person acting on behalf of the Company or such affiliate will sell, offer for sale, or solicit offers to buy or otherwise negotiate in respect of any security (as defined in the 1933 Act) which will be integrated with the sale of the Securities in a manner which would require the registration of the Securities under the 1933 Act or require stockholder approval under the rules and regulations of the Principal Market and the Company will take all action that is appropriate or necessary to assure that its offerings of other securities will not be integrated for purposes of the 1933 Act or the rules and regulations of the Principal Market, with the issuance of Securities contemplated hereby.</w:t>
      </w:r>
    </w:p>
    <w:p>
      <w:pPr>
        <w:spacing w:after="0" w:line="175" w:lineRule="exact"/>
        <w:rPr>
          <w:rFonts w:ascii="Times New Roman" w:cs="Times New Roman" w:eastAsia="Times New Roman" w:hAnsi="Times New Roman"/>
          <w:sz w:val="17"/>
          <w:szCs w:val="17"/>
          <w:color w:val="auto"/>
        </w:rPr>
      </w:pPr>
    </w:p>
    <w:p>
      <w:pPr>
        <w:ind w:firstLine="606"/>
        <w:spacing w:after="0" w:line="274" w:lineRule="auto"/>
        <w:tabs>
          <w:tab w:leader="none" w:pos="843"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Disqualification Events</w:t>
      </w:r>
      <w:r>
        <w:rPr>
          <w:rFonts w:ascii="Times New Roman" w:cs="Times New Roman" w:eastAsia="Times New Roman" w:hAnsi="Times New Roman"/>
          <w:sz w:val="17"/>
          <w:szCs w:val="17"/>
          <w:color w:val="auto"/>
        </w:rPr>
        <w:t>. The Company will notify the Buyers in writing, prior to the Closing Date of (i) any Disqualification Event relating to any Issuer Covered Person and (ii) any event that would, with the passage of time, become a Disqualification Event relating to any Issuer Covered Person.</w:t>
      </w:r>
    </w:p>
    <w:p>
      <w:pPr>
        <w:spacing w:after="0" w:line="154" w:lineRule="exact"/>
        <w:rPr>
          <w:rFonts w:ascii="Times New Roman" w:cs="Times New Roman" w:eastAsia="Times New Roman" w:hAnsi="Times New Roman"/>
          <w:sz w:val="17"/>
          <w:szCs w:val="17"/>
          <w:color w:val="auto"/>
        </w:rPr>
      </w:pPr>
    </w:p>
    <w:p>
      <w:pPr>
        <w:jc w:val="both"/>
        <w:ind w:firstLine="606"/>
        <w:spacing w:after="0" w:line="268" w:lineRule="auto"/>
        <w:tabs>
          <w:tab w:leader="none" w:pos="834"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Stockholder Approval</w:t>
      </w:r>
      <w:r>
        <w:rPr>
          <w:rFonts w:ascii="Times New Roman" w:cs="Times New Roman" w:eastAsia="Times New Roman" w:hAnsi="Times New Roman"/>
          <w:sz w:val="16"/>
          <w:szCs w:val="16"/>
          <w:color w:val="auto"/>
        </w:rPr>
        <w:t>. Within sixty (60) days of the Closing Date (the “</w:t>
      </w:r>
      <w:r>
        <w:rPr>
          <w:rFonts w:ascii="Times New Roman" w:cs="Times New Roman" w:eastAsia="Times New Roman" w:hAnsi="Times New Roman"/>
          <w:sz w:val="16"/>
          <w:szCs w:val="16"/>
          <w:b w:val="1"/>
          <w:bCs w:val="1"/>
          <w:color w:val="auto"/>
        </w:rPr>
        <w:t>Stockholder Approval Deadline</w:t>
      </w:r>
      <w:r>
        <w:rPr>
          <w:rFonts w:ascii="Times New Roman" w:cs="Times New Roman" w:eastAsia="Times New Roman" w:hAnsi="Times New Roman"/>
          <w:sz w:val="16"/>
          <w:szCs w:val="16"/>
          <w:color w:val="auto"/>
        </w:rPr>
        <w:t>”), the Company shall hold a special meeting of shareholders (which may also be at the annual meeting of shareholders) providing for the approval of (i) the issuance of all of the Securities in excess of 19.99% of the Company’s issued and outstanding Common Stock at a price less than the minimum price required by the Principal Market, in compliance with the rules and regulations of the Principal Market (without regard to any limitation on conversion or exercise thereof), (the “</w:t>
      </w:r>
      <w:r>
        <w:rPr>
          <w:rFonts w:ascii="Times New Roman" w:cs="Times New Roman" w:eastAsia="Times New Roman" w:hAnsi="Times New Roman"/>
          <w:sz w:val="16"/>
          <w:szCs w:val="16"/>
          <w:b w:val="1"/>
          <w:bCs w:val="1"/>
          <w:color w:val="auto"/>
        </w:rPr>
        <w:t>Nasdaq Approval</w:t>
      </w:r>
      <w:r>
        <w:rPr>
          <w:rFonts w:ascii="Times New Roman" w:cs="Times New Roman" w:eastAsia="Times New Roman" w:hAnsi="Times New Roman"/>
          <w:sz w:val="16"/>
          <w:szCs w:val="16"/>
          <w:color w:val="auto"/>
        </w:rPr>
        <w:t>”) and (ii) authorization to increase the authorized Common Stock of the Company to 400,000,000 (the “</w:t>
      </w:r>
      <w:r>
        <w:rPr>
          <w:rFonts w:ascii="Times New Roman" w:cs="Times New Roman" w:eastAsia="Times New Roman" w:hAnsi="Times New Roman"/>
          <w:sz w:val="16"/>
          <w:szCs w:val="16"/>
          <w:b w:val="1"/>
          <w:bCs w:val="1"/>
          <w:color w:val="auto"/>
        </w:rPr>
        <w:t>Authorized Share Approval</w:t>
      </w:r>
      <w:r>
        <w:rPr>
          <w:rFonts w:ascii="Times New Roman" w:cs="Times New Roman" w:eastAsia="Times New Roman" w:hAnsi="Times New Roman"/>
          <w:sz w:val="16"/>
          <w:szCs w:val="16"/>
          <w:color w:val="auto"/>
        </w:rPr>
        <w:t>” and, together with the Nasdaq Approval, the “</w:t>
      </w:r>
      <w:r>
        <w:rPr>
          <w:rFonts w:ascii="Times New Roman" w:cs="Times New Roman" w:eastAsia="Times New Roman" w:hAnsi="Times New Roman"/>
          <w:sz w:val="16"/>
          <w:szCs w:val="16"/>
          <w:b w:val="1"/>
          <w:bCs w:val="1"/>
          <w:color w:val="auto"/>
        </w:rPr>
        <w:t>Stockholder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Approval</w:t>
      </w:r>
      <w:r>
        <w:rPr>
          <w:rFonts w:ascii="Times New Roman" w:cs="Times New Roman" w:eastAsia="Times New Roman" w:hAnsi="Times New Roman"/>
          <w:sz w:val="16"/>
          <w:szCs w:val="16"/>
          <w:color w:val="auto"/>
        </w:rPr>
        <w:t>”), with the recommendation of the Company’s Board of Directors that such proposals be approved, and the Company shall solicit proxies from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shareholders in connection therewith in the same manner as all other management proposals in such proxy statement and all management-appointed proxyholders shall vote their proxies in favor of such proposals. If the Company does not obtain Stockholder Approval at the initial shareholder meeting, the Company shall adjourn and extend such meeting at least as often as every sixty (60) days in order to obtain such Stockholder Approval. Until Stockholder approval is obtained, the Company shall not issue shares in excess of 19.99% of the Company’s outstanding Common Stock at a per share price less than the minimum price required by the Principal Market.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1" w:name="page122"/>
    <w:bookmarkEnd w:id="121"/>
    <w:p>
      <w:pPr>
        <w:ind w:left="160" w:hanging="159"/>
        <w:spacing w:after="0"/>
        <w:tabs>
          <w:tab w:leader="none" w:pos="16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REGISTER; TRANSFER AGENT INSTRUCTIONS; LEGEND.</w:t>
      </w:r>
    </w:p>
    <w:p>
      <w:pPr>
        <w:spacing w:after="0" w:line="211" w:lineRule="exact"/>
        <w:rPr>
          <w:rFonts w:ascii="Times New Roman" w:cs="Times New Roman" w:eastAsia="Times New Roman" w:hAnsi="Times New Roman"/>
          <w:sz w:val="17"/>
          <w:szCs w:val="17"/>
          <w:b w:val="1"/>
          <w:bCs w:val="1"/>
          <w:color w:val="auto"/>
        </w:rPr>
      </w:pPr>
    </w:p>
    <w:p>
      <w:pPr>
        <w:jc w:val="both"/>
        <w:ind w:firstLine="606"/>
        <w:spacing w:after="0" w:line="252" w:lineRule="auto"/>
        <w:tabs>
          <w:tab w:leader="none" w:pos="834"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Register</w:t>
      </w:r>
      <w:r>
        <w:rPr>
          <w:rFonts w:ascii="Times New Roman" w:cs="Times New Roman" w:eastAsia="Times New Roman" w:hAnsi="Times New Roman"/>
          <w:sz w:val="17"/>
          <w:szCs w:val="17"/>
          <w:color w:val="auto"/>
        </w:rPr>
        <w:t>. The Company shall maintain at its principal executive offices (or such other office or agency of the Company as it may designate by notice to each holder of Securities), a register for the Preferred Shares and the Incremental Warrants in which the Company shall record the name and address of the Person in whose name the Preferred Shares and the Incremental Warrants have been issued (including the name and address of each transferee), the aggregate number of the Preferred Shares held by such Person, the number of Conversion Shares issuable pursuant to the terms of the Certificate of Designations, the number of Incremental Warrant Shares issuable upon exercise or cancellation of the Incremental Warrants held by such Person, and the number of Incremental Warrant Conversion Shares issuable upon conversion of the Incremental Warrant Shares held by such Person. The Company shall keep the register open and available at all times during business hours for inspection of any Buyer or its legal representatives.</w:t>
      </w:r>
    </w:p>
    <w:p>
      <w:pPr>
        <w:spacing w:after="0" w:line="177" w:lineRule="exact"/>
        <w:rPr>
          <w:rFonts w:ascii="Times New Roman" w:cs="Times New Roman" w:eastAsia="Times New Roman" w:hAnsi="Times New Roman"/>
          <w:sz w:val="17"/>
          <w:szCs w:val="17"/>
          <w:color w:val="auto"/>
        </w:rPr>
      </w:pPr>
    </w:p>
    <w:p>
      <w:pPr>
        <w:jc w:val="both"/>
        <w:ind w:firstLine="606"/>
        <w:spacing w:after="0" w:line="249" w:lineRule="auto"/>
        <w:tabs>
          <w:tab w:leader="none" w:pos="843"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Agent Instructions</w:t>
      </w:r>
      <w:r>
        <w:rPr>
          <w:rFonts w:ascii="Times New Roman" w:cs="Times New Roman" w:eastAsia="Times New Roman" w:hAnsi="Times New Roman"/>
          <w:sz w:val="17"/>
          <w:szCs w:val="17"/>
          <w:color w:val="auto"/>
        </w:rPr>
        <w:t>. The Company shall issue irrevocable instructions to its transfer agent and any subsequent transfer agent (as applicable, the “</w:t>
      </w:r>
      <w:r>
        <w:rPr>
          <w:rFonts w:ascii="Times New Roman" w:cs="Times New Roman" w:eastAsia="Times New Roman" w:hAnsi="Times New Roman"/>
          <w:sz w:val="17"/>
          <w:szCs w:val="17"/>
          <w:b w:val="1"/>
          <w:bCs w:val="1"/>
          <w:color w:val="auto"/>
        </w:rPr>
        <w:t>Transfer Agent</w:t>
      </w:r>
      <w:r>
        <w:rPr>
          <w:rFonts w:ascii="Times New Roman" w:cs="Times New Roman" w:eastAsia="Times New Roman" w:hAnsi="Times New Roman"/>
          <w:sz w:val="17"/>
          <w:szCs w:val="17"/>
          <w:color w:val="auto"/>
        </w:rPr>
        <w:t>”) in a form acceptable to each of the Buyers (the “</w:t>
      </w:r>
      <w:r>
        <w:rPr>
          <w:rFonts w:ascii="Times New Roman" w:cs="Times New Roman" w:eastAsia="Times New Roman" w:hAnsi="Times New Roman"/>
          <w:sz w:val="17"/>
          <w:szCs w:val="17"/>
          <w:b w:val="1"/>
          <w:bCs w:val="1"/>
          <w:color w:val="auto"/>
        </w:rPr>
        <w:t>Irrevocable Transfer Agent Instructions</w:t>
      </w:r>
      <w:r>
        <w:rPr>
          <w:rFonts w:ascii="Times New Roman" w:cs="Times New Roman" w:eastAsia="Times New Roman" w:hAnsi="Times New Roman"/>
          <w:sz w:val="17"/>
          <w:szCs w:val="17"/>
          <w:color w:val="auto"/>
        </w:rPr>
        <w:t>”) to issue certificates or credit shares to the applicable balance accounts at The 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registered in the name of each Buyer or its respective nominee(s), for the Conversion Shares and the Incremental Warrant Conversion Shares in such amounts as specified from time to time by each Buyer to the Company upon conversion of the Preferred Shares or the Incremental Warrant Shares (as the case may be). The Company represents and warrants that no instruction other than the Irrevocable Transfer Agent Instructions referred to in this Section 5(b), and stop transfer instructions to give effect to Section 2(g) hereof, will be given by the Company to the Transfer Agent with respect to the Securities, and that the Securities shall otherwise be freely transferable on the books and records of the Company, as applicable, to the extent provided in this Agreement and the other Transaction Documents. If a Buyer effects a sale, assignment or transfer of the Securities in accordance with Section 2(g), the Company shall permit the transfer and shall promptly instruct the Transfer Agent to issue one or more certificates or, in the case of the Conversion Shares and the Incremental Warrant Conversion Shares, credit shares to the applicable balance accounts at DTC in such name and in such denominations as specified by such Buyer to effect such sale, transfer or assignment. In the event that such sale, assignment or transfer involves Conversion Shares or Incremental Warrant Conversion Shares sold, assigned or transferred pursuant to an effective registration statement or in compliance with Rule 144, the Transfer Agent shall issue such shares to such Buyer, assignee or transferee (as the case may be) without any restrictive legend in accordance with Section 5(d) below. The Company acknowledges that a breach by it of its obligations hereunder will cause irreparable harm to a Buyer. Accordingly, the Company acknowledges that the remedy at law for a breach of its obligations under this Section 5(b) will be inadequate and agrees, in the event of a breach or threatened breach by the Company of the provisions of this Section 5(b), that a Buyer shall be entitled, in addition to all other available remedies, to an order and/or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Transfer Agent Instructions to the Transfer Agent on each Effective Date (as defined in the Registration Rights Agreement). Any fees (with respect to the Transfer Agent, counsel to the Company or otherwise) associated with the issuance of such opinion or the removal of any legends on any of the Securities shall be borne by the Company.</w:t>
      </w:r>
    </w:p>
    <w:p>
      <w:pPr>
        <w:spacing w:after="0" w:line="179" w:lineRule="exact"/>
        <w:rPr>
          <w:rFonts w:ascii="Times New Roman" w:cs="Times New Roman" w:eastAsia="Times New Roman" w:hAnsi="Times New Roman"/>
          <w:sz w:val="17"/>
          <w:szCs w:val="17"/>
          <w:color w:val="auto"/>
        </w:rPr>
      </w:pPr>
    </w:p>
    <w:p>
      <w:pPr>
        <w:jc w:val="both"/>
        <w:ind w:left="600" w:firstLine="611"/>
        <w:spacing w:after="0" w:line="252" w:lineRule="auto"/>
        <w:tabs>
          <w:tab w:leader="none" w:pos="1406" w:val="left"/>
        </w:tabs>
        <w:numPr>
          <w:ilvl w:val="2"/>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Irrevocable Transfer Agent Instructions Reserve Amount</w:t>
      </w:r>
      <w:r>
        <w:rPr>
          <w:rFonts w:ascii="Times New Roman" w:cs="Times New Roman" w:eastAsia="Times New Roman" w:hAnsi="Times New Roman"/>
          <w:sz w:val="17"/>
          <w:szCs w:val="17"/>
          <w:color w:val="auto"/>
        </w:rPr>
        <w:t>. If at any time the Irrevocable Transfer Agent Instructions are not sufficient to reserve the Required Reserve Amount, the Company shall amend the Irrevocable Transfer Agent Instructions to reserve the Required Reserve Amount within one (1) week of the date the Irrevocable Transfer Agent Instructions become insufficient to reserve the Required Reserve Amount (the “</w:t>
      </w:r>
      <w:r>
        <w:rPr>
          <w:rFonts w:ascii="Times New Roman" w:cs="Times New Roman" w:eastAsia="Times New Roman" w:hAnsi="Times New Roman"/>
          <w:sz w:val="17"/>
          <w:szCs w:val="17"/>
          <w:b w:val="1"/>
          <w:bCs w:val="1"/>
          <w:color w:val="auto"/>
        </w:rPr>
        <w:t>TA Instruction Cure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Period</w:t>
      </w:r>
      <w:r>
        <w:rPr>
          <w:rFonts w:ascii="Times New Roman" w:cs="Times New Roman" w:eastAsia="Times New Roman" w:hAnsi="Times New Roman"/>
          <w:sz w:val="17"/>
          <w:szCs w:val="17"/>
          <w:color w:val="auto"/>
        </w:rPr>
        <w:t>”). If the Irrevocable Transfer Agent Instructions are not amended within the TA Instruction Cure Period, the Company shall pay to each Buyer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 in cash equal to the sum of one percent (1%) of the Stated Value (as defined in the Certificate of Designations) of the then-outstanding Preferred Shares held by such Buyer, for each month following the end of the TA Instruction Cure Period that the Irrevocable Transfer Agent Instructions are insufficient to reserve the Required Reserve Amount.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2" w:name="page123"/>
    <w:bookmarkEnd w:id="122"/>
    <w:p>
      <w:pPr>
        <w:jc w:val="both"/>
        <w:ind w:firstLine="606"/>
        <w:spacing w:after="0" w:line="256" w:lineRule="auto"/>
        <w:tabs>
          <w:tab w:leader="none" w:pos="834"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 Each Buyer understands that the Securities have been issued (or will be issued in the case of the Conversion Shares, the Incremental Warrant Shares and the Incremental Warrant Conversion Shares) pursuant to an exemption from registration or qualification under the 1933 Act and applicable state securities laws, and except as set forth below, the Securities shall bear any legend as required by the “blue sky” laws of any state and a restrictive legend in substantially the following form (and a stop-transfer order may be placed against transfer of such stock certificates):</w:t>
      </w:r>
    </w:p>
    <w:p>
      <w:pPr>
        <w:spacing w:after="0" w:line="175" w:lineRule="exact"/>
        <w:rPr>
          <w:sz w:val="20"/>
          <w:szCs w:val="20"/>
          <w:color w:val="auto"/>
        </w:rPr>
      </w:pPr>
    </w:p>
    <w:p>
      <w:pPr>
        <w:jc w:val="both"/>
        <w:ind w:left="600" w:right="600"/>
        <w:spacing w:after="0" w:line="251" w:lineRule="auto"/>
        <w:rPr>
          <w:sz w:val="20"/>
          <w:szCs w:val="20"/>
          <w:color w:val="auto"/>
        </w:rPr>
      </w:pPr>
      <w:r>
        <w:rPr>
          <w:rFonts w:ascii="Times New Roman" w:cs="Times New Roman" w:eastAsia="Times New Roman" w:hAnsi="Times New Roman"/>
          <w:sz w:val="17"/>
          <w:szCs w:val="17"/>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w:t>
      </w:r>
    </w:p>
    <w:p>
      <w:pPr>
        <w:spacing w:after="0" w:line="177" w:lineRule="exact"/>
        <w:rPr>
          <w:sz w:val="20"/>
          <w:szCs w:val="20"/>
          <w:color w:val="auto"/>
        </w:rPr>
      </w:pPr>
    </w:p>
    <w:p>
      <w:pPr>
        <w:jc w:val="both"/>
        <w:ind w:firstLine="606"/>
        <w:spacing w:after="0" w:line="265" w:lineRule="auto"/>
        <w:tabs>
          <w:tab w:leader="none" w:pos="843"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Removal of Legends</w:t>
      </w:r>
      <w:r>
        <w:rPr>
          <w:rFonts w:ascii="Times New Roman" w:cs="Times New Roman" w:eastAsia="Times New Roman" w:hAnsi="Times New Roman"/>
          <w:sz w:val="16"/>
          <w:szCs w:val="16"/>
          <w:color w:val="auto"/>
        </w:rPr>
        <w:t>. Certificates evidencing Securities shall not be required to contain the legend set forth in Section 5(c) above or any other legend (i) while a registration statement (including a Registration Statement) covering the resale of such Securities is effective under the 1933 Act, (ii) following any sale of such Securities pursuant to Rule 144 (assuming the transferor is not an affiliate of the Company), (iii) if such Securities are eligible to be sold, assigned or transferred under Rule 144 (provided that a Buyer provides the Company with reasonable assurances that such Securities are eligible for sale, assignment or transfer under Rule 144 which shall not include an opinion of Buyer’s counsel), (iv) in connection with a sale, assignment or other transfer (other than under Rule 144), provided that such Buyer provides the Company with an opinion of counsel to such Buyer, in a generally acceptable form, to the effect that such sale, assignment or transfer of the Securities may be made without registration under the applicable requirements of the 1933 Act or (v) if such legend is not required under applicable requirements of the 1933 Act (including, without limitation, controlling judicial interpretations and pronouncements issued by the SEC). If a legend is not required pursuant to the foregoing, the Company shall no later than two (2) Trading Days (or such earlier date as required pursuant to the 1934 Act or other applicable law, rule or regulation for the settlement of a trade initiated on the date such Buyer delivers such legended certificate representing such Securities to the Company) following the delivery by a Buyer to the Company or the Transfer Agent (with notice to the Company) of a legended certificate representing such Securities (endorsed or with stock powers attached, signatures guaranteed, and otherwise in form necessary to affect the reissuance and/or transfer, if applicable), together with any other deliveries from such Buyer as may be required above in this Section 5(d), as directed by such Buyer, either: (A) provided that the Transfer Agent is participating in the DTC Fast Automated Securities Transfer Program (“</w:t>
      </w:r>
      <w:r>
        <w:rPr>
          <w:rFonts w:ascii="Times New Roman" w:cs="Times New Roman" w:eastAsia="Times New Roman" w:hAnsi="Times New Roman"/>
          <w:sz w:val="16"/>
          <w:szCs w:val="16"/>
          <w:b w:val="1"/>
          <w:bCs w:val="1"/>
          <w:color w:val="auto"/>
        </w:rPr>
        <w:t>FAST</w:t>
      </w:r>
      <w:r>
        <w:rPr>
          <w:rFonts w:ascii="Times New Roman" w:cs="Times New Roman" w:eastAsia="Times New Roman" w:hAnsi="Times New Roman"/>
          <w:sz w:val="16"/>
          <w:szCs w:val="16"/>
          <w:color w:val="auto"/>
        </w:rPr>
        <w:t>”) and such Securities are Conversion Shares or Incremental Warrant Conversion Shares, credit the aggregate number of shares of Common Stock to which such Buyer shall be entitled to such Buyer’s or its designee’s balance account with DTC through its Deposit/Withdrawal at Custodian system or (B) if the Transfer Agent is not participating in FAST, issue and deliver (via reputable overnight courier) to such Buyer, a certificate representing such Securities that is free from all restrictive and other legends, registered in the name of such Buyer or its designee (the date by which such credit is so required to be made to the balance account of such Buyer’s or such Buyer’s designee with DTC or such certificate is required to be delivered to such Buyer pursuant to the foregoing is referred to herein as the “</w:t>
      </w:r>
      <w:r>
        <w:rPr>
          <w:rFonts w:ascii="Times New Roman" w:cs="Times New Roman" w:eastAsia="Times New Roman" w:hAnsi="Times New Roman"/>
          <w:sz w:val="16"/>
          <w:szCs w:val="16"/>
          <w:b w:val="1"/>
          <w:bCs w:val="1"/>
          <w:color w:val="auto"/>
        </w:rPr>
        <w:t>Required Delivery Date</w:t>
      </w:r>
      <w:r>
        <w:rPr>
          <w:rFonts w:ascii="Times New Roman" w:cs="Times New Roman" w:eastAsia="Times New Roman" w:hAnsi="Times New Roman"/>
          <w:sz w:val="16"/>
          <w:szCs w:val="16"/>
          <w:color w:val="auto"/>
        </w:rPr>
        <w:t>”, and the date such shares of Common Stock are actually delivered without restrictive legend to such Buyer or such Buyer’s designee with DTC, as applicable, the “</w:t>
      </w:r>
      <w:r>
        <w:rPr>
          <w:rFonts w:ascii="Times New Roman" w:cs="Times New Roman" w:eastAsia="Times New Roman" w:hAnsi="Times New Roman"/>
          <w:sz w:val="16"/>
          <w:szCs w:val="16"/>
          <w:b w:val="1"/>
          <w:bCs w:val="1"/>
          <w:color w:val="auto"/>
        </w:rPr>
        <w:t>Share Delivery Date</w:t>
      </w:r>
      <w:r>
        <w:rPr>
          <w:rFonts w:ascii="Times New Roman" w:cs="Times New Roman" w:eastAsia="Times New Roman" w:hAnsi="Times New Roman"/>
          <w:sz w:val="16"/>
          <w:szCs w:val="16"/>
          <w:color w:val="auto"/>
        </w:rPr>
        <w:t>”). The Company shall be responsible for any Transfer Agent fees or DTC fees with respect to any issuance of Securities or the removal of any legends with respect to any Securities in accordance herewith.</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3" w:name="page124"/>
    <w:bookmarkEnd w:id="123"/>
    <w:p>
      <w:pPr>
        <w:jc w:val="both"/>
        <w:ind w:firstLine="606"/>
        <w:spacing w:after="0" w:line="264" w:lineRule="auto"/>
        <w:tabs>
          <w:tab w:leader="none" w:pos="846"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Failure to Timely Deliver; Buy-In</w:t>
      </w:r>
      <w:r>
        <w:rPr>
          <w:rFonts w:ascii="Times New Roman" w:cs="Times New Roman" w:eastAsia="Times New Roman" w:hAnsi="Times New Roman"/>
          <w:sz w:val="16"/>
          <w:szCs w:val="16"/>
          <w:color w:val="auto"/>
        </w:rPr>
        <w:t>. Subject to Section 4(c)(ii) of the Certificate of Designations (and without duplication of any amounts paid by the Company to a Buyer pursuant thereto), if the Company fails, for any reason or for no reason, to issue and deliver (or cause to be delivered) to a Buyer (or its designee) by the Required Delivery Date, either (I) if the Transfer Agent is not participating in FAST, a certificate for the number of Conversion Shares or Incremental Warrant Conversion Shares(as the case may be) to which such Buyer is entitled and register such Conversion Shares or Incremental Warrant Conversion Shares (as the case may be) on the Company’s share register or, if the Transfer Agent is participating in FAST, to credit the balance account of such Buyer or such Buyer’s designee with DTC for such number of Conversion Shares or Incremental Warrant Conversion Shares (as the case may be) submitted for legend removal by such Buyer pursuant to Section 5(d) above or (II) if the Registration Statement covering the resale of the Conversion Shares or Incremental Warrant Conversion Shares (as the case may be) submitted for legend removal by such Buyer pursuant to Section 5(d) above (the “</w:t>
      </w:r>
      <w:r>
        <w:rPr>
          <w:rFonts w:ascii="Times New Roman" w:cs="Times New Roman" w:eastAsia="Times New Roman" w:hAnsi="Times New Roman"/>
          <w:sz w:val="16"/>
          <w:szCs w:val="16"/>
          <w:b w:val="1"/>
          <w:bCs w:val="1"/>
          <w:color w:val="auto"/>
        </w:rPr>
        <w:t>Unavailable Shares</w:t>
      </w:r>
      <w:r>
        <w:rPr>
          <w:rFonts w:ascii="Times New Roman" w:cs="Times New Roman" w:eastAsia="Times New Roman" w:hAnsi="Times New Roman"/>
          <w:sz w:val="16"/>
          <w:szCs w:val="16"/>
          <w:color w:val="auto"/>
        </w:rPr>
        <w:t>”) is not available for the resale of such Unavailable Shares and the Company fails to promptly, but in no event later than as required pursuant to the Registration Rights Agreement (x) so notify such Buyer and (y) deliver the Conversion Shares or Incremental Warrant Conversion Shares, as applicable, electronically without any restrictive legend by crediting such aggregate number of Conversion Shares or Incremental Warrant Conversion Shares (as the case may be) submitted for legend removal by such Buyer pursuant to Section 5(d) above to such Buyer’s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6"/>
          <w:szCs w:val="16"/>
          <w:b w:val="1"/>
          <w:bCs w:val="1"/>
          <w:color w:val="auto"/>
        </w:rPr>
        <w:t>Notice Failure</w:t>
      </w:r>
      <w:r>
        <w:rPr>
          <w:rFonts w:ascii="Times New Roman" w:cs="Times New Roman" w:eastAsia="Times New Roman" w:hAnsi="Times New Roman"/>
          <w:sz w:val="16"/>
          <w:szCs w:val="16"/>
          <w:color w:val="auto"/>
        </w:rPr>
        <w:t>” and together with the event described in clause (I) above, a “</w:t>
      </w:r>
      <w:r>
        <w:rPr>
          <w:rFonts w:ascii="Times New Roman" w:cs="Times New Roman" w:eastAsia="Times New Roman" w:hAnsi="Times New Roman"/>
          <w:sz w:val="16"/>
          <w:szCs w:val="16"/>
          <w:b w:val="1"/>
          <w:bCs w:val="1"/>
          <w:color w:val="auto"/>
        </w:rPr>
        <w:t>Delivery Failure</w:t>
      </w:r>
      <w:r>
        <w:rPr>
          <w:rFonts w:ascii="Times New Roman" w:cs="Times New Roman" w:eastAsia="Times New Roman" w:hAnsi="Times New Roman"/>
          <w:sz w:val="16"/>
          <w:szCs w:val="16"/>
          <w:color w:val="auto"/>
        </w:rPr>
        <w:t>”), then, in addition to all other remedies available to such Buyer, the Company shall pay in cash to such Buyer on each day after the Share Delivery Date and during such Delivery Failure an amount equal to 2% of the product of (A) the sum of the number of shares of Common Stock not issued to such Buyer on or prior to the Required Delivery Date and to which such Buyer is entitled, and (B) any trading price of the Common Stock selected by such Buyer in writing as in effect at any time during the period beginning on the date of the delivery by such Buyer to the Company of the applicable Conversion Shares or Incremental Warrant Conversion Shares (as the case may be) and ending on the applicable Share Delivery Date. In addition to the foregoing, if on or prior to the Required Delivery Date either (I) if the Transfer Agent is not participating in FAST, the Company shall fail to issue and deliver a certificate to a Buyer and register such shares of Common Stock on the Company’s share register or, if the Transfer Agent is participating in FAST, credit the balance account of such Buyer or such Buyer’s designee with DTC for the number of shares of Common Stock to which such Buyer submitted for legend removal by such Buyer pursuant to Section 5(d) above (ii) below or (II) a Notice Failure occurs, and if on or after such Trading Day such Buyer acquires (in an open market transaction, stock loan or otherwise) shares of Common Stock corresponding to all or any portion of the number of shares of Common Stock submitted for legend removal by such Buyer pursuant to Section 5(d) above (a “</w:t>
      </w:r>
      <w:r>
        <w:rPr>
          <w:rFonts w:ascii="Times New Roman" w:cs="Times New Roman" w:eastAsia="Times New Roman" w:hAnsi="Times New Roman"/>
          <w:sz w:val="16"/>
          <w:szCs w:val="16"/>
          <w:b w:val="1"/>
          <w:bCs w:val="1"/>
          <w:color w:val="auto"/>
        </w:rPr>
        <w:t>Buy-In</w:t>
      </w:r>
      <w:r>
        <w:rPr>
          <w:rFonts w:ascii="Times New Roman" w:cs="Times New Roman" w:eastAsia="Times New Roman" w:hAnsi="Times New Roman"/>
          <w:sz w:val="16"/>
          <w:szCs w:val="16"/>
          <w:color w:val="auto"/>
        </w:rPr>
        <w:t>”), then the Company shall, within two (2) Trading Days after such Buyer’s request and in such Buyer’s discretion, either (i) pay cash to such Buyer in an amount equal to such Buyer’s total purchase price (including brokerage commissions, stock loan costs and other out-of-pocket expenses, if any) (the “</w:t>
      </w:r>
      <w:r>
        <w:rPr>
          <w:rFonts w:ascii="Times New Roman" w:cs="Times New Roman" w:eastAsia="Times New Roman" w:hAnsi="Times New Roman"/>
          <w:sz w:val="16"/>
          <w:szCs w:val="16"/>
          <w:b w:val="1"/>
          <w:bCs w:val="1"/>
          <w:color w:val="auto"/>
        </w:rPr>
        <w:t>Buy-In Price</w:t>
      </w:r>
      <w:r>
        <w:rPr>
          <w:rFonts w:ascii="Times New Roman" w:cs="Times New Roman" w:eastAsia="Times New Roman" w:hAnsi="Times New Roman"/>
          <w:sz w:val="16"/>
          <w:szCs w:val="16"/>
          <w:color w:val="auto"/>
        </w:rPr>
        <w:t>”), at which point the Company’s obligation to so deliver such certificate or credit such Buyer’s balance account shall terminate and such shares shall be cancelled, or (ii) promptly honor its obligation to so deliver to such Buyer a certificate or certificates or credit the balance account of such Buyer or such Buyer’s designee with DTC representing such number of shares of Common Stock that would have been so delivered if the Company timely complied with its obligations hereunder and pay cash to such Buyer in an amount equal to the excess (if any) of the Buy-In Price over the product of (A) such number of shares of Conversion Shares or Incremental Warrant Conversion Shares (as the case may be) that the Company was required to deliver to such Buyer by the Required Delivery Date multiplied by (B) the lowest Closing Sale Price (as defined in the Certificate of Designations) of the Common Stock on any Trading Day during the period commencing on the date of the delivery by such Buyer to the Company of the applicable Conversion Shares or Incremental Warrant Conversion Shares (as the case may be) and ending on the date of such delivery and payment under this clause (ii). Nothing shall limit such Buyer’s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as required pursuant to the terms hereof. Notwithstanding anything herein to the contrary, with respect to any given Notice Failure and/or Delivery Failure, this Section 5(e) shall not apply to the applicable Buyer the extent the Company has already paid such amounts in full to such Buyer with respect to such Notice Failure and/or Delivery Failure, as applicable, pursuant to the analogous sections of the Certificate of Designations or Incremental Warrant, as applicable, with respect to the Preferred Shares or Incremental Warrants, as applicable, then held by such Buyer.</w:t>
      </w:r>
    </w:p>
    <w:p>
      <w:pPr>
        <w:spacing w:after="0" w:line="200" w:lineRule="exact"/>
        <w:rPr>
          <w:rFonts w:ascii="Times New Roman" w:cs="Times New Roman" w:eastAsia="Times New Roman" w:hAnsi="Times New Roman"/>
          <w:sz w:val="16"/>
          <w:szCs w:val="16"/>
          <w:color w:val="auto"/>
        </w:rPr>
      </w:pPr>
    </w:p>
    <w:p>
      <w:pPr>
        <w:spacing w:after="0" w:line="381" w:lineRule="exact"/>
        <w:rPr>
          <w:rFonts w:ascii="Times New Roman" w:cs="Times New Roman" w:eastAsia="Times New Roman" w:hAnsi="Times New Roman"/>
          <w:sz w:val="16"/>
          <w:szCs w:val="16"/>
          <w:color w:val="auto"/>
        </w:rPr>
      </w:pPr>
    </w:p>
    <w:p>
      <w:pPr>
        <w:ind w:left="820" w:hanging="214"/>
        <w:spacing w:after="0"/>
        <w:tabs>
          <w:tab w:leader="none" w:pos="82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FAST Compliance</w:t>
      </w:r>
      <w:r>
        <w:rPr>
          <w:rFonts w:ascii="Times New Roman" w:cs="Times New Roman" w:eastAsia="Times New Roman" w:hAnsi="Times New Roman"/>
          <w:sz w:val="16"/>
          <w:szCs w:val="16"/>
          <w:color w:val="auto"/>
        </w:rPr>
        <w:t>. While any Preferred Shares or Incremental Warrants remain outstanding, the Company shall maintain a transfer agent that participates</w:t>
      </w:r>
    </w:p>
    <w:p>
      <w:pPr>
        <w:spacing w:after="0" w:line="3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in FAST.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CONDITIONS TO THE COMPANY’S OBLIGATION TO SELL.</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obligation of the Company hereunder to issue and sell the Preferred Shares and the Incremental Warrants to each Buyer at the Closing is subject to the satisfaction, at or before the Closing Date, of each of the following conditions, provided that these conditions are for the Company’s sole benefit and may be waived by the Company at any time in its sole discretion by providing each Buyer with prior written notice thereof:</w:t>
      </w:r>
    </w:p>
    <w:p>
      <w:pPr>
        <w:spacing w:after="0" w:line="169" w:lineRule="exact"/>
        <w:rPr>
          <w:sz w:val="20"/>
          <w:szCs w:val="20"/>
          <w:color w:val="auto"/>
        </w:rPr>
      </w:pPr>
    </w:p>
    <w:p>
      <w:pPr>
        <w:ind w:left="5540" w:right="1300" w:hanging="4934"/>
        <w:spacing w:after="0" w:line="522" w:lineRule="auto"/>
        <w:tabs>
          <w:tab w:leader="none" w:pos="83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Buyer shall have executed each of the other Transaction Documents to which it is a party and delivered the same to the Company.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4" w:name="page125"/>
    <w:bookmarkEnd w:id="124"/>
    <w:p>
      <w:pPr>
        <w:jc w:val="both"/>
        <w:ind w:firstLine="606"/>
        <w:spacing w:after="0" w:line="256" w:lineRule="auto"/>
        <w:tabs>
          <w:tab w:leader="none" w:pos="862"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Buyer and each other Buyer shall have delivered to the Company the Purchase Price (less, in the case of any Buyer, (A) the amounts withheld pursuant to Section 4(g) and (B) the stated value of the aggregate number of Preferred Shares as is set forth next to such Buyer’s name in column (4) on the Schedule of Buyers, which amount shall be funded within one (1) Business Day following the Holdback Date) for the Preferred Shares and the Incremental Warrants being purchased by such Buyer at the Closing by wire transfer of immediately available funds in accordance with the Flow of Funds Letter.</w:t>
      </w:r>
    </w:p>
    <w:p>
      <w:pPr>
        <w:spacing w:after="0" w:line="174" w:lineRule="exact"/>
        <w:rPr>
          <w:rFonts w:ascii="Times New Roman" w:cs="Times New Roman" w:eastAsia="Times New Roman" w:hAnsi="Times New Roman"/>
          <w:sz w:val="17"/>
          <w:szCs w:val="17"/>
          <w:color w:val="auto"/>
        </w:rPr>
      </w:pPr>
    </w:p>
    <w:p>
      <w:pPr>
        <w:jc w:val="both"/>
        <w:ind w:firstLine="606"/>
        <w:spacing w:after="0" w:line="256" w:lineRule="auto"/>
        <w:tabs>
          <w:tab w:leader="none" w:pos="835"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such Buyer shall be true and correct in all material respects as of the date when made and as of the Closing Date as though originally made at that time (except for representations and warranties that speak as of a specific date, which shall be true and correct as of such specific date), and such Buyer shall have performed, satisfied and complied in all material respects with the covenants, agreements and conditions required by this Agreement to be performed, satisfied or complied with by such Buyer at or prior to the Closing Date.</w:t>
      </w:r>
    </w:p>
    <w:p>
      <w:pPr>
        <w:spacing w:after="0" w:line="170"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CONDITIONS TO EACH BUYER’S OBLIGATION TO PURCHASE.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obligation of each Buyer hereunder to purchase its Preferred Shares and its Incremental Warrants at the Closing is subject to the satisfaction, at or before the Closing Date, of each of the following conditions, provided that these conditions are for each Buyer’s sole benefit and may be waived by such Buyer at any time in its sole discretion by providing the Company with prior written notice thereof:</w:t>
      </w:r>
    </w:p>
    <w:p>
      <w:pPr>
        <w:spacing w:after="0" w:line="169" w:lineRule="exact"/>
        <w:rPr>
          <w:sz w:val="20"/>
          <w:szCs w:val="20"/>
          <w:color w:val="auto"/>
        </w:rPr>
      </w:pPr>
    </w:p>
    <w:p>
      <w:pPr>
        <w:jc w:val="both"/>
        <w:ind w:firstLine="606"/>
        <w:spacing w:after="0" w:line="256" w:lineRule="auto"/>
        <w:tabs>
          <w:tab w:leader="none" w:pos="833"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duly executed and delivered to such Buyer each of the Transaction Documents to which it is a party and the Company shall have duly executed and delivered to such Buyer (A) the aggregate number of Preferred Shares set forth opposite such Buyer’s name in column (3) on the Schedule of Buyers and (B) twenty (20) Incremental Warrants, each to acquire the number of Preferred Shares set forth opposite such Buyer’s name in column (5) on the Schedule of Buyers, as being purchased by such Buyer at the Closing pursuant to this Agreement.</w:t>
      </w:r>
    </w:p>
    <w:p>
      <w:pPr>
        <w:spacing w:after="0" w:line="174" w:lineRule="exact"/>
        <w:rPr>
          <w:rFonts w:ascii="Times New Roman" w:cs="Times New Roman" w:eastAsia="Times New Roman" w:hAnsi="Times New Roman"/>
          <w:sz w:val="17"/>
          <w:szCs w:val="17"/>
          <w:color w:val="auto"/>
        </w:rPr>
      </w:pPr>
    </w:p>
    <w:p>
      <w:pPr>
        <w:ind w:firstLine="606"/>
        <w:spacing w:after="0" w:line="274" w:lineRule="auto"/>
        <w:tabs>
          <w:tab w:leader="none" w:pos="854"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Buyer shall have received the opinion of Lowenstein Sandler LLP, the Company’s counsel, and Parsons Behle &amp; Latimer, the Company’s Nevada counsel, dated as of the Closing Date, in the form acceptable to such Buyer.</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849"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such Buyer a copy of the Irrevocable Transfer Agent Instructions, in the form acceptable to such Buyer, which instructions shall have been delivered to and acknowledged in writing by the Transfer Agent.</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86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such Buyer a certificate evidencing the formation and good standing of the Company in Nevada issued by the Nevada Secretary of State as of a date within ten (10) days prior to the Closing Date.</w:t>
      </w:r>
    </w:p>
    <w:p>
      <w:pPr>
        <w:spacing w:after="0" w:line="158" w:lineRule="exact"/>
        <w:rPr>
          <w:rFonts w:ascii="Times New Roman" w:cs="Times New Roman" w:eastAsia="Times New Roman" w:hAnsi="Times New Roman"/>
          <w:sz w:val="17"/>
          <w:szCs w:val="17"/>
          <w:color w:val="auto"/>
        </w:rPr>
      </w:pPr>
    </w:p>
    <w:p>
      <w:pPr>
        <w:jc w:val="both"/>
        <w:ind w:firstLine="606"/>
        <w:spacing w:after="0" w:line="261" w:lineRule="auto"/>
        <w:tabs>
          <w:tab w:leader="none" w:pos="838"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such Buyer a certificate evidencing the Company’s qualification as a foreign corporation and good standing issued by the Secretary of State (or comparable office) of each jurisdiction in which the Company conducts business and is required to so qualify, as of a date within ten (10) days prior to the Closing Date.</w:t>
      </w:r>
    </w:p>
    <w:p>
      <w:pPr>
        <w:spacing w:after="0" w:line="169" w:lineRule="exact"/>
        <w:rPr>
          <w:rFonts w:ascii="Times New Roman" w:cs="Times New Roman" w:eastAsia="Times New Roman" w:hAnsi="Times New Roman"/>
          <w:sz w:val="17"/>
          <w:szCs w:val="17"/>
          <w:color w:val="auto"/>
        </w:rPr>
      </w:pPr>
    </w:p>
    <w:p>
      <w:pPr>
        <w:ind w:firstLine="606"/>
        <w:spacing w:after="0" w:line="274" w:lineRule="auto"/>
        <w:tabs>
          <w:tab w:leader="none" w:pos="81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such Buyer a certified copy of the Certificate of Incorporation and the Certificate of Designations as certified by the Nevada Secretary of State within ten (10) days prior to the Closing Date.</w:t>
      </w:r>
    </w:p>
    <w:p>
      <w:pPr>
        <w:spacing w:after="0" w:line="158" w:lineRule="exact"/>
        <w:rPr>
          <w:rFonts w:ascii="Times New Roman" w:cs="Times New Roman" w:eastAsia="Times New Roman" w:hAnsi="Times New Roman"/>
          <w:sz w:val="17"/>
          <w:szCs w:val="17"/>
          <w:color w:val="auto"/>
        </w:rPr>
      </w:pPr>
    </w:p>
    <w:p>
      <w:pPr>
        <w:jc w:val="both"/>
        <w:ind w:firstLine="606"/>
        <w:spacing w:after="0" w:line="261" w:lineRule="auto"/>
        <w:tabs>
          <w:tab w:leader="none" w:pos="843"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such Buyer a certificate, in the form acceptable to such Buyer, executed by the Secretary of the Company and dated as of the Closing Date, as to (i) the resolutions consistent with Section 3(b) as adopted by the Company’s board of directors in a form reasonably acceptable to such Buyer, (ii) the Certificate of Incorporation of the Company and (iii) the Bylaws of the Company, each as in effect at the Closing.</w:t>
      </w:r>
    </w:p>
    <w:p>
      <w:pPr>
        <w:spacing w:after="0" w:line="169" w:lineRule="exact"/>
        <w:rPr>
          <w:rFonts w:ascii="Times New Roman" w:cs="Times New Roman" w:eastAsia="Times New Roman" w:hAnsi="Times New Roman"/>
          <w:sz w:val="17"/>
          <w:szCs w:val="17"/>
          <w:color w:val="auto"/>
        </w:rPr>
      </w:pPr>
    </w:p>
    <w:p>
      <w:pPr>
        <w:jc w:val="both"/>
        <w:ind w:firstLine="606"/>
        <w:spacing w:after="0" w:line="253" w:lineRule="auto"/>
        <w:tabs>
          <w:tab w:leader="none" w:pos="86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and every representation and warranty of the Company shall be true and correct in all material respects as of the date when made and as of the Closing Date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required to be performed, satisfied or complied with by the Company at or prior to the Closing Date. Such Buyer shall have received a certificate, duly executed by the Chief Executive Officer of the Company, dated as of the Closing Date, to the foregoing effect and as to such other matters as may be reasonably requested by such Buyer in the form acceptable to such Buyer.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5" w:name="page126"/>
    <w:bookmarkEnd w:id="125"/>
    <w:p>
      <w:pPr>
        <w:ind w:firstLine="606"/>
        <w:spacing w:after="0" w:line="274" w:lineRule="auto"/>
        <w:tabs>
          <w:tab w:leader="none" w:pos="812"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such Buyer a letter from the Transfer Agent certifying the number of shares of Common Stock outstanding on the Closing Date immediately prior to the Closing.</w:t>
      </w:r>
    </w:p>
    <w:p>
      <w:pPr>
        <w:spacing w:after="0" w:line="158" w:lineRule="exact"/>
        <w:rPr>
          <w:rFonts w:ascii="Times New Roman" w:cs="Times New Roman" w:eastAsia="Times New Roman" w:hAnsi="Times New Roman"/>
          <w:sz w:val="17"/>
          <w:szCs w:val="17"/>
          <w:color w:val="auto"/>
        </w:rPr>
      </w:pPr>
    </w:p>
    <w:p>
      <w:pPr>
        <w:jc w:val="both"/>
        <w:ind w:firstLine="606"/>
        <w:spacing w:after="0" w:line="256" w:lineRule="auto"/>
        <w:tabs>
          <w:tab w:leader="none" w:pos="805"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Common Stock (A) shall be designated for quotation or listed (as applicable) on the Principal Market and (B) shall not have been suspended, as of the Closing Date, by the SEC or the Principal Market from trading on the Principal Market nor, except as disclosed in the SEC Documents, shall suspension by the SEC or the Principal Market have been threatened, as of the Closing Date, either (I) in writing by the SEC or the Principal Market or (II) by falling below the minimum maintenance requirements of the Principal Market.</w:t>
      </w:r>
    </w:p>
    <w:p>
      <w:pPr>
        <w:spacing w:after="0" w:line="174"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obtained all governmental, regulatory or third party consents and approvals, if any, necessary for the sale of the Securities, if any.</w:t>
      </w:r>
    </w:p>
    <w:p>
      <w:pPr>
        <w:spacing w:after="0" w:line="219" w:lineRule="exact"/>
        <w:rPr>
          <w:rFonts w:ascii="Times New Roman" w:cs="Times New Roman" w:eastAsia="Times New Roman" w:hAnsi="Times New Roman"/>
          <w:sz w:val="16"/>
          <w:szCs w:val="16"/>
          <w:color w:val="auto"/>
        </w:rPr>
      </w:pPr>
    </w:p>
    <w:p>
      <w:pPr>
        <w:ind w:firstLine="606"/>
        <w:spacing w:after="0" w:line="274" w:lineRule="auto"/>
        <w:tabs>
          <w:tab w:leader="none" w:pos="832"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Since the date of execution of this Agreement, no event or series of events shall have occurred that reasonably would have or result in a Material Adverse</w:t>
      </w:r>
    </w:p>
    <w:p>
      <w:pPr>
        <w:spacing w:after="0" w:line="3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Effect.</w:t>
      </w:r>
    </w:p>
    <w:p>
      <w:pPr>
        <w:spacing w:after="0" w:line="191" w:lineRule="exact"/>
        <w:rPr>
          <w:rFonts w:ascii="Times New Roman" w:cs="Times New Roman" w:eastAsia="Times New Roman" w:hAnsi="Times New Roman"/>
          <w:sz w:val="16"/>
          <w:szCs w:val="16"/>
          <w:color w:val="auto"/>
        </w:rPr>
      </w:pPr>
    </w:p>
    <w:p>
      <w:pPr>
        <w:ind w:firstLine="606"/>
        <w:spacing w:after="0" w:line="274" w:lineRule="auto"/>
        <w:tabs>
          <w:tab w:leader="none" w:pos="849"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submitted a Listing of Additional Shares Notification with the Principal Market with respect to the Conversion Shares and the Incremental Warrant Conversion Shares.</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847"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Buyer shall have received a letter on the letterhead of the Company, duly executed by the Chief Executive Officer of the Company, setting forth the wire amounts of each Buyer and the wire transfer instructions of the Company (the “</w:t>
      </w:r>
      <w:r>
        <w:rPr>
          <w:rFonts w:ascii="Times New Roman" w:cs="Times New Roman" w:eastAsia="Times New Roman" w:hAnsi="Times New Roman"/>
          <w:sz w:val="17"/>
          <w:szCs w:val="17"/>
          <w:b w:val="1"/>
          <w:bCs w:val="1"/>
          <w:color w:val="auto"/>
        </w:rPr>
        <w:t>Flow of Funds Letter</w:t>
      </w:r>
      <w:r>
        <w:rPr>
          <w:rFonts w:ascii="Times New Roman" w:cs="Times New Roman" w:eastAsia="Times New Roman" w:hAnsi="Times New Roman"/>
          <w:sz w:val="17"/>
          <w:szCs w:val="17"/>
          <w:color w:val="auto"/>
        </w:rPr>
        <w:t>”).</w:t>
      </w:r>
    </w:p>
    <w:p>
      <w:pPr>
        <w:spacing w:after="0" w:line="154" w:lineRule="exact"/>
        <w:rPr>
          <w:rFonts w:ascii="Times New Roman" w:cs="Times New Roman" w:eastAsia="Times New Roman" w:hAnsi="Times New Roman"/>
          <w:sz w:val="17"/>
          <w:szCs w:val="17"/>
          <w:color w:val="auto"/>
        </w:rPr>
      </w:pPr>
    </w:p>
    <w:p>
      <w:pPr>
        <w:jc w:val="both"/>
        <w:ind w:firstLine="606"/>
        <w:spacing w:after="0" w:line="253" w:lineRule="auto"/>
        <w:tabs>
          <w:tab w:leader="none" w:pos="854"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evidence reasonably satisfactory to such Buyer that (i) the Company’s senior secured term loan facility (the “</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Loan</w:t>
      </w:r>
      <w:r>
        <w:rPr>
          <w:rFonts w:ascii="Times New Roman" w:cs="Times New Roman" w:eastAsia="Times New Roman" w:hAnsi="Times New Roman"/>
          <w:sz w:val="17"/>
          <w:szCs w:val="17"/>
          <w:color w:val="auto"/>
        </w:rPr>
        <w:t>”) with Alter Domus (US) LLC, as agent (the “</w:t>
      </w:r>
      <w:r>
        <w:rPr>
          <w:rFonts w:ascii="Times New Roman" w:cs="Times New Roman" w:eastAsia="Times New Roman" w:hAnsi="Times New Roman"/>
          <w:sz w:val="17"/>
          <w:szCs w:val="17"/>
          <w:b w:val="1"/>
          <w:bCs w:val="1"/>
          <w:color w:val="auto"/>
        </w:rPr>
        <w:t>Term Loan Agent</w:t>
      </w:r>
      <w:r>
        <w:rPr>
          <w:rFonts w:ascii="Times New Roman" w:cs="Times New Roman" w:eastAsia="Times New Roman" w:hAnsi="Times New Roman"/>
          <w:sz w:val="17"/>
          <w:szCs w:val="17"/>
          <w:color w:val="auto"/>
        </w:rPr>
        <w:t>”) and the Term Loan Lenders, has been amended to extend the maturity date by one (1) year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(ii) each of Energy Impact Partners Credit Fund I, LP, Energy Impact Partners Credit Fund II, LP and BP Holdings XVII, LP (each, a “</w:t>
      </w:r>
      <w:r>
        <w:rPr>
          <w:rFonts w:ascii="Times New Roman" w:cs="Times New Roman" w:eastAsia="Times New Roman" w:hAnsi="Times New Roman"/>
          <w:sz w:val="17"/>
          <w:szCs w:val="17"/>
          <w:b w:val="1"/>
          <w:bCs w:val="1"/>
          <w:color w:val="auto"/>
        </w:rPr>
        <w:t>Term Loan Lender</w:t>
      </w:r>
      <w:r>
        <w:rPr>
          <w:rFonts w:ascii="Times New Roman" w:cs="Times New Roman" w:eastAsia="Times New Roman" w:hAnsi="Times New Roman"/>
          <w:sz w:val="17"/>
          <w:szCs w:val="17"/>
          <w:color w:val="auto"/>
        </w:rPr>
        <w:t>”) and the Term Loan Agent have executed amendments to the documents evidencing the Indebtedness held by each such Term Loan Lender agreeing to (A) forego all payments of principal and interest until March 31, 2026 and (B) remove any applicable financial covenants (other than a financial covenant requiring the Company to maintain cash and cash equivalents equal to or greater than $2,500,000), in form and substance reasonably satisfactory to such Buyer, and any other amendments as may be required by the Required Holder.</w:t>
      </w:r>
    </w:p>
    <w:p>
      <w:pPr>
        <w:spacing w:after="0" w:line="175" w:lineRule="exact"/>
        <w:rPr>
          <w:rFonts w:ascii="Times New Roman" w:cs="Times New Roman" w:eastAsia="Times New Roman" w:hAnsi="Times New Roman"/>
          <w:sz w:val="17"/>
          <w:szCs w:val="17"/>
          <w:color w:val="auto"/>
        </w:rPr>
      </w:pPr>
    </w:p>
    <w:p>
      <w:pPr>
        <w:ind w:firstLine="606"/>
        <w:spacing w:after="0" w:line="274" w:lineRule="auto"/>
        <w:tabs>
          <w:tab w:leader="none" w:pos="849"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have caused the Persons identified on </w:t>
      </w:r>
      <w:r>
        <w:rPr>
          <w:rFonts w:ascii="Times New Roman" w:cs="Times New Roman" w:eastAsia="Times New Roman" w:hAnsi="Times New Roman"/>
          <w:sz w:val="17"/>
          <w:szCs w:val="17"/>
          <w:u w:val="single" w:color="auto"/>
          <w:color w:val="auto"/>
        </w:rPr>
        <w:t>Schedule 7(q)</w:t>
      </w:r>
      <w:r>
        <w:rPr>
          <w:rFonts w:ascii="Times New Roman" w:cs="Times New Roman" w:eastAsia="Times New Roman" w:hAnsi="Times New Roman"/>
          <w:sz w:val="17"/>
          <w:szCs w:val="17"/>
          <w:color w:val="auto"/>
        </w:rPr>
        <w:t xml:space="preserve"> hereto to have executed and delivered to such Buyer a Support Agreement in a form to be approved by such Buyer, whereby such parties agree to vote in favor of the Stockholder Approval.</w:t>
      </w:r>
    </w:p>
    <w:p>
      <w:pPr>
        <w:spacing w:after="0" w:line="159" w:lineRule="exact"/>
        <w:rPr>
          <w:sz w:val="20"/>
          <w:szCs w:val="20"/>
          <w:color w:val="auto"/>
        </w:rPr>
      </w:pPr>
    </w:p>
    <w:p>
      <w:pPr>
        <w:ind w:firstLine="606"/>
        <w:spacing w:after="0" w:line="274" w:lineRule="auto"/>
        <w:tabs>
          <w:tab w:leader="none" w:pos="868"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shall have delivered to such Buyer such other documents, instruments or certificates relating to the transactions contemplated by this Agreement as such Buyer or its counsel may reasonably request.</w:t>
      </w:r>
    </w:p>
    <w:p>
      <w:pPr>
        <w:spacing w:after="0" w:line="154"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TERMINATION.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the event that the Closing shall not have occurred with respect to a Buyer within five (5) days of the date hereof, then such Buyer shall have the right to terminate its obligations under this Agreement with respect to itself at any time on or after the close of business on such date without liability of such Buyer to any other party; provided, however, (i) the right to terminate this Agreement under this Section 8 shall not be available to such Buyer if the failure of the transactions contemplated by this Agreement to have been consummated by such date is the result of such Buyer’s breach of this Agreement and (ii) the abandonment of the sale and purchase of the Preferred Shares and the Incremental Warrants shall be applicable only to such Buyer providing such written notice, provided further that no such termination shall affect any obligation of the Company under this Agreement to reimburse such Buyer for the expenses described in Section 4(g) above. Nothing contained in this Section 8 shall be deemed to release any party from any liability for any breach by such party of the terms and provisions of this Agreement or the other Transaction Documents or to impair the right of any party to compel specific performance by any other party of its obligations under this Agreement or the other Transaction Documents.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26" w:name="page127"/>
    <w:bookmarkEnd w:id="126"/>
    <w:p>
      <w:pPr>
        <w:ind w:left="160" w:hanging="159"/>
        <w:spacing w:after="0"/>
        <w:tabs>
          <w:tab w:leader="none" w:pos="160" w:val="left"/>
        </w:tabs>
        <w:numPr>
          <w:ilvl w:val="0"/>
          <w:numId w:val="1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p>
    <w:p>
      <w:pPr>
        <w:spacing w:after="0" w:line="211" w:lineRule="exact"/>
        <w:rPr>
          <w:rFonts w:ascii="Times New Roman" w:cs="Times New Roman" w:eastAsia="Times New Roman" w:hAnsi="Times New Roman"/>
          <w:sz w:val="17"/>
          <w:szCs w:val="17"/>
          <w:b w:val="1"/>
          <w:bCs w:val="1"/>
          <w:color w:val="auto"/>
        </w:rPr>
      </w:pPr>
    </w:p>
    <w:p>
      <w:pPr>
        <w:jc w:val="both"/>
        <w:ind w:firstLine="606"/>
        <w:spacing w:after="0" w:line="264" w:lineRule="auto"/>
        <w:tabs>
          <w:tab w:leader="none" w:pos="846"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 Jurisdiction; Jury Trial</w:t>
      </w:r>
      <w:r>
        <w:rPr>
          <w:rFonts w:ascii="Times New Roman" w:cs="Times New Roman" w:eastAsia="Times New Roman" w:hAnsi="Times New Roman"/>
          <w:sz w:val="16"/>
          <w:szCs w:val="16"/>
          <w:color w:val="auto"/>
        </w:rPr>
        <w:t xml:space="preserve">. All questions concerning the construction, validity, enforcement and interpretation of this Agreement shall be governed by the internal laws of the State of New York, without giving effect to any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Buyer from bringing suit or taking other legal action against the Company in any other jurisdiction to collect on the Company’s obligations to such Buyer or to enforce a judgment or other court ruling in favor of such Buyer. </w:t>
      </w:r>
      <w:r>
        <w:rPr>
          <w:rFonts w:ascii="Times New Roman" w:cs="Times New Roman" w:eastAsia="Times New Roman" w:hAnsi="Times New Roman"/>
          <w:sz w:val="16"/>
          <w:szCs w:val="16"/>
          <w:b w:val="1"/>
          <w:bCs w:val="1"/>
          <w:color w:val="auto"/>
        </w:rPr>
        <w:t>EACH PARTY HEREBY IRREVOCABLY WAIVES ANY RIGHT IT MAY HAVE TO, AND AGREES NOT TO REQUEST, A JURY</w:t>
      </w:r>
    </w:p>
    <w:p>
      <w:pPr>
        <w:spacing w:after="0" w:line="8" w:lineRule="exact"/>
        <w:rPr>
          <w:rFonts w:ascii="Times New Roman" w:cs="Times New Roman" w:eastAsia="Times New Roman" w:hAnsi="Times New Roman"/>
          <w:sz w:val="16"/>
          <w:szCs w:val="16"/>
          <w:color w:val="auto"/>
        </w:rPr>
      </w:pPr>
    </w:p>
    <w:p>
      <w:pPr>
        <w:jc w:val="both"/>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TRIAL FOR THE ADJUDICATION OF ANY DISPUTE HEREUNDER OR UNDER ANY OTHER TRANSACTION DOCUMENT OR IN CONNECTION WITH OR ARISING OUT OF THIS AGREEMENT, ANY OTHER TRANSACTION DOCUMENT OR ANY TRANSACTION CONTEMPLATED HEREBY OR THEREBY.</w:t>
      </w:r>
    </w:p>
    <w:p>
      <w:pPr>
        <w:spacing w:after="0" w:line="177" w:lineRule="exact"/>
        <w:rPr>
          <w:rFonts w:ascii="Times New Roman" w:cs="Times New Roman" w:eastAsia="Times New Roman" w:hAnsi="Times New Roman"/>
          <w:sz w:val="16"/>
          <w:szCs w:val="16"/>
          <w:color w:val="auto"/>
        </w:rPr>
      </w:pPr>
    </w:p>
    <w:p>
      <w:pPr>
        <w:jc w:val="both"/>
        <w:ind w:firstLine="606"/>
        <w:spacing w:after="0" w:line="277" w:lineRule="auto"/>
        <w:tabs>
          <w:tab w:leader="none" w:pos="843" w:val="left"/>
        </w:tabs>
        <w:numPr>
          <w:ilvl w:val="1"/>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identical counterparts,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59" w:lineRule="exact"/>
        <w:rPr>
          <w:rFonts w:ascii="Times New Roman" w:cs="Times New Roman" w:eastAsia="Times New Roman" w:hAnsi="Times New Roman"/>
          <w:sz w:val="16"/>
          <w:szCs w:val="16"/>
          <w:color w:val="auto"/>
        </w:rPr>
      </w:pPr>
    </w:p>
    <w:p>
      <w:pPr>
        <w:jc w:val="both"/>
        <w:ind w:firstLine="606"/>
        <w:spacing w:after="0" w:line="256" w:lineRule="auto"/>
        <w:tabs>
          <w:tab w:leader="none" w:pos="859"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 Gender</w:t>
      </w:r>
      <w:r>
        <w:rPr>
          <w:rFonts w:ascii="Times New Roman" w:cs="Times New Roman" w:eastAsia="Times New Roman" w:hAnsi="Times New Roman"/>
          <w:sz w:val="17"/>
          <w:szCs w:val="17"/>
          <w:color w:val="auto"/>
        </w:rPr>
        <w:t>. The headings of this Agreement are for convenience of reference and shall not form part of, or affect the interpretation of, this Agreement.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74" w:lineRule="exact"/>
        <w:rPr>
          <w:rFonts w:ascii="Times New Roman" w:cs="Times New Roman" w:eastAsia="Times New Roman" w:hAnsi="Times New Roman"/>
          <w:sz w:val="17"/>
          <w:szCs w:val="17"/>
          <w:color w:val="auto"/>
        </w:rPr>
      </w:pPr>
    </w:p>
    <w:p>
      <w:pPr>
        <w:jc w:val="both"/>
        <w:ind w:firstLine="606"/>
        <w:spacing w:after="0" w:line="249" w:lineRule="auto"/>
        <w:tabs>
          <w:tab w:leader="none" w:pos="881"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 Maximum Payment Amounts</w:t>
      </w:r>
      <w:r>
        <w:rPr>
          <w:rFonts w:ascii="Times New Roman" w:cs="Times New Roman" w:eastAsia="Times New Roman" w:hAnsi="Times New Roman"/>
          <w:sz w:val="17"/>
          <w:szCs w:val="17"/>
          <w:color w:val="auto"/>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any of the Buyers, under the Transaction Documents (including without limitation, any amounts that would be characterized as “interest” under applicable law) exceed amounts permitted under any applicable law. Accordingly, if any obligation to pay, payment made to any Buyer, or collection by any Buyer pursuant the Transaction Documents is finally judicially determined to be contrary to any such applicable law, such obligation to pay, payment or collection shall be deemed to have been made by mutual mistake of such Buyer,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such Buyer, the amount of interest or any other amounts which would constitute unlawful amounts required to be paid or actually paid to such Buyer under the Transaction Documents. For greater certainty, to the extent that any interest, charges, fees, expenses or other amounts required to be paid to or received by such Buyer under any of the Transaction Documents or related thereto are held to be within the meaning of “interest” or another applicable term to otherwise be violative of applicable law, such amounts shall be pro-rated over the period of time to which they relate.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7" w:name="page128"/>
    <w:bookmarkEnd w:id="127"/>
    <w:p>
      <w:pPr>
        <w:jc w:val="both"/>
        <w:ind w:firstLine="606"/>
        <w:spacing w:after="0" w:line="264" w:lineRule="auto"/>
        <w:tabs>
          <w:tab w:leader="none" w:pos="846"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 Amendments</w:t>
      </w:r>
      <w:r>
        <w:rPr>
          <w:rFonts w:ascii="Times New Roman" w:cs="Times New Roman" w:eastAsia="Times New Roman" w:hAnsi="Times New Roman"/>
          <w:sz w:val="16"/>
          <w:szCs w:val="16"/>
          <w:color w:val="auto"/>
        </w:rPr>
        <w:t>. This Agreement, the other Transaction Documents and the schedules and exhibits attached hereto and thereto and the instruments referenced herein and therein supersede all other prior oral or written agreements between the Buyers, the Company, its Subsidiaries, their affiliates and Persons acting on their behalf, including, without limitation, any transactions by any Buyer with respect to Common Stock or the Securities, and the other matters contained herein and therein, and this Agreement, the other Transaction Documents, the schedules and exhibits attached hereto and thereto and the instruments referenced herein and therein contain the entire understanding of the parties solely with respect to the matters covered herein and therein; provided, however, nothing contained in this Agreement or any other Transaction Document shall (or shall be deemed to) (i) have any effect on any agreements any Buyer has entered into with, or any instruments any Buyer has received from, the Company or any of its Subsidiaries prior to the date hereof with respect to any prior investment made by such Buyer in the Company or (ii) waive, alter, modify or amend in any respect any obligations of the Company or any of its Subsidiaries, or any rights of or benefits to any Buyer or any other Person, in any agreement entered into prior to the date hereof between or among the Company and/or any of its Subsidiaries and any Buyer, or any instruments any Buyer received from the Company and/or any of its Subsidiaries prior to the date hereof, and all such agreements and instruments shall continue in full force and effect. Except as specifically set forth herein or therein, neither the Company nor any Buyer makes any representation, warranty, covenant or undertaking with respect to such matters. For clarification purposes, the Recitals are part of this Agreement. No provision of this Agreement may be amended other than by an instrument in writing signed by the Company and the Required Holder (as defined below), and any amendment to any provision of this Agreement made in conformity with the provisions of this Section 9(e) shall be binding on all Buyers and holders of Securities, as applicable; provided that no such amendment shall be effective to the extent that it (A) applies to less than all of the holders of the Securities then outstanding or (B) imposes any obligation or liability on any Buyer without such Buyer’s prior written consent (which may be granted or withheld in such Buyer’s sole discretion). No waiver shall be effective unless it is in writing and signed by an authorized representative of the waiving party, provided that the Required Holder may waive any provision of this Agreement, and any waiver of any provision of this Agreement made in conformity with the provisions of this Section 9(e) shall be binding on all Buyers and holders of Securities, as applicable, provided that no such waiver shall be effective to the extent that it (1) applies to less than all of the holders of the Securities then outstanding (unless a party gives a waiver as to itself only) or (2) imposes any obligation or liability on any Buyer without such Buyer’s prior written consent (which may be granted or withheld in such Buyer’s sole discretion). No consideration (other than reimbursement of legal fees) shall be offered or paid to any Person to amend or consent to a waiver or modification of any provision of any of the Transaction Documents unless the same consideration also is offered to all of the parties to the Transaction Documents, all holders of the Preferred Shares or all holders of the Incremental Warrants (as the case may be). From the date hereof and while any Preferred Shares or Incremental Warrant Shares are outstanding, the Company shall not be permitted to receive any consideration from a Buyer or a holder of Preferred Shares or Incremental Warrants that is not otherwise contemplated by the Transaction Documents in order to, directly or indirectly, induce the Company or any Subsidiary (i) to treat such Buyer or holder of Preferred Shares or Incremental Warrants in a manner that is more favorable than to other similarly situated Buyers or holders of Preferred Shares or Incremental Warrants, as applicable, or (ii) to treat any Buyer(s) or holder(s) of Preferred Shares or Incremental Warrants in a manner that is less favorable than the Buyer or holder of Preferred Shares or Incremental Warrants that is paying such consideration; provided, however, that the determination of whether a Buyer has been treated more or less favorably than another Buyer shall disregard any securities of the Company purchased or sold by any Buyer. The Company has not, directly or indirectly, made any agreements with any Buyers relating to the terms or conditions of the transactions contemplated by the Transaction Documents except as set forth in the Transaction Documents. Without limiting the foregoing, the Company confirms that, except as set forth in this Agreement, no Buyer has made any commitment or promise or has any other obligation to provide any financing to the Company, any Subsidiary or otherwise. As a material inducement for each Buyer to enter into this Agreement, the Company expressly acknowledges and agrees that (x) no due diligence or other investigation or inquiry conducted by a Buyer, any of its advisors or any of its representatives shall affect such Buyer’s right to rely on, or shall modify or qualify in any manner or be an exception to any of, the Company’s representations and warranties contained in this Agreement or any other Transaction Document and (y) unless a provision of this Agreement or any other Transaction Document is expressly preceded by the phrase “except as disclosed in the SEC Documents,” nothing contained in any of the SEC Documents shall affect such Buyer’s right to rely on, or shall modify or qualify in any manner or be an exception to any of, the Company’s representations and warranties contained in this Agreement or any other Transaction Document. “</w:t>
      </w:r>
      <w:r>
        <w:rPr>
          <w:rFonts w:ascii="Times New Roman" w:cs="Times New Roman" w:eastAsia="Times New Roman" w:hAnsi="Times New Roman"/>
          <w:sz w:val="16"/>
          <w:szCs w:val="16"/>
          <w:b w:val="1"/>
          <w:bCs w:val="1"/>
          <w:color w:val="auto"/>
        </w:rPr>
        <w:t>Required Holder</w:t>
      </w:r>
      <w:r>
        <w:rPr>
          <w:rFonts w:ascii="Times New Roman" w:cs="Times New Roman" w:eastAsia="Times New Roman" w:hAnsi="Times New Roman"/>
          <w:sz w:val="16"/>
          <w:szCs w:val="16"/>
          <w:color w:val="auto"/>
        </w:rPr>
        <w:t>” means (I) JAK Opportunities XVII LLC (“</w:t>
      </w:r>
      <w:r>
        <w:rPr>
          <w:rFonts w:ascii="Times New Roman" w:cs="Times New Roman" w:eastAsia="Times New Roman" w:hAnsi="Times New Roman"/>
          <w:sz w:val="16"/>
          <w:szCs w:val="16"/>
          <w:b w:val="1"/>
          <w:bCs w:val="1"/>
          <w:color w:val="auto"/>
        </w:rPr>
        <w:t>ATW</w:t>
      </w:r>
      <w:r>
        <w:rPr>
          <w:rFonts w:ascii="Times New Roman" w:cs="Times New Roman" w:eastAsia="Times New Roman" w:hAnsi="Times New Roman"/>
          <w:sz w:val="16"/>
          <w:szCs w:val="16"/>
          <w:color w:val="auto"/>
        </w:rPr>
        <w:t>”) so long as ATW holds any Securities or (II) if ATW no longer holds any Securities, the holder of a majority of the Registrable Securities (excluding any Registrable Securities held by the Company or any of its Subsidiaries as of such time) issued or issuable hereunder or pursuant to the Certificate of Designations and/or the Incremental Warrants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28" w:name="page129"/>
    <w:bookmarkEnd w:id="128"/>
    <w:p>
      <w:pPr>
        <w:jc w:val="both"/>
        <w:ind w:firstLine="606"/>
        <w:spacing w:after="0" w:line="253" w:lineRule="auto"/>
        <w:tabs>
          <w:tab w:leader="none" w:pos="815"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w:t>
      </w:r>
    </w:p>
    <w:p>
      <w:pPr>
        <w:spacing w:after="0" w:line="17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12915 Old Virginia Road</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Reno, Nevada 89521</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Telephone: 855-292-2831</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Attention: Denis Phares, Ph.D., CEO and President</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E-Mail: denis@dragonfly.com</w:t>
      </w:r>
    </w:p>
    <w:p>
      <w:pPr>
        <w:spacing w:after="0" w:line="19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With a copy (for informational purposes only) to:</w:t>
      </w:r>
    </w:p>
    <w:p>
      <w:pPr>
        <w:spacing w:after="0" w:line="20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Lowenstein Sandler LLP</w:t>
      </w:r>
    </w:p>
    <w:p>
      <w:pPr>
        <w:spacing w:after="0" w:line="2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1251 Avenue of the Americas</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New York, New York 10020</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Telephone: (212) 262-6700</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Attention: Steven M. Skolnick</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E-Mail: sskolnick@lowenstein.com</w:t>
      </w:r>
    </w:p>
    <w:p>
      <w:pPr>
        <w:spacing w:after="0" w:line="19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If to the Transfer Agent:</w:t>
      </w:r>
    </w:p>
    <w:p>
      <w:pPr>
        <w:spacing w:after="0" w:line="20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Equiniti Trust Company</w:t>
      </w:r>
    </w:p>
    <w:p>
      <w:pPr>
        <w:ind w:left="2420"/>
        <w:spacing w:after="0" w:line="196" w:lineRule="auto"/>
        <w:rPr>
          <w:sz w:val="20"/>
          <w:szCs w:val="20"/>
          <w:color w:val="auto"/>
        </w:rPr>
      </w:pPr>
      <w:r>
        <w:rPr>
          <w:rFonts w:ascii="Times New Roman" w:cs="Times New Roman" w:eastAsia="Times New Roman" w:hAnsi="Times New Roman"/>
          <w:sz w:val="17"/>
          <w:szCs w:val="17"/>
          <w:color w:val="auto"/>
        </w:rPr>
        <w:t>6201 15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Avenue</w:t>
      </w:r>
    </w:p>
    <w:p>
      <w:pPr>
        <w:spacing w:after="0" w:line="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Brooklyn, NY 11219</w:t>
      </w:r>
    </w:p>
    <w:p>
      <w:pPr>
        <w:spacing w:after="0" w:line="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Telephone: (718) 921-8129</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Attention: John Lundberg, Senior Relationship Manager</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E-Mail: John.lundberg@equiniti.com</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If to a Buyer, to its mailing address and e-mail address set forth on the Schedule of Buyers, with copies to such Buyer’s representatives as set forth on the Schedule of Buyers,</w:t>
      </w:r>
    </w:p>
    <w:p>
      <w:pPr>
        <w:spacing w:after="0" w:line="15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with a copy (for informational purposes only) to:</w:t>
      </w:r>
    </w:p>
    <w:p>
      <w:pPr>
        <w:spacing w:after="0" w:line="20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Pryor Cashman LLP</w:t>
      </w:r>
    </w:p>
    <w:p>
      <w:pPr>
        <w:ind w:left="2420"/>
        <w:spacing w:after="0" w:line="196" w:lineRule="auto"/>
        <w:rPr>
          <w:sz w:val="20"/>
          <w:szCs w:val="20"/>
          <w:color w:val="auto"/>
        </w:rPr>
      </w:pPr>
      <w:r>
        <w:rPr>
          <w:rFonts w:ascii="Times New Roman" w:cs="Times New Roman" w:eastAsia="Times New Roman" w:hAnsi="Times New Roman"/>
          <w:sz w:val="17"/>
          <w:szCs w:val="17"/>
          <w:color w:val="auto"/>
        </w:rPr>
        <w:t>7 Times Square, 40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New York, NY 100036</w:t>
      </w:r>
    </w:p>
    <w:p>
      <w:pPr>
        <w:spacing w:after="0" w:line="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Telephone: (212) 808-7540</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Attention: M. Ali Panjwani</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E-mail: apanjwani@pryorcashman.com</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or to such other mailing address and/or e-mail address and/or to the attention of such other Person as the recipient party has specified by written notice given to each other party five (5) days prior to the effectiveness of such change, provided that Pryor Cashman LLP shall only be provided copies of notices sent to the lead Buyer. Written confirmation of receipt (A) given by the recipient of such notice, consent, waiver or other communication, (B) mechanically or electronically generated by the sender’s e-mail containing the time, date and recipient’s e-mail or (C) provided by an overnight courier service shall be rebuttable evidence of personal service, receipt by e-mail or receipt from an overnight courier service in accordance with clause (i), (ii) or (iii) above,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9" w:name="page130"/>
    <w:bookmarkEnd w:id="129"/>
    <w:p>
      <w:pPr>
        <w:jc w:val="both"/>
        <w:ind w:firstLine="606"/>
        <w:spacing w:after="0" w:line="253" w:lineRule="auto"/>
        <w:tabs>
          <w:tab w:leader="none" w:pos="868"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This Agreement shall be binding upon and inure to the benefit of the parties and their respective successors and assigns, including any purchasers of any of the Preferred Shares and Incremental Warrants. The Company shall not assign this Agreement or any rights or obligations hereunder without the prior written consent of the Required Holders, including, without limitation, by way of a Fundamental Transaction (as defined in the Certificate of Designations) (unless the Company is in compliance with the applicable provisions governing Fundamental Transactions set forth in the Certificate of Designations). A Buyer may assign some or all of its rights hereunder in connection with any transfer of any of its Securities without the consent of the Company, in which event such assignee shall be deemed to be a Buyer hereunder with respect to such assigned rights.</w:t>
      </w:r>
    </w:p>
    <w:p>
      <w:pPr>
        <w:spacing w:after="0" w:line="175" w:lineRule="exact"/>
        <w:rPr>
          <w:rFonts w:ascii="Times New Roman" w:cs="Times New Roman" w:eastAsia="Times New Roman" w:hAnsi="Times New Roman"/>
          <w:sz w:val="17"/>
          <w:szCs w:val="17"/>
          <w:color w:val="auto"/>
        </w:rPr>
      </w:pPr>
    </w:p>
    <w:p>
      <w:pPr>
        <w:ind w:firstLine="606"/>
        <w:spacing w:after="0" w:line="274" w:lineRule="auto"/>
        <w:tabs>
          <w:tab w:leader="none" w:pos="843"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This Agreement is intended for the benefit of the parties hereto and their respective permitted successors and assigns, and is not for the benefit of, nor may any provision hereof be enforced by, any other Person, other than the Indemnitees (as defined below) referred to in Section 9(k).</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844"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The representations, warranties, agreements and covenants shall survive the Closing. Each Buyer shall be responsible only for its own representations, warranties, agreements and covenants hereunder.</w:t>
      </w:r>
    </w:p>
    <w:p>
      <w:pPr>
        <w:spacing w:after="0" w:line="158" w:lineRule="exact"/>
        <w:rPr>
          <w:rFonts w:ascii="Times New Roman" w:cs="Times New Roman" w:eastAsia="Times New Roman" w:hAnsi="Times New Roman"/>
          <w:sz w:val="17"/>
          <w:szCs w:val="17"/>
          <w:color w:val="auto"/>
        </w:rPr>
      </w:pPr>
    </w:p>
    <w:p>
      <w:pPr>
        <w:jc w:val="both"/>
        <w:ind w:firstLine="606"/>
        <w:spacing w:after="0" w:line="261" w:lineRule="auto"/>
        <w:tabs>
          <w:tab w:leader="none" w:pos="806"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69" w:lineRule="exact"/>
        <w:rPr>
          <w:rFonts w:ascii="Times New Roman" w:cs="Times New Roman" w:eastAsia="Times New Roman" w:hAnsi="Times New Roman"/>
          <w:sz w:val="17"/>
          <w:szCs w:val="17"/>
          <w:color w:val="auto"/>
        </w:rPr>
      </w:pPr>
    </w:p>
    <w:p>
      <w:pPr>
        <w:jc w:val="both"/>
        <w:ind w:firstLine="606"/>
        <w:spacing w:after="0" w:line="249" w:lineRule="auto"/>
        <w:tabs>
          <w:tab w:leader="none" w:pos="856"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In consideration of each Buyer’s execution and delivery of the Transaction Documents and acquiring the Securities thereunder and in addition to all of the Company’s other obligations under the Transaction Documents, the Company shall defend, protect, indemnify and hold harmless each Buyer and each holder of any Securities and all of their stockholders, partners, members, officers, directors, employees and direct or indirect investors and any of the foregoing Persons’ agents or other representatives (including, without limitation, those retained in connection with the transactions contemplated by this Agreement) (collectively, the “</w:t>
      </w:r>
      <w:r>
        <w:rPr>
          <w:rFonts w:ascii="Times New Roman" w:cs="Times New Roman" w:eastAsia="Times New Roman" w:hAnsi="Times New Roman"/>
          <w:sz w:val="17"/>
          <w:szCs w:val="17"/>
          <w:b w:val="1"/>
          <w:bCs w:val="1"/>
          <w:color w:val="auto"/>
        </w:rPr>
        <w:t>Indemnitees</w:t>
      </w:r>
      <w:r>
        <w:rPr>
          <w:rFonts w:ascii="Times New Roman" w:cs="Times New Roman" w:eastAsia="Times New Roman" w:hAnsi="Times New Roman"/>
          <w:sz w:val="17"/>
          <w:szCs w:val="17"/>
          <w:color w:val="auto"/>
        </w:rPr>
        <w:t>”) from and against any and all actions, causes of action, suits, claims, losses, costs, penalties, fees, liabilities and damages, and expenses in connection therewith (irrespective of whether any such Indemnitee is a party to the action for which indemnification hereunder is sought), and including reasonable attorneys’ fees and disbursements (the “</w:t>
      </w:r>
      <w:r>
        <w:rPr>
          <w:rFonts w:ascii="Times New Roman" w:cs="Times New Roman" w:eastAsia="Times New Roman" w:hAnsi="Times New Roman"/>
          <w:sz w:val="17"/>
          <w:szCs w:val="17"/>
          <w:b w:val="1"/>
          <w:bCs w:val="1"/>
          <w:color w:val="auto"/>
        </w:rPr>
        <w:t>Indemnified Liabilities</w:t>
      </w:r>
      <w:r>
        <w:rPr>
          <w:rFonts w:ascii="Times New Roman" w:cs="Times New Roman" w:eastAsia="Times New Roman" w:hAnsi="Times New Roman"/>
          <w:sz w:val="17"/>
          <w:szCs w:val="17"/>
          <w:color w:val="auto"/>
        </w:rPr>
        <w:t>”), incurred by any Indemnitee as a result of, or arising out of, or relating to (i) any misrepresentation or breach of any representation or warranty made by the Company or any Subsidiary in any of the Transaction Documents, (ii) any breach of any covenant, agreement or obligation of the Company or any Subsidiary contained in any of the Transaction Documents or (iii) any cause of action, suit, proceeding or claim brought or made against such Indemnitee by a third party (including for these purposes a derivative action brought on behalf of the Company or any Subsidiary) or which otherwise involves such Indemnitee that arises out of or results from (A) the execution, delivery, performance or enforcement of any of the Transaction Documents, (B) any transaction financed or to be financed in whole or in part, directly or indirectly, with the proceeds of the issuance of the Securities, (C) any disclosure properly made by such Buyer pursuant to Section 4(i), or (D) the status of such Buyer or holder of the Securities either as an investor in the Company pursuant to the transactions contemplated by the Transaction Documents or as a party to this Agreement (including, without limitation, as a party in interest or otherwise in any action or proceeding for injunctive or other equitable relief). To the extent that the foregoing undertaking by the Company may be unenforceable for any reason, the Company shall make the maximum contribution to the payment and satisfaction of each of the Indemnified Liabilities which is permissible under applicable law. Except as otherwise set forth herein, the mechanics and procedures with respect to the rights and obligations under this Section 9(k) shall be the same as those set forth in Section 6 of the Registration Rights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30" w:name="page131"/>
    <w:bookmarkEnd w:id="130"/>
    <w:p>
      <w:pPr>
        <w:jc w:val="both"/>
        <w:ind w:firstLine="606"/>
        <w:spacing w:after="0" w:line="251" w:lineRule="auto"/>
        <w:tabs>
          <w:tab w:leader="none" w:pos="806"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The language used in this Agreement will be deemed to be the language chosen by the parties to express their mutual intent, and no rules of strict construction will be applied against any party. No specific representation or warranty shall limit the generality or applicability of a more general representation or warranty. Each and every reference to share prices, shares of Common Stock and any other numbers in this Agreement that relate to the Common Stock shall be automatically adjusted for any stock splits, stock dividends, stock combinations, recapitalizations or other similar transactions that occur with respect to the Common Stock after the date of this Agreement. Notwithstanding anything in this Agreement to the contrary,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Buyer (or its broker or other financial representative) to effect short sales or similar transactions in the future.</w:t>
      </w:r>
    </w:p>
    <w:p>
      <w:pPr>
        <w:spacing w:after="0" w:line="180" w:lineRule="exact"/>
        <w:rPr>
          <w:rFonts w:ascii="Times New Roman" w:cs="Times New Roman" w:eastAsia="Times New Roman" w:hAnsi="Times New Roman"/>
          <w:sz w:val="17"/>
          <w:szCs w:val="17"/>
          <w:color w:val="auto"/>
        </w:rPr>
      </w:pPr>
    </w:p>
    <w:p>
      <w:pPr>
        <w:jc w:val="both"/>
        <w:ind w:firstLine="606"/>
        <w:spacing w:after="0" w:line="250" w:lineRule="auto"/>
        <w:tabs>
          <w:tab w:leader="none" w:pos="890"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Remedies</w:t>
      </w:r>
      <w:r>
        <w:rPr>
          <w:rFonts w:ascii="Times New Roman" w:cs="Times New Roman" w:eastAsia="Times New Roman" w:hAnsi="Times New Roman"/>
          <w:sz w:val="17"/>
          <w:szCs w:val="17"/>
          <w:color w:val="auto"/>
        </w:rPr>
        <w:t>. Each Buyer and in the event of assignment by Buyer of its rights and obligations hereunder, each holder of Securities, shall have all rights and remedies set forth in the Transaction Documents and all rights and remedies which such holders have been granted at any time under any other agreement or contract and all of the rights which such holders have under any law. Any Person having any rights under any provision of this Agreement shall be entitled to enforce such rights specifically (without posting a bond or other security), to recover damages by reason of any breach of any provision of this Agreement and to exercise all other rights granted by law. Furthermore, the Company recognizes that in the event that it or any Subsidiary fails to perform, observe, or discharge any or all of its or such Subsidiary’s (as the case may be) obligations under the Transaction Documents, any remedy at law would inadequate relief to the Buyers. The Company therefore agrees that the Buyers shall be entitled to specific performance and/or temporary, preliminary and permanent injunctive or other equitable relief from any court of competent jurisdiction in any such case without the necessity of proving actual damages and without posting a bond or other security. The remedies provided in this Agreement and the other Transaction Documents shall be cumulative and in addition to all other remedies available under this Agreement and the other Transaction Documents, at law or in equity (including a decree of specific performance and/or other injunctive relief).</w:t>
      </w:r>
    </w:p>
    <w:p>
      <w:pPr>
        <w:spacing w:after="0" w:line="182" w:lineRule="exact"/>
        <w:rPr>
          <w:rFonts w:ascii="Times New Roman" w:cs="Times New Roman" w:eastAsia="Times New Roman" w:hAnsi="Times New Roman"/>
          <w:sz w:val="17"/>
          <w:szCs w:val="17"/>
          <w:color w:val="auto"/>
        </w:rPr>
      </w:pPr>
    </w:p>
    <w:p>
      <w:pPr>
        <w:jc w:val="both"/>
        <w:ind w:firstLine="606"/>
        <w:spacing w:after="0" w:line="256" w:lineRule="auto"/>
        <w:tabs>
          <w:tab w:leader="none" w:pos="856"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Withdrawal Right</w:t>
      </w:r>
      <w:r>
        <w:rPr>
          <w:rFonts w:ascii="Times New Roman" w:cs="Times New Roman" w:eastAsia="Times New Roman" w:hAnsi="Times New Roman"/>
          <w:sz w:val="17"/>
          <w:szCs w:val="17"/>
          <w:color w:val="auto"/>
        </w:rPr>
        <w:t>. Notwithstanding anything to the contrary contained in (and without limiting any similar provisions of) the Transaction Documents, whenever any Buyer exercises a right, election, demand or option under a Transaction Document and the Company or any Subsidiary does not timely perform its related obligations within the periods therein provided, then such Buyer may rescind or withdraw, in its sole discretion from time to time upon written notice to the Company or such Subsidiary (as the case may be), any relevant notice, demand or election in whole or in part without prejudice to its future actions and rights.</w:t>
      </w:r>
    </w:p>
    <w:p>
      <w:pPr>
        <w:spacing w:after="0" w:line="174" w:lineRule="exact"/>
        <w:rPr>
          <w:rFonts w:ascii="Times New Roman" w:cs="Times New Roman" w:eastAsia="Times New Roman" w:hAnsi="Times New Roman"/>
          <w:sz w:val="17"/>
          <w:szCs w:val="17"/>
          <w:color w:val="auto"/>
        </w:rPr>
      </w:pPr>
    </w:p>
    <w:p>
      <w:pPr>
        <w:jc w:val="both"/>
        <w:ind w:firstLine="606"/>
        <w:spacing w:after="0" w:line="250" w:lineRule="auto"/>
        <w:tabs>
          <w:tab w:leader="none" w:pos="856"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Set Aside; Currency</w:t>
      </w:r>
      <w:r>
        <w:rPr>
          <w:rFonts w:ascii="Times New Roman" w:cs="Times New Roman" w:eastAsia="Times New Roman" w:hAnsi="Times New Roman"/>
          <w:sz w:val="17"/>
          <w:szCs w:val="17"/>
          <w:color w:val="auto"/>
        </w:rPr>
        <w:t>. To the extent that the Company makes a payment or payments to any Buyer hereunder or pursuant to any of the other Transaction Documents or any of the Buyers enforce or exercise their rights hereunder or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foreign,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17"/>
          <w:szCs w:val="17"/>
          <w:b w:val="1"/>
          <w:bCs w:val="1"/>
          <w:color w:val="auto"/>
        </w:rPr>
        <w:t>U.S. Dollars</w:t>
      </w:r>
      <w:r>
        <w:rPr>
          <w:rFonts w:ascii="Times New Roman" w:cs="Times New Roman" w:eastAsia="Times New Roman" w:hAnsi="Times New Roman"/>
          <w:sz w:val="17"/>
          <w:szCs w:val="17"/>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7"/>
          <w:szCs w:val="17"/>
          <w:b w:val="1"/>
          <w:bCs w:val="1"/>
          <w:color w:val="auto"/>
        </w:rPr>
        <w:t>Exchange Rate</w:t>
      </w:r>
      <w:r>
        <w:rPr>
          <w:rFonts w:ascii="Times New Roman" w:cs="Times New Roman" w:eastAsia="Times New Roman" w:hAnsi="Times New Roman"/>
          <w:sz w:val="17"/>
          <w:szCs w:val="17"/>
          <w:color w:val="auto"/>
        </w:rPr>
        <w:t>” means, in relation to any amount of currency to be converted into U.S. Dollars pursuant to this Agreement, the U.S. Dollar exchange rate as published in the Wall Street Journal on the relevant date of calculation.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31" w:name="page132"/>
    <w:bookmarkEnd w:id="131"/>
    <w:p>
      <w:pPr>
        <w:ind w:left="840" w:hanging="234"/>
        <w:spacing w:after="0"/>
        <w:tabs>
          <w:tab w:leader="none" w:pos="84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left="600" w:firstLine="611"/>
        <w:spacing w:after="0" w:line="256" w:lineRule="auto"/>
        <w:tabs>
          <w:tab w:leader="none" w:pos="1406"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for the purpose of obtaining or enforcing judgment against the Company in connection with this Agreement or any other Transaction Document in any court in any jurisdiction it becomes necessary to convert into any other currency (such other currency being hereinafter in this Section 9(p) referred to as the “</w:t>
      </w:r>
      <w:r>
        <w:rPr>
          <w:rFonts w:ascii="Times New Roman" w:cs="Times New Roman" w:eastAsia="Times New Roman" w:hAnsi="Times New Roman"/>
          <w:sz w:val="17"/>
          <w:szCs w:val="17"/>
          <w:b w:val="1"/>
          <w:bCs w:val="1"/>
          <w:color w:val="auto"/>
        </w:rPr>
        <w:t>Judgment Currency</w:t>
      </w:r>
      <w:r>
        <w:rPr>
          <w:rFonts w:ascii="Times New Roman" w:cs="Times New Roman" w:eastAsia="Times New Roman" w:hAnsi="Times New Roman"/>
          <w:sz w:val="17"/>
          <w:szCs w:val="17"/>
          <w:color w:val="auto"/>
        </w:rPr>
        <w:t>”) an amount due in U.S. Dollars under this Agreement, the conversion shall be made at the Exchange Rate prevailing on the Trading Day immediately preceding:</w:t>
      </w:r>
    </w:p>
    <w:p>
      <w:pPr>
        <w:spacing w:after="0" w:line="174" w:lineRule="exact"/>
        <w:rPr>
          <w:rFonts w:ascii="Times New Roman" w:cs="Times New Roman" w:eastAsia="Times New Roman" w:hAnsi="Times New Roman"/>
          <w:sz w:val="17"/>
          <w:szCs w:val="17"/>
          <w:color w:val="auto"/>
        </w:rPr>
      </w:pPr>
    </w:p>
    <w:p>
      <w:pPr>
        <w:ind w:left="1220" w:firstLine="1202"/>
        <w:spacing w:after="0" w:line="274" w:lineRule="auto"/>
        <w:tabs>
          <w:tab w:leader="none" w:pos="2675" w:val="left"/>
        </w:tabs>
        <w:numPr>
          <w:ilvl w:val="2"/>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actual payment of the amount due, in the case of any proceeding in the courts of Nevada or in the courts of any other jurisdiction that will give effect to such conversion being made on such date: or</w:t>
      </w:r>
    </w:p>
    <w:p>
      <w:pPr>
        <w:spacing w:after="0" w:line="158" w:lineRule="exact"/>
        <w:rPr>
          <w:rFonts w:ascii="Times New Roman" w:cs="Times New Roman" w:eastAsia="Times New Roman" w:hAnsi="Times New Roman"/>
          <w:sz w:val="17"/>
          <w:szCs w:val="17"/>
          <w:color w:val="auto"/>
        </w:rPr>
      </w:pPr>
    </w:p>
    <w:p>
      <w:pPr>
        <w:ind w:left="1220" w:firstLine="1202"/>
        <w:spacing w:after="0" w:line="274" w:lineRule="auto"/>
        <w:tabs>
          <w:tab w:leader="none" w:pos="2671" w:val="left"/>
        </w:tabs>
        <w:numPr>
          <w:ilvl w:val="2"/>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foreign court determines, in the case of any proceeding in the courts of any other jurisdiction (the date as of which such conversion is made pursuant to this Section 9(p)(i)(2) being hereinafter referred to as the “</w:t>
      </w:r>
      <w:r>
        <w:rPr>
          <w:rFonts w:ascii="Times New Roman" w:cs="Times New Roman" w:eastAsia="Times New Roman" w:hAnsi="Times New Roman"/>
          <w:sz w:val="17"/>
          <w:szCs w:val="17"/>
          <w:b w:val="1"/>
          <w:bCs w:val="1"/>
          <w:color w:val="auto"/>
        </w:rPr>
        <w:t>Judgment Conversion Date</w:t>
      </w:r>
      <w:r>
        <w:rPr>
          <w:rFonts w:ascii="Times New Roman" w:cs="Times New Roman" w:eastAsia="Times New Roman" w:hAnsi="Times New Roman"/>
          <w:sz w:val="17"/>
          <w:szCs w:val="17"/>
          <w:color w:val="auto"/>
        </w:rPr>
        <w:t>”).</w:t>
      </w:r>
    </w:p>
    <w:p>
      <w:pPr>
        <w:spacing w:after="0" w:line="158" w:lineRule="exact"/>
        <w:rPr>
          <w:rFonts w:ascii="Times New Roman" w:cs="Times New Roman" w:eastAsia="Times New Roman" w:hAnsi="Times New Roman"/>
          <w:sz w:val="17"/>
          <w:szCs w:val="17"/>
          <w:color w:val="auto"/>
        </w:rPr>
      </w:pPr>
    </w:p>
    <w:p>
      <w:pPr>
        <w:jc w:val="both"/>
        <w:ind w:left="600" w:firstLine="611"/>
        <w:spacing w:after="0" w:line="254" w:lineRule="auto"/>
        <w:tabs>
          <w:tab w:leader="none" w:pos="1464"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the case of any proceeding in the court of any jurisdiction referred to in Section 9(p)(i)(2)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75" w:lineRule="exact"/>
        <w:rPr>
          <w:rFonts w:ascii="Times New Roman" w:cs="Times New Roman" w:eastAsia="Times New Roman" w:hAnsi="Times New Roman"/>
          <w:sz w:val="17"/>
          <w:szCs w:val="17"/>
          <w:color w:val="auto"/>
        </w:rPr>
      </w:pPr>
    </w:p>
    <w:p>
      <w:pPr>
        <w:ind w:left="600" w:firstLine="611"/>
        <w:spacing w:after="0" w:line="274" w:lineRule="auto"/>
        <w:tabs>
          <w:tab w:leader="none" w:pos="1490"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due from the Company under this provision shall be due as a separate debt and shall not be affected by judgment being obtained for any other amounts due under or in respect of this Agreement or any other Transaction Document.</w:t>
      </w:r>
    </w:p>
    <w:p>
      <w:pPr>
        <w:spacing w:after="0" w:line="158" w:lineRule="exact"/>
        <w:rPr>
          <w:rFonts w:ascii="Times New Roman" w:cs="Times New Roman" w:eastAsia="Times New Roman" w:hAnsi="Times New Roman"/>
          <w:sz w:val="17"/>
          <w:szCs w:val="17"/>
          <w:color w:val="auto"/>
        </w:rPr>
      </w:pPr>
    </w:p>
    <w:p>
      <w:pPr>
        <w:jc w:val="both"/>
        <w:ind w:firstLine="606"/>
        <w:spacing w:after="0" w:line="249" w:lineRule="auto"/>
        <w:tabs>
          <w:tab w:leader="none" w:pos="843"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Independent Nature of Buyers’ Obligations and Rights</w:t>
      </w:r>
      <w:r>
        <w:rPr>
          <w:rFonts w:ascii="Times New Roman" w:cs="Times New Roman" w:eastAsia="Times New Roman" w:hAnsi="Times New Roman"/>
          <w:sz w:val="17"/>
          <w:szCs w:val="17"/>
          <w:color w:val="auto"/>
        </w:rPr>
        <w:t>. The obligations of each Buyer under the Transaction Documents are several and not joint with the obligations of any other Buyer, and no Buyer shall be responsible in any way for the performance of the obligations of any other Buyer under any Transaction Document. Nothing contained herein or in any other Transaction Document, and no action taken by any Buyer pursuant hereto or thereto, shall be deemed to constitute the Buyers as, and the Company acknowledges that the Buyers do not so constitute, a partnership, an association, a joint venture or any other kind of group or entity, or create a presumption that the Buyers are in any way acting in concert or as a group or entity, and the Company shall not assert any such claim with respect to such obligations or the transactions contemplated by the Transaction Documents or any matters, and the Company acknowledges that the Buyers are not acting in concert or as a group, and the Company shall not assert any such claim, with respect to such obligations or the transactions contemplated by the Transaction Documents. The decision of each Buyer to purchase Securities pursuant to the Transaction Documents has been made by such Buyer independently of any other Buyer. Each Buyer acknowledges that no other Buyer has acted as agent for such Buyer in connection with such Buyer making its investment hereunder and that no other Buyer will be acting as agent of such Buyer in connection with monitoring such Buyer’s investment in the Securities or enforcing its rights under the Transaction Documents. The Company and each Buyer confirms that each Buyer has independently participated with the Company and its Subsidiaries in the negotiation of the transaction contemplated hereby with the advice of its own counsel and advisors. Each Buyer shall be entitled to independently protect and enforce its rights, including, without limitation, the rights arising out of this Agreement or out of any other Transaction Documents, and it shall not be necessary for any other Buyer to be joined as an additional party in any proceeding for such purpose. The use of a single agreement to effectuate the purchase and sale of the Securities contemplated hereby was solely in the control of the Company, not the action or decision of any Buyer, and was done solely for the convenience of the Company and its Subsidiaries and not because it was required or requested to do so by any Buyer. It is expressly understood and agreed that each provision contained in this Agreement and in each other Transaction Document is between the Company, each Subsidiary and a Buyer, solely, and not between the Company, its Subsidiaries and the Buyers collectively and not between and among the Buyers.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pages follow</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32" w:name="page133"/>
    <w:bookmarkEnd w:id="132"/>
    <w:p>
      <w:pPr>
        <w:ind w:firstLine="605"/>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each Buyer and the Company have caused their respective signature page to this Agreement to be duly executed as of the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first written above.</w:t>
      </w:r>
    </w:p>
    <w:p>
      <w:pPr>
        <w:spacing w:after="0" w:line="1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3" w:name="page134"/>
    <w:bookmarkEnd w:id="133"/>
    <w:p>
      <w:pPr>
        <w:ind w:firstLine="605"/>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each Buyer and the Company have caused their respective signature page to this Agreement to be duly executed as of the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first written above.</w:t>
      </w:r>
    </w:p>
    <w:p>
      <w:pPr>
        <w:spacing w:after="0" w:line="1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BUYER:</w:t>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JAK OPPORTUNITIES XVII LLC</w:t>
      </w:r>
    </w:p>
    <w:p>
      <w:pPr>
        <w:spacing w:after="0" w:line="21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-123190</wp:posOffset>
            </wp:positionV>
            <wp:extent cx="32105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jc w:val="center"/>
        <w:ind w:left="36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95"/>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4"/>
          </w:tcPr>
          <w:p>
            <w:pPr>
              <w:ind w:left="200"/>
              <w:spacing w:after="0"/>
              <w:rPr>
                <w:sz w:val="20"/>
                <w:szCs w:val="20"/>
                <w:color w:val="auto"/>
              </w:rPr>
            </w:pPr>
            <w:r>
              <w:rPr>
                <w:rFonts w:ascii="Times New Roman" w:cs="Times New Roman" w:eastAsia="Times New Roman" w:hAnsi="Times New Roman"/>
                <w:sz w:val="17"/>
                <w:szCs w:val="17"/>
                <w:b w:val="1"/>
                <w:bCs w:val="1"/>
                <w:color w:val="auto"/>
                <w:w w:val="99"/>
              </w:rPr>
              <w:t>Schedule of Buyers</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Borders>
              <w:top w:val="single" w:sz="8" w:color="auto"/>
            </w:tcBorders>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rPr>
              <w:t>(3)</w:t>
            </w: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(4)</w:t>
            </w:r>
          </w:p>
        </w:tc>
        <w:tc>
          <w:tcPr>
            <w:tcW w:w="34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(5)</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Preferred Shares</w:t>
            </w: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Preferred Shares</w:t>
            </w: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Preferred Shares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to be funded and</w:t>
            </w: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to be funded and</w:t>
            </w: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Issuable Upon</w:t>
            </w:r>
          </w:p>
        </w:tc>
        <w:tc>
          <w:tcPr>
            <w:tcW w:w="160" w:type="dxa"/>
            <w:vAlign w:val="bottom"/>
          </w:tcPr>
          <w:p>
            <w:pPr>
              <w:spacing w:after="0"/>
              <w:rPr>
                <w:sz w:val="17"/>
                <w:szCs w:val="17"/>
                <w:color w:val="auto"/>
              </w:rPr>
            </w:pPr>
          </w:p>
        </w:tc>
        <w:tc>
          <w:tcPr>
            <w:tcW w:w="1060" w:type="dxa"/>
            <w:vAlign w:val="bottom"/>
          </w:tcPr>
          <w:p>
            <w:pPr>
              <w:jc w:val="center"/>
              <w:ind w:right="56"/>
              <w:spacing w:after="0"/>
              <w:rPr>
                <w:sz w:val="20"/>
                <w:szCs w:val="20"/>
                <w:color w:val="auto"/>
              </w:rPr>
            </w:pPr>
            <w:r>
              <w:rPr>
                <w:rFonts w:ascii="Times New Roman" w:cs="Times New Roman" w:eastAsia="Times New Roman" w:hAnsi="Times New Roman"/>
                <w:sz w:val="17"/>
                <w:szCs w:val="17"/>
                <w:b w:val="1"/>
                <w:bCs w:val="1"/>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740" w:type="dxa"/>
            <w:vAlign w:val="bottom"/>
            <w:gridSpan w:val="2"/>
          </w:tcPr>
          <w:p>
            <w:pPr>
              <w:jc w:val="center"/>
              <w:ind w:left="1096"/>
              <w:spacing w:after="0"/>
              <w:rPr>
                <w:sz w:val="20"/>
                <w:szCs w:val="20"/>
                <w:color w:val="auto"/>
              </w:rPr>
            </w:pPr>
            <w:r>
              <w:rPr>
                <w:rFonts w:ascii="Times New Roman" w:cs="Times New Roman" w:eastAsia="Times New Roman" w:hAnsi="Times New Roman"/>
                <w:sz w:val="17"/>
                <w:szCs w:val="17"/>
                <w:b w:val="1"/>
                <w:bCs w:val="1"/>
                <w:color w:val="auto"/>
              </w:rPr>
              <w:t>(1)</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ind w:left="520"/>
              <w:spacing w:after="0"/>
              <w:rPr>
                <w:sz w:val="20"/>
                <w:szCs w:val="20"/>
                <w:color w:val="auto"/>
              </w:rPr>
            </w:pPr>
            <w:r>
              <w:rPr>
                <w:rFonts w:ascii="Times New Roman" w:cs="Times New Roman" w:eastAsia="Times New Roman" w:hAnsi="Times New Roman"/>
                <w:sz w:val="17"/>
                <w:szCs w:val="17"/>
                <w:b w:val="1"/>
                <w:bCs w:val="1"/>
                <w:color w:val="auto"/>
              </w:rPr>
              <w:t>(2)</w:t>
            </w:r>
          </w:p>
        </w:tc>
        <w:tc>
          <w:tcPr>
            <w:tcW w:w="340" w:type="dxa"/>
            <w:vAlign w:val="bottom"/>
          </w:tcPr>
          <w:p>
            <w:pPr>
              <w:spacing w:after="0"/>
              <w:rPr>
                <w:sz w:val="17"/>
                <w:szCs w:val="17"/>
                <w:color w:val="auto"/>
              </w:rPr>
            </w:pPr>
          </w:p>
        </w:tc>
        <w:tc>
          <w:tcPr>
            <w:tcW w:w="1600" w:type="dxa"/>
            <w:vAlign w:val="bottom"/>
            <w:gridSpan w:val="4"/>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issued on the</w:t>
            </w: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issued on</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Conversion of Each</w:t>
            </w:r>
          </w:p>
        </w:tc>
        <w:tc>
          <w:tcPr>
            <w:tcW w:w="16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0" w:type="dxa"/>
            <w:vAlign w:val="bottom"/>
          </w:tcPr>
          <w:p>
            <w:pPr>
              <w:spacing w:after="0"/>
              <w:rPr>
                <w:sz w:val="1"/>
                <w:szCs w:val="1"/>
                <w:color w:val="auto"/>
              </w:rPr>
            </w:pPr>
          </w:p>
        </w:tc>
      </w:tr>
      <w:tr>
        <w:trPr>
          <w:trHeight w:val="222"/>
        </w:trPr>
        <w:tc>
          <w:tcPr>
            <w:tcW w:w="3160" w:type="dxa"/>
            <w:vAlign w:val="bottom"/>
            <w:gridSpan w:val="4"/>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Purchaser</w:t>
            </w:r>
          </w:p>
        </w:tc>
        <w:tc>
          <w:tcPr>
            <w:tcW w:w="15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Preferred Shares</w:t>
            </w:r>
          </w:p>
        </w:tc>
        <w:tc>
          <w:tcPr>
            <w:tcW w:w="1600" w:type="dxa"/>
            <w:vAlign w:val="bottom"/>
            <w:gridSpan w:val="4"/>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Closing Date</w:t>
            </w: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Holdback Date</w:t>
            </w:r>
          </w:p>
        </w:tc>
        <w:tc>
          <w:tcPr>
            <w:tcW w:w="20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Incremental Warrant</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Purchase Price</w:t>
            </w:r>
          </w:p>
        </w:tc>
        <w:tc>
          <w:tcPr>
            <w:tcW w:w="0" w:type="dxa"/>
            <w:vAlign w:val="bottom"/>
          </w:tcPr>
          <w:p>
            <w:pPr>
              <w:spacing w:after="0"/>
              <w:rPr>
                <w:sz w:val="1"/>
                <w:szCs w:val="1"/>
                <w:color w:val="auto"/>
              </w:rPr>
            </w:pPr>
          </w:p>
        </w:tc>
      </w:tr>
      <w:tr>
        <w:trPr>
          <w:trHeight w:val="178"/>
        </w:trPr>
        <w:tc>
          <w:tcPr>
            <w:tcW w:w="1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center"/>
              <w:ind w:left="36"/>
              <w:spacing w:after="0" w:line="178" w:lineRule="exact"/>
              <w:rPr>
                <w:sz w:val="20"/>
                <w:szCs w:val="20"/>
                <w:color w:val="auto"/>
              </w:rPr>
            </w:pPr>
            <w:r>
              <w:rPr>
                <w:rFonts w:ascii="Times New Roman" w:cs="Times New Roman" w:eastAsia="Times New Roman" w:hAnsi="Times New Roman"/>
                <w:sz w:val="17"/>
                <w:szCs w:val="17"/>
                <w:color w:val="auto"/>
                <w:w w:val="99"/>
              </w:rPr>
              <w:t>200 per Incremental</w:t>
            </w: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8"/>
              </w:rPr>
              <w:t>Warrant (4,000 among</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800</w:t>
            </w:r>
            <w:r>
              <w:rPr>
                <w:rFonts w:ascii="Times New Roman" w:cs="Times New Roman" w:eastAsia="Times New Roman" w:hAnsi="Times New Roman"/>
                <w:sz w:val="28"/>
                <w:szCs w:val="28"/>
                <w:color w:val="auto"/>
                <w:vertAlign w:val="superscript"/>
              </w:rPr>
              <w:t>1</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all 20 Incremental</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16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7"/>
                <w:szCs w:val="17"/>
                <w:color w:val="auto"/>
                <w:w w:val="99"/>
              </w:rPr>
              <w:t>JAK Opportunities XVII LLC</w:t>
            </w:r>
          </w:p>
        </w:tc>
        <w:tc>
          <w:tcPr>
            <w:tcW w:w="124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rPr>
              <w:t>350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rPr>
              <w:t>450</w:t>
            </w:r>
          </w:p>
        </w:tc>
        <w:tc>
          <w:tcPr>
            <w:tcW w:w="3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4"/>
              </w:rPr>
              <w:t>Warrants)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gridSpan w:val="2"/>
          </w:tcPr>
          <w:p>
            <w:pPr>
              <w:jc w:val="center"/>
              <w:ind w:right="200"/>
              <w:spacing w:after="0" w:line="185" w:lineRule="exact"/>
              <w:rPr>
                <w:sz w:val="20"/>
                <w:szCs w:val="20"/>
                <w:color w:val="auto"/>
              </w:rPr>
            </w:pPr>
            <w:r>
              <w:rPr>
                <w:rFonts w:ascii="Times New Roman" w:cs="Times New Roman" w:eastAsia="Times New Roman" w:hAnsi="Times New Roman"/>
                <w:sz w:val="17"/>
                <w:szCs w:val="17"/>
                <w:color w:val="auto"/>
                <w:w w:val="99"/>
              </w:rPr>
              <w:t>200 per Incremental</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Warrant (4,000 among</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80" w:type="dxa"/>
            <w:vAlign w:val="bottom"/>
          </w:tcPr>
          <w:p>
            <w:pPr>
              <w:spacing w:after="0"/>
              <w:rPr>
                <w:sz w:val="17"/>
                <w:szCs w:val="17"/>
                <w:color w:val="auto"/>
              </w:rPr>
            </w:pPr>
          </w:p>
        </w:tc>
        <w:tc>
          <w:tcPr>
            <w:tcW w:w="1980" w:type="dxa"/>
            <w:vAlign w:val="bottom"/>
            <w:gridSpan w:val="3"/>
            <w:vMerge w:val="restart"/>
          </w:tcPr>
          <w:p>
            <w:pPr>
              <w:jc w:val="center"/>
              <w:ind w:right="1420"/>
              <w:spacing w:after="0"/>
              <w:rPr>
                <w:sz w:val="20"/>
                <w:szCs w:val="20"/>
                <w:color w:val="auto"/>
              </w:rPr>
            </w:pPr>
            <w:r>
              <w:rPr>
                <w:rFonts w:ascii="Times New Roman" w:cs="Times New Roman" w:eastAsia="Times New Roman" w:hAnsi="Times New Roman"/>
                <w:sz w:val="17"/>
                <w:szCs w:val="17"/>
                <w:b w:val="1"/>
                <w:bCs w:val="1"/>
                <w:color w:val="auto"/>
                <w:w w:val="94"/>
              </w:rPr>
              <w:t>TOTAL</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all 20 Incremental</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240" w:type="dxa"/>
            <w:vAlign w:val="bottom"/>
          </w:tcPr>
          <w:p>
            <w:pPr>
              <w:jc w:val="right"/>
              <w:ind w:right="356"/>
              <w:spacing w:after="0" w:line="181" w:lineRule="exact"/>
              <w:rPr>
                <w:sz w:val="20"/>
                <w:szCs w:val="20"/>
                <w:color w:val="auto"/>
              </w:rPr>
            </w:pPr>
            <w:r>
              <w:rPr>
                <w:rFonts w:ascii="Times New Roman" w:cs="Times New Roman" w:eastAsia="Times New Roman" w:hAnsi="Times New Roman"/>
                <w:sz w:val="17"/>
                <w:szCs w:val="17"/>
                <w:color w:val="auto"/>
              </w:rPr>
              <w:t>800</w:t>
            </w:r>
          </w:p>
        </w:tc>
        <w:tc>
          <w:tcPr>
            <w:tcW w:w="340" w:type="dxa"/>
            <w:vAlign w:val="bottom"/>
          </w:tcPr>
          <w:p>
            <w:pPr>
              <w:spacing w:after="0"/>
              <w:rPr>
                <w:sz w:val="15"/>
                <w:szCs w:val="15"/>
                <w:color w:val="auto"/>
              </w:rPr>
            </w:pPr>
          </w:p>
        </w:tc>
        <w:tc>
          <w:tcPr>
            <w:tcW w:w="1240" w:type="dxa"/>
            <w:vAlign w:val="bottom"/>
            <w:gridSpan w:val="2"/>
          </w:tcPr>
          <w:p>
            <w:pPr>
              <w:jc w:val="right"/>
              <w:ind w:right="356"/>
              <w:spacing w:after="0" w:line="181" w:lineRule="exact"/>
              <w:rPr>
                <w:sz w:val="20"/>
                <w:szCs w:val="20"/>
                <w:color w:val="auto"/>
              </w:rPr>
            </w:pPr>
            <w:r>
              <w:rPr>
                <w:rFonts w:ascii="Times New Roman" w:cs="Times New Roman" w:eastAsia="Times New Roman" w:hAnsi="Times New Roman"/>
                <w:sz w:val="17"/>
                <w:szCs w:val="17"/>
                <w:color w:val="auto"/>
              </w:rPr>
              <w:t>350</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right"/>
              <w:ind w:right="356"/>
              <w:spacing w:after="0" w:line="181" w:lineRule="exact"/>
              <w:rPr>
                <w:sz w:val="20"/>
                <w:szCs w:val="20"/>
                <w:color w:val="auto"/>
              </w:rPr>
            </w:pPr>
            <w:r>
              <w:rPr>
                <w:rFonts w:ascii="Times New Roman" w:cs="Times New Roman" w:eastAsia="Times New Roman" w:hAnsi="Times New Roman"/>
                <w:sz w:val="17"/>
                <w:szCs w:val="17"/>
                <w:color w:val="auto"/>
              </w:rPr>
              <w:t>450</w:t>
            </w:r>
          </w:p>
        </w:tc>
        <w:tc>
          <w:tcPr>
            <w:tcW w:w="340" w:type="dxa"/>
            <w:vAlign w:val="bottom"/>
          </w:tcPr>
          <w:p>
            <w:pPr>
              <w:spacing w:after="0"/>
              <w:rPr>
                <w:sz w:val="15"/>
                <w:szCs w:val="15"/>
                <w:color w:val="auto"/>
              </w:rPr>
            </w:pPr>
          </w:p>
        </w:tc>
        <w:tc>
          <w:tcPr>
            <w:tcW w:w="200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7"/>
                <w:szCs w:val="17"/>
                <w:color w:val="auto"/>
                <w:w w:val="94"/>
              </w:rPr>
              <w:t>Warrants)</w:t>
            </w:r>
          </w:p>
        </w:tc>
        <w:tc>
          <w:tcPr>
            <w:tcW w:w="1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8,000,000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144145</wp:posOffset>
            </wp:positionV>
            <wp:extent cx="17856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49" w:lineRule="exact"/>
        <w:rPr>
          <w:sz w:val="20"/>
          <w:szCs w:val="20"/>
          <w:color w:val="auto"/>
        </w:rPr>
      </w:pPr>
    </w:p>
    <w:p>
      <w:pPr>
        <w:ind w:left="100" w:hanging="99"/>
        <w:spacing w:after="0"/>
        <w:tabs>
          <w:tab w:leader="none" w:pos="100" w:val="left"/>
        </w:tabs>
        <w:numPr>
          <w:ilvl w:val="0"/>
          <w:numId w:val="16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180 of such Preferred Shares shall be issued pursuant to the Company Shelf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264160</wp:posOffset>
            </wp:positionV>
            <wp:extent cx="714121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280670</wp:posOffset>
            </wp:positionV>
            <wp:extent cx="71412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Incremental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280670</wp:posOffset>
            </wp:positionV>
            <wp:extent cx="71412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280670</wp:posOffset>
            </wp:positionV>
            <wp:extent cx="71412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0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REGISTRATION RIGHTS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dated as of February 26, 2025, is by and among Dragonfly Energy Holdings Corp., a Nevada corporation with offices located 2915 Old Virginia Road, Reno, Nevada 89521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the undersigned buyers (each, a “</w:t>
      </w:r>
      <w:r>
        <w:rPr>
          <w:rFonts w:ascii="Times New Roman" w:cs="Times New Roman" w:eastAsia="Times New Roman" w:hAnsi="Times New Roman"/>
          <w:sz w:val="17"/>
          <w:szCs w:val="17"/>
          <w:b w:val="1"/>
          <w:bCs w:val="1"/>
          <w:color w:val="auto"/>
        </w:rPr>
        <w:t>Buyer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Buyers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RECITALS</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 In connection with the Securities Purchase Agreement by and among the parties hereto, dated as of February 26, 2025 (the “</w:t>
      </w:r>
      <w:r>
        <w:rPr>
          <w:rFonts w:ascii="Times New Roman" w:cs="Times New Roman" w:eastAsia="Times New Roman" w:hAnsi="Times New Roman"/>
          <w:sz w:val="17"/>
          <w:szCs w:val="17"/>
          <w:b w:val="1"/>
          <w:bCs w:val="1"/>
          <w:color w:val="auto"/>
        </w:rPr>
        <w:t>Securities Purchase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the Company has agreed, upon the terms and subject to the conditions of the Securities Purchase Agreement, to issue and sell to each Buyer (i)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Company’s Series A Convertible Preferred Stock, par value $0.0001 per share (the “</w:t>
      </w:r>
      <w:r>
        <w:rPr>
          <w:rFonts w:ascii="Times New Roman" w:cs="Times New Roman" w:eastAsia="Times New Roman" w:hAnsi="Times New Roman"/>
          <w:sz w:val="17"/>
          <w:szCs w:val="17"/>
          <w:b w:val="1"/>
          <w:bCs w:val="1"/>
          <w:color w:val="auto"/>
        </w:rPr>
        <w:t>Series A Preferred Stock</w:t>
      </w:r>
      <w:r>
        <w:rPr>
          <w:rFonts w:ascii="Times New Roman" w:cs="Times New Roman" w:eastAsia="Times New Roman" w:hAnsi="Times New Roman"/>
          <w:sz w:val="17"/>
          <w:szCs w:val="17"/>
          <w:color w:val="auto"/>
        </w:rPr>
        <w:t>”), which will be convertible into shares (the “</w:t>
      </w:r>
      <w:r>
        <w:rPr>
          <w:rFonts w:ascii="Times New Roman" w:cs="Times New Roman" w:eastAsia="Times New Roman" w:hAnsi="Times New Roman"/>
          <w:sz w:val="17"/>
          <w:szCs w:val="17"/>
          <w:b w:val="1"/>
          <w:bCs w:val="1"/>
          <w:color w:val="auto"/>
        </w:rPr>
        <w:t>Conversion Shares</w:t>
      </w:r>
      <w:r>
        <w:rPr>
          <w:rFonts w:ascii="Times New Roman" w:cs="Times New Roman" w:eastAsia="Times New Roman" w:hAnsi="Times New Roman"/>
          <w:sz w:val="17"/>
          <w:szCs w:val="17"/>
          <w:color w:val="auto"/>
        </w:rPr>
        <w:t>”) of common stock of the Company, $0.0001 par value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in accordance with the terms of the Certificate of Designations (as defined in the Securities Purchase Agreement) and (ii) the Incremental Warrants (as defined in the Securities Purchase Agreement) which will be exercisable to purchase Incremental Warrant Conversion Shares (as defined in the Securities Purchase Agreement) in accordance with the terms of the Incremental Warrants.</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B. To induce the Buyers to consummate the transactions contemplated by the Securities Purchase Agreement, the Company has agreed to provide certain registration rights under the Securities Act of 1933, as amended, and the rules and regulations thereunder, or any similar successor statute (collectively, the “</w:t>
      </w:r>
      <w:r>
        <w:rPr>
          <w:rFonts w:ascii="Times New Roman" w:cs="Times New Roman" w:eastAsia="Times New Roman" w:hAnsi="Times New Roman"/>
          <w:sz w:val="17"/>
          <w:szCs w:val="17"/>
          <w:b w:val="1"/>
          <w:bCs w:val="1"/>
          <w:color w:val="auto"/>
        </w:rPr>
        <w:t>1933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Act</w:t>
      </w:r>
      <w:r>
        <w:rPr>
          <w:rFonts w:ascii="Times New Roman" w:cs="Times New Roman" w:eastAsia="Times New Roman" w:hAnsi="Times New Roman"/>
          <w:sz w:val="17"/>
          <w:szCs w:val="17"/>
          <w:color w:val="auto"/>
        </w:rPr>
        <w:t>”), and applicable state securities laws.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AGREEMENT</w:t>
      </w:r>
    </w:p>
    <w:p>
      <w:pPr>
        <w:spacing w:after="0" w:line="20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in consideration of the premises and the mutual covenants contained herein and for other good and valuable consideration, the receipt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sufficiency of which are hereby acknowledged, the Company and each of the Buyers hereby agree as follows:</w:t>
      </w:r>
    </w:p>
    <w:p>
      <w:pPr>
        <w:spacing w:after="0" w:line="155" w:lineRule="exact"/>
        <w:rPr>
          <w:sz w:val="20"/>
          <w:szCs w:val="20"/>
          <w:color w:val="auto"/>
        </w:rPr>
      </w:pPr>
    </w:p>
    <w:p>
      <w:pPr>
        <w:ind w:left="160" w:hanging="159"/>
        <w:spacing w:after="0"/>
        <w:tabs>
          <w:tab w:leader="none" w:pos="16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Definitions.</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Capitalized terms used herein and not otherwise defined herein shall have the respective meanings set forth in the Securities Purchase Agreement. As used in this Agreement, the following terms shall have the following meanings:</w:t>
      </w:r>
    </w:p>
    <w:p>
      <w:pPr>
        <w:spacing w:after="0" w:line="155" w:lineRule="exact"/>
        <w:rPr>
          <w:sz w:val="20"/>
          <w:szCs w:val="20"/>
          <w:color w:val="auto"/>
        </w:rPr>
      </w:pPr>
    </w:p>
    <w:p>
      <w:pPr>
        <w:jc w:val="both"/>
        <w:ind w:firstLine="606"/>
        <w:spacing w:after="0" w:line="255" w:lineRule="auto"/>
        <w:tabs>
          <w:tab w:leader="none" w:pos="834"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71"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Closing Date</w:t>
      </w:r>
      <w:r>
        <w:rPr>
          <w:rFonts w:ascii="Times New Roman" w:cs="Times New Roman" w:eastAsia="Times New Roman" w:hAnsi="Times New Roman"/>
          <w:sz w:val="17"/>
          <w:szCs w:val="17"/>
          <w:color w:val="auto"/>
        </w:rPr>
        <w:t>” shall have the meaning set forth in the Securities Purchase Agreement.</w:t>
      </w:r>
    </w:p>
    <w:p>
      <w:pPr>
        <w:spacing w:after="0" w:line="20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means the date that the applicable Registration Statement has been declared effective by the SEC.</w:t>
      </w:r>
    </w:p>
    <w:p>
      <w:pPr>
        <w:spacing w:after="0" w:line="20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Effectiveness Deadline</w:t>
      </w:r>
      <w:r>
        <w:rPr>
          <w:rFonts w:ascii="Times New Roman" w:cs="Times New Roman" w:eastAsia="Times New Roman" w:hAnsi="Times New Roman"/>
          <w:sz w:val="17"/>
          <w:szCs w:val="17"/>
          <w:color w:val="auto"/>
        </w:rPr>
        <w:t>” means (i) with respect to the initial Registration Statement required to be filed pursuant to Section 2(a), the earlier of the (A)</w:t>
      </w:r>
    </w:p>
    <w:p>
      <w:pPr>
        <w:spacing w:after="0" w:line="26"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16"/>
          <w:szCs w:val="16"/>
          <w:color w:val="auto"/>
        </w:rPr>
        <w:t>75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calendar day (or the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calendar day if subject to a full review by the SEC) after the Closing Date and (B) 2nd Business Day after the date the Company is notified (orally or in writing, whichever is earlier) by the SEC that such Registration Statement will not be reviewed or will not be subject to further review and (ii) with respect to any additional Registration Statements that may be required to be filed by the Company pursuant to this Agreement, the earlier of the (A)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6"/>
          <w:szCs w:val="16"/>
          <w:color w:val="auto"/>
        </w:rPr>
        <w:t xml:space="preserve"> calendar</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7"/>
          <w:szCs w:val="17"/>
          <w:color w:val="auto"/>
        </w:rPr>
        <w:t>day (or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if subject to a full review by the SEC) following the date on which the Company was required to file such additional Registration Statement and (B) 2nd Business Day after the date the Company is notified (orally or in writing, whichever is earlier) by the SEC that such Registration Statement will not be reviewed or will not be subject to further review.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9" w:name="page140"/>
    <w:bookmarkEnd w:id="139"/>
    <w:p>
      <w:pPr>
        <w:jc w:val="both"/>
        <w:ind w:firstLine="606"/>
        <w:spacing w:after="0" w:line="226" w:lineRule="auto"/>
        <w:tabs>
          <w:tab w:leader="none" w:pos="834"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Filing Deadline</w:t>
      </w:r>
      <w:r>
        <w:rPr>
          <w:rFonts w:ascii="Times New Roman" w:cs="Times New Roman" w:eastAsia="Times New Roman" w:hAnsi="Times New Roman"/>
          <w:sz w:val="17"/>
          <w:szCs w:val="17"/>
          <w:color w:val="auto"/>
        </w:rPr>
        <w:t>” means (i) with respect to the initial Registration Statement required to be filed pursuant to Section 2(a), the 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following the Closing Date (such date, the “</w:t>
      </w:r>
      <w:r>
        <w:rPr>
          <w:rFonts w:ascii="Times New Roman" w:cs="Times New Roman" w:eastAsia="Times New Roman" w:hAnsi="Times New Roman"/>
          <w:sz w:val="17"/>
          <w:szCs w:val="17"/>
          <w:b w:val="1"/>
          <w:bCs w:val="1"/>
          <w:color w:val="auto"/>
        </w:rPr>
        <w:t>Initial Filing Deadline</w:t>
      </w:r>
      <w:r>
        <w:rPr>
          <w:rFonts w:ascii="Times New Roman" w:cs="Times New Roman" w:eastAsia="Times New Roman" w:hAnsi="Times New Roman"/>
          <w:sz w:val="17"/>
          <w:szCs w:val="17"/>
          <w:color w:val="auto"/>
        </w:rPr>
        <w:t>”) and (ii) with respect to any additional Registration Statements that may be required to be filed by the Company pursuant to this Agreement, the date on which the Company was required to file such additional Registration Statement pursuant to the terms of this Agreement.</w:t>
      </w:r>
    </w:p>
    <w:p>
      <w:pPr>
        <w:spacing w:after="0" w:line="185" w:lineRule="exact"/>
        <w:rPr>
          <w:rFonts w:ascii="Times New Roman" w:cs="Times New Roman" w:eastAsia="Times New Roman" w:hAnsi="Times New Roman"/>
          <w:sz w:val="17"/>
          <w:szCs w:val="17"/>
          <w:color w:val="auto"/>
        </w:rPr>
      </w:pPr>
    </w:p>
    <w:p>
      <w:pPr>
        <w:jc w:val="both"/>
        <w:ind w:firstLine="606"/>
        <w:spacing w:after="0" w:line="258" w:lineRule="auto"/>
        <w:tabs>
          <w:tab w:leader="none" w:pos="815"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 means a Buyer or any transferee or assignee of any Registrable Securities or Series A Preferred Stock to whom a Buyer assigns its rights under this Agreement and who agrees to become bound by the provisions of this Agreement in accordance with Section 9 and any transferee or assignee thereof to whom a transferee or assignee of any Registrable Securities or Series A Preferred Stock assigns its rights under this Agreement and who agrees to become bound by the provisions of this Agreement in accordance with Section 9.</w:t>
      </w:r>
    </w:p>
    <w:p>
      <w:pPr>
        <w:spacing w:after="0" w:line="168" w:lineRule="exact"/>
        <w:rPr>
          <w:rFonts w:ascii="Times New Roman" w:cs="Times New Roman" w:eastAsia="Times New Roman" w:hAnsi="Times New Roman"/>
          <w:sz w:val="17"/>
          <w:szCs w:val="17"/>
          <w:color w:val="auto"/>
        </w:rPr>
      </w:pPr>
    </w:p>
    <w:p>
      <w:pPr>
        <w:ind w:firstLine="606"/>
        <w:spacing w:after="0" w:line="279" w:lineRule="auto"/>
        <w:tabs>
          <w:tab w:leader="none" w:pos="856"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a limited liability company, a partnership, a joint venture, a corporation, a trust, an unincorporated organization or a government or any department or agency thereof.</w:t>
      </w:r>
    </w:p>
    <w:p>
      <w:pPr>
        <w:spacing w:after="0" w:line="150" w:lineRule="exact"/>
        <w:rPr>
          <w:rFonts w:ascii="Times New Roman" w:cs="Times New Roman" w:eastAsia="Times New Roman" w:hAnsi="Times New Roman"/>
          <w:sz w:val="17"/>
          <w:szCs w:val="17"/>
          <w:color w:val="auto"/>
        </w:rPr>
      </w:pPr>
    </w:p>
    <w:p>
      <w:pPr>
        <w:ind w:firstLine="606"/>
        <w:spacing w:after="0" w:line="279" w:lineRule="auto"/>
        <w:tabs>
          <w:tab w:leader="none" w:pos="856"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registered</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refer to a registration effected by preparing and filing one or more Registration Statements in compliance with the 1933 Act and pursuant to Rule 415 and the declaration of effectiveness of such Registration Statement(s) by the SEC.</w:t>
      </w:r>
    </w:p>
    <w:p>
      <w:pPr>
        <w:spacing w:after="0" w:line="150" w:lineRule="exact"/>
        <w:rPr>
          <w:rFonts w:ascii="Times New Roman" w:cs="Times New Roman" w:eastAsia="Times New Roman" w:hAnsi="Times New Roman"/>
          <w:sz w:val="17"/>
          <w:szCs w:val="17"/>
          <w:color w:val="auto"/>
        </w:rPr>
      </w:pPr>
    </w:p>
    <w:p>
      <w:pPr>
        <w:jc w:val="both"/>
        <w:ind w:firstLine="606"/>
        <w:spacing w:after="0" w:line="255" w:lineRule="auto"/>
        <w:tabs>
          <w:tab w:leader="none" w:pos="831"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Registrable Securities</w:t>
      </w:r>
      <w:r>
        <w:rPr>
          <w:rFonts w:ascii="Times New Roman" w:cs="Times New Roman" w:eastAsia="Times New Roman" w:hAnsi="Times New Roman"/>
          <w:sz w:val="17"/>
          <w:szCs w:val="17"/>
          <w:color w:val="auto"/>
        </w:rPr>
        <w:t>” means (i) the Conversion Shares, (ii) the Incremental Warrant Conversion Shares (as defined in the Securities Purchase Agreement) and (iii) any capital stock of the Company issued or issuable with respect to the Conversion Shares, the Incremental Warrant Conversion Shares and the Series A Preferred Stock, including, without limitation, (1) as a result of any stock split, stock dividend, recapitalization, exchange or similar event or otherwise and</w:t>
      </w:r>
    </w:p>
    <w:p>
      <w:pPr>
        <w:spacing w:after="0" w:line="2" w:lineRule="exact"/>
        <w:rPr>
          <w:rFonts w:ascii="Times New Roman" w:cs="Times New Roman" w:eastAsia="Times New Roman" w:hAnsi="Times New Roman"/>
          <w:sz w:val="17"/>
          <w:szCs w:val="17"/>
          <w:color w:val="auto"/>
        </w:rPr>
      </w:pPr>
    </w:p>
    <w:p>
      <w:pPr>
        <w:jc w:val="both"/>
        <w:ind w:firstLine="1"/>
        <w:spacing w:after="0" w:line="249" w:lineRule="auto"/>
        <w:tabs>
          <w:tab w:leader="none" w:pos="252"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capital stock of the Company into which the shares of Common Stock (as defined in the Certificate of Designations) are converted or exchanged and shares of capital stock of a Successor Entity (as defined in the Certificate of Designations) into which the shares of Common Stock are converted or exchanged, in each case, without regard to any limitations on conversion of the Series A Preferred Stock or exercise of the Incremental Warrants; provided, that, any securities described in (i), (ii) and (iii) above shall no longer be deemed to be Registrable Securities when such securities may be resold by such Investor without restriction (including, without limitation, volume limitations) pursuant to Rule 144 (taking account of any Staff position with respect to “affiliate” status).</w:t>
      </w:r>
    </w:p>
    <w:p>
      <w:pPr>
        <w:spacing w:after="0" w:line="176"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means a registration statement or registration statements of the Company filed under the 1933 Act covering Registrable</w:t>
      </w:r>
    </w:p>
    <w:p>
      <w:pPr>
        <w:spacing w:after="0" w:line="2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w:t>
      </w:r>
    </w:p>
    <w:p>
      <w:pPr>
        <w:spacing w:after="0" w:line="18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Required Holder</w:t>
      </w:r>
      <w:r>
        <w:rPr>
          <w:rFonts w:ascii="Times New Roman" w:cs="Times New Roman" w:eastAsia="Times New Roman" w:hAnsi="Times New Roman"/>
          <w:sz w:val="17"/>
          <w:szCs w:val="17"/>
          <w:color w:val="auto"/>
        </w:rPr>
        <w:t>” shall have the meaning as set forth in the Securities Purchase Agreement.</w:t>
      </w:r>
    </w:p>
    <w:p>
      <w:pPr>
        <w:spacing w:after="0" w:line="207" w:lineRule="exact"/>
        <w:rPr>
          <w:rFonts w:ascii="Times New Roman" w:cs="Times New Roman" w:eastAsia="Times New Roman" w:hAnsi="Times New Roman"/>
          <w:sz w:val="17"/>
          <w:szCs w:val="17"/>
          <w:color w:val="auto"/>
        </w:rPr>
      </w:pPr>
    </w:p>
    <w:p>
      <w:pPr>
        <w:jc w:val="both"/>
        <w:ind w:firstLine="606"/>
        <w:spacing w:after="0" w:line="252" w:lineRule="auto"/>
        <w:tabs>
          <w:tab w:leader="none" w:pos="818"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Required Registration Amount</w:t>
      </w:r>
      <w:r>
        <w:rPr>
          <w:rFonts w:ascii="Times New Roman" w:cs="Times New Roman" w:eastAsia="Times New Roman" w:hAnsi="Times New Roman"/>
          <w:sz w:val="17"/>
          <w:szCs w:val="17"/>
          <w:color w:val="auto"/>
        </w:rPr>
        <w:t>” means, as of any time of determination, 100% of the sum of (i) the maximum number of shares of Common Stock issuable upon conversion of all the Series A Preferred Stock then outstanding (assuming for purposes hereof that (x) the shares of Series A Preferred Stock are convertible at the Floor Price (as defined in the Certificate of Designations) then in effect as of such applicable date of determination and (y) any such conversion shall not take into account any limitations on the conversion of the Series A Preferred Stock set forth in the Certificate of Designations) and (ii) the maximum number of Incremental Warrant Conversion Shares issuable upon conversion of the Incremental Warrant Shares (assuming for purposes hereof that (x) the Incremental Warrant Conversion Shares are convertible at the Floor Price (as defined in the Certificate of Designations) of such applicable date of determination and (y) any such conversion shall not take into account any limitations on the conversion of the Incremental Warrant Conversion Shares set forth in the Certificate of Designations), all subject to adjustment as provided in Section 2(d) and/or Section 2(f)).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sectPr>
      </w:pPr>
    </w:p>
    <w:bookmarkStart w:id="140" w:name="page141"/>
    <w:bookmarkEnd w:id="140"/>
    <w:p>
      <w:pPr>
        <w:ind w:firstLine="606"/>
        <w:spacing w:after="0" w:line="279" w:lineRule="auto"/>
        <w:tabs>
          <w:tab w:leader="none" w:pos="902"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144</w:t>
      </w:r>
      <w:r>
        <w:rPr>
          <w:rFonts w:ascii="Times New Roman" w:cs="Times New Roman" w:eastAsia="Times New Roman" w:hAnsi="Times New Roman"/>
          <w:sz w:val="17"/>
          <w:szCs w:val="17"/>
          <w:color w:val="auto"/>
        </w:rPr>
        <w:t>” means Rule 144 promulgated by the SEC under the 1933 Act, as such rule may be amended from time to time, or any other similar or successor rule or regulation of the SEC that may at any time permit the Investors to sell securities of the Company to the public without registration.</w:t>
      </w:r>
    </w:p>
    <w:p>
      <w:pPr>
        <w:spacing w:after="0" w:line="150" w:lineRule="exact"/>
        <w:rPr>
          <w:rFonts w:ascii="Times New Roman" w:cs="Times New Roman" w:eastAsia="Times New Roman" w:hAnsi="Times New Roman"/>
          <w:sz w:val="17"/>
          <w:szCs w:val="17"/>
          <w:color w:val="auto"/>
        </w:rPr>
      </w:pPr>
    </w:p>
    <w:p>
      <w:pPr>
        <w:ind w:firstLine="606"/>
        <w:spacing w:after="0" w:line="279" w:lineRule="auto"/>
        <w:tabs>
          <w:tab w:leader="none" w:pos="856"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415</w:t>
      </w:r>
      <w:r>
        <w:rPr>
          <w:rFonts w:ascii="Times New Roman" w:cs="Times New Roman" w:eastAsia="Times New Roman" w:hAnsi="Times New Roman"/>
          <w:sz w:val="17"/>
          <w:szCs w:val="17"/>
          <w:color w:val="auto"/>
        </w:rPr>
        <w:t>” means Rule 415 promulgated by the SEC under the 1933 Act, as such rule may be amended from time to time, or any other similar or successor rule or regulation of the SEC providing for offering securities on a continuous or delayed basis.</w:t>
      </w:r>
    </w:p>
    <w:p>
      <w:pPr>
        <w:spacing w:after="0" w:line="150"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means the United States Securities and Exchange Commission or any successor thereto.</w:t>
      </w:r>
    </w:p>
    <w:p>
      <w:pPr>
        <w:spacing w:after="0" w:line="211"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w:t>
      </w:r>
    </w:p>
    <w:p>
      <w:pPr>
        <w:spacing w:after="0" w:line="207" w:lineRule="exact"/>
        <w:rPr>
          <w:rFonts w:ascii="Times New Roman" w:cs="Times New Roman" w:eastAsia="Times New Roman" w:hAnsi="Times New Roman"/>
          <w:sz w:val="17"/>
          <w:szCs w:val="17"/>
          <w:color w:val="auto"/>
        </w:rPr>
      </w:pPr>
    </w:p>
    <w:p>
      <w:pPr>
        <w:jc w:val="both"/>
        <w:ind w:firstLine="606"/>
        <w:spacing w:after="0" w:line="250" w:lineRule="auto"/>
        <w:tabs>
          <w:tab w:leader="none" w:pos="834"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Mandatory Registration</w:t>
      </w:r>
      <w:r>
        <w:rPr>
          <w:rFonts w:ascii="Times New Roman" w:cs="Times New Roman" w:eastAsia="Times New Roman" w:hAnsi="Times New Roman"/>
          <w:sz w:val="17"/>
          <w:szCs w:val="17"/>
          <w:color w:val="auto"/>
        </w:rPr>
        <w:t>. The Company shall prepare and, as soon as practicable, but in no event later than the Filing Deadline, file with the SEC an initial Registration Statement on Form S-1 covering the resale of all of the Registrable Securities; provided that such initial Registration Statement shall register for resale at least the number of shares of Common Stock equal to the Required Registration Amount as of the date such Registration Statement is initially filed with the SEC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the securities issued pursuant to the Prospectus Supplement (as defined below)); provided further that the Company shall file in within the time prescribed by the rules and regulations of 1933 Act a prospectus supplement to the Company’s Form S-3 (File No. 333-275559) (the “</w:t>
      </w:r>
      <w:r>
        <w:rPr>
          <w:rFonts w:ascii="Times New Roman" w:cs="Times New Roman" w:eastAsia="Times New Roman" w:hAnsi="Times New Roman"/>
          <w:sz w:val="17"/>
          <w:szCs w:val="17"/>
          <w:b w:val="1"/>
          <w:bCs w:val="1"/>
          <w:color w:val="auto"/>
        </w:rPr>
        <w:t>Company Shelf Registration Statement</w:t>
      </w:r>
      <w:r>
        <w:rPr>
          <w:rFonts w:ascii="Times New Roman" w:cs="Times New Roman" w:eastAsia="Times New Roman" w:hAnsi="Times New Roman"/>
          <w:sz w:val="17"/>
          <w:szCs w:val="17"/>
          <w:color w:val="auto"/>
        </w:rPr>
        <w:t>”) pursuant to Rule 424(b)(3) registering the sale to the Buyers of 180 shares of Series A Preferred Stock and Convertible Shares underlying such preferred stock; provided further, that the Company and the Required Holder may mutually agree that such initial Registration Statement shall register for resale a number of shares of Common Stock less than the Required Registration Amount. Except for the Company Shelf Registration Statement, such initial Registration Statement, and each other Registration Statement required to be filed pursuant to the terms of this Agreement, shall contain (except if otherwise directed by the Required Holder) the “</w:t>
      </w:r>
      <w:r>
        <w:rPr>
          <w:rFonts w:ascii="Times New Roman" w:cs="Times New Roman" w:eastAsia="Times New Roman" w:hAnsi="Times New Roman"/>
          <w:sz w:val="17"/>
          <w:szCs w:val="17"/>
          <w:u w:val="single" w:color="auto"/>
          <w:color w:val="auto"/>
        </w:rPr>
        <w:t>Selling Stockholders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Plan of Distribution</w:t>
      </w:r>
      <w:r>
        <w:rPr>
          <w:rFonts w:ascii="Times New Roman" w:cs="Times New Roman" w:eastAsia="Times New Roman" w:hAnsi="Times New Roman"/>
          <w:sz w:val="17"/>
          <w:szCs w:val="17"/>
          <w:color w:val="auto"/>
        </w:rPr>
        <w:t xml:space="preserve">” sections in substantially the form attached hereto as </w:t>
      </w:r>
      <w:r>
        <w:rPr>
          <w:rFonts w:ascii="Times New Roman" w:cs="Times New Roman" w:eastAsia="Times New Roman" w:hAnsi="Times New Roman"/>
          <w:sz w:val="17"/>
          <w:szCs w:val="17"/>
          <w:b w:val="1"/>
          <w:bCs w:val="1"/>
          <w:color w:val="auto"/>
        </w:rPr>
        <w:t>Exhibit B</w:t>
      </w:r>
      <w:r>
        <w:rPr>
          <w:rFonts w:ascii="Times New Roman" w:cs="Times New Roman" w:eastAsia="Times New Roman" w:hAnsi="Times New Roman"/>
          <w:sz w:val="17"/>
          <w:szCs w:val="17"/>
          <w:color w:val="auto"/>
        </w:rPr>
        <w:t>. The Company shall use its best efforts to have such initial Registration Statement, and each other Registration Statement required to be filed pursuant to the terms of this Agreement, declared effective by the SEC as soon as practicable, but in no event later than the applicable Effectiveness Deadline for such Registration Statement.</w:t>
      </w:r>
    </w:p>
    <w:p>
      <w:pPr>
        <w:spacing w:after="0" w:line="174" w:lineRule="exact"/>
        <w:rPr>
          <w:rFonts w:ascii="Times New Roman" w:cs="Times New Roman" w:eastAsia="Times New Roman" w:hAnsi="Times New Roman"/>
          <w:sz w:val="17"/>
          <w:szCs w:val="17"/>
          <w:color w:val="auto"/>
        </w:rPr>
      </w:pPr>
    </w:p>
    <w:p>
      <w:pPr>
        <w:ind w:firstLine="606"/>
        <w:spacing w:after="0" w:line="279" w:lineRule="auto"/>
        <w:tabs>
          <w:tab w:leader="none" w:pos="856"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Legal Counsel</w:t>
      </w:r>
      <w:r>
        <w:rPr>
          <w:rFonts w:ascii="Times New Roman" w:cs="Times New Roman" w:eastAsia="Times New Roman" w:hAnsi="Times New Roman"/>
          <w:sz w:val="17"/>
          <w:szCs w:val="17"/>
          <w:color w:val="auto"/>
        </w:rPr>
        <w:t>. Subject to Section 5 hereof, Pryor Cashman LLP, counsel solely to the lead Investor (“</w:t>
      </w:r>
      <w:r>
        <w:rPr>
          <w:rFonts w:ascii="Times New Roman" w:cs="Times New Roman" w:eastAsia="Times New Roman" w:hAnsi="Times New Roman"/>
          <w:sz w:val="17"/>
          <w:szCs w:val="17"/>
          <w:b w:val="1"/>
          <w:bCs w:val="1"/>
          <w:color w:val="auto"/>
        </w:rPr>
        <w:t>Legal Counsel</w:t>
      </w:r>
      <w:r>
        <w:rPr>
          <w:rFonts w:ascii="Times New Roman" w:cs="Times New Roman" w:eastAsia="Times New Roman" w:hAnsi="Times New Roman"/>
          <w:sz w:val="17"/>
          <w:szCs w:val="17"/>
          <w:color w:val="auto"/>
        </w:rPr>
        <w:t>”) shall review and oversee any registration, solely on behalf of the lead Investor, pursuant to this Section 2.</w:t>
      </w:r>
    </w:p>
    <w:p>
      <w:pPr>
        <w:spacing w:after="0" w:line="154" w:lineRule="exact"/>
        <w:rPr>
          <w:rFonts w:ascii="Times New Roman" w:cs="Times New Roman" w:eastAsia="Times New Roman" w:hAnsi="Times New Roman"/>
          <w:sz w:val="17"/>
          <w:szCs w:val="17"/>
          <w:color w:val="auto"/>
        </w:rPr>
      </w:pPr>
    </w:p>
    <w:p>
      <w:pPr>
        <w:jc w:val="both"/>
        <w:ind w:firstLine="606"/>
        <w:spacing w:after="0" w:line="254" w:lineRule="auto"/>
        <w:tabs>
          <w:tab w:leader="none" w:pos="834"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Ineligibility to Use Form S-3</w:t>
      </w:r>
      <w:r>
        <w:rPr>
          <w:rFonts w:ascii="Times New Roman" w:cs="Times New Roman" w:eastAsia="Times New Roman" w:hAnsi="Times New Roman"/>
          <w:sz w:val="17"/>
          <w:szCs w:val="17"/>
          <w:color w:val="auto"/>
        </w:rPr>
        <w:t>. In the event that Form S-3 is not available for the registration of the resale of Registrable Securities hereunder, the Company shall (i) register the resale of the Registrable Securities on Form S-1 or another appropriate form reasonably acceptable to the Required Holder and (ii) undertake to register the resale of the Registrable Securities on Form S-3 as soon as such form is available, provided that the Company shall maintain the effectiveness of all Registration Statements then in effect until such time as a Registration Statement on Form S-3 covering the resale of all the Registrable Securities has been declared effective by the SEC and the prospectus contained therein is available for use.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1" w:name="page142"/>
    <w:bookmarkEnd w:id="141"/>
    <w:p>
      <w:pPr>
        <w:jc w:val="both"/>
        <w:ind w:firstLine="606"/>
        <w:spacing w:after="0" w:line="249" w:lineRule="auto"/>
        <w:tabs>
          <w:tab w:leader="none" w:pos="843"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Sufficient Number of Shares Registered</w:t>
      </w:r>
      <w:r>
        <w:rPr>
          <w:rFonts w:ascii="Times New Roman" w:cs="Times New Roman" w:eastAsia="Times New Roman" w:hAnsi="Times New Roman"/>
          <w:sz w:val="17"/>
          <w:szCs w:val="17"/>
          <w:color w:val="auto"/>
        </w:rPr>
        <w:t>. In the event the number of shares available under any Registration Statement is insufficient to cover all of the Registrable Securities required to be covered by such Registration Statement or an Investor’s allocated portion of the Registrable Securities pursuant to Section 2(h), the Company shall amend such Registration Statement (if permissible), or file with the SEC a new Registration Statement (on the short form available therefor, if applicable), or both, so as to cover at least the Required Registration Amount as of the Trading Day (as defined in the Certificate of Designations) immediately preceding the date of the filing of such amendment or new Registration Statement, in each case, as soon as practicable, but in any event not later than twenty (20) Trading Days after the necessity therefor arises (but taking account of any Staff (as defined below) position with respect to the date on which the Staff will permit such amendment to the Registration Statement and/or such new Registration Statement (as the case may be) to be filed with the SEC). Subject to the Staff’s position describe above, the Company shall use its best efforts to cause such amendment to such Registration Statement and/or such new Registration Statement (as the case may be) to become effective as soon as practicable following the filing thereof with the SEC, but in no event later than the applicable Effectiveness Deadline for such Registration Statement. For purposes of the foregoing provision, the number of shares available under a Registration Statement shall be deemed “insufficient to cover all of the Registrable Securities” if at any time the number of shares of Common Stock available for resale under the applicable Registration Statement is less than the product determined by multiplying (i) the Required Registration Amount as of such time by (ii) 0.90 unless the filing of a new or additional Registration Statement is not allowed by the SEC as described above. The calculation set forth in the foregoing sentence shall be made without regard to any limitations on conversion, amortization and/or redemption of the Series A Preferred Stock (and such calculation shall assume (A) that the shares of Series A Preferred Stock are then convertible in full into shares of Common Stock at the Floor Price (as defined in the Certificate of Designations) of such applicable date of determination, and (B) all shares of the Series A Preferred Stock outstanding as of such time of determination remain outstanding through the eighteen (18) month anniversary of the Initial Issuance Date (as defined in the Certificate of Designations) and no redemptions of the Series A Preferred Stock occur prior to such eighteen (18) month anniversary of the Initial Issuance Date.</w:t>
      </w:r>
    </w:p>
    <w:p>
      <w:pPr>
        <w:spacing w:after="0" w:line="182" w:lineRule="exact"/>
        <w:rPr>
          <w:rFonts w:ascii="Times New Roman" w:cs="Times New Roman" w:eastAsia="Times New Roman" w:hAnsi="Times New Roman"/>
          <w:sz w:val="17"/>
          <w:szCs w:val="17"/>
          <w:color w:val="auto"/>
        </w:rPr>
      </w:pPr>
    </w:p>
    <w:p>
      <w:pPr>
        <w:jc w:val="both"/>
        <w:ind w:firstLine="606"/>
        <w:spacing w:after="0" w:line="267" w:lineRule="auto"/>
        <w:tabs>
          <w:tab w:leader="none" w:pos="834"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 of Failure to File and Obtain and Maintain Effectiveness of any Registration Statement</w:t>
      </w:r>
      <w:r>
        <w:rPr>
          <w:rFonts w:ascii="Times New Roman" w:cs="Times New Roman" w:eastAsia="Times New Roman" w:hAnsi="Times New Roman"/>
          <w:sz w:val="16"/>
          <w:szCs w:val="16"/>
          <w:color w:val="auto"/>
        </w:rPr>
        <w:t>. If (i) a Registration Statement covering the resale of all of the Registrable Securities required to be covered thereby (subject to any reduction pursuant to Section 2(f)) and required to be filed by the Company pursuant to this Agreement is (A) not filed with the SEC on or before the Filing Deadline for such Registration Statement (a “</w:t>
      </w:r>
      <w:r>
        <w:rPr>
          <w:rFonts w:ascii="Times New Roman" w:cs="Times New Roman" w:eastAsia="Times New Roman" w:hAnsi="Times New Roman"/>
          <w:sz w:val="16"/>
          <w:szCs w:val="16"/>
          <w:b w:val="1"/>
          <w:bCs w:val="1"/>
          <w:color w:val="auto"/>
        </w:rPr>
        <w:t>Filing Failure</w:t>
      </w:r>
      <w:r>
        <w:rPr>
          <w:rFonts w:ascii="Times New Roman" w:cs="Times New Roman" w:eastAsia="Times New Roman" w:hAnsi="Times New Roman"/>
          <w:sz w:val="16"/>
          <w:szCs w:val="16"/>
          <w:color w:val="auto"/>
        </w:rPr>
        <w:t>”) (it being understood that if the Company files a Registration Statement without affording each Investor and Legal Counsel the opportunity to review and comment on the same as required by Section 3(c) hereof, the Company shall be deemed to not have satisfied this clause (i)(A) and such event shall be deemed to be a Filing Failure) or (B) not declared effective</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by the SEC on or before the Effectiveness Deadline for such Registration Statement (an “</w:t>
      </w:r>
      <w:r>
        <w:rPr>
          <w:rFonts w:ascii="Times New Roman" w:cs="Times New Roman" w:eastAsia="Times New Roman" w:hAnsi="Times New Roman"/>
          <w:sz w:val="16"/>
          <w:szCs w:val="16"/>
          <w:b w:val="1"/>
          <w:bCs w:val="1"/>
          <w:color w:val="auto"/>
        </w:rPr>
        <w:t>Effectiveness Failure</w:t>
      </w:r>
      <w:r>
        <w:rPr>
          <w:rFonts w:ascii="Times New Roman" w:cs="Times New Roman" w:eastAsia="Times New Roman" w:hAnsi="Times New Roman"/>
          <w:sz w:val="16"/>
          <w:szCs w:val="16"/>
          <w:color w:val="auto"/>
        </w:rPr>
        <w:t>”) (it being understood that if on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6"/>
          <w:szCs w:val="16"/>
          <w:color w:val="auto"/>
        </w:rPr>
        <w:t>) Business Day immediately following the Effective Date for such Registration Statement the Company shall not have filed a “final” prospectus for such Registration Statement with the SEC under Rule 424(b) in accordance with Section 3(b) (whether or not such a prospectus is technically required by such rule), the Company shall be deemed to not have satisfied this clause (i)(B) and such event shall be deemed to be an Effectiveness Failure), (ii) other than during an Allowable Grace Period (as defined below), on any day after the Effective Date of a Registration Statement sales of all of the Registrable Securities required to be included on such Registration Statement (subject to any reduction pursuant to Section 2(f)) cannot be made pursuant to such Registration Statement (including, without limitation, because of a failure to keep such Registration Statement effective, a failure to disclose such information as is necessary for sales to be made pursuant to such Registration Statement, a suspension or delisting of (or a failure to timely list) the shares of Common Stock on the Principal Market (as defined in the Securities Purchase Agreement) or any other limitations imposed by the Principal Market, or a failure to register a sufficient number of shares of Common Stock subject to any reduction pursuant to Section 2(f) or by reason of a stop order) or the prospectus contained therein is not available for use for any reason (a “</w:t>
      </w:r>
      <w:r>
        <w:rPr>
          <w:rFonts w:ascii="Times New Roman" w:cs="Times New Roman" w:eastAsia="Times New Roman" w:hAnsi="Times New Roman"/>
          <w:sz w:val="16"/>
          <w:szCs w:val="16"/>
          <w:b w:val="1"/>
          <w:bCs w:val="1"/>
          <w:color w:val="auto"/>
        </w:rPr>
        <w:t>Maintenance Failure</w:t>
      </w:r>
      <w:r>
        <w:rPr>
          <w:rFonts w:ascii="Times New Roman" w:cs="Times New Roman" w:eastAsia="Times New Roman" w:hAnsi="Times New Roman"/>
          <w:sz w:val="16"/>
          <w:szCs w:val="16"/>
          <w:color w:val="auto"/>
        </w:rPr>
        <w:t>”), or (iii) if a Registration Statement is not effective for any reason or the prospectus contained therein is not available for use for any reason, and either (x) the Company fails for any reason to satisfy the requirements of Rule 144(c)(1), including, without limitation, the failure to satisfy the current public information requirement under Rule 144(c) or (y) the Company has ever been an issuer described in Rule 144(i)(1)(i) or becomes such an issuer in the future, and the Company shall fail to satisfy any condition set forth in Rule 144(i)(2) (a “</w:t>
      </w:r>
      <w:r>
        <w:rPr>
          <w:rFonts w:ascii="Times New Roman" w:cs="Times New Roman" w:eastAsia="Times New Roman" w:hAnsi="Times New Roman"/>
          <w:sz w:val="16"/>
          <w:szCs w:val="16"/>
          <w:b w:val="1"/>
          <w:bCs w:val="1"/>
          <w:color w:val="auto"/>
        </w:rPr>
        <w:t>Current Public Information Failure</w:t>
      </w:r>
      <w:r>
        <w:rPr>
          <w:rFonts w:ascii="Times New Roman" w:cs="Times New Roman" w:eastAsia="Times New Roman" w:hAnsi="Times New Roman"/>
          <w:sz w:val="16"/>
          <w:szCs w:val="16"/>
          <w:color w:val="auto"/>
        </w:rPr>
        <w:t>”) as a result of which any of the Investors are unable to sell Registrable Securities under Rule 144 (including, without limitation, volume restrictions), then, as partial relief for the damages to any holder by reason of any such delay in, or reduction of, its ability to sell the underlying shares of Common Stock (which remedy shall not be exclusive of any other remedies available at law or in equity, including, without limitation, specific performance), the Company shall pay to each holder of Registrable Securities relating to such Registration Statement an amount in cash equal to one and one-half percent (1.5%) of the aggregate stated value of the Series A Preferred Stock then held by such Investor (1) on the date of such Filing Failure, Effectiveness Failure, Maintenance Failure or Current Public Information Failure, as applicable, and (2) on every thirty (30) day anniversary of (I) a Filing Failure until such Filing Failure is cured; (II) an Effectiveness Failure until such Effectiveness Failure is cured; (III) a Maintenance Failure until such Maintenance Failure is cured; and (IV) a Current Public Information Failure until the earlier of (i) the date such Current Public Information Failure is cured and (ii) such time that such public information is no longer required pursuant to Rule 144 (in each case, pro rated for periods totaling less than thirty (30) days). The payments to which a holder of Registrable Securities shall be entitled pursuant to this Section 2(e) are referred to herein as “</w:t>
      </w:r>
      <w:r>
        <w:rPr>
          <w:rFonts w:ascii="Times New Roman" w:cs="Times New Roman" w:eastAsia="Times New Roman" w:hAnsi="Times New Roman"/>
          <w:sz w:val="16"/>
          <w:szCs w:val="16"/>
          <w:b w:val="1"/>
          <w:bCs w:val="1"/>
          <w:color w:val="auto"/>
        </w:rPr>
        <w:t>Registration Delay Payments</w:t>
      </w:r>
      <w:r>
        <w:rPr>
          <w:rFonts w:ascii="Times New Roman" w:cs="Times New Roman" w:eastAsia="Times New Roman" w:hAnsi="Times New Roman"/>
          <w:sz w:val="16"/>
          <w:szCs w:val="16"/>
          <w:color w:val="auto"/>
        </w:rPr>
        <w:t>.”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thirty (30) day anniversary of such event or failure, then such Registration Delay Payment</w:t>
      </w:r>
    </w:p>
    <w:p>
      <w:pPr>
        <w:spacing w:after="0" w:line="19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shall be made on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Business Day after such cure. In the event the Company fails to make Registration Delay Payments in a timely manner in accordance with the foregoing, such Registration Delay Payments shall bear interest at the rate of one and one-half percent (1.5%) per month (prorated for partial months) until paid in full. Notwithstanding the foregoing, no Registration Delay Payments shall be owed to an Investor (other than with respect to a Maintenance Failure resulting from a suspension or delisting of (or a failure to timely list) the shares of Common Stock on the Principal Market) with respect to any period during which all of such Investor’s Registrable Securities may be sold by such Investor without restriction under Rule 144 (including, without limitation, volume restrictions) and without the need for current public information required by Rule 144(c)(1) (or Rule 144(i)(2), if applicable).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42" w:name="page143"/>
    <w:bookmarkEnd w:id="142"/>
    <w:p>
      <w:pPr>
        <w:jc w:val="both"/>
        <w:ind w:firstLine="606"/>
        <w:spacing w:after="0" w:line="248" w:lineRule="auto"/>
        <w:tabs>
          <w:tab w:leader="none" w:pos="828"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Offering</w:t>
      </w:r>
      <w:r>
        <w:rPr>
          <w:rFonts w:ascii="Times New Roman" w:cs="Times New Roman" w:eastAsia="Times New Roman" w:hAnsi="Times New Roman"/>
          <w:sz w:val="17"/>
          <w:szCs w:val="17"/>
          <w:color w:val="auto"/>
        </w:rPr>
        <w:t>. Notwithstanding anything to the contrary contained in this Agreement, in the event the staff of the SEC (the “</w:t>
      </w:r>
      <w:r>
        <w:rPr>
          <w:rFonts w:ascii="Times New Roman" w:cs="Times New Roman" w:eastAsia="Times New Roman" w:hAnsi="Times New Roman"/>
          <w:sz w:val="17"/>
          <w:szCs w:val="17"/>
          <w:b w:val="1"/>
          <w:bCs w:val="1"/>
          <w:color w:val="auto"/>
        </w:rPr>
        <w:t>Staff</w:t>
      </w:r>
      <w:r>
        <w:rPr>
          <w:rFonts w:ascii="Times New Roman" w:cs="Times New Roman" w:eastAsia="Times New Roman" w:hAnsi="Times New Roman"/>
          <w:sz w:val="17"/>
          <w:szCs w:val="17"/>
          <w:color w:val="auto"/>
        </w:rPr>
        <w:t>”) or the SEC seeks to characterize any offering pursuant to a Registration Statement filed pursuant to this Agreement as constituting an offering of securities by, or on behalf of, the Company, or in any other manner, such that the Staff or the SEC do not permit such Registration Statement to become effective and used for resales in a manner that does not constitute such an offering and that permits the continuous resale at the market by the Investors participating therein (or as otherwise may be acceptable to each Investor) without being named therein as an “underwriter,” then the Company shall reduce the number of shares to be included in such Registration Statement by all Investors until such time as the Staff and the SEC shall so permit such Registration Statement to become effective as aforesaid. In making such reduction, the Company shall reduce the number of shares to be included by all Investors on a pro rata basis (based upon the number of Registrable Securities otherwise required to be included for each Investor) unless the inclusion of shares by a particular Investor or a particular set of Investors are resulting in the Staff or the SEC’s “by or on behalf of the Company” offering position, in which event the shares held by such Investor or set of Investors shall be the only shares subject to reduction (and if by a set of Investors on a pro rata basis by such Investors or on such other basis as would result in the exclusion of the least number of shares by all such Investors); provided, that, with respect to such pro rata portion allocated to any Investor, such Investor may elect the allocation of such pro rata portion among the Registrable Securities of such Investor. In addition, in the event that the Staff or the SEC requires any Investor seeking to sell securities under a Registration Statement filed pursuant to this Agreement to be specifically identified as an “underwriter” in order to permit such Registration Statement to become effective, and such Investor does not consent to being so named as an underwriter in such Registration Statement, then, in each such case, the Company shall reduce the total number of Registrable Securities to be registered on behalf of such Investor, until such time as the Staff or the SEC does not require such identification or until such Investor accepts such identification and the manner thereof. Any reduction pursuant to this paragraph will first reduce all Registrable Securities other than those issued pursuant to the Securities Purchase Agreement. In the event of any reduction in Registrable Securities pursuant to this paragraph, an affected Investor shall have the right to require, upon delivery of a written request to the Company signed by such Investor, the Company to file a registration statement within twenty (20) Trading Days of such request (subject to any restrictions on the ability to file such registration under Rule 415 or the SEC or required by the Staff or the SEC) for resale by such Investor in a manner reasonably acceptable to such Investor, and the Company shall following such request cause to be and keep effective such registration statement in the same manner as otherwise contemplated in this Agreement for registration statements hereunder, in each case until such time as: (i) all Registrable Securities held by such Investor have been registered and sold pursuant to an effective Registration Statement in a manner acceptable to such Investor or (ii) all Registrable Securities may be resold by such Investor without restriction (including, without limitation, volume limitations) pursuant to Rule 144 (taking account of any Staff position with respect to “affiliate” status) and without the need for current public information required by Rule 144(c)(1) (or Rule 144(i)(2), if applicable) or (iii) such Investor agrees to be named as an underwriter in any such Registration Statement in a manner acceptable to such Investor as to all Registrable Securities held by such Investor and that have not theretofore been included in a Registration Statement under this Agreement (it being understood that the special demand right under this sentence may be exercised by an Investor multiple times and with respect to limited amounts of Registrable Securities in order to permit the resale thereof by such Investor as contemplated above). Notwithstanding the foregoing, the Company shall not be required to pay any Registration Delay Payments with respect to any Registrable Securities that are required to be included in any Registration Statement but not allowed under this clause (f).</w:t>
      </w:r>
    </w:p>
    <w:p>
      <w:pPr>
        <w:spacing w:after="0" w:line="197" w:lineRule="exact"/>
        <w:rPr>
          <w:rFonts w:ascii="Times New Roman" w:cs="Times New Roman" w:eastAsia="Times New Roman" w:hAnsi="Times New Roman"/>
          <w:sz w:val="17"/>
          <w:szCs w:val="17"/>
          <w:color w:val="auto"/>
        </w:rPr>
      </w:pPr>
    </w:p>
    <w:p>
      <w:pPr>
        <w:jc w:val="both"/>
        <w:ind w:firstLine="606"/>
        <w:spacing w:after="0" w:line="250" w:lineRule="auto"/>
        <w:tabs>
          <w:tab w:leader="none" w:pos="868"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Piggyback Registrations</w:t>
      </w:r>
      <w:r>
        <w:rPr>
          <w:rFonts w:ascii="Times New Roman" w:cs="Times New Roman" w:eastAsia="Times New Roman" w:hAnsi="Times New Roman"/>
          <w:sz w:val="17"/>
          <w:szCs w:val="17"/>
          <w:color w:val="auto"/>
        </w:rPr>
        <w:t>. Without limiting any obligation of the Company hereunder or under the Securities Purchase Agreement if there is not an effective Registration Statement covering all of the Registrable Securities or the prospectus contained therein is not available for use and the Company shall determine to prepare and file with the SEC a registration statement or offering statement relating to an offering for its own account or the account of others under the 1933 Act of any of its equity securities (other than on Form S-4 or Form S-8 (each as promulgated under the 1933 Act) or their then equivalents relating to equity securities to be issued solely in connection with any acquisition of any entity or business or equity securities issuable in connection with the Company’s stock option or other employee benefit plans), then the Company shall deliver to each Investor a written notice of such determination and, if within five (5) days after the date of the delivery of such notice, any such Investor shall so request in writing, the Company shall include in such registration statement or offering statement all or any part of such Registrable Securities such Investor requests to be registered; provided, however, the Company shall not be required to register any Registrable Securities pursuant to this Section 2(g) that are eligible for resale pursuant to Rule 144 without restriction (including, without limitation, volume restrictions) and without the need for current public information required by Rule 144(c)(1) (or Rule 144(i)(2), if applicable) or that are the subject of a then-effective Registration Statement or cannot be included in such registration statement as a result of clause (f) above.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43" w:name="page144"/>
    <w:bookmarkEnd w:id="143"/>
    <w:p>
      <w:pPr>
        <w:jc w:val="both"/>
        <w:ind w:firstLine="606"/>
        <w:spacing w:after="0" w:line="251" w:lineRule="auto"/>
        <w:tabs>
          <w:tab w:leader="none" w:pos="843"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Allocation of Registrable Securities</w:t>
      </w:r>
      <w:r>
        <w:rPr>
          <w:rFonts w:ascii="Times New Roman" w:cs="Times New Roman" w:eastAsia="Times New Roman" w:hAnsi="Times New Roman"/>
          <w:sz w:val="17"/>
          <w:szCs w:val="17"/>
          <w:color w:val="auto"/>
        </w:rPr>
        <w:t>. The initial number of Registrable Securities included in any Registration Statement and any increase in the number of Registrable Securities included therein shall be allocated pro rata among the Investors based on the number of Registrable Securities held by each Investor at the time such Registration Statement covering such initial number of Registrable Securities or increase thereof is declared effective by the SEC. In the event that an Investor sells or otherwise transfers any of such Investor’s Registrable Securities, each transferee or assignee (as the case may be) that becomes an Investor shall be allocated a pro rata portion of the then-remaining number of Registrable Securities included in such Registration Statement for such transferor or assignee (as the case may be). Any shares of Common Stock included in a Registration Statement and which remain allocated to any Person which ceases to hold any Registrable Securities covered by such Registration Statement shall be allocated to the remaining Investors, pro rata based on the number of Registrable Securities then held by such Investors which are covered by such Registration Statement.</w:t>
      </w:r>
    </w:p>
    <w:p>
      <w:pPr>
        <w:spacing w:after="0" w:line="180" w:lineRule="exact"/>
        <w:rPr>
          <w:rFonts w:ascii="Times New Roman" w:cs="Times New Roman" w:eastAsia="Times New Roman" w:hAnsi="Times New Roman"/>
          <w:sz w:val="17"/>
          <w:szCs w:val="17"/>
          <w:color w:val="auto"/>
        </w:rPr>
      </w:pPr>
    </w:p>
    <w:p>
      <w:pPr>
        <w:jc w:val="both"/>
        <w:ind w:firstLine="606"/>
        <w:spacing w:after="0" w:line="256" w:lineRule="auto"/>
        <w:tabs>
          <w:tab w:leader="none" w:pos="806"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Inclusion of Other Securities</w:t>
      </w:r>
      <w:r>
        <w:rPr>
          <w:rFonts w:ascii="Times New Roman" w:cs="Times New Roman" w:eastAsia="Times New Roman" w:hAnsi="Times New Roman"/>
          <w:sz w:val="17"/>
          <w:szCs w:val="17"/>
          <w:color w:val="auto"/>
        </w:rPr>
        <w:t>. The Company shall in no event include any securities other than Registrable Securities on any Registration Statement filed in accordance herewith without the prior written consent of the Required Holder. Until the Applicable Date (as defined in the Securities Purchase Agreement), the Company shall not enter into any agreement providing any registration rights to any of its security holders with respect to the filing of a registration statement (other than a registration statement on Form S-4) prior to the Applicable Date, except as otherwise permitted under the Securities Purchase Agreement.</w:t>
      </w:r>
    </w:p>
    <w:p>
      <w:pPr>
        <w:spacing w:after="0" w:line="174"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Related Obligations.</w:t>
      </w:r>
    </w:p>
    <w:p>
      <w:pPr>
        <w:spacing w:after="0" w:line="208"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Company shall use its best efforts to effect the registration of the Registrable Securities in accordance with the intended method of disposition thereof, and, pursuant thereto, the Company shall have the following obligations:</w:t>
      </w:r>
    </w:p>
    <w:p>
      <w:pPr>
        <w:spacing w:after="0" w:line="159" w:lineRule="exact"/>
        <w:rPr>
          <w:sz w:val="20"/>
          <w:szCs w:val="20"/>
          <w:color w:val="auto"/>
        </w:rPr>
      </w:pPr>
    </w:p>
    <w:p>
      <w:pPr>
        <w:jc w:val="both"/>
        <w:ind w:firstLine="606"/>
        <w:spacing w:after="0" w:line="249" w:lineRule="auto"/>
        <w:tabs>
          <w:tab w:leader="none" w:pos="841"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promptly prepare and file with the SEC a Registration Statement with respect to all the Registrable Securities (but in no event later than the applicable Filing Deadline) and use its best efforts to cause such Registration Statement to become effective as soon as practicable after such filing (but in no event later than the Effectiveness Deadline). Subject to Allowable Grace Periods, the Company shall keep each Registration Statement effective (and the prospectus contained therein available for use) pursuant to Rule 415 for resales by the Investors on a delayed or continuous basis at then-prevailing market prices (and not fixed prices) at all times until the earlier of (i) the date as of which all of the Investors may sell all of the Registrable Securities required to be covered by such Registration Statement (disregarding any reduction pursuant to Section 2(f)) without restriction pursuant to Rule 144 (including, without limitation, volume restrictions) and without the need for current public information required by Rule 144(c)(1) (or Rule 144(i)(2), if applicable) or (ii) the date on which the Investors shall have sold all of the Registrable Securities covered by such Registration Statement (the “</w:t>
      </w:r>
      <w:r>
        <w:rPr>
          <w:rFonts w:ascii="Times New Roman" w:cs="Times New Roman" w:eastAsia="Times New Roman" w:hAnsi="Times New Roman"/>
          <w:sz w:val="17"/>
          <w:szCs w:val="17"/>
          <w:b w:val="1"/>
          <w:bCs w:val="1"/>
          <w:color w:val="auto"/>
        </w:rPr>
        <w:t>Registration Period</w:t>
      </w:r>
      <w:r>
        <w:rPr>
          <w:rFonts w:ascii="Times New Roman" w:cs="Times New Roman" w:eastAsia="Times New Roman" w:hAnsi="Times New Roman"/>
          <w:sz w:val="17"/>
          <w:szCs w:val="17"/>
          <w:color w:val="auto"/>
        </w:rPr>
        <w:t>”). Notwithstanding anything to the contrary contained in this Agreement,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(1) shall not contain any untrue statement of a material fact or omit to state a material fact required to be stated therein, or necessary to make the statements therein (in the case of prospectuses, in the light of the circumstances in which they were made) not misleading and (2) will disclose (whether directly or through incorporation by reference to other SEC filings to the extent permitted) all material information regarding the Company and its securities. The Company shall submit to the SEC, within two (2) Business Days after the later of the date that (i) the Company learns that no review of a particular Registration Statement will be made by the Staff or that the Staff has no further comments on a particular Registration Statement (as the case may be) and (ii) the consent of Legal Counsel is obtained pursuant to Section 3(c) (which consent shall be promptly sought), a request for acceleration of effectiveness of such Registration Statement to a time and date not later than forty-eight (48) hours after the submission of such request. The Company shall respond in writing to comments made by the SEC in respect of a Registration Statement, including any amendments thereto, as soon as practicable but in no event later than fifteen (15) Trading Days after the receipt of comments by or notice from the SEC that an amendment is required in order for a Registration Statement to be declared effective.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4" w:name="page145"/>
    <w:bookmarkEnd w:id="144"/>
    <w:p>
      <w:pPr>
        <w:jc w:val="both"/>
        <w:ind w:firstLine="606"/>
        <w:spacing w:after="0" w:line="266" w:lineRule="auto"/>
        <w:tabs>
          <w:tab w:leader="none" w:pos="868"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3(r) of this Agreement, the Company shall prepare and file with the SEC such amendments (including, without limitation, post-effective amendments) and supplements to each Registration Statement and the prospectus used in connection with each such Registration Statement, which prospectus is to be filed pursuant to Rule 424 promulgated under the 1933 Act, as may be necessary to keep each such Registration Statement effective at all times during the Registration Period for such Registration Statement, and, during such period, comply with the provisions of the 1933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seller or sellers thereof as set forth in such Registration Statement; provided, however, by</w:t>
      </w:r>
    </w:p>
    <w:p>
      <w:pPr>
        <w:spacing w:after="0" w:line="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8:30 a.m. (New York time) on the second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7"/>
          <w:szCs w:val="17"/>
          <w:color w:val="auto"/>
        </w:rPr>
        <w:t>) Business Day immediately following each Effective Date, the Company shall file with the SEC in accordance with Rule 424(b) under the 1933 Act the final prospectus to be used in connection with sales pursuant to the applicable Registration Statement (whether or not such a prospectus is technically required by such rule). In the case of amendments and supplements to any Registration Statement which are required to be filed, if any (including, without limitation, pursuant to this Section 3(b)), by reason of the Company filing a report on Form 8-K, Form 10-Q or Form 10-K or any analogous report under the Securities Exchange Act of 1934, as amended (the “</w:t>
      </w:r>
      <w:r>
        <w:rPr>
          <w:rFonts w:ascii="Times New Roman" w:cs="Times New Roman" w:eastAsia="Times New Roman" w:hAnsi="Times New Roman"/>
          <w:sz w:val="17"/>
          <w:szCs w:val="17"/>
          <w:b w:val="1"/>
          <w:bCs w:val="1"/>
          <w:color w:val="auto"/>
        </w:rPr>
        <w:t>1934 Act</w:t>
      </w:r>
      <w:r>
        <w:rPr>
          <w:rFonts w:ascii="Times New Roman" w:cs="Times New Roman" w:eastAsia="Times New Roman" w:hAnsi="Times New Roman"/>
          <w:sz w:val="17"/>
          <w:szCs w:val="17"/>
          <w:color w:val="auto"/>
        </w:rPr>
        <w:t>”), the Company shall, if permitted under the applicable rules and regulations of the SEC, have incorporated such report by reference into such Registration Statement, if applicable, or if required, shall file such amendments or supplements with the SEC on the same day on which the 1934 Act report is filed which created the requirement for the Company to amend or supplement such Registration Statement.</w:t>
      </w:r>
    </w:p>
    <w:p>
      <w:pPr>
        <w:spacing w:after="0" w:line="191" w:lineRule="exact"/>
        <w:rPr>
          <w:sz w:val="20"/>
          <w:szCs w:val="20"/>
          <w:color w:val="auto"/>
        </w:rPr>
      </w:pPr>
    </w:p>
    <w:p>
      <w:pPr>
        <w:jc w:val="both"/>
        <w:ind w:firstLine="606"/>
        <w:spacing w:after="0" w:line="266" w:lineRule="auto"/>
        <w:tabs>
          <w:tab w:leader="none" w:pos="841" w:val="left"/>
        </w:tabs>
        <w:numPr>
          <w:ilvl w:val="1"/>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(A) permit Legal Counsel and legal counsel for each other Investor to review and comment upon (i) each Registration Statement at least three (3) Business Days prior to its filing with the SEC and (ii) all amendments and supplements to each Registration Statement (including, without limitation, the prospectus contained therein) (except for Annual Reports on Form 10-K, Quarterly Reports on Form 10-Q, Current Reports on Form 8-K, and any similar or successor reports) within a reasonable number of days prior to their filing with the SEC, and (B) not file any Registration Statement or amendment or supplement thereto in a form to which Legal Counsel or any legal counsel for any other Investor reasonably objects; provided, however, that if Legal Counsel does not provide comments to such Registration Statement within three (3) Business Days of receipt thereof, such failure to respond shall be construed as approval to file the Registration Statement. The Company shall promptly furnish to Legal Counsel and legal counsel for each other Investor, without charge, if requested, (i) copies of any correspondence from the SEC or the Staff to the Company or its representatives relating to each Registration Statement, provided that such correspondence shall not contain any material, non-public information regarding the Company or any of its Subsidiaries (as defined in the Securities Purchase Agreement), (ii) after the same is prepared and filed with the SEC, one (1) copy of each Registration Statement and any amendment(s) and supplement(s) thereto, including, without limitation, financial statements and schedules, all documents incorporated therein by reference, if requested by an Investor, and all exhibits and (iii) upon the effectiveness of each Registration Statement, one (1) copy of the prospectus included in such Registration Statement and all amendments and supplements thereto. The Company shall reasonably cooperate with Legal Counsel and legal counsel for each other Investor in performing the Company’s obligations pursuant to this Section 3.</w:t>
      </w:r>
    </w:p>
    <w:p>
      <w:pPr>
        <w:spacing w:after="0" w:line="173" w:lineRule="exact"/>
        <w:rPr>
          <w:rFonts w:ascii="Times New Roman" w:cs="Times New Roman" w:eastAsia="Times New Roman" w:hAnsi="Times New Roman"/>
          <w:sz w:val="16"/>
          <w:szCs w:val="16"/>
          <w:color w:val="auto"/>
        </w:rPr>
      </w:pPr>
    </w:p>
    <w:p>
      <w:pPr>
        <w:jc w:val="both"/>
        <w:ind w:firstLine="606"/>
        <w:spacing w:after="0" w:line="251" w:lineRule="auto"/>
        <w:tabs>
          <w:tab w:leader="none" w:pos="868" w:val="left"/>
        </w:tabs>
        <w:numPr>
          <w:ilvl w:val="1"/>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request from an Investor, the Company shall promptly furnish to each Investor whose Registrable Securities are included in any Registration Statement, without charge, (i) after the same is prepared and filed with the SEC, at least one (1) copy of each Registration Statement and any amendment(s) and supplement(s) thereto, including, without limitation, financial statements and schedules, all documents incorporated therein by reference, if requested by an Investor, all exhibits and each preliminary prospectus, (ii) on or after the effectiveness of each Registration Statement, ten (10) copies of the prospectus included in such Registration Statement and all amendments and supplements thereto (or such other number of copies as such Investor may reasonably request from time to time) and</w:t>
      </w:r>
    </w:p>
    <w:p>
      <w:pPr>
        <w:spacing w:after="0" w:line="2" w:lineRule="exact"/>
        <w:rPr>
          <w:rFonts w:ascii="Times New Roman" w:cs="Times New Roman" w:eastAsia="Times New Roman" w:hAnsi="Times New Roman"/>
          <w:sz w:val="17"/>
          <w:szCs w:val="17"/>
          <w:color w:val="auto"/>
        </w:rPr>
      </w:pPr>
    </w:p>
    <w:p>
      <w:pPr>
        <w:ind w:firstLine="1"/>
        <w:spacing w:after="0" w:line="255" w:lineRule="auto"/>
        <w:tabs>
          <w:tab w:leader="none" w:pos="301"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documents, including, without limitation, copies of any preliminary or final prospectus, as such Investor may reasonably request from time to time in order to facilitate the disposition of the Registrable Securities owned by such Investor.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5" w:name="page146"/>
    <w:bookmarkEnd w:id="145"/>
    <w:p>
      <w:pPr>
        <w:jc w:val="both"/>
        <w:ind w:firstLine="606"/>
        <w:spacing w:after="0" w:line="250" w:lineRule="auto"/>
        <w:tabs>
          <w:tab w:leader="none" w:pos="832"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use its best efforts to (i) register and qualify, unless an exemption from registration and qualification applies, the resale by Investors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legal counsel for each other Investor and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spacing w:after="0" w:line="180" w:lineRule="exact"/>
        <w:rPr>
          <w:rFonts w:ascii="Times New Roman" w:cs="Times New Roman" w:eastAsia="Times New Roman" w:hAnsi="Times New Roman"/>
          <w:sz w:val="17"/>
          <w:szCs w:val="17"/>
          <w:color w:val="auto"/>
        </w:rPr>
      </w:pPr>
    </w:p>
    <w:p>
      <w:pPr>
        <w:jc w:val="both"/>
        <w:ind w:firstLine="606"/>
        <w:spacing w:after="0" w:line="249" w:lineRule="auto"/>
        <w:tabs>
          <w:tab w:leader="none" w:pos="81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notify Legal Counsel, legal counsel for each other Investor and each Investor in writing of the happening of any event, as promptly as practicable after becoming aware of such event, as a result of which the prospectus included in a Registration Statement, as then in effect, may include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3(r), promptly prepare a supplement or amendment to such Registration Statement and such prospectus contained therein to correct such untrue statement or omission and, if requested by the Investor, deliver one (1) copy of such supplement or amendment to Legal Counsel, legal counsel for each other Investor and each Investor (or such other number of copies as Legal Counsel, legal counsel for each other Investor or such Investor may reasonably request), provided, however, that such delivery shall not be required if such supplement or amendment is filed with the SEC and available on the EDGAR system. The Company shall also promptly notify Legal Counsel and legal counsel for each other Investor (i) when a prospectus or any prospectus supplement or post-effective amendment has been filed, when a Registration Statement or any post-effective amendment has become effective (notification of such effectiveness shall be delivered to Legal Counsel and legal counsel for each other Investor by e-mail on the same day of such effectiveness and by overnight mail), and when the Company receives written notice from the SEC that a Registration Statement or any post-effective amendment will be reviewed by the SEC, (ii) of any request by the SEC for amendments or supplements to a Registration Statement or related prospectus or related information, (iii) of the Company’s reasonable determination that a post-effective amendment to a Registration Statement would be appropriate; and (iv) of the receipt of any request by the SEC or any other federal or state governmental authority for any additional information relating to the Registration Statement or any amendment or supplement thereto or any related prospectus. The Company shall respond as promptly as practicable to any comments received from the SEC with respect to each Registration Statement or any amendment thereto (it being understood and agreed that the Company’s response to any such comments shall be delivered to the SEC no later than fifteen (15) Business Days after the receipt thereof).</w:t>
      </w:r>
    </w:p>
    <w:p>
      <w:pPr>
        <w:spacing w:after="0" w:line="182" w:lineRule="exact"/>
        <w:rPr>
          <w:rFonts w:ascii="Times New Roman" w:cs="Times New Roman" w:eastAsia="Times New Roman" w:hAnsi="Times New Roman"/>
          <w:sz w:val="17"/>
          <w:szCs w:val="17"/>
          <w:color w:val="auto"/>
        </w:rPr>
      </w:pPr>
    </w:p>
    <w:p>
      <w:pPr>
        <w:jc w:val="both"/>
        <w:ind w:firstLine="606"/>
        <w:spacing w:after="0" w:line="254" w:lineRule="auto"/>
        <w:tabs>
          <w:tab w:leader="none" w:pos="845"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(i) use its best efforts to prevent the issuance of any stop order or other suspension of effectiveness of each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moment and (ii) notify Legal Counsel, legal counsel for each other Investor and each Investor who holds Registrable Securities of the issuance of such order and the resolution thereof or its receipt of actual notice of the initiation or threat of any proceeding for such purpose.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6" w:name="page147"/>
    <w:bookmarkEnd w:id="146"/>
    <w:p>
      <w:pPr>
        <w:jc w:val="both"/>
        <w:ind w:firstLine="606"/>
        <w:spacing w:after="0" w:line="253" w:lineRule="auto"/>
        <w:tabs>
          <w:tab w:leader="none" w:pos="843"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Investor may be required under applicable securities law to be described in any Registration Statement as an underwriter and such Investor consents to so being named an underwriter, at the request of any Investor, the Company shall furnish to such Investor, on the date of the effectiveness of such Registration Statement and thereafter from time to time on such dates as an Investor may reasonably request (i) a letter, dated such date, from the Company’s independent certified public accountants in form and substance as is customarily given by independent certified public accountants to underwriters in an underwritten public offering, addressed to the Investors, and (ii) an opinion, dated as of such date, of counsel representing the Company for purposes of such Registration Statement, in form, scope and substance as is customarily given in an underwritten public offering, addressed to the Investors.</w:t>
      </w:r>
    </w:p>
    <w:p>
      <w:pPr>
        <w:spacing w:after="0" w:line="175" w:lineRule="exact"/>
        <w:rPr>
          <w:rFonts w:ascii="Times New Roman" w:cs="Times New Roman" w:eastAsia="Times New Roman" w:hAnsi="Times New Roman"/>
          <w:sz w:val="17"/>
          <w:szCs w:val="17"/>
          <w:color w:val="auto"/>
        </w:rPr>
      </w:pPr>
    </w:p>
    <w:p>
      <w:pPr>
        <w:jc w:val="both"/>
        <w:ind w:firstLine="606"/>
        <w:spacing w:after="0" w:line="249" w:lineRule="auto"/>
        <w:tabs>
          <w:tab w:leader="none" w:pos="807"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Investor may be required under applicable securities law to be described in any Registration Statement as an underwriter and such Investor consents to so being named an underwriter, upon the written request of such Investor, the Company shall make available for inspection by (i) such Investor, (ii) legal counsel for such Investor and (iii) one (1) firm of accountants or other agents retained by such Investor (collectively, the “</w:t>
      </w:r>
      <w:r>
        <w:rPr>
          <w:rFonts w:ascii="Times New Roman" w:cs="Times New Roman" w:eastAsia="Times New Roman" w:hAnsi="Times New Roman"/>
          <w:sz w:val="17"/>
          <w:szCs w:val="17"/>
          <w:b w:val="1"/>
          <w:bCs w:val="1"/>
          <w:color w:val="auto"/>
        </w:rPr>
        <w:t>Inspectors</w:t>
      </w:r>
      <w:r>
        <w:rPr>
          <w:rFonts w:ascii="Times New Roman" w:cs="Times New Roman" w:eastAsia="Times New Roman" w:hAnsi="Times New Roman"/>
          <w:sz w:val="17"/>
          <w:szCs w:val="17"/>
          <w:color w:val="auto"/>
        </w:rPr>
        <w:t>”), all pertinent financial and other records, and pertinent corporate documents and properties of the Company (collectively, the “</w:t>
      </w:r>
      <w:r>
        <w:rPr>
          <w:rFonts w:ascii="Times New Roman" w:cs="Times New Roman" w:eastAsia="Times New Roman" w:hAnsi="Times New Roman"/>
          <w:sz w:val="17"/>
          <w:szCs w:val="17"/>
          <w:b w:val="1"/>
          <w:bCs w:val="1"/>
          <w:color w:val="auto"/>
        </w:rPr>
        <w:t>Records</w:t>
      </w:r>
      <w:r>
        <w:rPr>
          <w:rFonts w:ascii="Times New Roman" w:cs="Times New Roman" w:eastAsia="Times New Roman" w:hAnsi="Times New Roman"/>
          <w:sz w:val="17"/>
          <w:szCs w:val="17"/>
          <w:color w:val="auto"/>
        </w:rPr>
        <w:t>”), as shall be reasonably deemed necessary by each Inspector, and cause the Company’s officers, directors and employees to supply all information which any Inspector may reasonably request; provided, however, each Inspector shall agree in writing to hold in strict confidence and not to make any disclosure (except to such Investor) or use of any Record or other information which the Company’s board of directors determines in good faith to be confidential, and of which determination the Inspectors are so notified, unless (1) the disclosure of such Records is necessary to avoid or correct a misstatement or omission in any Registration Statement or is otherwise required under the 1933 Act, (2) the release of such Records is ordered pursuant to a final, non-appealable subpoena or order from a court or government body of competent jurisdiction, or (3) the information in such Records has been made generally available to the public other than by disclosure in violation of this Agreement or any other Transaction Document (as defined in the Securities Purchase Agreement). Such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such Investor, if any) shall be deemed to limit any Investor’s ability to sell Registrable Securities in a manner which is otherwise consistent with applicable laws and regulations.</w:t>
      </w:r>
    </w:p>
    <w:p>
      <w:pPr>
        <w:spacing w:after="0" w:line="185" w:lineRule="exact"/>
        <w:rPr>
          <w:rFonts w:ascii="Times New Roman" w:cs="Times New Roman" w:eastAsia="Times New Roman" w:hAnsi="Times New Roman"/>
          <w:sz w:val="17"/>
          <w:szCs w:val="17"/>
          <w:color w:val="auto"/>
        </w:rPr>
      </w:pPr>
    </w:p>
    <w:p>
      <w:pPr>
        <w:jc w:val="both"/>
        <w:ind w:firstLine="606"/>
        <w:spacing w:after="0" w:line="251" w:lineRule="auto"/>
        <w:tabs>
          <w:tab w:leader="none" w:pos="809"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hold in confidence and not make any disclosure of information concerning an Investor provided to the Company unless (i) 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1933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an Investor is sought in or by a court or governmental body of competent jurisdiction or through other means, give prompt written notice to such Investor and allow such Investor, at such Investor’s expense, to undertake appropriate action to prevent disclosure of, or to obtain a protective order for, such information.</w:t>
      </w:r>
    </w:p>
    <w:p>
      <w:pPr>
        <w:spacing w:after="0" w:line="180" w:lineRule="exact"/>
        <w:rPr>
          <w:rFonts w:ascii="Times New Roman" w:cs="Times New Roman" w:eastAsia="Times New Roman" w:hAnsi="Times New Roman"/>
          <w:sz w:val="17"/>
          <w:szCs w:val="17"/>
          <w:color w:val="auto"/>
        </w:rPr>
      </w:pPr>
    </w:p>
    <w:p>
      <w:pPr>
        <w:jc w:val="both"/>
        <w:ind w:firstLine="606"/>
        <w:spacing w:after="0" w:line="251" w:lineRule="auto"/>
        <w:tabs>
          <w:tab w:leader="none" w:pos="845"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any obligation of the Company under the Securities Purchase Agreement, the Company shall use its best efforts either to (i) cause all of the Registrable Securities covered by each Registration Statement to be listed on each securities exchange on which securities of the same class or series issued by the Company are then listed, if any, if the listing of such Registrable Securities is then permitted under the rules of such exchange, (ii) secure designation and quotation of all of the Registrable Securities covered by each Registration Statement on an Eligible Market (as defined in the Securities Purchase Agreement), or (iii) if, despite the Company’s best efforts to satisfy the preceding clauses (i) or (ii) the Company is unsuccessful in satisfying the preceding clauses (i) or (ii), without limiting the generality of the foregoing, to use its best efforts to arrange for at least two market makers to register with the Financial Industry Regulatory Authority (“</w:t>
      </w:r>
      <w:r>
        <w:rPr>
          <w:rFonts w:ascii="Times New Roman" w:cs="Times New Roman" w:eastAsia="Times New Roman" w:hAnsi="Times New Roman"/>
          <w:sz w:val="17"/>
          <w:szCs w:val="17"/>
          <w:b w:val="1"/>
          <w:bCs w:val="1"/>
          <w:color w:val="auto"/>
        </w:rPr>
        <w:t>FINRA</w:t>
      </w:r>
      <w:r>
        <w:rPr>
          <w:rFonts w:ascii="Times New Roman" w:cs="Times New Roman" w:eastAsia="Times New Roman" w:hAnsi="Times New Roman"/>
          <w:sz w:val="17"/>
          <w:szCs w:val="17"/>
          <w:color w:val="auto"/>
        </w:rPr>
        <w:t>”) as such with respect to such Registrable Securities. In addition, the Company shall cooperate with each Investor and any broker or dealer through which any such Investor proposes to sell its Registrable Securities in effecting a filing with FINRA pursuant to FINRA Rule 5110 as requested by such Investor. The Company shall pay all fees and expenses in connection with satisfying its obligations under this Section 3(k).</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7" w:name="page148"/>
    <w:bookmarkEnd w:id="147"/>
    <w:p>
      <w:pPr>
        <w:jc w:val="both"/>
        <w:ind w:firstLine="606"/>
        <w:spacing w:after="0" w:line="256" w:lineRule="auto"/>
        <w:tabs>
          <w:tab w:leader="none" w:pos="838"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cooperate with the Investors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Investors may reasonably request from time to time and registered in such names as the Investors may request.</w:t>
      </w:r>
    </w:p>
    <w:p>
      <w:pPr>
        <w:spacing w:after="0" w:line="174" w:lineRule="exact"/>
        <w:rPr>
          <w:rFonts w:ascii="Times New Roman" w:cs="Times New Roman" w:eastAsia="Times New Roman" w:hAnsi="Times New Roman"/>
          <w:sz w:val="17"/>
          <w:szCs w:val="17"/>
          <w:color w:val="auto"/>
        </w:rPr>
      </w:pPr>
    </w:p>
    <w:p>
      <w:pPr>
        <w:jc w:val="both"/>
        <w:ind w:firstLine="606"/>
        <w:spacing w:after="0" w:line="252" w:lineRule="auto"/>
        <w:tabs>
          <w:tab w:leader="none" w:pos="905"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an Investor, the Company shall as soon as practicable after receipt of notice from such Investor and subject to Section 3(r) hereof, (i)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an Investor holding any Registrable Securities.</w:t>
      </w:r>
    </w:p>
    <w:p>
      <w:pPr>
        <w:spacing w:after="0" w:line="17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firstLine="606"/>
        <w:spacing w:after="0" w:line="261" w:lineRule="auto"/>
        <w:tabs>
          <w:tab w:leader="none" w:pos="851"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make generally available to its security holders as soon as practical, but not later than ninety (90) days after the close of the period covered thereby, an earnings statement (in form complying with, and in the manner provided by, the provisions of Rule 158 under the 1933 Act) covering a twelve-month period beginning not later than the first day of the Company’s fiscal quarter next following the applicable Effective Date of each Registration Statement.</w:t>
      </w:r>
    </w:p>
    <w:p>
      <w:pPr>
        <w:spacing w:after="0" w:line="169" w:lineRule="exact"/>
        <w:rPr>
          <w:rFonts w:ascii="Times New Roman" w:cs="Times New Roman" w:eastAsia="Times New Roman" w:hAnsi="Times New Roman"/>
          <w:sz w:val="17"/>
          <w:szCs w:val="17"/>
          <w:color w:val="auto"/>
        </w:rPr>
      </w:pPr>
    </w:p>
    <w:p>
      <w:pPr>
        <w:ind w:left="860" w:hanging="254"/>
        <w:spacing w:after="0"/>
        <w:tabs>
          <w:tab w:leader="none" w:pos="86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otherwise use its best efforts to comply with all applicable rules and regulations of the SEC in connection with any registration</w:t>
      </w:r>
    </w:p>
    <w:p>
      <w:pPr>
        <w:spacing w:after="0" w:line="2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hereunder.</w:t>
      </w:r>
    </w:p>
    <w:p>
      <w:pPr>
        <w:spacing w:after="0" w:line="191" w:lineRule="exact"/>
        <w:rPr>
          <w:rFonts w:ascii="Times New Roman" w:cs="Times New Roman" w:eastAsia="Times New Roman" w:hAnsi="Times New Roman"/>
          <w:sz w:val="17"/>
          <w:szCs w:val="17"/>
          <w:color w:val="auto"/>
        </w:rPr>
      </w:pPr>
    </w:p>
    <w:p>
      <w:pPr>
        <w:jc w:val="both"/>
        <w:ind w:firstLine="606"/>
        <w:spacing w:after="0" w:line="256" w:lineRule="auto"/>
        <w:tabs>
          <w:tab w:leader="none" w:pos="859"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Within two (2) Business Day after a Registration Statement which covers Registrable Securities is declared effective by the SEC, the Company shall deliver, and shall cause legal counsel for the Company to deliver, to the transfer agent for such Registrable Securities (with copies to the Investors whose Registrable Securities are included in such Registration Statement) confirmation that such Registration Statement has been declared effective by the SEC in the form attached hereto as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w:t>
      </w:r>
    </w:p>
    <w:p>
      <w:pPr>
        <w:spacing w:after="0" w:line="174" w:lineRule="exact"/>
        <w:rPr>
          <w:rFonts w:ascii="Times New Roman" w:cs="Times New Roman" w:eastAsia="Times New Roman" w:hAnsi="Times New Roman"/>
          <w:sz w:val="17"/>
          <w:szCs w:val="17"/>
          <w:color w:val="auto"/>
        </w:rPr>
      </w:pPr>
    </w:p>
    <w:p>
      <w:pPr>
        <w:jc w:val="both"/>
        <w:ind w:firstLine="606"/>
        <w:spacing w:after="0" w:line="265" w:lineRule="auto"/>
        <w:tabs>
          <w:tab w:leader="none" w:pos="825" w:val="left"/>
        </w:tabs>
        <w:numPr>
          <w:ilvl w:val="1"/>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herein (but subject to the last sentence of this Section 3(r)), at any time after the Effective Date of a particular Registration Statement, the Company may delay the disclosure of material, non-public information concerning the Company or any of its Subsidiaries the disclosure of which at the time is not, in the good faith opinion of the board of directors of the Company, in the best interest of the Company and, in the opinion of counsel to the Company, otherwise required (a “</w:t>
      </w:r>
      <w:r>
        <w:rPr>
          <w:rFonts w:ascii="Times New Roman" w:cs="Times New Roman" w:eastAsia="Times New Roman" w:hAnsi="Times New Roman"/>
          <w:sz w:val="16"/>
          <w:szCs w:val="16"/>
          <w:b w:val="1"/>
          <w:bCs w:val="1"/>
          <w:color w:val="auto"/>
        </w:rPr>
        <w:t>Grace Period</w:t>
      </w:r>
      <w:r>
        <w:rPr>
          <w:rFonts w:ascii="Times New Roman" w:cs="Times New Roman" w:eastAsia="Times New Roman" w:hAnsi="Times New Roman"/>
          <w:sz w:val="16"/>
          <w:szCs w:val="16"/>
          <w:color w:val="auto"/>
        </w:rPr>
        <w:t>”), provided that the Company shall promptly notify the Investors in writing of the (i) existence of material, non-public information giving rise to a Grace Period (provided that in each such notice the Company shall not disclose the content of such material, non-public information to any of the Investors) and the date on which such Grace Period will begin and (ii) date on which such Grace Period ends, provided further that (I) no Grace Period shall exceed ten (10) consecutive days and during any three hundred sixty five (365) day period all such Grace Periods shall not exceed an aggregate of thirty (30) days, (II) the first day of any Grace Period must be at least five (5) Trading Days after the last day of any prior Grace Period and (III) no Grace Period may exist during the sixty</w:t>
      </w:r>
    </w:p>
    <w:p>
      <w:pPr>
        <w:spacing w:after="0" w:line="4" w:lineRule="exact"/>
        <w:rPr>
          <w:rFonts w:ascii="Times New Roman" w:cs="Times New Roman" w:eastAsia="Times New Roman" w:hAnsi="Times New Roman"/>
          <w:sz w:val="16"/>
          <w:szCs w:val="16"/>
          <w:color w:val="auto"/>
        </w:rPr>
      </w:pPr>
    </w:p>
    <w:p>
      <w:pPr>
        <w:jc w:val="both"/>
        <w:ind w:firstLine="1"/>
        <w:spacing w:after="0" w:line="248" w:lineRule="auto"/>
        <w:tabs>
          <w:tab w:leader="none" w:pos="321"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Day period immediately following the Effective Date of such Registration Statement (provided that such sixty (60) Trading Day period shall be extended by the number of Trading Days during such period and any extension thereof contemplated by this proviso during which such Registration Statement is not effective or the prospectus contained therein is not available for use) (each, an “</w:t>
      </w:r>
      <w:r>
        <w:rPr>
          <w:rFonts w:ascii="Times New Roman" w:cs="Times New Roman" w:eastAsia="Times New Roman" w:hAnsi="Times New Roman"/>
          <w:sz w:val="17"/>
          <w:szCs w:val="17"/>
          <w:b w:val="1"/>
          <w:bCs w:val="1"/>
          <w:color w:val="auto"/>
        </w:rPr>
        <w:t>Allowable Grace Period</w:t>
      </w:r>
      <w:r>
        <w:rPr>
          <w:rFonts w:ascii="Times New Roman" w:cs="Times New Roman" w:eastAsia="Times New Roman" w:hAnsi="Times New Roman"/>
          <w:sz w:val="17"/>
          <w:szCs w:val="17"/>
          <w:color w:val="auto"/>
        </w:rPr>
        <w:t>”). For purposes of determining the length of a Grace Period above, such Grace Period shall begin on and include the date the Investors receive the notice referred to in clause (i) above and shall end on and include the later of the date the Investors receive the notice referred to in clause (ii) above and the date referred to in such notice. The provisions of Section 3(g) hereof shall not be applicable during the period of any Allowable Grace Period. Upon expiration of each Grace Period, the Company shall again be bound by the first sentence of Section 3(f) with respect to the information giving rise thereto unless such material, non-public information is no longer applicable. Notwithstanding anything to the contrary contained in this Section 3(r), the Company shall cause its transfer agent to deliver unlegended shares of Common Stock to a transferee of an Investor in accordance with the terms of the Securities Purchase Agreement in connection with any sale of Registrable Securities with respect to which such Investor has entered into a contract for sale, and delivered a copy of the prospectus included as part of the particular Registration Statement to the extent applicable, prior to such Investor’s receipt of the notice of a Grace Period and for which the Investor has not yet settled.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8" w:name="page149"/>
    <w:bookmarkEnd w:id="148"/>
    <w:p>
      <w:pPr>
        <w:ind w:firstLine="606"/>
        <w:spacing w:after="0" w:line="274" w:lineRule="auto"/>
        <w:tabs>
          <w:tab w:leader="none" w:pos="822"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take all other reasonable actions necessary to expedite and facilitate disposition by each Investors of its Registrable Securities pursuant to each Registration Statement.</w:t>
      </w:r>
    </w:p>
    <w:p>
      <w:pPr>
        <w:spacing w:after="0" w:line="158" w:lineRule="exact"/>
        <w:rPr>
          <w:rFonts w:ascii="Times New Roman" w:cs="Times New Roman" w:eastAsia="Times New Roman" w:hAnsi="Times New Roman"/>
          <w:sz w:val="17"/>
          <w:szCs w:val="17"/>
          <w:color w:val="auto"/>
        </w:rPr>
      </w:pPr>
    </w:p>
    <w:p>
      <w:pPr>
        <w:jc w:val="both"/>
        <w:ind w:firstLine="606"/>
        <w:spacing w:after="0" w:line="254" w:lineRule="auto"/>
        <w:tabs>
          <w:tab w:leader="none" w:pos="813"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Subsidiary or affiliate thereof shall identify any Investor as an underwriter in any public disclosure or filing with the SEC, the Principal Market or any Eligible Market (as defined in the Securities Purchase Agreement) and any Buyer being deemed an underwriter by the SEC shall not relieve the Company of any obligations it has under this Agreement or any other Transaction Document; provided, however, that the foregoing shall not prohibit the Company from including the disclosure found in the “Plan of Distribution” section attached hereto as Exhibit B in the Registration Statement. Notwithstanding the foregoing, the Company shall not be required to pay any Registration Delay Payments in the event of any Buyer being deemed an underwriter by the SEC.</w:t>
      </w:r>
    </w:p>
    <w:p>
      <w:pPr>
        <w:spacing w:after="0" w:line="175" w:lineRule="exact"/>
        <w:rPr>
          <w:rFonts w:ascii="Times New Roman" w:cs="Times New Roman" w:eastAsia="Times New Roman" w:hAnsi="Times New Roman"/>
          <w:sz w:val="17"/>
          <w:szCs w:val="17"/>
          <w:color w:val="auto"/>
        </w:rPr>
      </w:pPr>
    </w:p>
    <w:p>
      <w:pPr>
        <w:jc w:val="both"/>
        <w:ind w:firstLine="606"/>
        <w:spacing w:after="0" w:line="261" w:lineRule="auto"/>
        <w:tabs>
          <w:tab w:leader="none" w:pos="845" w:val="left"/>
        </w:tabs>
        <w:numPr>
          <w:ilvl w:val="1"/>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Buyers in this Agreement or otherwise conflicts with the provisions hereof.</w:t>
      </w:r>
    </w:p>
    <w:p>
      <w:pPr>
        <w:spacing w:after="0" w:line="169"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Obligations of the Investors.</w:t>
      </w:r>
    </w:p>
    <w:p>
      <w:pPr>
        <w:spacing w:after="0" w:line="207" w:lineRule="exact"/>
        <w:rPr>
          <w:rFonts w:ascii="Times New Roman" w:cs="Times New Roman" w:eastAsia="Times New Roman" w:hAnsi="Times New Roman"/>
          <w:sz w:val="17"/>
          <w:szCs w:val="17"/>
          <w:color w:val="auto"/>
        </w:rPr>
      </w:pPr>
    </w:p>
    <w:p>
      <w:pPr>
        <w:jc w:val="both"/>
        <w:ind w:firstLine="606"/>
        <w:spacing w:after="0" w:line="252" w:lineRule="auto"/>
        <w:tabs>
          <w:tab w:leader="none" w:pos="824"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five (5) Business Days prior to the first anticipated filing date of each Registration Statement, the Company shall notify each Investor in writing of the information the Company requires from each such Investor with respect to such Registration Statement. It shall be a condition precedent to the obligations of the Company to complete the registration pursuant to this Agreement with respect to the Registrable Securities of a particular Investor that such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 and the Company shall not be subject to the Registration Delay Payments as a result of an Investor’s failure to comply with this Section 4(a).</w:t>
      </w:r>
    </w:p>
    <w:p>
      <w:pPr>
        <w:spacing w:after="0" w:line="177" w:lineRule="exact"/>
        <w:rPr>
          <w:rFonts w:ascii="Times New Roman" w:cs="Times New Roman" w:eastAsia="Times New Roman" w:hAnsi="Times New Roman"/>
          <w:sz w:val="17"/>
          <w:szCs w:val="17"/>
          <w:color w:val="auto"/>
        </w:rPr>
      </w:pPr>
    </w:p>
    <w:p>
      <w:pPr>
        <w:jc w:val="both"/>
        <w:ind w:firstLine="606"/>
        <w:spacing w:after="0" w:line="261" w:lineRule="auto"/>
        <w:tabs>
          <w:tab w:leader="none" w:pos="876"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Investor, by such Investor’s acceptance of the Registrable Securities, agrees to cooperate with the Company as reasonably requested by the Company in connection with the preparation and filing of each Registration Statement hereunder, unless such Investor has notified the Company in writing of such Investor’s election to exclude all of such Investor’s Registrable Securities from such Registration Statement.</w:t>
      </w:r>
    </w:p>
    <w:p>
      <w:pPr>
        <w:spacing w:after="0" w:line="169" w:lineRule="exact"/>
        <w:rPr>
          <w:rFonts w:ascii="Times New Roman" w:cs="Times New Roman" w:eastAsia="Times New Roman" w:hAnsi="Times New Roman"/>
          <w:sz w:val="17"/>
          <w:szCs w:val="17"/>
          <w:color w:val="auto"/>
        </w:rPr>
      </w:pPr>
    </w:p>
    <w:p>
      <w:pPr>
        <w:jc w:val="both"/>
        <w:ind w:firstLine="606"/>
        <w:spacing w:after="0" w:line="251" w:lineRule="auto"/>
        <w:tabs>
          <w:tab w:leader="none" w:pos="844"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Investor agrees that, upon receipt of any notice from the Company of the happening of any event of the kind described in Section 3(g) or the first sentence of Section 3(f), such Investor will immediately discontinue disposition of Registrable Securities pursuant to any Registration Statement(s) covering such Registrable Securities until such Investor’s receipt of the copies of the supplemented or amended prospectus contemplated by Section 3(g) or the first sentence of Section 3(f) or receipt of notice that no supplement or amendment is required. Notwithstanding anything to the contrary in this Section 4(c), the Company shall cause its transfer agent to deliver unlegended shares of Common Stock to a transferee of an Investor in accordance with the terms of the Securities Purchase Agreement in connection with any sale of Registrable Securities with respect to which such Investor has entered into a contract for sale prior to the Investor’s receipt of a notice from the Company of the happening of any event of the kind described in Section 3(g) or the first sentence of Section 3(f) and for which such Investor has not yet settled.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9" w:name="page150"/>
    <w:bookmarkEnd w:id="149"/>
    <w:p>
      <w:pPr>
        <w:ind w:left="160" w:hanging="159"/>
        <w:spacing w:after="0"/>
        <w:tabs>
          <w:tab w:leader="none" w:pos="160"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 of Registration.</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All reasonable expenses, other than underwriting discounts and commissions, incurred in connection with registrations, filings or qualifications pursuant to Sections 2 and 3, including, without limitation, all registration, listing and qualifications fees, printers and accounting fees, FINRA filing fees (if any) and fees and disbursements of counsel for the Company shall be paid by the Company. The Company shall reimburse Legal Counsel for its fees and disbursements in connection with registration, filing or qualification pursuant to Sections 2 and 3 of this Agreement which amount shall be limited to $10,000 for each such registration, filing or qualification.</w:t>
      </w:r>
    </w:p>
    <w:p>
      <w:pPr>
        <w:spacing w:after="0" w:line="176" w:lineRule="exact"/>
        <w:rPr>
          <w:sz w:val="20"/>
          <w:szCs w:val="20"/>
          <w:color w:val="auto"/>
        </w:rPr>
      </w:pPr>
    </w:p>
    <w:p>
      <w:pPr>
        <w:ind w:left="160" w:hanging="159"/>
        <w:spacing w:after="0"/>
        <w:tabs>
          <w:tab w:leader="none" w:pos="16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w:t>
      </w:r>
    </w:p>
    <w:p>
      <w:pPr>
        <w:spacing w:after="0" w:line="207" w:lineRule="exact"/>
        <w:rPr>
          <w:rFonts w:ascii="Times New Roman" w:cs="Times New Roman" w:eastAsia="Times New Roman" w:hAnsi="Times New Roman"/>
          <w:sz w:val="17"/>
          <w:szCs w:val="17"/>
          <w:color w:val="auto"/>
        </w:rPr>
      </w:pPr>
    </w:p>
    <w:p>
      <w:pPr>
        <w:jc w:val="both"/>
        <w:ind w:firstLine="606"/>
        <w:spacing w:after="0" w:line="248" w:lineRule="auto"/>
        <w:tabs>
          <w:tab w:leader="none" w:pos="840"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permitted by law, the Company will, and hereby does, indemnify, hold harmless and defend each Investor and each of its directors, officers, shareholders, members, partners, employees, agents, advisors, representatives (and any other Persons with a functionally equivalent role of a Person holding such titles notwithstanding the lack of such title or any other title) and each Person, if any, who controls such Investor within the meaning of the 1933 Act or the 1934 Act and each of the directors, officers, shareholders, members, partners, employees, agents, advisors, representatives (and any other Persons with a functionally equivalent role of a Person holding such titles notwithstanding the lack of such title or any other title) of such controlling Persons (each, an “</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against any losses, obligations, claims, damages, liabilities, contingencies, judgments, fines, penalties, charges, costs (including, without limitation, court costs, reasonable attorneys’ fees and costs of defense and investigation), amounts paid in settlement or expenses, joint or several, (collectively, “</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Person is or may be a party thereto (“</w:t>
      </w:r>
      <w:r>
        <w:rPr>
          <w:rFonts w:ascii="Times New Roman" w:cs="Times New Roman" w:eastAsia="Times New Roman" w:hAnsi="Times New Roman"/>
          <w:sz w:val="17"/>
          <w:szCs w:val="17"/>
          <w:b w:val="1"/>
          <w:bCs w:val="1"/>
          <w:color w:val="auto"/>
        </w:rPr>
        <w:t>Indemnified Damages</w:t>
      </w:r>
      <w:r>
        <w:rPr>
          <w:rFonts w:ascii="Times New Roman" w:cs="Times New Roman" w:eastAsia="Times New Roman" w:hAnsi="Times New Roman"/>
          <w:sz w:val="17"/>
          <w:szCs w:val="17"/>
          <w:color w:val="auto"/>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 w:cs="Times New Roman" w:eastAsia="Times New Roman" w:hAnsi="Times New Roman"/>
          <w:sz w:val="17"/>
          <w:szCs w:val="17"/>
          <w:b w:val="1"/>
          <w:bCs w:val="1"/>
          <w:color w:val="auto"/>
        </w:rPr>
        <w:t>Blue Sky Filing</w:t>
      </w:r>
      <w:r>
        <w:rPr>
          <w:rFonts w:ascii="Times New Roman" w:cs="Times New Roman" w:eastAsia="Times New Roman" w:hAnsi="Times New Roman"/>
          <w:sz w:val="17"/>
          <w:szCs w:val="17"/>
          <w:color w:val="auto"/>
        </w:rPr>
        <w:t>”), or the omission or alleged omission to state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1933 Act, the 1934 Act, any other law, including, without limitation, any state securities law, or any rule or regulation thereunder relating to the offer or sale of the Registrable Securities pursuant to a Registration Statement or (iv) any violation of this Agreement (the matters in the foregoing clauses (i) through (iv) being, collectively, “</w:t>
      </w:r>
      <w:r>
        <w:rPr>
          <w:rFonts w:ascii="Times New Roman" w:cs="Times New Roman" w:eastAsia="Times New Roman" w:hAnsi="Times New Roman"/>
          <w:sz w:val="17"/>
          <w:szCs w:val="17"/>
          <w:b w:val="1"/>
          <w:bCs w:val="1"/>
          <w:color w:val="auto"/>
        </w:rPr>
        <w:t>Violations</w:t>
      </w:r>
      <w:r>
        <w:rPr>
          <w:rFonts w:ascii="Times New Roman" w:cs="Times New Roman" w:eastAsia="Times New Roman" w:hAnsi="Times New Roman"/>
          <w:sz w:val="17"/>
          <w:szCs w:val="17"/>
          <w:color w:val="auto"/>
        </w:rPr>
        <w:t>”). Subject to Section 6(c), the Company shall reimburse the Indemnified Persons, promptly as such expenses are incurred and are due and payable, for any legal fees or other reasonable expenses incurred by them in connection with investigating or defending any such Claim. Notwithstanding anything to the contrary contained herein, the indemnification agreement contained in this Section 6(a): (i) shall not apply to a Claim by an Indemnified Person arising out of or based upon a Violation which occurs in reliance upon and in conformity with information furnished in writing to the Company by such Indemnified Person for such Indemnified Person expressly for use in connection with the preparation of such Registration Statement or any such amendment thereof or supplement thereto, if such prospectus was timely made available by the Company pursuant to Section 3(d); and (ii) shall not apply to amounts paid in settlement of any Claim if such settlement is effected without the prior written consent of the Company, which consent shall not be unreasonably withheld or delayed. Such indemnity shall remain in full force and effect regardless of any investigation made by or on behalf of the Indemnified Person and shall survive the transfer of any of the Registrable Securities by any of the Investors pursuant to Section 9.</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50" w:name="page151"/>
    <w:bookmarkEnd w:id="150"/>
    <w:p>
      <w:pPr>
        <w:jc w:val="both"/>
        <w:ind w:firstLine="606"/>
        <w:spacing w:after="0" w:line="249" w:lineRule="auto"/>
        <w:tabs>
          <w:tab w:leader="none" w:pos="862"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Registration Statement in which an Investor is participating, such Investor agrees to severally and not jointly indemnify, hold harmless and defend, to the same extent and in the same manner as is set forth in Section 6(a), the Company, each of its directors, each of its officers who signs the Registration Statement and each Person, if any, who controls the Company within the meaning of the 1933 Act or the 1934 Act (each, an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against any Claim or Indemnified Damages to which any of them may become subject, under the 1933 Act, the 1934 Act or otherwise, insofar as such Claim or Indemnified Damages arise out of or are based upon any Violation, in each case, to the extent, and only to the extent, that such Violation occurs in reliance upon and in conformity with written information furnished to the Company by such Investor expressly for use in connection with such Registration Statement; and, subject to Section 6(c) and the below provisos in this Section 6(b), such Investor will reimburse an Indemnified Party any legal or other expenses reasonably incurred by such Indemnified Party in connection with investigating or defending any such Claim; provided, however, the indemnity agreement contained in this Section 6(b) and the agreement with respect to contribution contained in Section 7 shall not apply to amounts paid in settlement of any Claim if such settlement is effected without the prior written consent of such Investor, which consent shall not be unreasonably withheld or delayed, provided further that such Investor shall be liable under this Section 6(b) for only that amount of a Claim or Indemnified Damages as does not exceed the net proceeds to such Investor as a result of the applicable sale of Registrable Securities pursuant to such Registration Statement. Such indemnity shall remain in full force and effect regardless of any investigation made by or on behalf of such Indemnified Party and shall survive the transfer of any of the Registrable Securities by any of the Investors pursuant to Section 9.</w:t>
      </w:r>
    </w:p>
    <w:p>
      <w:pPr>
        <w:spacing w:after="0" w:line="187" w:lineRule="exact"/>
        <w:rPr>
          <w:rFonts w:ascii="Times New Roman" w:cs="Times New Roman" w:eastAsia="Times New Roman" w:hAnsi="Times New Roman"/>
          <w:sz w:val="17"/>
          <w:szCs w:val="17"/>
          <w:color w:val="auto"/>
        </w:rPr>
      </w:pPr>
    </w:p>
    <w:p>
      <w:pPr>
        <w:jc w:val="both"/>
        <w:ind w:firstLine="606"/>
        <w:spacing w:after="0" w:line="248" w:lineRule="auto"/>
        <w:tabs>
          <w:tab w:leader="none" w:pos="845"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receipt by an Indemnified Person or Indemnified Party (as the case may be) under this Section 6 of notice of the commencement of any action or proceeding (including, without limitation, any governmental action or proceeding) involving a Claim, such Indemnified Person or Indemnified Party (as the case may be)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provided, however, an Indemnified Person or Indemnified Party (as the case may be) shall have the right to retain its own counsel with the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Indemnified Person or Indemnified Party (as the case may be) in any such Claim; or (iii) the named parties to any such Claim (including, without limitation, any impleaded parties) include both such Indemnified Person or Indemnified Party (as the case may be) and the indemnifying party, and such Indemnified Person or such Indemnified Party (as the case may be) shall have been advised by counsel that a conflict of interest is likely to exist if the same counsel were to represent such Indemnified Person or such Indemnified Party and the indemnifying party (in which case, if such Indemnified Person or such Indemnified Party (as the case may be) notifies the indemnifying party in writing that it elects to employ separate counsel at the expense of the indemnifying party, then the indemnifying party shall not have the right to assume the defense thereof and such counsel shall be at the expense of the indemnifying party, provided further that in the case of clause (iii) above the indemnifying party shall not be responsible for the reasonable fees and expenses of more than one (1) separate legal counsel for such Indemnified Person or Indemnified Party (as the case may be)). The Indemnified Party or Indemnified Person (as the case may be) shall reasonably cooperate with the indemnifying party in connection with any negotiation or defense of any such action or Claim by the indemnifying party and shall furnish to the indemnifying party all information reasonably available to the Indemnified Party or Indemnified Person (as the case may be) which relates to such action or Claim. The indemnifying party shall keep the Indemnified Party or Indemnified Person (as the case may be) reasonably apprised at all times as to the status of the defense or any settlement negotiations with respect thereto. No indemnifying party shall be liable for any settlement of any action, claim or proceeding effected without its prior written consent; provided, however, the indemnifying party shall not unreasonably withhold, delay or condition its consent. No indemnifying party shall, without the prior written consent of the Indemnified Party or Indemnified Person (as the case may be), consent to entry of any judgment or enter into any settlement or other compromise which does not include as an unconditional term thereof the giving by the claimant or plaintiff to such Indemnified Party or Indemnified Person (as the case may be) of a release from all liability in respect to such Claim or litigation, and such settlement shall not include any admission as to fault on the part of the Indemnified Party. Following indemnification as provided for hereunder, the indemnifying party shall be subrogated to all rights of the Indemnified Party or Indemnified Person (as the case may be)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(as the case may be) under this Section 6, except to the extent that the indemnifying party is materially and adversely prejudiced in its ability to defend such action.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51" w:name="page152"/>
    <w:bookmarkEnd w:id="151"/>
    <w:p>
      <w:pPr>
        <w:ind w:firstLine="606"/>
        <w:spacing w:after="0" w:line="274" w:lineRule="auto"/>
        <w:tabs>
          <w:tab w:leader="none" w:pos="865" w:val="left"/>
        </w:tabs>
        <w:numPr>
          <w:ilvl w:val="1"/>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indemnification required by this Section 6 shall be made by periodic payments of the amount thereof during the course of the investigation or defense, as and when bills are received or Indemnified Damages are incurred.</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845" w:val="left"/>
        </w:tabs>
        <w:numPr>
          <w:ilvl w:val="1"/>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58"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Contribution.</w:t>
      </w:r>
    </w:p>
    <w:p>
      <w:pPr>
        <w:spacing w:after="0" w:line="20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(i) 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no Investor shall be required to contribute, in the aggregate, any amount in excess of the amount by which the net proceeds actually received by such Investor from the applicable sale of the Registrable Securities subject to the Claim exceeds the amount of any damages that such Investor has otherwise been required to pay, or would otherwise be required to pay under Section 6(b), by reason of such untrue or alleged untrue statement or omission or alleged omission.</w:t>
      </w:r>
    </w:p>
    <w:p>
      <w:pPr>
        <w:spacing w:after="0" w:line="183" w:lineRule="exact"/>
        <w:rPr>
          <w:sz w:val="20"/>
          <w:szCs w:val="20"/>
          <w:color w:val="auto"/>
        </w:rPr>
      </w:pPr>
    </w:p>
    <w:p>
      <w:pPr>
        <w:ind w:left="160" w:hanging="159"/>
        <w:spacing w:after="0"/>
        <w:tabs>
          <w:tab w:leader="none" w:pos="16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Reports Under the 1934 Act.</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With a view to making available to the Investors the benefits of Rule 144, the Company agrees to:</w:t>
      </w:r>
    </w:p>
    <w:p>
      <w:pPr>
        <w:spacing w:after="0" w:line="208" w:lineRule="exact"/>
        <w:rPr>
          <w:sz w:val="20"/>
          <w:szCs w:val="20"/>
          <w:color w:val="auto"/>
        </w:rPr>
      </w:pPr>
    </w:p>
    <w:p>
      <w:pPr>
        <w:ind w:left="840" w:hanging="234"/>
        <w:spacing w:after="0"/>
        <w:tabs>
          <w:tab w:leader="none" w:pos="840"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and keep public information available, as those terms are understood and defined in Rule 144;</w:t>
      </w:r>
    </w:p>
    <w:p>
      <w:pPr>
        <w:spacing w:after="0" w:line="207" w:lineRule="exact"/>
        <w:rPr>
          <w:rFonts w:ascii="Times New Roman" w:cs="Times New Roman" w:eastAsia="Times New Roman" w:hAnsi="Times New Roman"/>
          <w:sz w:val="17"/>
          <w:szCs w:val="17"/>
          <w:color w:val="auto"/>
        </w:rPr>
      </w:pPr>
    </w:p>
    <w:p>
      <w:pPr>
        <w:jc w:val="both"/>
        <w:ind w:firstLine="606"/>
        <w:spacing w:after="0" w:line="261" w:lineRule="auto"/>
        <w:tabs>
          <w:tab w:leader="none" w:pos="862"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with the SEC in a timely manner all reports and other documents required of the Company under the 1933 Act and the 1934 Act so long as the Company remains subject to such requirements (it being understood and agreed that nothing herein shall limit any obligations of the Company under the Securities Purchase Agreement) and the filing of such reports and other documents is required for the applicable provisions of Rule 144; and</w:t>
      </w:r>
    </w:p>
    <w:p>
      <w:pPr>
        <w:spacing w:after="0" w:line="169" w:lineRule="exact"/>
        <w:rPr>
          <w:rFonts w:ascii="Times New Roman" w:cs="Times New Roman" w:eastAsia="Times New Roman" w:hAnsi="Times New Roman"/>
          <w:sz w:val="17"/>
          <w:szCs w:val="17"/>
          <w:color w:val="auto"/>
        </w:rPr>
      </w:pPr>
    </w:p>
    <w:p>
      <w:pPr>
        <w:jc w:val="both"/>
        <w:ind w:firstLine="606"/>
        <w:spacing w:after="0" w:line="256" w:lineRule="auto"/>
        <w:tabs>
          <w:tab w:leader="none" w:pos="838"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each Investor so long as such Investor owns Registrable Securities, promptly upon request, (i) a written statement by the Company, if true, that it has complied with the reporting, submission and posting requirements of Rule 144, the 1933 Act and the 1934 Act, (ii) a copy of the most recent annual or quarterly report of the Company and such other reports and documents so filed by the Company with the SEC if such reports are not publicly available via EDGAR, and (iii) such other information as may be reasonably requested to permit the Investors to sell such securities pursuant to Rule 144 without registration.</w:t>
      </w:r>
    </w:p>
    <w:p>
      <w:pPr>
        <w:spacing w:after="0" w:line="174"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of Registration Rights.</w:t>
      </w:r>
    </w:p>
    <w:p>
      <w:pPr>
        <w:spacing w:after="0" w:line="20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All or any portion of the rights under this Agreement shall be automatically assignable by each Investor to any transferee or assignee (as the case may be) of all or any portion of such Investor’s Registrable Securities, Preferred Shares or Incremental Warrants if: (i) such Investor agrees in writing with such transferee or assignee (as the case may be) to assign all or any portion of such rights, and a copy of such agreement is furnished to the Company within a reasonable time after such transfer or assignment (as the case may be); (ii) the Company is, within a reasonable time after such transfer or assignment (as the case may be), furnished with written notice of (a) the name and address of such transferee or assignee (as the case may be), and (b) the securities with respect to which such registration rights are being transferred or assigned (as the case may be); (iii) immediately following such transfer or assignment (as the case may be) the further disposition of such securities by such transferee or assignee (as the case may be) is restricted under the 1933 Act or applicable state securities laws if so required; (iv) at or before the time the Company receives the written notice contemplated by clause (ii) of this sentence such transferee or assignee (as the case may be) agrees in writing with the Company to be bound by all of the provisions contained herein; (v) such transfer or assignment (as the case may be) shall have been made in accordance with the applicable requirements of the Securities Purchase Agreement, the Certificate of Designations and the Series A Preferred Stock and the Incremental Warrants (as the case may be); and (vi) such transfer or assignment (as the case may be) shall have been conducted in accordance with all applicable federal and state securities laws.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52" w:name="page153"/>
    <w:bookmarkEnd w:id="152"/>
    <w:p>
      <w:pPr>
        <w:ind w:left="260" w:hanging="259"/>
        <w:spacing w:after="0"/>
        <w:tabs>
          <w:tab w:leader="none" w:pos="260"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of Registration Rights.</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Provisions of this Agreement may be amended and the observance thereof may be waived (either generally or in a particular instance and either retroactively or prospectively), only with the written consent of the Company and the Required Holder; provided that any such amendment or waiver that complies with the foregoing, but that disproportionately, materially and adversely affects the rights and obligations of any Investor relative to the comparable rights and obligations of the other Investors shall require the prior written consent of such adversely affected Investor. Any amendment or waiver effected in accordance with this Section 10 shall be binding upon each Investor and the Company, provided that no such amendment shall be effective to the extent that it (1) applies to less than all of the holders of Registrable Securities or (2) imposes any obligation or liability on any Investor without such Investor’s prior written consent (which may be granted or withheld in such Investor’s sole discretion). No waiver shall be effective unless it is in writing and signed by an authorized representative of the waiving party. No consideration shall be offered or paid to any Person to amend or consent to a waiver or modification of any provision of this Agreement unless the same consideration (other than the reimbursement of legal fees) also is offered to all of the parties to this Agreement.</w:t>
      </w:r>
    </w:p>
    <w:p>
      <w:pPr>
        <w:spacing w:after="0" w:line="177" w:lineRule="exact"/>
        <w:rPr>
          <w:sz w:val="20"/>
          <w:szCs w:val="20"/>
          <w:color w:val="auto"/>
        </w:rPr>
      </w:pPr>
    </w:p>
    <w:p>
      <w:pPr>
        <w:ind w:left="240" w:hanging="239"/>
        <w:spacing w:after="0"/>
        <w:tabs>
          <w:tab w:leader="none" w:pos="240"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p>
    <w:p>
      <w:pPr>
        <w:spacing w:after="0" w:line="207" w:lineRule="exact"/>
        <w:rPr>
          <w:rFonts w:ascii="Times New Roman" w:cs="Times New Roman" w:eastAsia="Times New Roman" w:hAnsi="Times New Roman"/>
          <w:sz w:val="17"/>
          <w:szCs w:val="17"/>
          <w:color w:val="auto"/>
        </w:rPr>
      </w:pPr>
    </w:p>
    <w:p>
      <w:pPr>
        <w:jc w:val="both"/>
        <w:ind w:firstLine="606"/>
        <w:spacing w:after="0" w:line="261" w:lineRule="auto"/>
        <w:tabs>
          <w:tab w:leader="none" w:pos="841"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spacing w:after="0" w:line="169" w:lineRule="exact"/>
        <w:rPr>
          <w:rFonts w:ascii="Times New Roman" w:cs="Times New Roman" w:eastAsia="Times New Roman" w:hAnsi="Times New Roman"/>
          <w:sz w:val="17"/>
          <w:szCs w:val="17"/>
          <w:color w:val="auto"/>
        </w:rPr>
      </w:pPr>
    </w:p>
    <w:p>
      <w:pPr>
        <w:jc w:val="both"/>
        <w:ind w:firstLine="606"/>
        <w:spacing w:after="0" w:line="254" w:lineRule="auto"/>
        <w:tabs>
          <w:tab w:leader="none" w:pos="840" w:val="left"/>
        </w:tabs>
        <w:numPr>
          <w:ilvl w:val="1"/>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notices, consents, waivers or other communications required or permitted to be given under the terms of this Agreement must be in writing and will be deemed to have been delivered: (i) upon receipt, when delivered personally; (ii) upon receipt, when sent by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an overnight courier service with next day delivery specified, in each case, properly addressed to the party to receive the same. The mailing addresses and e-mail addresses for such communications shall be:</w:t>
      </w:r>
    </w:p>
    <w:p>
      <w:pPr>
        <w:spacing w:after="0" w:line="17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0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12915 Old Virginia Road</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Reno, Nevada 89521</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Telephone: 855-292-2831</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Attention: Denis Phares, Ph.D., CEO and President</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E-Mail: denis@dragonfly.com</w:t>
      </w:r>
    </w:p>
    <w:p>
      <w:pPr>
        <w:spacing w:after="0" w:line="19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With a copy (for informational purposes only) to:</w:t>
      </w:r>
    </w:p>
    <w:p>
      <w:pPr>
        <w:spacing w:after="0" w:line="20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Lowenstein Sandler LLP</w:t>
      </w:r>
    </w:p>
    <w:p>
      <w:pPr>
        <w:spacing w:after="0" w:line="2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1251 Avenue of the Americas</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New York, New York 10020</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Telephone: (212) 262-6700</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Attention: Steven Skolnik</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E-Mail: sskolnick@lowenstein.com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53" w:name="page154"/>
    <w:bookmarkEnd w:id="153"/>
    <w:p>
      <w:pPr>
        <w:ind w:left="1820"/>
        <w:spacing w:after="0"/>
        <w:rPr>
          <w:sz w:val="20"/>
          <w:szCs w:val="20"/>
          <w:color w:val="auto"/>
        </w:rPr>
      </w:pPr>
      <w:r>
        <w:rPr>
          <w:rFonts w:ascii="Times New Roman" w:cs="Times New Roman" w:eastAsia="Times New Roman" w:hAnsi="Times New Roman"/>
          <w:sz w:val="17"/>
          <w:szCs w:val="17"/>
          <w:color w:val="auto"/>
        </w:rPr>
        <w:t>If to the Transfer Agent:</w:t>
      </w:r>
    </w:p>
    <w:p>
      <w:pPr>
        <w:spacing w:after="0" w:line="2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Equiniti Trust Company</w:t>
      </w:r>
    </w:p>
    <w:p>
      <w:pPr>
        <w:ind w:left="2420"/>
        <w:spacing w:after="0" w:line="184" w:lineRule="auto"/>
        <w:rPr>
          <w:sz w:val="20"/>
          <w:szCs w:val="20"/>
          <w:color w:val="auto"/>
        </w:rPr>
      </w:pPr>
      <w:r>
        <w:rPr>
          <w:rFonts w:ascii="Times New Roman" w:cs="Times New Roman" w:eastAsia="Times New Roman" w:hAnsi="Times New Roman"/>
          <w:sz w:val="17"/>
          <w:szCs w:val="17"/>
          <w:color w:val="auto"/>
        </w:rPr>
        <w:t>6201 15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Avenue</w:t>
      </w:r>
    </w:p>
    <w:p>
      <w:pPr>
        <w:spacing w:after="0" w:line="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Brooklyn, NY 11219</w:t>
      </w:r>
    </w:p>
    <w:p>
      <w:pPr>
        <w:spacing w:after="0" w:line="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Telephone: (718) 921-8129</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Attention: John Lundberg, Senior Relationship Manager</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E-Mail: John.lundberg@equiniti.com</w:t>
      </w:r>
    </w:p>
    <w:p>
      <w:pPr>
        <w:spacing w:after="0" w:line="19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7"/>
          <w:szCs w:val="17"/>
          <w:color w:val="auto"/>
        </w:rPr>
        <w:t>If to Legal Counsel:</w:t>
      </w:r>
    </w:p>
    <w:p>
      <w:pPr>
        <w:spacing w:after="0" w:line="20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Pryor Cashman LLP</w:t>
      </w:r>
    </w:p>
    <w:p>
      <w:pPr>
        <w:ind w:left="2420"/>
        <w:spacing w:after="0" w:line="196" w:lineRule="auto"/>
        <w:rPr>
          <w:sz w:val="20"/>
          <w:szCs w:val="20"/>
          <w:color w:val="auto"/>
        </w:rPr>
      </w:pPr>
      <w:r>
        <w:rPr>
          <w:rFonts w:ascii="Times New Roman" w:cs="Times New Roman" w:eastAsia="Times New Roman" w:hAnsi="Times New Roman"/>
          <w:sz w:val="17"/>
          <w:szCs w:val="17"/>
          <w:color w:val="auto"/>
        </w:rPr>
        <w:t>7 Times Square, 40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New York, NY 10036</w:t>
      </w:r>
    </w:p>
    <w:p>
      <w:pPr>
        <w:spacing w:after="0" w:line="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Telephone: (212) 421-4100</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Attention: M. Ali Panjwani</w:t>
      </w:r>
    </w:p>
    <w:p>
      <w:pPr>
        <w:spacing w:after="0" w:line="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E-mail: a.panjwani@pryorcashman.com</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If to a Buyer, to its mailing address and e-mail address set forth on the Schedule of Buyers attached to the Securities Purchase Agreement, with copies to such Buyer’s representatives as set forth on the Schedule of Buyers, or to such other mailing address and/or e-mail address and/or to the attention of such other Person as the recipient party has specified by written notice given to each other party five (5) days prior to the effectiveness of such change, provided that Pryor Cashman LLP shall only be provided notices sent to the lead Investor. Written confirmation of receipt (A) given by the recipient of such notice, consent, waiver or other communication,</w:t>
      </w:r>
    </w:p>
    <w:p>
      <w:pPr>
        <w:spacing w:after="0" w:line="1" w:lineRule="exact"/>
        <w:rPr>
          <w:sz w:val="20"/>
          <w:szCs w:val="20"/>
          <w:color w:val="auto"/>
        </w:rPr>
      </w:pPr>
    </w:p>
    <w:p>
      <w:pPr>
        <w:jc w:val="both"/>
        <w:ind w:firstLine="1"/>
        <w:spacing w:after="0" w:line="251" w:lineRule="auto"/>
        <w:tabs>
          <w:tab w:leader="none" w:pos="274"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mechanically or electronically generated by the sender’s e-mail containing the time, date and recipient’s e-mail or (C) provided by a courier or overnight courier service shall be rebuttable evidence of personal service, receipt by e-mail or receipt from a nationally recognized overnight delivery service in accordance with clause (i), (ii) or (iii) above, respectively.</w:t>
      </w:r>
    </w:p>
    <w:p>
      <w:pPr>
        <w:spacing w:after="0" w:line="173" w:lineRule="exact"/>
        <w:rPr>
          <w:rFonts w:ascii="Times New Roman" w:cs="Times New Roman" w:eastAsia="Times New Roman" w:hAnsi="Times New Roman"/>
          <w:sz w:val="17"/>
          <w:szCs w:val="17"/>
          <w:color w:val="auto"/>
        </w:rPr>
      </w:pPr>
    </w:p>
    <w:p>
      <w:pPr>
        <w:jc w:val="both"/>
        <w:ind w:firstLine="606"/>
        <w:spacing w:after="0" w:line="252" w:lineRule="auto"/>
        <w:tabs>
          <w:tab w:leader="none" w:pos="836"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Investor may deliver a written notice (an “</w:t>
      </w:r>
      <w:r>
        <w:rPr>
          <w:rFonts w:ascii="Times New Roman" w:cs="Times New Roman" w:eastAsia="Times New Roman" w:hAnsi="Times New Roman"/>
          <w:sz w:val="17"/>
          <w:szCs w:val="17"/>
          <w:b w:val="1"/>
          <w:bCs w:val="1"/>
          <w:color w:val="auto"/>
        </w:rPr>
        <w:t>Opt-Out Notice</w:t>
      </w:r>
      <w:r>
        <w:rPr>
          <w:rFonts w:ascii="Times New Roman" w:cs="Times New Roman" w:eastAsia="Times New Roman" w:hAnsi="Times New Roman"/>
          <w:sz w:val="17"/>
          <w:szCs w:val="17"/>
          <w:color w:val="auto"/>
        </w:rPr>
        <w:t>”) to the Company requesting that such Investor not receive notices from the Company otherwise required by the last sentence of Section 3(e), the first sentence of Section 3(f) or Section 3(g)(ii); provided, however, that the Investor may later revoke any such Opt-Out Notice in writing. Following receipt of an Opt-Out Notice from the Investor (unless subsequently revoked), (i) the Company shall not deliver any such notices to the Investor and the Investor shall no longer be entitled to the rights associated with any such notice and (ii) each time prior the Investor’s intended use of an effective Registration Statement, the Investor will notify the Company in writing at least two (2) Business Days in advance of such intended use, and if a notice of an event contemplated in Section 3 was previously delivered (or would have been delivered but for the provisions of this Section 11(c)) and a related suspension period remains in effect, the Company will so notify the Investor within one (1) Business Day of the Investor’s notification to the Company by delivering to the Investor a copy of such previous notice provided to the other Investors.</w:t>
      </w:r>
    </w:p>
    <w:p>
      <w:pPr>
        <w:spacing w:after="0" w:line="177" w:lineRule="exact"/>
        <w:rPr>
          <w:rFonts w:ascii="Times New Roman" w:cs="Times New Roman" w:eastAsia="Times New Roman" w:hAnsi="Times New Roman"/>
          <w:sz w:val="17"/>
          <w:szCs w:val="17"/>
          <w:color w:val="auto"/>
        </w:rPr>
      </w:pPr>
    </w:p>
    <w:p>
      <w:pPr>
        <w:jc w:val="both"/>
        <w:ind w:firstLine="606"/>
        <w:spacing w:after="0" w:line="253" w:lineRule="auto"/>
        <w:tabs>
          <w:tab w:leader="none" w:pos="851"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any party to exercise any right or remedy under this Agreement or otherwise, or delay by a party in exercising such right or remedy, shall not operate as a waiver thereof. The Company and each Investor acknowledge and agree that irreparable damage would occur in the event that any of the provisions of this Agreement were not performed in accordance with their specific terms or were otherwise breached. It is accordingly agreed that each party hereto shall be entitled to an injunction or injunctions to prevent or cure breaches of the provisions of this Agreement by any other party hereto and to enforce specifically the terms and provisions hereof (without the necessity of showing economic loss and without any bond or other security being required), this being in addition to any other remedy to which any party may be entitled by law or equity.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54" w:name="page155"/>
    <w:bookmarkEnd w:id="154"/>
    <w:p>
      <w:pPr>
        <w:jc w:val="both"/>
        <w:ind w:firstLine="606"/>
        <w:spacing w:after="0" w:line="250" w:lineRule="auto"/>
        <w:tabs>
          <w:tab w:leader="none" w:pos="826"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questions concerning the construction, validity, enforcement and interpretation of this Agreement shall be governed by the internal laws of the State of New York, without giving effect to any choice of law or conflict or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HEREWITH OR ARISING OUT OF THIS AGREEMENT OR ANY TRANSACTION CONTEMPLATED HEREBY.</w:t>
      </w:r>
    </w:p>
    <w:p>
      <w:pPr>
        <w:spacing w:after="0" w:line="178" w:lineRule="exact"/>
        <w:rPr>
          <w:rFonts w:ascii="Times New Roman" w:cs="Times New Roman" w:eastAsia="Times New Roman" w:hAnsi="Times New Roman"/>
          <w:sz w:val="17"/>
          <w:szCs w:val="17"/>
          <w:color w:val="auto"/>
        </w:rPr>
      </w:pPr>
    </w:p>
    <w:p>
      <w:pPr>
        <w:jc w:val="both"/>
        <w:ind w:firstLine="606"/>
        <w:spacing w:after="0" w:line="270" w:lineRule="auto"/>
        <w:tabs>
          <w:tab w:leader="none" w:pos="825"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64" w:lineRule="exact"/>
        <w:rPr>
          <w:rFonts w:ascii="Times New Roman" w:cs="Times New Roman" w:eastAsia="Times New Roman" w:hAnsi="Times New Roman"/>
          <w:sz w:val="16"/>
          <w:szCs w:val="16"/>
          <w:color w:val="auto"/>
        </w:rPr>
      </w:pPr>
    </w:p>
    <w:p>
      <w:pPr>
        <w:jc w:val="both"/>
        <w:ind w:firstLine="606"/>
        <w:spacing w:after="0" w:line="250" w:lineRule="auto"/>
        <w:tabs>
          <w:tab w:leader="none" w:pos="862"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the other Transaction Documents, the schedules and exhibits attached hereto and thereto and the instruments referenced herein and therein constitute the entire agreement among the parties hereto and thereto solely with respect to the subject matter hereof and thereof. There are no restrictions, promises, warranties or undertakings, other than those set forth or referred to herein and therein. This Agreement, the other Transaction Documents, the schedules and exhibits attached hereto and thereto and the instruments referenced herein and therein supersede all prior agreements and understandings among the parties hereto solely with respect to the subject matter hereof and thereof; provided, however, nothing contained in this Agreement or any other Transaction Document shall (or shall be deemed to) (i) have any effect on any agreements any Investor has entered into with the Company or any of its Subsidiaries prior to the date hereof with respect to any prior investment made by such Investor in the Company, (ii) waive, alter, modify or amend in any respect any obligations of the Company or any of its Subsidiaries or any rights of or benefits to any Investor or any other Person in any agreement entered into prior to the date hereof between or among the Company and/or any of its Subsidiaries and any Investor and all such agreements shall continue in full force and effect or (iii) limit any obligations of the Company under any of the other Transaction Documents.</w:t>
      </w:r>
    </w:p>
    <w:p>
      <w:pPr>
        <w:spacing w:after="0" w:line="182" w:lineRule="exact"/>
        <w:rPr>
          <w:rFonts w:ascii="Times New Roman" w:cs="Times New Roman" w:eastAsia="Times New Roman" w:hAnsi="Times New Roman"/>
          <w:sz w:val="17"/>
          <w:szCs w:val="17"/>
          <w:color w:val="auto"/>
        </w:rPr>
      </w:pPr>
    </w:p>
    <w:p>
      <w:pPr>
        <w:jc w:val="both"/>
        <w:ind w:firstLine="606"/>
        <w:spacing w:after="0" w:line="261" w:lineRule="auto"/>
        <w:tabs>
          <w:tab w:leader="none" w:pos="844"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compliance with Section 9 (if applicable), this Agreement shall inure to the benefit of and be binding upon the permitted successors and assigns of each of the parties hereto. This Agreement is not for the benefit of, nor may any provision hereof be enforced by, any Person, other than the parties hereto, their respective permitted successors and assigns and the Persons referred to in Sections 6 and 7 hereof.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55" w:name="page156"/>
    <w:bookmarkEnd w:id="155"/>
    <w:p>
      <w:pPr>
        <w:jc w:val="both"/>
        <w:ind w:firstLine="606"/>
        <w:spacing w:after="0" w:line="256" w:lineRule="auto"/>
        <w:tabs>
          <w:tab w:leader="none" w:pos="803"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spacing w:after="0" w:line="174" w:lineRule="exact"/>
        <w:rPr>
          <w:rFonts w:ascii="Times New Roman" w:cs="Times New Roman" w:eastAsia="Times New Roman" w:hAnsi="Times New Roman"/>
          <w:sz w:val="17"/>
          <w:szCs w:val="17"/>
          <w:color w:val="auto"/>
        </w:rPr>
      </w:pPr>
    </w:p>
    <w:p>
      <w:pPr>
        <w:jc w:val="both"/>
        <w:ind w:firstLine="606"/>
        <w:spacing w:after="0" w:line="254" w:lineRule="auto"/>
        <w:tabs>
          <w:tab w:leader="none" w:pos="813"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may be executed in two or more identical counterparts, each of which shall be deemed an original, but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spacing w:after="0" w:line="175" w:lineRule="exact"/>
        <w:rPr>
          <w:rFonts w:ascii="Times New Roman" w:cs="Times New Roman" w:eastAsia="Times New Roman" w:hAnsi="Times New Roman"/>
          <w:sz w:val="17"/>
          <w:szCs w:val="17"/>
          <w:color w:val="auto"/>
        </w:rPr>
      </w:pPr>
    </w:p>
    <w:p>
      <w:pPr>
        <w:jc w:val="both"/>
        <w:ind w:firstLine="606"/>
        <w:spacing w:after="0" w:line="261" w:lineRule="auto"/>
        <w:tabs>
          <w:tab w:leader="none" w:pos="869"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69" w:lineRule="exact"/>
        <w:rPr>
          <w:rFonts w:ascii="Times New Roman" w:cs="Times New Roman" w:eastAsia="Times New Roman" w:hAnsi="Times New Roman"/>
          <w:sz w:val="17"/>
          <w:szCs w:val="17"/>
          <w:color w:val="auto"/>
        </w:rPr>
      </w:pPr>
    </w:p>
    <w:p>
      <w:pPr>
        <w:jc w:val="both"/>
        <w:ind w:firstLine="606"/>
        <w:spacing w:after="0" w:line="256" w:lineRule="auto"/>
        <w:tabs>
          <w:tab w:leader="none" w:pos="829"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language used in this Agreement will be deemed to be the language chosen by the parties to express their mutual intent and no rules of strict construction will be applied against any party. Notwithstanding anything to the contrary set forth in Section 10, terms used in this Agreement but defined in the other Transaction Documents shall have the meanings ascribed to such terms on the Closing Date in such other Transaction Documents unless otherwise consented to in writing by each Investor.</w:t>
      </w:r>
    </w:p>
    <w:p>
      <w:pPr>
        <w:spacing w:after="0" w:line="174" w:lineRule="exact"/>
        <w:rPr>
          <w:rFonts w:ascii="Times New Roman" w:cs="Times New Roman" w:eastAsia="Times New Roman" w:hAnsi="Times New Roman"/>
          <w:sz w:val="17"/>
          <w:szCs w:val="17"/>
          <w:color w:val="auto"/>
        </w:rPr>
      </w:pPr>
    </w:p>
    <w:p>
      <w:pPr>
        <w:jc w:val="both"/>
        <w:ind w:firstLine="606"/>
        <w:spacing w:after="0" w:line="256" w:lineRule="auto"/>
        <w:tabs>
          <w:tab w:leader="none" w:pos="888"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consents and other determinations required to be made by the Investors pursuant to this Agreement shall be made, unless otherwise specified in this Agreement, by the Required Holder, determined as if all of the outstanding Series A Preferred Stock then held by the Investors have been converted for Registrable Securities without regard to any limitations on redemption, amortization and/or conversion of the Series A Preferred then held by Investors have been exercised for Registrable Securities.</w:t>
      </w:r>
    </w:p>
    <w:p>
      <w:pPr>
        <w:spacing w:after="0" w:line="174" w:lineRule="exact"/>
        <w:rPr>
          <w:rFonts w:ascii="Times New Roman" w:cs="Times New Roman" w:eastAsia="Times New Roman" w:hAnsi="Times New Roman"/>
          <w:sz w:val="17"/>
          <w:szCs w:val="17"/>
          <w:color w:val="auto"/>
        </w:rPr>
      </w:pPr>
    </w:p>
    <w:p>
      <w:pPr>
        <w:ind w:firstLine="606"/>
        <w:spacing w:after="0" w:line="274" w:lineRule="auto"/>
        <w:tabs>
          <w:tab w:leader="none" w:pos="840"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is intended for the benefit of the parties hereto and their respective permitted successors and assigns, and is not for the benefit of, nor may any provision hereof be enforced by, any other Person.</w:t>
      </w:r>
    </w:p>
    <w:p>
      <w:pPr>
        <w:spacing w:after="0" w:line="158" w:lineRule="exact"/>
        <w:rPr>
          <w:rFonts w:ascii="Times New Roman" w:cs="Times New Roman" w:eastAsia="Times New Roman" w:hAnsi="Times New Roman"/>
          <w:sz w:val="17"/>
          <w:szCs w:val="17"/>
          <w:color w:val="auto"/>
        </w:rPr>
      </w:pPr>
    </w:p>
    <w:p>
      <w:pPr>
        <w:jc w:val="both"/>
        <w:ind w:firstLine="606"/>
        <w:spacing w:after="0" w:line="249" w:lineRule="auto"/>
        <w:tabs>
          <w:tab w:leader="none" w:pos="852"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obligations of each Investor under this Agreement and the other Transaction Documents are several and not joint with the obligations of any other Investor, and no Investor shall be responsible in any way for the performance of the obligations of any other Investor under this Agreement or any other Transaction Document. Nothing contained herein or in any other Transaction Document, and no action taken by any Investor pursuant hereto or thereto, shall be deemed to constitute the Investors as, and the Company acknowledges that the Investors do not so constitute, a partnership, an association, a joint venture or any other kind of group or entity, or create a presumption that the Investors are in any way acting in concert or as a group or entity with respect to such obligations or the transactions contemplated by the Transaction Documents or any matters, and the Company acknowledges that the Investors are not acting in concert or as a group, and the Company shall not assert any such claim, with respect to such obligations or the transactions contemplated by this Agreement or any of the other the Transaction Documents. Each Investor shall be entitled to independently protect and enforce its rights, including, without limitation, the rights arising out of this Agreement or out of any other Transaction Documents, and it shall not be necessary for any other Investor to be joined as an additional party in any proceeding for such purpose. The use of a single agreement with respect to the obligations of the Company contained herein was solely in the control of the Company, not the action or decision of any Investor, and was done solely for the convenience of the Company and not because it was required or requested to do so by any Investor. It is expressly understood and agreed that each provision contained in this Agreement and in each other Transaction Document is between the Company and an Investor, solely, and not between the Company and the Investors collectively and not between and among Investors.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56" w:name="page157"/>
    <w:bookmarkEnd w:id="156"/>
    <w:p>
      <w:pPr>
        <w:ind w:firstLine="605"/>
        <w:spacing w:after="0" w:line="279"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each Buyer and the Company have caused their respective signature page to this Registration Rights Agreement to be duly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executed as of the date first written above.</w:t>
      </w:r>
    </w:p>
    <w:p>
      <w:pPr>
        <w:spacing w:after="0" w:line="1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-123190</wp:posOffset>
            </wp:positionV>
            <wp:extent cx="33305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jc w:val="center"/>
        <w:ind w:right="-199"/>
        <w:spacing w:after="0"/>
        <w:rPr>
          <w:sz w:val="20"/>
          <w:szCs w:val="20"/>
          <w:color w:val="auto"/>
        </w:rPr>
      </w:pPr>
      <w:r>
        <w:rPr>
          <w:rFonts w:ascii="Times New Roman" w:cs="Times New Roman" w:eastAsia="Times New Roman" w:hAnsi="Times New Roman"/>
          <w:sz w:val="17"/>
          <w:szCs w:val="17"/>
          <w:color w:val="auto"/>
        </w:rPr>
        <w:t>Title:</w:t>
      </w:r>
    </w:p>
    <w:p>
      <w:pPr>
        <w:spacing w:after="0" w:line="188" w:lineRule="exact"/>
        <w:rPr>
          <w:sz w:val="20"/>
          <w:szCs w:val="20"/>
          <w:color w:val="auto"/>
        </w:rPr>
      </w:pPr>
    </w:p>
    <w:p>
      <w:pPr>
        <w:ind w:firstLine="605"/>
        <w:spacing w:after="0" w:line="279"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each Buyer and the Company have caused their respective signature page to this Registration Rights Agreement to be duly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executed as of the date first written above.</w:t>
      </w:r>
    </w:p>
    <w:p>
      <w:pPr>
        <w:spacing w:after="0" w:line="1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BUYERS</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b w:val="1"/>
          <w:bCs w:val="1"/>
          <w:color w:val="auto"/>
        </w:rPr>
        <w:t>JAK OPPORTUNITIES XVII LLC</w:t>
      </w: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-123190</wp:posOffset>
            </wp:positionV>
            <wp:extent cx="33305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7"/>
          <w:szCs w:val="17"/>
          <w:color w:val="auto"/>
        </w:rPr>
        <w:t>Title: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7" w:name="page158"/>
    <w:bookmarkEnd w:id="157"/>
    <w:p>
      <w:pPr>
        <w:ind w:left="10380"/>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NOTICE OF EFFECTIVENESS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OF REGISTRATION STATEMENT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_____________</w:t>
      </w:r>
    </w:p>
    <w:p>
      <w:pPr>
        <w:spacing w:after="0" w:line="18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 xml:space="preserve">Re: </w:t>
      </w:r>
      <w:r>
        <w:rPr>
          <w:rFonts w:ascii="Times New Roman" w:cs="Times New Roman" w:eastAsia="Times New Roman" w:hAnsi="Times New Roman"/>
          <w:sz w:val="17"/>
          <w:szCs w:val="17"/>
          <w:color w:val="auto"/>
        </w:rPr>
        <w:t>Dragonfly Energy Holdings Corp.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4" w:lineRule="exact"/>
        <w:rPr>
          <w:sz w:val="20"/>
          <w:szCs w:val="20"/>
          <w:color w:val="auto"/>
        </w:rPr>
      </w:pPr>
    </w:p>
    <w:p>
      <w:pPr>
        <w:jc w:val="both"/>
        <w:ind w:firstLine="1210"/>
        <w:spacing w:after="0" w:line="266" w:lineRule="auto"/>
        <w:rPr>
          <w:sz w:val="20"/>
          <w:szCs w:val="20"/>
          <w:color w:val="auto"/>
        </w:rPr>
      </w:pPr>
      <w:r>
        <w:rPr>
          <w:rFonts w:ascii="Times New Roman" w:cs="Times New Roman" w:eastAsia="Times New Roman" w:hAnsi="Times New Roman"/>
          <w:sz w:val="16"/>
          <w:szCs w:val="16"/>
          <w:color w:val="auto"/>
        </w:rPr>
        <w:t>[We are][I am] counsel to Dragonfly Energy Holdings Corp., a Nevada corporation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and have represented the Company in connection with that certain Securities Purchase Agreement (the “</w:t>
      </w:r>
      <w:r>
        <w:rPr>
          <w:rFonts w:ascii="Times New Roman" w:cs="Times New Roman" w:eastAsia="Times New Roman" w:hAnsi="Times New Roman"/>
          <w:sz w:val="16"/>
          <w:szCs w:val="16"/>
          <w:b w:val="1"/>
          <w:bCs w:val="1"/>
          <w:color w:val="auto"/>
        </w:rPr>
        <w:t>Securities Purchase Agreement</w:t>
      </w:r>
      <w:r>
        <w:rPr>
          <w:rFonts w:ascii="Times New Roman" w:cs="Times New Roman" w:eastAsia="Times New Roman" w:hAnsi="Times New Roman"/>
          <w:sz w:val="16"/>
          <w:szCs w:val="16"/>
          <w:color w:val="auto"/>
        </w:rPr>
        <w:t>”) entered into by and among the Company and the buyers named therein (collectively, the “</w:t>
      </w:r>
      <w:r>
        <w:rPr>
          <w:rFonts w:ascii="Times New Roman" w:cs="Times New Roman" w:eastAsia="Times New Roman" w:hAnsi="Times New Roman"/>
          <w:sz w:val="16"/>
          <w:szCs w:val="16"/>
          <w:b w:val="1"/>
          <w:bCs w:val="1"/>
          <w:color w:val="auto"/>
        </w:rPr>
        <w:t>Holders</w:t>
      </w:r>
      <w:r>
        <w:rPr>
          <w:rFonts w:ascii="Times New Roman" w:cs="Times New Roman" w:eastAsia="Times New Roman" w:hAnsi="Times New Roman"/>
          <w:sz w:val="16"/>
          <w:szCs w:val="16"/>
          <w:color w:val="auto"/>
        </w:rPr>
        <w:t>”) pursuant to which the Company issued to the Holders shares of the Company’s Series A Convertible Preferred Stock, par value $0.0001 per share (the “</w:t>
      </w:r>
      <w:r>
        <w:rPr>
          <w:rFonts w:ascii="Times New Roman" w:cs="Times New Roman" w:eastAsia="Times New Roman" w:hAnsi="Times New Roman"/>
          <w:sz w:val="16"/>
          <w:szCs w:val="16"/>
          <w:b w:val="1"/>
          <w:bCs w:val="1"/>
          <w:color w:val="auto"/>
        </w:rPr>
        <w:t>Series A Preferred Stock</w:t>
      </w:r>
      <w:r>
        <w:rPr>
          <w:rFonts w:ascii="Times New Roman" w:cs="Times New Roman" w:eastAsia="Times New Roman" w:hAnsi="Times New Roman"/>
          <w:sz w:val="16"/>
          <w:szCs w:val="16"/>
          <w:color w:val="auto"/>
        </w:rPr>
        <w:t>”), which will be convertible into shares (the “</w:t>
      </w:r>
      <w:r>
        <w:rPr>
          <w:rFonts w:ascii="Times New Roman" w:cs="Times New Roman" w:eastAsia="Times New Roman" w:hAnsi="Times New Roman"/>
          <w:sz w:val="16"/>
          <w:szCs w:val="16"/>
          <w:b w:val="1"/>
          <w:bCs w:val="1"/>
          <w:color w:val="auto"/>
        </w:rPr>
        <w:t>Conversion Shares</w:t>
      </w:r>
      <w:r>
        <w:rPr>
          <w:rFonts w:ascii="Times New Roman" w:cs="Times New Roman" w:eastAsia="Times New Roman" w:hAnsi="Times New Roman"/>
          <w:sz w:val="16"/>
          <w:szCs w:val="16"/>
          <w:color w:val="auto"/>
        </w:rPr>
        <w:t>”) of the Company’s shares of common stock, $0.0001 par value per share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and warrants exercisable for shares of Series A Preferred Stock (the “</w:t>
      </w:r>
      <w:r>
        <w:rPr>
          <w:rFonts w:ascii="Times New Roman" w:cs="Times New Roman" w:eastAsia="Times New Roman" w:hAnsi="Times New Roman"/>
          <w:sz w:val="16"/>
          <w:szCs w:val="16"/>
          <w:b w:val="1"/>
          <w:bCs w:val="1"/>
          <w:color w:val="auto"/>
        </w:rPr>
        <w:t>Incremental Warrants</w:t>
      </w:r>
      <w:r>
        <w:rPr>
          <w:rFonts w:ascii="Times New Roman" w:cs="Times New Roman" w:eastAsia="Times New Roman" w:hAnsi="Times New Roman"/>
          <w:sz w:val="16"/>
          <w:szCs w:val="16"/>
          <w:color w:val="auto"/>
        </w:rPr>
        <w:t>”). Pursuant to the Securities Purchase Agreement, the Company also has entered into a Registration Rights Agreement with the Holders (the “</w:t>
      </w:r>
      <w:r>
        <w:rPr>
          <w:rFonts w:ascii="Times New Roman" w:cs="Times New Roman" w:eastAsia="Times New Roman" w:hAnsi="Times New Roman"/>
          <w:sz w:val="16"/>
          <w:szCs w:val="16"/>
          <w:b w:val="1"/>
          <w:bCs w:val="1"/>
          <w:color w:val="auto"/>
        </w:rPr>
        <w:t>Registration Rights Agreement</w:t>
      </w:r>
      <w:r>
        <w:rPr>
          <w:rFonts w:ascii="Times New Roman" w:cs="Times New Roman" w:eastAsia="Times New Roman" w:hAnsi="Times New Roman"/>
          <w:sz w:val="16"/>
          <w:szCs w:val="16"/>
          <w:color w:val="auto"/>
        </w:rPr>
        <w:t>”) pursuant to which the Company agreed, among other things, to register the Registrable Securities (as defined in the Registration Rights Agreement), including the shares of Common Stock issuable upon conversion of the Series A Preferred Stock, under the Securities Act of 1933, as amended (the “</w:t>
      </w:r>
      <w:r>
        <w:rPr>
          <w:rFonts w:ascii="Times New Roman" w:cs="Times New Roman" w:eastAsia="Times New Roman" w:hAnsi="Times New Roman"/>
          <w:sz w:val="16"/>
          <w:szCs w:val="16"/>
          <w:b w:val="1"/>
          <w:bCs w:val="1"/>
          <w:color w:val="auto"/>
        </w:rPr>
        <w:t>1933 Act</w:t>
      </w:r>
      <w:r>
        <w:rPr>
          <w:rFonts w:ascii="Times New Roman" w:cs="Times New Roman" w:eastAsia="Times New Roman" w:hAnsi="Times New Roman"/>
          <w:sz w:val="16"/>
          <w:szCs w:val="16"/>
          <w:color w:val="auto"/>
        </w:rPr>
        <w:t>”). In connection with the Company’s obligations under the Registration Rights Agreement, on ____________ ___, 20__, the Company filed a Registration Statement on Form [S-1][S-3]</w:t>
      </w:r>
    </w:p>
    <w:p>
      <w:pPr>
        <w:spacing w:after="0"/>
        <w:rPr>
          <w:sz w:val="20"/>
          <w:szCs w:val="20"/>
          <w:color w:val="auto"/>
        </w:rPr>
      </w:pPr>
      <w:r>
        <w:rPr>
          <w:rFonts w:ascii="Times New Roman" w:cs="Times New Roman" w:eastAsia="Times New Roman" w:hAnsi="Times New Roman"/>
          <w:sz w:val="17"/>
          <w:szCs w:val="17"/>
          <w:color w:val="auto"/>
        </w:rPr>
        <w:t>(File No. 333-_____________)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with the Securities and Exchange Commission (the “</w:t>
      </w:r>
      <w:r>
        <w:rPr>
          <w:rFonts w:ascii="Times New Roman" w:cs="Times New Roman" w:eastAsia="Times New Roman" w:hAnsi="Times New Roman"/>
          <w:sz w:val="17"/>
          <w:szCs w:val="17"/>
          <w:b w:val="1"/>
          <w:bCs w:val="1"/>
          <w:color w:val="auto"/>
        </w:rPr>
        <w:t>SEC</w:t>
      </w:r>
      <w:r>
        <w:rPr>
          <w:rFonts w:ascii="Times New Roman" w:cs="Times New Roman" w:eastAsia="Times New Roman" w:hAnsi="Times New Roman"/>
          <w:sz w:val="17"/>
          <w:szCs w:val="17"/>
          <w:color w:val="auto"/>
        </w:rPr>
        <w:t>”) relating to the Registrable Securities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names each of the Holders as a selling stockholder thereunder.</w:t>
      </w:r>
    </w:p>
    <w:p>
      <w:pPr>
        <w:spacing w:after="0" w:line="192" w:lineRule="exact"/>
        <w:rPr>
          <w:sz w:val="20"/>
          <w:szCs w:val="20"/>
          <w:color w:val="auto"/>
        </w:rPr>
      </w:pPr>
    </w:p>
    <w:p>
      <w:pPr>
        <w:jc w:val="both"/>
        <w:ind w:firstLine="1210"/>
        <w:spacing w:after="0" w:line="271" w:lineRule="auto"/>
        <w:rPr>
          <w:sz w:val="20"/>
          <w:szCs w:val="20"/>
          <w:color w:val="auto"/>
        </w:rPr>
      </w:pPr>
      <w:r>
        <w:rPr>
          <w:rFonts w:ascii="Times New Roman" w:cs="Times New Roman" w:eastAsia="Times New Roman" w:hAnsi="Times New Roman"/>
          <w:sz w:val="16"/>
          <w:szCs w:val="16"/>
          <w:color w:val="auto"/>
        </w:rPr>
        <w:t>In connection with the foregoing, [we][I] advise you that [a member of the SEC’s staff has advised [us][me] by telephone that [the SEC has entered an order declaring the Registration Statement effective under the 1933 Act at [ENTER TIME OF EFFECTIVENESS] on [ENTER DATE OF EFFECTIVENESS]] [an order declaring the Registration Statement effective under the 1933 Act at [ENTER TIME OF EFFECTIVENESS] on [ENTER DATE OF EFFECTIVENESS]] has been posted on the web site of the SEC at www.sec.gov] and [we][I] have no knowledge, after a review of information posted on the website of the SEC at http://www.sec.gov/litigation/stoporders.shtml, that any stop order suspending its effectiveness has been issued or that any proceedings for that purpose are pending before, or threatened by, the SEC and the Registrable Securities are available for resale under the 1933 Act pursuant to the Registration Statement.</w:t>
      </w:r>
    </w:p>
    <w:p>
      <w:pPr>
        <w:spacing w:after="0" w:line="166" w:lineRule="exact"/>
        <w:rPr>
          <w:sz w:val="20"/>
          <w:szCs w:val="20"/>
          <w:color w:val="auto"/>
        </w:rPr>
      </w:pPr>
    </w:p>
    <w:p>
      <w:pPr>
        <w:jc w:val="both"/>
        <w:ind w:firstLine="1210"/>
        <w:spacing w:after="0" w:line="261" w:lineRule="auto"/>
        <w:rPr>
          <w:sz w:val="20"/>
          <w:szCs w:val="20"/>
          <w:color w:val="auto"/>
        </w:rPr>
      </w:pPr>
      <w:r>
        <w:rPr>
          <w:rFonts w:ascii="Times New Roman" w:cs="Times New Roman" w:eastAsia="Times New Roman" w:hAnsi="Times New Roman"/>
          <w:sz w:val="17"/>
          <w:szCs w:val="17"/>
          <w:color w:val="auto"/>
        </w:rPr>
        <w:t>This letter shall serve as our standing opinion to you that the shares of Common Stock underlying the Series A Preferred Stock are freely transferable by the Holders pursuant to the Registration Statement. You need not require further letters from us to effect any future legend-free issuance or reissuance of such shares of Common Stock to the Holders as contemplated by the Company’s Irrevocable Transfer Agent Instructions dated _________ __, 20__.</w:t>
      </w:r>
    </w:p>
    <w:p>
      <w:pPr>
        <w:spacing w:after="0" w:line="16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[ISSUER’S COUNSEL]</w:t>
      </w:r>
    </w:p>
    <w:p>
      <w:pPr>
        <w:spacing w:after="0" w:line="2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22225</wp:posOffset>
            </wp:positionV>
            <wp:extent cx="33547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spacing w:after="0" w:line="213" w:lineRule="exact"/>
        <w:rPr>
          <w:sz w:val="20"/>
          <w:szCs w:val="20"/>
          <w:color w:val="auto"/>
        </w:rPr>
      </w:pPr>
    </w:p>
    <w:p>
      <w:pPr>
        <w:ind w:left="900" w:hanging="899"/>
        <w:spacing w:after="0"/>
        <w:tabs>
          <w:tab w:leader="none" w:pos="900"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JAK Opportunities XVII LLC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58" w:name="page159"/>
    <w:bookmarkEnd w:id="158"/>
    <w:p>
      <w:pPr>
        <w:ind w:left="10380"/>
        <w:spacing w:after="0"/>
        <w:rPr>
          <w:sz w:val="20"/>
          <w:szCs w:val="20"/>
          <w:color w:val="auto"/>
        </w:rPr>
      </w:pPr>
      <w:r>
        <w:rPr>
          <w:rFonts w:ascii="Times New Roman" w:cs="Times New Roman" w:eastAsia="Times New Roman" w:hAnsi="Times New Roman"/>
          <w:sz w:val="16"/>
          <w:szCs w:val="16"/>
          <w:b w:val="1"/>
          <w:bCs w:val="1"/>
          <w:color w:val="auto"/>
        </w:rPr>
        <w:t>EXHIBIT B</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SELLING STOCKHOLDERS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shares of common stock being offered by the selling stockholders are those issuable to the selling stockholders upon conversion of the preferred shares and exercise of the incremental warrants. For additional information regarding the issuance of the preferred shares, see “Private Placement of Preferred Shares” above. We are registering the shares of common stock in order to permit the selling stockholders to offer the shares for resale from time to time. Except for the ownership of the preferred shares issued pursuant to the Securities Purchase Agreement, the selling stockholders have not had any material relationship with us within the past three years.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table below lists the selling stockholders and other information regarding the beneficial ownership (as determined under Section 13(d) of the Securities Exchange Act of 1934, as amended, and the rules and regulations thereunder) of the shares of common stock held by each of the selling stockholders. The second column lists the number of shares of common stock beneficially owned by the selling stockholders, based on their respective ownership of shares of common stock, preferred shares and incremental warrants, as of ________, 20__, assuming conversion of the preferred shares and exercise of the incremental warrants held by each such selling stockholder on that date but taking account of any limitations on conversion and exercise set forth therein.</w:t>
      </w:r>
    </w:p>
    <w:p>
      <w:pPr>
        <w:spacing w:after="0" w:line="176"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The third column lists the shares of common stock being offered by this prospectus by the selling stockholders and does not take in account any limitations on (i) conversion of the preferred shares set forth therein or (ii) exercise of the incremental warrants set forth therein.</w:t>
      </w:r>
    </w:p>
    <w:p>
      <w:pPr>
        <w:spacing w:after="0" w:line="159"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In accordance with the terms of a registration rights agreement with the holders of the preferred shares and the incremental warrants, this prospectus generally covers the resale of 100% of the sum of (i) the maximum number of shares of common stock issued or issuable pursuant to Certificate of Designations, including payment of dividends on the preferred shares through [DATE] and (ii) the maximum number of shares of common stock issued or issuable upon conversion of the preferred shares issued or issuable upon exercise of cancellation of the incremental warrants, in each case, determined as if the outstanding preferred shares (including dividends on the preferred shares through [DATE]) were converted, exercised or cancelled (as the case may be) in full (without regard to any limitations on conversion contained therein solely for the purpose of such calculation) at the Floor Price (as defined in the Certificate of Designations) then in effect. Because the Floor Price applicable to the preferred shares may be adjusted, the number of shares that will actually be issued may be more or less than the number of shares being offered by this prospectus. The fourth column assumes the sale of all of the shares offered by the selling stockholders pursuant to this prospectus.</w:t>
      </w:r>
    </w:p>
    <w:p>
      <w:pPr>
        <w:spacing w:after="0" w:line="16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Under the terms of the preferred shares, a selling stockholder may not convert the preferred shares to the extent (but only to the extent) such selling stockholder or any of its affiliates would beneficially own a number of shares of our common stock which would exceed 4.99% of the outstanding shares of the Company. The number of shares in the second column reflects these limitations. The selling stockholders may sell all, some or none of their shares in this offering. See “Plan of Distribution.”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Maximum Number of Shares of Common</w:t>
            </w:r>
          </w:p>
        </w:tc>
        <w:tc>
          <w:tcPr>
            <w:tcW w:w="2800" w:type="dxa"/>
            <w:vAlign w:val="bottom"/>
          </w:tcPr>
          <w:p>
            <w:pPr>
              <w:spacing w:after="0"/>
              <w:rPr>
                <w:sz w:val="17"/>
                <w:szCs w:val="17"/>
                <w:color w:val="auto"/>
              </w:rPr>
            </w:pPr>
          </w:p>
        </w:tc>
      </w:tr>
      <w:tr>
        <w:trPr>
          <w:trHeight w:val="202"/>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of Selling</w:t>
            </w:r>
          </w:p>
        </w:tc>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Number of Shares of Common Stock</w:t>
            </w:r>
          </w:p>
        </w:tc>
        <w:tc>
          <w:tcPr>
            <w:tcW w:w="3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Stock to be Sold Pursuant to this</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Number of Shares of Common Stock</w:t>
            </w:r>
          </w:p>
        </w:tc>
      </w:tr>
      <w:tr>
        <w:trPr>
          <w:trHeight w:val="222"/>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w:t>
            </w:r>
          </w:p>
        </w:tc>
        <w:tc>
          <w:tcPr>
            <w:tcW w:w="3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Owned Prior to Offering</w:t>
            </w:r>
          </w:p>
        </w:tc>
        <w:tc>
          <w:tcPr>
            <w:tcW w:w="3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Prospectus</w:t>
            </w:r>
          </w:p>
        </w:tc>
        <w:tc>
          <w:tcPr>
            <w:tcW w:w="2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 Owned After Offering</w:t>
            </w:r>
          </w:p>
        </w:tc>
      </w:tr>
      <w:tr>
        <w:trPr>
          <w:trHeight w:val="178"/>
        </w:trPr>
        <w:tc>
          <w:tcPr>
            <w:tcW w:w="18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JAK Opportunities XVII</w:t>
            </w:r>
          </w:p>
        </w:tc>
        <w:tc>
          <w:tcPr>
            <w:tcW w:w="240" w:type="dxa"/>
            <w:vAlign w:val="bottom"/>
            <w:tcBorders>
              <w:top w:val="single" w:sz="8" w:color="CCEEFF"/>
            </w:tcBorders>
            <w:shd w:val="clear" w:color="auto" w:fill="CCEEFF"/>
          </w:tcPr>
          <w:p>
            <w:pPr>
              <w:spacing w:after="0"/>
              <w:rPr>
                <w:sz w:val="15"/>
                <w:szCs w:val="15"/>
                <w:color w:val="auto"/>
              </w:rPr>
            </w:pPr>
          </w:p>
        </w:tc>
        <w:tc>
          <w:tcPr>
            <w:tcW w:w="2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800" w:type="dxa"/>
            <w:vAlign w:val="bottom"/>
            <w:tcBorders>
              <w:top w:val="single" w:sz="8" w:color="auto"/>
            </w:tcBorders>
            <w:shd w:val="clear" w:color="auto" w:fill="CCEEFF"/>
          </w:tcPr>
          <w:p>
            <w:pPr>
              <w:spacing w:after="0"/>
              <w:rPr>
                <w:sz w:val="15"/>
                <w:szCs w:val="15"/>
                <w:color w:val="auto"/>
              </w:rPr>
            </w:pPr>
          </w:p>
        </w:tc>
      </w:tr>
      <w:tr>
        <w:trPr>
          <w:trHeight w:val="218"/>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LLC (1)</w:t>
            </w:r>
          </w:p>
        </w:tc>
        <w:tc>
          <w:tcPr>
            <w:tcW w:w="2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403"/>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jc w:val="right"/>
              <w:ind w:right="2096"/>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404"/>
        </w:trPr>
        <w:tc>
          <w:tcPr>
            <w:tcW w:w="1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7"/>
                <w:szCs w:val="17"/>
                <w:color w:val="auto"/>
              </w:rPr>
              <w:t>B-1</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are registering the shares of common stock issuable upon conversion of the preferred shares to permit the resale of these shares of common stock by the holders of the preferred shares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selling stockholders may sell all or a portion of the shares of common stock held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76" w:lineRule="exact"/>
        <w:rPr>
          <w:sz w:val="20"/>
          <w:szCs w:val="20"/>
          <w:color w:val="auto"/>
        </w:rPr>
      </w:pPr>
    </w:p>
    <w:p>
      <w:pPr>
        <w:ind w:left="300" w:hanging="299"/>
        <w:spacing w:after="0"/>
        <w:tabs>
          <w:tab w:leader="none" w:pos="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national securities exchange or quotation service on which the securities may be listed or quoted at the time of sale;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over-the-counter market;</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transactions otherwise than on these exchanges or systems or in the over-the-counter market;</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writing or settlement of options, whether such options are listed on an options exchange or otherwise;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broker-dealer solicits purchasers;</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will attempt to sell the shares as agent but may position and resell a portion of the block as principal to facilitate the transaction;</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the broker-dealer for its account;</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exchange distribution in accordance with the rules of the applicable exchange;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privately negotiated transactions;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 sales made after the date the Registration Statement is declared effective by the SEC;</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broker-dealers may agree with a selling security holder to sell a specified number of such shares at a stipulated price per share;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combination of any such methods of sale; and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20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The selling stockholders may also sell shares of common stock under Rule 144 promulgated under the Securities Act of 1933, as amended, if available, rather than under this prospectus. In addition, the selling stockholders may transfer the shares of common stock by other means not described in this prospectus.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0" w:name="page161"/>
    <w:bookmarkEnd w:id="160"/>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selling stockholders may pledge or grant a security interest in some or all of the preferred shares, incremental warrants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To the extent required by the Securities Act and the rules and regulations thereunder, 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There can be no assurance that any selling stockholder will sell any or all of the shares of common stock registered pursuant to the registration statement, of which this prospectus forms a part.</w:t>
      </w:r>
    </w:p>
    <w:p>
      <w:pPr>
        <w:spacing w:after="0" w:line="15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selling stockholders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stockholders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76" w:lineRule="exact"/>
        <w:rPr>
          <w:sz w:val="20"/>
          <w:szCs w:val="20"/>
          <w:color w:val="auto"/>
        </w:rPr>
      </w:pPr>
    </w:p>
    <w:p>
      <w:pPr>
        <w:jc w:val="both"/>
        <w:ind w:firstLine="605"/>
        <w:spacing w:after="0" w:line="271" w:lineRule="auto"/>
        <w:rPr>
          <w:sz w:val="20"/>
          <w:szCs w:val="20"/>
          <w:color w:val="auto"/>
        </w:rPr>
      </w:pPr>
      <w:r>
        <w:rPr>
          <w:rFonts w:ascii="Times New Roman" w:cs="Times New Roman" w:eastAsia="Times New Roman" w:hAnsi="Times New Roman"/>
          <w:sz w:val="16"/>
          <w:szCs w:val="16"/>
          <w:color w:val="auto"/>
        </w:rPr>
        <w:t>We will pay all expenses of the registration of the shares of common stock pursuant to the registration rights agreement, estimated to be $</w:t>
      </w:r>
      <w:r>
        <w:rPr>
          <w:rFonts w:ascii="Times New Roman" w:cs="Times New Roman" w:eastAsia="Times New Roman" w:hAnsi="Times New Roman"/>
          <w:sz w:val="16"/>
          <w:szCs w:val="16"/>
          <w:u w:val="single" w:color="auto"/>
          <w:color w:val="auto"/>
        </w:rPr>
        <w:t>[ ]</w:t>
      </w:r>
      <w:r>
        <w:rPr>
          <w:rFonts w:ascii="Times New Roman" w:cs="Times New Roman" w:eastAsia="Times New Roman" w:hAnsi="Times New Roman"/>
          <w:sz w:val="16"/>
          <w:szCs w:val="16"/>
          <w:color w:val="auto"/>
        </w:rPr>
        <w:t xml:space="preserve">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spacing w:after="0" w:line="16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Once sold under the registration statement, of which this prospectus forms a part, the shares of common stock will be freely tradable in the hands of persons other than our affiliates.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SUPPORT AGREEMENT</w:t>
      </w:r>
    </w:p>
    <w:p>
      <w:pPr>
        <w:spacing w:after="0" w:line="208" w:lineRule="exact"/>
        <w:rPr>
          <w:sz w:val="20"/>
          <w:szCs w:val="20"/>
          <w:color w:val="auto"/>
        </w:rPr>
      </w:pPr>
    </w:p>
    <w:p>
      <w:pPr>
        <w:jc w:val="both"/>
        <w:ind w:firstLine="1210"/>
        <w:spacing w:after="0" w:line="263" w:lineRule="auto"/>
        <w:rPr>
          <w:sz w:val="20"/>
          <w:szCs w:val="20"/>
          <w:color w:val="auto"/>
        </w:rPr>
      </w:pPr>
      <w:r>
        <w:rPr>
          <w:rFonts w:ascii="Times New Roman" w:cs="Times New Roman" w:eastAsia="Times New Roman" w:hAnsi="Times New Roman"/>
          <w:sz w:val="17"/>
          <w:szCs w:val="17"/>
          <w:color w:val="auto"/>
        </w:rPr>
        <w:t>SUPPORT AGREEMENT, dated as of February 26, 2025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by and between Dragonfly Energy Holdings Corp., a Nevada corporation with offices located at 12915 Old Virginia Road, Reno, Nevada 89521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the Shareholders identified on the signature pages hereto (each, a “</w:t>
      </w:r>
      <w:r>
        <w:rPr>
          <w:rFonts w:ascii="Times New Roman" w:cs="Times New Roman" w:eastAsia="Times New Roman" w:hAnsi="Times New Roman"/>
          <w:sz w:val="17"/>
          <w:szCs w:val="17"/>
          <w:b w:val="1"/>
          <w:bCs w:val="1"/>
          <w:color w:val="auto"/>
        </w:rPr>
        <w:t>Shareholder</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ind w:firstLine="1210"/>
        <w:spacing w:after="0" w:line="254" w:lineRule="auto"/>
        <w:rPr>
          <w:sz w:val="20"/>
          <w:szCs w:val="20"/>
          <w:color w:val="auto"/>
        </w:rPr>
      </w:pPr>
      <w:r>
        <w:rPr>
          <w:rFonts w:ascii="Times New Roman" w:cs="Times New Roman" w:eastAsia="Times New Roman" w:hAnsi="Times New Roman"/>
          <w:sz w:val="17"/>
          <w:szCs w:val="17"/>
          <w:color w:val="auto"/>
        </w:rPr>
        <w:t>WHEREAS, the Company and certain investors (each, an “</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Investors</w:t>
      </w:r>
      <w:r>
        <w:rPr>
          <w:rFonts w:ascii="Times New Roman" w:cs="Times New Roman" w:eastAsia="Times New Roman" w:hAnsi="Times New Roman"/>
          <w:sz w:val="17"/>
          <w:szCs w:val="17"/>
          <w:color w:val="auto"/>
        </w:rPr>
        <w:t>”) have entered into a Securities Purchase Agreement, dated as of February 26, 2025 (the “</w:t>
      </w:r>
      <w:r>
        <w:rPr>
          <w:rFonts w:ascii="Times New Roman" w:cs="Times New Roman" w:eastAsia="Times New Roman" w:hAnsi="Times New Roman"/>
          <w:sz w:val="17"/>
          <w:szCs w:val="17"/>
          <w:b w:val="1"/>
          <w:bCs w:val="1"/>
          <w:color w:val="auto"/>
        </w:rPr>
        <w:t>Securities Purchase Agreement</w:t>
      </w:r>
      <w:r>
        <w:rPr>
          <w:rFonts w:ascii="Times New Roman" w:cs="Times New Roman" w:eastAsia="Times New Roman" w:hAnsi="Times New Roman"/>
          <w:sz w:val="17"/>
          <w:szCs w:val="17"/>
          <w:color w:val="auto"/>
        </w:rPr>
        <w:t>”), pursuant to which, among other things, the Company has agreed to issue and sell to the Investors and the Investors have, severally but not jointly, agreed to purchase shares of Series A Convertible Preferred Stock, $0.0001 par value, of the Company (the “</w:t>
      </w:r>
      <w:r>
        <w:rPr>
          <w:rFonts w:ascii="Times New Roman" w:cs="Times New Roman" w:eastAsia="Times New Roman" w:hAnsi="Times New Roman"/>
          <w:sz w:val="17"/>
          <w:szCs w:val="17"/>
          <w:b w:val="1"/>
          <w:bCs w:val="1"/>
          <w:color w:val="auto"/>
        </w:rPr>
        <w:t>Preferred Shares</w:t>
      </w:r>
      <w:r>
        <w:rPr>
          <w:rFonts w:ascii="Times New Roman" w:cs="Times New Roman" w:eastAsia="Times New Roman" w:hAnsi="Times New Roman"/>
          <w:sz w:val="17"/>
          <w:szCs w:val="17"/>
          <w:color w:val="auto"/>
        </w:rPr>
        <w:t>”), which will be convertible into common stock of the Company, par value $0.0001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in accordance with the Certificate of Designations of Rights and Preferences of Series A Convertible Preferred Stock and (ii) certain warrants (the “</w:t>
      </w:r>
      <w:r>
        <w:rPr>
          <w:rFonts w:ascii="Times New Roman" w:cs="Times New Roman" w:eastAsia="Times New Roman" w:hAnsi="Times New Roman"/>
          <w:sz w:val="17"/>
          <w:szCs w:val="17"/>
          <w:b w:val="1"/>
          <w:bCs w:val="1"/>
          <w:color w:val="auto"/>
        </w:rPr>
        <w:t>Incremental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Warrants</w:t>
      </w:r>
      <w:r>
        <w:rPr>
          <w:rFonts w:ascii="Times New Roman" w:cs="Times New Roman" w:eastAsia="Times New Roman" w:hAnsi="Times New Roman"/>
          <w:sz w:val="17"/>
          <w:szCs w:val="17"/>
          <w:color w:val="auto"/>
        </w:rPr>
        <w:t>”) to purchase additional Preferred Shares;</w:t>
      </w:r>
    </w:p>
    <w:p>
      <w:pPr>
        <w:spacing w:after="0" w:line="171" w:lineRule="exact"/>
        <w:rPr>
          <w:sz w:val="20"/>
          <w:szCs w:val="20"/>
          <w:color w:val="auto"/>
        </w:rPr>
      </w:pPr>
    </w:p>
    <w:p>
      <w:pPr>
        <w:jc w:val="both"/>
        <w:ind w:firstLine="1210"/>
        <w:spacing w:after="0" w:line="312" w:lineRule="auto"/>
        <w:rPr>
          <w:sz w:val="20"/>
          <w:szCs w:val="20"/>
          <w:color w:val="auto"/>
        </w:rPr>
      </w:pPr>
      <w:r>
        <w:rPr>
          <w:rFonts w:ascii="Times New Roman" w:cs="Times New Roman" w:eastAsia="Times New Roman" w:hAnsi="Times New Roman"/>
          <w:sz w:val="16"/>
          <w:szCs w:val="16"/>
          <w:color w:val="auto"/>
        </w:rPr>
        <w:t>WHEREAS, as of the date hereof, the Shareholders own shares of Common Stock (the “</w:t>
      </w:r>
      <w:r>
        <w:rPr>
          <w:rFonts w:ascii="Times New Roman" w:cs="Times New Roman" w:eastAsia="Times New Roman" w:hAnsi="Times New Roman"/>
          <w:sz w:val="16"/>
          <w:szCs w:val="16"/>
          <w:b w:val="1"/>
          <w:bCs w:val="1"/>
          <w:color w:val="auto"/>
        </w:rPr>
        <w:t>Shareholder Shares</w:t>
      </w:r>
      <w:r>
        <w:rPr>
          <w:rFonts w:ascii="Times New Roman" w:cs="Times New Roman" w:eastAsia="Times New Roman" w:hAnsi="Times New Roman"/>
          <w:sz w:val="16"/>
          <w:szCs w:val="16"/>
          <w:color w:val="auto"/>
        </w:rPr>
        <w:t>”), which collectively represent (i) approximately 24.5% of the total issued and outstanding Common Stock of the Company, and (ii) approximately 24.5% of the total voting power of the Company; and</w:t>
      </w:r>
    </w:p>
    <w:p>
      <w:pPr>
        <w:spacing w:after="0" w:line="131" w:lineRule="exact"/>
        <w:rPr>
          <w:sz w:val="20"/>
          <w:szCs w:val="20"/>
          <w:color w:val="auto"/>
        </w:rPr>
      </w:pPr>
    </w:p>
    <w:p>
      <w:pPr>
        <w:jc w:val="both"/>
        <w:ind w:firstLine="1210"/>
        <w:spacing w:after="0" w:line="253" w:lineRule="auto"/>
        <w:rPr>
          <w:sz w:val="20"/>
          <w:szCs w:val="20"/>
          <w:color w:val="auto"/>
        </w:rPr>
      </w:pPr>
      <w:r>
        <w:rPr>
          <w:rFonts w:ascii="Times New Roman" w:cs="Times New Roman" w:eastAsia="Times New Roman" w:hAnsi="Times New Roman"/>
          <w:sz w:val="17"/>
          <w:szCs w:val="17"/>
          <w:color w:val="auto"/>
        </w:rPr>
        <w:t>WHEREAS, as a condition to the willingness of each Investor to enter into the Securities Purchase Agreement and to consummate the transactions contemplated thereby (collectively, the “</w:t>
      </w:r>
      <w:r>
        <w:rPr>
          <w:rFonts w:ascii="Times New Roman" w:cs="Times New Roman" w:eastAsia="Times New Roman" w:hAnsi="Times New Roman"/>
          <w:sz w:val="17"/>
          <w:szCs w:val="17"/>
          <w:b w:val="1"/>
          <w:bCs w:val="1"/>
          <w:color w:val="auto"/>
        </w:rPr>
        <w:t>Transaction</w:t>
      </w:r>
      <w:r>
        <w:rPr>
          <w:rFonts w:ascii="Times New Roman" w:cs="Times New Roman" w:eastAsia="Times New Roman" w:hAnsi="Times New Roman"/>
          <w:sz w:val="17"/>
          <w:szCs w:val="17"/>
          <w:color w:val="auto"/>
        </w:rPr>
        <w:t>”), the Investors have required that the Shareholders agree, and in order to induce each Investor to enter into the Securities Purchase Agreement, the Shareholders have agreed, to enter into this Agreement with respect to all the Shareholder Shares now owned and which may hereafter be acquired by the Shareholders and any other securities of the Company (the “</w:t>
      </w:r>
      <w:r>
        <w:rPr>
          <w:rFonts w:ascii="Times New Roman" w:cs="Times New Roman" w:eastAsia="Times New Roman" w:hAnsi="Times New Roman"/>
          <w:sz w:val="17"/>
          <w:szCs w:val="17"/>
          <w:b w:val="1"/>
          <w:bCs w:val="1"/>
          <w:color w:val="auto"/>
        </w:rPr>
        <w:t>Other Securities</w:t>
      </w:r>
      <w:r>
        <w:rPr>
          <w:rFonts w:ascii="Times New Roman" w:cs="Times New Roman" w:eastAsia="Times New Roman" w:hAnsi="Times New Roman"/>
          <w:sz w:val="17"/>
          <w:szCs w:val="17"/>
          <w:color w:val="auto"/>
        </w:rPr>
        <w:t>”, and together with the Shareholder Shares, the “</w:t>
      </w:r>
      <w:r>
        <w:rPr>
          <w:rFonts w:ascii="Times New Roman" w:cs="Times New Roman" w:eastAsia="Times New Roman" w:hAnsi="Times New Roman"/>
          <w:sz w:val="17"/>
          <w:szCs w:val="17"/>
          <w:b w:val="1"/>
          <w:bCs w:val="1"/>
          <w:color w:val="auto"/>
        </w:rPr>
        <w:t>Shareholder Securities</w:t>
      </w:r>
      <w:r>
        <w:rPr>
          <w:rFonts w:ascii="Times New Roman" w:cs="Times New Roman" w:eastAsia="Times New Roman" w:hAnsi="Times New Roman"/>
          <w:sz w:val="17"/>
          <w:szCs w:val="17"/>
          <w:color w:val="auto"/>
        </w:rPr>
        <w:t>”), if any, which the Shareholders are currently entitled to vote, or after the date hereof become entitled to vote, at any meeting of the shareholders of the Company.</w:t>
      </w:r>
    </w:p>
    <w:p>
      <w:pPr>
        <w:spacing w:after="0" w:line="176" w:lineRule="exact"/>
        <w:rPr>
          <w:sz w:val="20"/>
          <w:szCs w:val="20"/>
          <w:color w:val="auto"/>
        </w:rPr>
      </w:pPr>
    </w:p>
    <w:p>
      <w:pPr>
        <w:jc w:val="both"/>
        <w:ind w:firstLine="1210"/>
        <w:spacing w:after="0" w:line="274" w:lineRule="auto"/>
        <w:rPr>
          <w:sz w:val="20"/>
          <w:szCs w:val="20"/>
          <w:color w:val="auto"/>
        </w:rPr>
      </w:pPr>
      <w:r>
        <w:rPr>
          <w:rFonts w:ascii="Times New Roman" w:cs="Times New Roman" w:eastAsia="Times New Roman" w:hAnsi="Times New Roman"/>
          <w:sz w:val="17"/>
          <w:szCs w:val="17"/>
          <w:color w:val="auto"/>
        </w:rPr>
        <w:t>NOW, THEREFORE, in consideration of the foregoing and the mutual covenants and agreements contained herein, and intending to be legally bound hereby, the parties hereto hereby agree as follows: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SUPPORT AGREEMENT OF THE SHAREHOLDER</w:t>
      </w:r>
    </w:p>
    <w:p>
      <w:pPr>
        <w:spacing w:after="0" w:line="208" w:lineRule="exact"/>
        <w:rPr>
          <w:sz w:val="20"/>
          <w:szCs w:val="20"/>
          <w:color w:val="auto"/>
        </w:rPr>
      </w:pPr>
    </w:p>
    <w:p>
      <w:pPr>
        <w:jc w:val="both"/>
        <w:ind w:firstLine="1210"/>
        <w:spacing w:after="0" w:line="251"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Support Agreement</w:t>
      </w:r>
      <w:r>
        <w:rPr>
          <w:rFonts w:ascii="Times New Roman" w:cs="Times New Roman" w:eastAsia="Times New Roman" w:hAnsi="Times New Roman"/>
          <w:sz w:val="17"/>
          <w:szCs w:val="17"/>
          <w:color w:val="auto"/>
        </w:rPr>
        <w:t>. Subject to the last sentence of this Section 1.01, the Shareholders hereby agree that at any meeting of the shareholders of the Company, however called, and in any action by written consent of the Company’s shareholders, the Shareholders shall each vote their respective Shareholder Securities, which Shareholders are currently entitled to vote, or after the date hereof become entitled to vote, at any meeting of the Shareholders of the Company: (a) in favor of the Stockholder Approval (as defined in the Securities Purchase Agreement), as described in Section 4(bb) of the Securities Purchase Agreement; and (b) against any proposal or any other corporate action or agreement that would result in a breach of any covenant, representation or warranty or any other obligation or agreement of the Company under the Transaction Documents (as defined in the Securities Purchase Agreement) or which could result in any of the conditions to the Company’s obligations under the Transaction Documents not being fulfilled. Each Shareholder acknowledges receipt and review of a copy of the Securities Purchase Agreement and the other Transaction Documents. The obligations of the Shareholders under this Section 1.01 shall terminate immediately following the occurrence of the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1412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7"/>
          <w:szCs w:val="17"/>
          <w:color w:val="auto"/>
        </w:rPr>
        <w:t>ARTICLE II</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REPRESENTATIONS AND WARRANTIES OF THE SHAREHOLDER</w:t>
      </w:r>
    </w:p>
    <w:p>
      <w:pPr>
        <w:spacing w:after="0" w:line="20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The Shareholders hereby represent and warrant, severally and not jointly, to the Company and each of the Investors as follows:</w:t>
      </w:r>
    </w:p>
    <w:p>
      <w:pPr>
        <w:spacing w:after="0" w:line="208" w:lineRule="exact"/>
        <w:rPr>
          <w:sz w:val="20"/>
          <w:szCs w:val="20"/>
          <w:color w:val="auto"/>
        </w:rPr>
      </w:pPr>
    </w:p>
    <w:p>
      <w:pPr>
        <w:jc w:val="both"/>
        <w:ind w:firstLine="1210"/>
        <w:spacing w:after="0" w:line="253" w:lineRule="auto"/>
        <w:rPr>
          <w:sz w:val="20"/>
          <w:szCs w:val="20"/>
          <w:color w:val="auto"/>
        </w:rPr>
      </w:pPr>
      <w:r>
        <w:rPr>
          <w:rFonts w:ascii="Times New Roman" w:cs="Times New Roman" w:eastAsia="Times New Roman" w:hAnsi="Times New Roman"/>
          <w:sz w:val="17"/>
          <w:szCs w:val="17"/>
          <w:color w:val="auto"/>
        </w:rPr>
        <w:t xml:space="preserve">SECTION 2.01. </w:t>
      </w:r>
      <w:r>
        <w:rPr>
          <w:rFonts w:ascii="Times New Roman" w:cs="Times New Roman" w:eastAsia="Times New Roman" w:hAnsi="Times New Roman"/>
          <w:sz w:val="17"/>
          <w:szCs w:val="17"/>
          <w:u w:val="single" w:color="auto"/>
          <w:color w:val="auto"/>
        </w:rPr>
        <w:t>Authority Relative to this Agreement</w:t>
      </w:r>
      <w:r>
        <w:rPr>
          <w:rFonts w:ascii="Times New Roman" w:cs="Times New Roman" w:eastAsia="Times New Roman" w:hAnsi="Times New Roman"/>
          <w:sz w:val="17"/>
          <w:szCs w:val="17"/>
          <w:color w:val="auto"/>
        </w:rPr>
        <w:t>. Each Shareholder has all requisite power and authority to execute and deliver this Agreement, to perform its obligations hereunder and to consummate the transactions contemplated hereby. This Agreement has been duly executed and delivered by each Shareholder and constitutes a legal, valid and binding obligation of each Shareholder, enforceable against each Shareholder in accordance with its terms, except (a) as such enforceability may be limited by applicable bankruptcy, insolvency, reorganization, fraudulent conveyance, moratorium or similar laws now or hereafter in effect relating to, or affecting generally, the enforcement of creditors’ and other obligees’ rights and (b) where the remedy of specific performance or other forms of equitable relief may be subject to certain equitable defenses and principles and to the discretion of the court before which the proceeding may be brought.</w:t>
      </w:r>
    </w:p>
    <w:p>
      <w:pPr>
        <w:spacing w:after="0" w:line="176" w:lineRule="exact"/>
        <w:rPr>
          <w:sz w:val="20"/>
          <w:szCs w:val="20"/>
          <w:color w:val="auto"/>
        </w:rPr>
      </w:pPr>
    </w:p>
    <w:p>
      <w:pPr>
        <w:jc w:val="both"/>
        <w:ind w:firstLine="1210"/>
        <w:spacing w:after="0" w:line="252"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No Conflict</w:t>
      </w:r>
      <w:r>
        <w:rPr>
          <w:rFonts w:ascii="Times New Roman" w:cs="Times New Roman" w:eastAsia="Times New Roman" w:hAnsi="Times New Roman"/>
          <w:sz w:val="17"/>
          <w:szCs w:val="17"/>
          <w:color w:val="auto"/>
        </w:rPr>
        <w:t>. (a) The execution and delivery of this Agreement by each Shareholder does not, and the performance of this Agreement by each Shareholder shall not, (i) conflict with or violate any federal, state or local law, statute, ordinance, rule, regulation, order, judgment or decree applicable to such Shareholder or by which the Shareholder Securities owned by each Shareholder are bound or affected or (ii) result in any breach of or constitute a default (or an event that with notice or lapse of time or both would become a default) under, or give to others any rights of termination, amendment, acceleration or cancellation of, or result in the creation of a lien or encumbrance on any of the Shareholder Securities owned by each Shareholder pursuant to, any note, bond, mortgage, indenture, contract, agreement, lease, license, permit, franchise or other instrument or obligation to which any Shareholder is a party or by which any Shareholder or the Shareholder Securities owned by such Shareholder is bound.</w:t>
      </w:r>
    </w:p>
    <w:p>
      <w:pPr>
        <w:spacing w:after="0" w:line="177" w:lineRule="exact"/>
        <w:rPr>
          <w:sz w:val="20"/>
          <w:szCs w:val="20"/>
          <w:color w:val="auto"/>
        </w:rPr>
      </w:pPr>
    </w:p>
    <w:p>
      <w:pPr>
        <w:jc w:val="both"/>
        <w:ind w:firstLine="1211"/>
        <w:spacing w:after="0" w:line="261" w:lineRule="auto"/>
        <w:tabs>
          <w:tab w:leader="none" w:pos="1454"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this Agreement by each Shareholder does not, and the performance of this Agreement by such Shareholder shall not, require any consent, approval, authorization or permit of, or filing with or notification to, any governmental entity by such Shareholder, except with respect to filings made pursuant to Section 13 of the Securities Exchange Act of 1934.</w:t>
      </w:r>
    </w:p>
    <w:p>
      <w:pPr>
        <w:spacing w:after="0" w:line="169" w:lineRule="exact"/>
        <w:rPr>
          <w:sz w:val="20"/>
          <w:szCs w:val="20"/>
          <w:color w:val="auto"/>
        </w:rPr>
      </w:pPr>
    </w:p>
    <w:p>
      <w:pPr>
        <w:jc w:val="both"/>
        <w:ind w:firstLine="1210"/>
        <w:spacing w:after="0" w:line="256" w:lineRule="auto"/>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u w:val="single" w:color="auto"/>
          <w:color w:val="auto"/>
        </w:rPr>
        <w:t>Title to the Stock</w:t>
      </w:r>
      <w:r>
        <w:rPr>
          <w:rFonts w:ascii="Times New Roman" w:cs="Times New Roman" w:eastAsia="Times New Roman" w:hAnsi="Times New Roman"/>
          <w:sz w:val="17"/>
          <w:szCs w:val="17"/>
          <w:color w:val="auto"/>
        </w:rPr>
        <w:t>. The Common Stock owned by each Shareholder are all the securities of the Company owned, either of record or beneficially, by such Shareholder. Such Common Stock or Other Securities are owned free and clear of all Encumbrances (as defined below), except for the Permitted Encumbrances (as defined below). The Shareholder has not appointed or granted any proxy, which appointment or grant is still effective, with respect to the Common Stock or Other Securities owned by such Shareholder.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7"/>
          <w:szCs w:val="17"/>
          <w:color w:val="auto"/>
        </w:rPr>
        <w:t>ARTICLE III</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COVENANTS</w:t>
      </w:r>
    </w:p>
    <w:p>
      <w:pPr>
        <w:spacing w:after="0" w:line="208" w:lineRule="exact"/>
        <w:rPr>
          <w:sz w:val="20"/>
          <w:szCs w:val="20"/>
          <w:color w:val="auto"/>
        </w:rPr>
      </w:pPr>
    </w:p>
    <w:p>
      <w:pPr>
        <w:jc w:val="both"/>
        <w:ind w:firstLine="1210"/>
        <w:spacing w:after="0" w:line="252" w:lineRule="auto"/>
        <w:rPr>
          <w:sz w:val="20"/>
          <w:szCs w:val="20"/>
          <w:color w:val="auto"/>
        </w:rPr>
      </w:pPr>
      <w:r>
        <w:rPr>
          <w:rFonts w:ascii="Times New Roman" w:cs="Times New Roman" w:eastAsia="Times New Roman" w:hAnsi="Times New Roman"/>
          <w:sz w:val="17"/>
          <w:szCs w:val="17"/>
          <w:color w:val="auto"/>
        </w:rPr>
        <w:t xml:space="preserve">SECTION 3.01. </w:t>
      </w:r>
      <w:r>
        <w:rPr>
          <w:rFonts w:ascii="Times New Roman" w:cs="Times New Roman" w:eastAsia="Times New Roman" w:hAnsi="Times New Roman"/>
          <w:sz w:val="17"/>
          <w:szCs w:val="17"/>
          <w:u w:val="single" w:color="auto"/>
          <w:color w:val="auto"/>
        </w:rPr>
        <w:t>No Disposition or Encumbrance of Stock</w:t>
      </w:r>
      <w:r>
        <w:rPr>
          <w:rFonts w:ascii="Times New Roman" w:cs="Times New Roman" w:eastAsia="Times New Roman" w:hAnsi="Times New Roman"/>
          <w:sz w:val="17"/>
          <w:szCs w:val="17"/>
          <w:color w:val="auto"/>
        </w:rPr>
        <w:t>. Each Shareholder hereby covenants and agrees, severally and not jointly, that such Shareholder shall not offer or agree to sell, transfer, tender, assign, hypothecate or otherwise dispose of, grant a proxy or power of attorney with respect to, or create or permit to exist any security interest, lien, claim, pledge, option, right of first refusal, agreement, limitation on the Shareholder’s voting rights, charge or other encumbrance of any nature whatsoever (“</w:t>
      </w:r>
      <w:r>
        <w:rPr>
          <w:rFonts w:ascii="Times New Roman" w:cs="Times New Roman" w:eastAsia="Times New Roman" w:hAnsi="Times New Roman"/>
          <w:sz w:val="17"/>
          <w:szCs w:val="17"/>
          <w:b w:val="1"/>
          <w:bCs w:val="1"/>
          <w:color w:val="auto"/>
        </w:rPr>
        <w:t>Encumbrance”</w:t>
      </w:r>
      <w:r>
        <w:rPr>
          <w:rFonts w:ascii="Times New Roman" w:cs="Times New Roman" w:eastAsia="Times New Roman" w:hAnsi="Times New Roman"/>
          <w:sz w:val="17"/>
          <w:szCs w:val="17"/>
          <w:color w:val="auto"/>
        </w:rPr>
        <w:t>) with respect to the Shareholder Securities, directly or indirectly, or initiate, solicit or encourage any person to take actions which could reasonably be expected to lead to the occurrence of any of the foregoing. For purposes of this Agreement, “Permitted Encumbrances” means the certain Support Agreement dated as of December 31, 2024, by and between the Company and the stockholder signatory thereto (the “</w:t>
      </w:r>
      <w:r>
        <w:rPr>
          <w:rFonts w:ascii="Times New Roman" w:cs="Times New Roman" w:eastAsia="Times New Roman" w:hAnsi="Times New Roman"/>
          <w:sz w:val="17"/>
          <w:szCs w:val="17"/>
          <w:b w:val="1"/>
          <w:bCs w:val="1"/>
          <w:color w:val="auto"/>
        </w:rPr>
        <w:t>Existing Support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with respect to the Warrant Issuance Shareholder Approval (as defined in the Existing Support Agreement).</w:t>
      </w:r>
    </w:p>
    <w:p>
      <w:pPr>
        <w:spacing w:after="0" w:line="177" w:lineRule="exact"/>
        <w:rPr>
          <w:sz w:val="20"/>
          <w:szCs w:val="20"/>
          <w:color w:val="auto"/>
        </w:rPr>
      </w:pPr>
    </w:p>
    <w:p>
      <w:pPr>
        <w:jc w:val="both"/>
        <w:ind w:firstLine="1210"/>
        <w:spacing w:after="0" w:line="261"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u w:val="single" w:color="auto"/>
          <w:color w:val="auto"/>
        </w:rPr>
        <w:t>Company Cooperation</w:t>
      </w:r>
      <w:r>
        <w:rPr>
          <w:rFonts w:ascii="Times New Roman" w:cs="Times New Roman" w:eastAsia="Times New Roman" w:hAnsi="Times New Roman"/>
          <w:sz w:val="17"/>
          <w:szCs w:val="17"/>
          <w:color w:val="auto"/>
        </w:rPr>
        <w:t>. The Company hereby covenants and agrees that it will not, and each Shareholder irrevocably and unconditionally acknowledges and agrees that the Company will not (and waives any rights against the Company in relation thereto), recognize any Encumbrance or agreement (other than this Agreement) on any of the Shareholder Securities subject to this Agreement, except for the Permitted Encumbrances.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ARTICLE IV</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MISCELLANEOUS</w:t>
      </w:r>
    </w:p>
    <w:p>
      <w:pPr>
        <w:spacing w:after="0" w:line="208" w:lineRule="exact"/>
        <w:rPr>
          <w:sz w:val="20"/>
          <w:szCs w:val="20"/>
          <w:color w:val="auto"/>
        </w:rPr>
      </w:pPr>
    </w:p>
    <w:p>
      <w:pPr>
        <w:jc w:val="both"/>
        <w:ind w:firstLine="1210"/>
        <w:spacing w:after="0" w:line="274" w:lineRule="auto"/>
        <w:rPr>
          <w:sz w:val="20"/>
          <w:szCs w:val="20"/>
          <w:color w:val="auto"/>
        </w:rPr>
      </w:pPr>
      <w:r>
        <w:rPr>
          <w:rFonts w:ascii="Times New Roman" w:cs="Times New Roman" w:eastAsia="Times New Roman" w:hAnsi="Times New Roman"/>
          <w:sz w:val="17"/>
          <w:szCs w:val="17"/>
          <w:color w:val="auto"/>
        </w:rPr>
        <w:t xml:space="preserve">SECTION 4.01.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Each Shareholder shall execute and deliver such further documents and instruments and take all further action as may be reasonably necessary in order to consummate the transactions contemplated hereby.</w:t>
      </w:r>
    </w:p>
    <w:p>
      <w:pPr>
        <w:spacing w:after="0" w:line="159" w:lineRule="exact"/>
        <w:rPr>
          <w:sz w:val="20"/>
          <w:szCs w:val="20"/>
          <w:color w:val="auto"/>
        </w:rPr>
      </w:pPr>
    </w:p>
    <w:p>
      <w:pPr>
        <w:jc w:val="both"/>
        <w:ind w:firstLine="1210"/>
        <w:spacing w:after="0" w:line="256"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The parties hereto agree that irreparable damage would occur in the event any provision of this Agreement was not performed in accordance with the terms hereof and that any Investor (without being joined by any other Investor) shall be entitled to specific performance of the terms hereof, in addition to any other remedy at law or in equity. Any Investor shall be entitled to its reasonable attorneys’ fees in any action brought to enforce this Agreement in which it is the prevailing party.</w:t>
      </w:r>
    </w:p>
    <w:p>
      <w:pPr>
        <w:spacing w:after="0" w:line="175" w:lineRule="exact"/>
        <w:rPr>
          <w:sz w:val="20"/>
          <w:szCs w:val="20"/>
          <w:color w:val="auto"/>
        </w:rPr>
      </w:pPr>
    </w:p>
    <w:p>
      <w:pPr>
        <w:jc w:val="both"/>
        <w:ind w:firstLine="1210"/>
        <w:spacing w:after="0" w:line="261" w:lineRule="auto"/>
        <w:rPr>
          <w:sz w:val="20"/>
          <w:szCs w:val="20"/>
          <w:color w:val="auto"/>
        </w:rPr>
      </w:pPr>
      <w:r>
        <w:rPr>
          <w:rFonts w:ascii="Times New Roman" w:cs="Times New Roman" w:eastAsia="Times New Roman" w:hAnsi="Times New Roman"/>
          <w:sz w:val="17"/>
          <w:szCs w:val="17"/>
          <w:color w:val="auto"/>
        </w:rPr>
        <w:t xml:space="preserve">SECTION 4.03.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constitutes the entire agreement between the Company and the Shareholders (other than the Securities Purchase Agreement and the other Transaction Documents) with respect to the subject matter hereof and supersedes all prior agreements and understandings, both written and oral, among the Company and the Shareholders with respect to the subject matter hereof.</w:t>
      </w:r>
    </w:p>
    <w:p>
      <w:pPr>
        <w:spacing w:after="0" w:line="169" w:lineRule="exact"/>
        <w:rPr>
          <w:sz w:val="20"/>
          <w:szCs w:val="20"/>
          <w:color w:val="auto"/>
        </w:rPr>
      </w:pPr>
    </w:p>
    <w:p>
      <w:pPr>
        <w:jc w:val="both"/>
        <w:ind w:firstLine="1210"/>
        <w:spacing w:after="0" w:line="252" w:lineRule="auto"/>
        <w:rPr>
          <w:sz w:val="20"/>
          <w:szCs w:val="20"/>
          <w:color w:val="auto"/>
        </w:rPr>
      </w:pPr>
      <w:r>
        <w:rPr>
          <w:rFonts w:ascii="Times New Roman" w:cs="Times New Roman" w:eastAsia="Times New Roman" w:hAnsi="Times New Roman"/>
          <w:sz w:val="17"/>
          <w:szCs w:val="17"/>
          <w:color w:val="auto"/>
        </w:rPr>
        <w:t xml:space="preserve">SECTION 4.04. </w:t>
      </w:r>
      <w:r>
        <w:rPr>
          <w:rFonts w:ascii="Times New Roman" w:cs="Times New Roman" w:eastAsia="Times New Roman" w:hAnsi="Times New Roman"/>
          <w:sz w:val="17"/>
          <w:szCs w:val="17"/>
          <w:u w:val="single" w:color="auto"/>
          <w:color w:val="auto"/>
        </w:rPr>
        <w:t>Directors and Officers</w:t>
      </w:r>
      <w:r>
        <w:rPr>
          <w:rFonts w:ascii="Times New Roman" w:cs="Times New Roman" w:eastAsia="Times New Roman" w:hAnsi="Times New Roman"/>
          <w:sz w:val="17"/>
          <w:szCs w:val="17"/>
          <w:color w:val="auto"/>
        </w:rPr>
        <w:t>. This Agreement shall apply to each Shareholder solely in such Shareholder’s capacity as a holder of Common Stock and Other Securities, as the case may be, and not in such Shareholder’s capacity as a director, officer or employee of the Company or any of its Subsidiaries or in such Shareholder’s capacity as a trustee or fiduciary of any employee benefit plan or trust, as applicable (if any). Notwithstanding any provision of this Agreement to the contrary, nothing in this Agreement shall (or require any Shareholder to attempt to) limit or restrict a director or officer of the Company in the exercise of his or her fiduciary duties as a director or officer of the Company or in his or her capacity as a trustee or fiduciary of any employee benefit plan or trust or prevent or be construed to create any obligation on the part of any director or officer of the Company or any trustee or fiduciary of any employee benefit plan or trust from taking any action in his or her capacity as such director, officer, trustee or fiduciary.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64" w:name="page165"/>
    <w:bookmarkEnd w:id="164"/>
    <w:p>
      <w:pPr>
        <w:jc w:val="both"/>
        <w:ind w:firstLine="1210"/>
        <w:spacing w:after="0" w:line="274" w:lineRule="auto"/>
        <w:rPr>
          <w:sz w:val="20"/>
          <w:szCs w:val="20"/>
          <w:color w:val="auto"/>
        </w:rPr>
      </w:pPr>
      <w:r>
        <w:rPr>
          <w:rFonts w:ascii="Times New Roman" w:cs="Times New Roman" w:eastAsia="Times New Roman" w:hAnsi="Times New Roman"/>
          <w:sz w:val="17"/>
          <w:szCs w:val="17"/>
          <w:color w:val="auto"/>
        </w:rPr>
        <w:t xml:space="preserve">SECTION 4.05.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not be modified or amended or the provisions hereof waived except by an instrument in writing signed by the parties hereto.</w:t>
      </w:r>
    </w:p>
    <w:p>
      <w:pPr>
        <w:spacing w:after="0" w:line="159" w:lineRule="exact"/>
        <w:rPr>
          <w:sz w:val="20"/>
          <w:szCs w:val="20"/>
          <w:color w:val="auto"/>
        </w:rPr>
      </w:pPr>
    </w:p>
    <w:p>
      <w:pPr>
        <w:jc w:val="both"/>
        <w:ind w:firstLine="1210"/>
        <w:spacing w:after="0" w:line="254" w:lineRule="auto"/>
        <w:rPr>
          <w:sz w:val="20"/>
          <w:szCs w:val="20"/>
          <w:color w:val="auto"/>
        </w:rPr>
      </w:pPr>
      <w:r>
        <w:rPr>
          <w:rFonts w:ascii="Times New Roman" w:cs="Times New Roman" w:eastAsia="Times New Roman" w:hAnsi="Times New Roman"/>
          <w:sz w:val="17"/>
          <w:szCs w:val="17"/>
          <w:color w:val="auto"/>
        </w:rPr>
        <w:t xml:space="preserve">SECTION 4.06.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terms of this Agreement remain as originally contemplated to the fullest extent possible.</w:t>
      </w:r>
    </w:p>
    <w:p>
      <w:pPr>
        <w:spacing w:after="0" w:line="176" w:lineRule="exact"/>
        <w:rPr>
          <w:sz w:val="20"/>
          <w:szCs w:val="20"/>
          <w:color w:val="auto"/>
        </w:rPr>
      </w:pPr>
    </w:p>
    <w:p>
      <w:pPr>
        <w:jc w:val="both"/>
        <w:ind w:firstLine="1210"/>
        <w:spacing w:after="0" w:line="274" w:lineRule="auto"/>
        <w:rPr>
          <w:sz w:val="20"/>
          <w:szCs w:val="20"/>
          <w:color w:val="auto"/>
        </w:rPr>
      </w:pPr>
      <w:r>
        <w:rPr>
          <w:rFonts w:ascii="Times New Roman" w:cs="Times New Roman" w:eastAsia="Times New Roman" w:hAnsi="Times New Roman"/>
          <w:sz w:val="17"/>
          <w:szCs w:val="17"/>
          <w:color w:val="auto"/>
        </w:rPr>
        <w:t xml:space="preserve">SECTION 4.07. </w:t>
      </w: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This Agreement is intended for the benefit of the parties hereto and their respective permitted successors and assigns, and is not for the benefit of, nor may any provision hereof be enforced by, any other person.</w:t>
      </w:r>
    </w:p>
    <w:p>
      <w:pPr>
        <w:spacing w:after="0" w:line="159" w:lineRule="exact"/>
        <w:rPr>
          <w:sz w:val="20"/>
          <w:szCs w:val="20"/>
          <w:color w:val="auto"/>
        </w:rPr>
      </w:pPr>
    </w:p>
    <w:p>
      <w:pPr>
        <w:jc w:val="both"/>
        <w:ind w:firstLine="1210"/>
        <w:spacing w:after="0" w:line="264" w:lineRule="auto"/>
        <w:rPr>
          <w:sz w:val="20"/>
          <w:szCs w:val="20"/>
          <w:color w:val="auto"/>
        </w:rPr>
      </w:pPr>
      <w:r>
        <w:rPr>
          <w:rFonts w:ascii="Times New Roman" w:cs="Times New Roman" w:eastAsia="Times New Roman" w:hAnsi="Times New Roman"/>
          <w:sz w:val="16"/>
          <w:szCs w:val="16"/>
          <w:color w:val="auto"/>
        </w:rPr>
        <w:t xml:space="preserve">SECTION 4.08. </w:t>
      </w: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xml:space="preserve">. All questions concerning the construction, validity, enforcement and interpretation of this Agreement shall be governed by the internal laws of the State of Nevada, without giving effect to any choice of law or conflict of law provision or rule (whether of the State of Nevada or any other jurisdictions) that would cause the application of the laws of any jurisdictions other than the State of Nevada. The Company hereby irrevocably submits to the exclusive jurisdiction of the state and federal courts sitting in Reno, Nevada,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parties consent to the jurisdiction and venue of the foregoing courts and consent that any process or notice of motion or other application to any of said courts or a judge thereof may be served inside or outside the State of Nevada by registered mail, return receipt requested, directed to the party being served at its address set forth on the signature ages to this Agreement (and service so made shall be deemed complete three (3) days after the same has been posted as aforesaid) or by personal service or in such other manner as may be permissible under the rules of said courts. Each of the Company and the Shareholders irrevocably waives, to the fullest extent permitted by law, any objection which it may now or hereafter have to the laying of the venue of any such suit, action, or proceeding brought in such a court and any claim that suit, action, or proceeding has been brought in an inconvenient forum. </w:t>
      </w:r>
      <w:r>
        <w:rPr>
          <w:rFonts w:ascii="Times New Roman" w:cs="Times New Roman" w:eastAsia="Times New Roman" w:hAnsi="Times New Roman"/>
          <w:sz w:val="16"/>
          <w:szCs w:val="16"/>
          <w:b w:val="1"/>
          <w:bCs w:val="1"/>
          <w:color w:val="auto"/>
        </w:rPr>
        <w:t>EACH</w:t>
      </w:r>
    </w:p>
    <w:p>
      <w:pPr>
        <w:spacing w:after="0" w:line="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PARTY HEREBY IRREVOCABLY WAIVES ANY RIGHT IT MAY HAVE, AND AGREES NOT TO REQUEST, A JURY TRIAL FOR THE ADJUDICATION OF ANY DISPUTE HEREUNDER OR IN CONNECTION WITH OR ARISING OUT OF THIS AGREEMENT OR ANY TRANSACTION CONTEMPLATED HEREBY.</w:t>
      </w:r>
    </w:p>
    <w:p>
      <w:pPr>
        <w:spacing w:after="0" w:line="17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 xml:space="preserve">SECTION 4.09.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shall automatically terminate immediately following the occurrence of the Stockholder Approval.</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remainder of the page is intentionally left blank]</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65" w:name="page166"/>
    <w:bookmarkEnd w:id="165"/>
    <w:p>
      <w:pPr>
        <w:ind w:left="100"/>
        <w:spacing w:after="0"/>
        <w:rPr>
          <w:sz w:val="20"/>
          <w:szCs w:val="20"/>
          <w:color w:val="auto"/>
        </w:rPr>
      </w:pPr>
      <w:r>
        <w:rPr>
          <w:rFonts w:ascii="Times New Roman" w:cs="Times New Roman" w:eastAsia="Times New Roman" w:hAnsi="Times New Roman"/>
          <w:sz w:val="17"/>
          <w:szCs w:val="17"/>
          <w:color w:val="auto"/>
        </w:rPr>
        <w:t>IN WITNESS WHEREOF, the Shareholders and the Company have duly executed this Voting Agreement as of the date first written above.</w:t>
      </w:r>
    </w:p>
    <w:p>
      <w:pPr>
        <w:spacing w:after="0" w:line="2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20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12" w:lineRule="exact"/>
        <w:rPr>
          <w:sz w:val="20"/>
          <w:szCs w:val="20"/>
          <w:color w:val="auto"/>
        </w:rPr>
      </w:pPr>
    </w:p>
    <w:tbl>
      <w:tblPr>
        <w:tblLayout w:type="fixed"/>
        <w:tblInd w:w="452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Denis Phares</w:t>
            </w:r>
          </w:p>
        </w:tc>
      </w:tr>
      <w:tr>
        <w:trPr>
          <w:trHeight w:val="178"/>
        </w:trPr>
        <w:tc>
          <w:tcPr>
            <w:tcW w:w="56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Denis Phares</w:t>
            </w: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1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Address: 12915 Old Virginia Road</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Reno, Nevada 89521</w:t>
      </w:r>
    </w:p>
    <w:p>
      <w:pPr>
        <w:spacing w:after="0" w:line="18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SHAREHOLDERS:</w:t>
      </w:r>
    </w:p>
    <w:p>
      <w:pPr>
        <w:spacing w:after="0" w:line="20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DENIS PHARES</w:t>
      </w:r>
    </w:p>
    <w:p>
      <w:pPr>
        <w:spacing w:after="0" w:line="2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/s/ Denis Phares</w:t>
      </w:r>
    </w:p>
    <w:p>
      <w:pPr>
        <w:spacing w:after="0" w:line="2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Address: 12915 Old Virginia Road</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Reno, Nevada 89521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260350</wp:posOffset>
            </wp:positionV>
            <wp:extent cx="714121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53"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FIFTH AMENDMENT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TERM LOAN, GUARANTEE AND SECURITY AGREEMENT AND LIMITED WAIVER AND AMENDMENT OF WARRANT TERMS</w:t>
      </w:r>
    </w:p>
    <w:p>
      <w:pPr>
        <w:spacing w:after="0" w:line="18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FIFTH AMENDMENT TO TERM LOAN, GUARANTEE AND SECURITY AGREEMENT</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is made as of February 26, 2025, by and among DRAGONFLY ENERGY CORP. (“</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DRAGONFLY ENERGY HOLDINGS CORP. (F/K/A CHARDAN NEXTECH ACQUISITION 2 CORP) (“</w:t>
      </w:r>
      <w:r>
        <w:rPr>
          <w:rFonts w:ascii="Times New Roman" w:cs="Times New Roman" w:eastAsia="Times New Roman" w:hAnsi="Times New Roman"/>
          <w:sz w:val="17"/>
          <w:szCs w:val="17"/>
          <w:u w:val="single" w:color="auto"/>
          <w:color w:val="auto"/>
        </w:rPr>
        <w:t>Holdings</w:t>
      </w:r>
      <w:r>
        <w:rPr>
          <w:rFonts w:ascii="Times New Roman" w:cs="Times New Roman" w:eastAsia="Times New Roman" w:hAnsi="Times New Roman"/>
          <w:sz w:val="17"/>
          <w:szCs w:val="17"/>
          <w:color w:val="auto"/>
        </w:rPr>
        <w:t>”), BATTLE BORN BATTERY PRODUCTS, LLC (“</w:t>
      </w:r>
      <w:r>
        <w:rPr>
          <w:rFonts w:ascii="Times New Roman" w:cs="Times New Roman" w:eastAsia="Times New Roman" w:hAnsi="Times New Roman"/>
          <w:sz w:val="17"/>
          <w:szCs w:val="17"/>
          <w:u w:val="single" w:color="auto"/>
          <w:color w:val="auto"/>
        </w:rPr>
        <w:t>Battle Born</w:t>
      </w:r>
      <w:r>
        <w:rPr>
          <w:rFonts w:ascii="Times New Roman" w:cs="Times New Roman" w:eastAsia="Times New Roman" w:hAnsi="Times New Roman"/>
          <w:sz w:val="17"/>
          <w:szCs w:val="17"/>
          <w:color w:val="auto"/>
        </w:rPr>
        <w:t>”, and together with Holdings, each a “</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Guarantors</w:t>
      </w:r>
      <w:r>
        <w:rPr>
          <w:rFonts w:ascii="Times New Roman" w:cs="Times New Roman" w:eastAsia="Times New Roman" w:hAnsi="Times New Roman"/>
          <w:sz w:val="17"/>
          <w:szCs w:val="17"/>
          <w:color w:val="auto"/>
        </w:rPr>
        <w:t>”), the Lenders signatory hereto (the “</w:t>
      </w:r>
      <w:r>
        <w:rPr>
          <w:rFonts w:ascii="Times New Roman" w:cs="Times New Roman" w:eastAsia="Times New Roman" w:hAnsi="Times New Roman"/>
          <w:sz w:val="17"/>
          <w:szCs w:val="17"/>
          <w:u w:val="single" w:color="auto"/>
          <w:color w:val="auto"/>
        </w:rPr>
        <w:t>Required Lenders</w:t>
      </w:r>
      <w:r>
        <w:rPr>
          <w:rFonts w:ascii="Times New Roman" w:cs="Times New Roman" w:eastAsia="Times New Roman" w:hAnsi="Times New Roman"/>
          <w:sz w:val="17"/>
          <w:szCs w:val="17"/>
          <w:color w:val="auto"/>
        </w:rPr>
        <w:t>”), and ALTER DOMUS (US) LLC, as agent on behalf of the Lenders under the Loan Agreement (as hereinafter defined) (in such capacity, the “</w:t>
      </w: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WHEREAS, Borrower, Holdings, the Required Lenders and the Agent are parties to that certain Term Loan, Guarantee and Security Agreement, dated as of October 7, 2022 (as amended by that certain Limited Waiver and First Amendment to Term Loan, Guarantee and Security Agreement, dated as of June 28, 2024, that certain Limited Waiver, Consent and Second Amendment to Term Loan, Guarantee and Security Agreement, dated as of July 29, 2024, that certain Limited Waiver and Third Amendment to Term Loan, Guarantee and Security Agreement, dated as of September 30, 2024, that certain Limited Waiver and Fourth Amendment to Term Loan, Guarantee and Security Agreement and Temporary, Limited Suspension and Waiver of Warrant Terms, dated as of December 31, 2024, and as may be further amended, modified, extended, restated, replaced, and/or supplemented from time to time, the “</w:t>
      </w:r>
      <w:r>
        <w:rPr>
          <w:rFonts w:ascii="Times New Roman" w:cs="Times New Roman" w:eastAsia="Times New Roman" w:hAnsi="Times New Roman"/>
          <w:sz w:val="17"/>
          <w:szCs w:val="17"/>
          <w:u w:val="single" w:color="auto"/>
          <w:color w:val="auto"/>
        </w:rPr>
        <w:t>Loan Agreement</w:t>
      </w:r>
      <w:r>
        <w:rPr>
          <w:rFonts w:ascii="Times New Roman" w:cs="Times New Roman" w:eastAsia="Times New Roman" w:hAnsi="Times New Roman"/>
          <w:sz w:val="17"/>
          <w:szCs w:val="17"/>
          <w:color w:val="auto"/>
        </w:rPr>
        <w:t>”); and</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WHEREAS, the Credit Parties have requested that the Agent and the Required Lenders amend certain provisions of the Loan Agreement and, subject to the satisfaction of the conditions set forth below, each of the Agent and the Required Lenders are willing to amend the Loan Agreement on the terms set forth herein;</w:t>
      </w:r>
    </w:p>
    <w:p>
      <w:pPr>
        <w:spacing w:after="0" w:line="159"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 xml:space="preserve">WHEREAS, Holdings has issued or, with respect to the Penny Warrants set forth in subsections (xix) – (xxi), shall issue, that certain (i) Penny Warrant, dated as of October 7, 2022, to BP Holdings XVII LP, (ii) Penny Warrant, dated as of October 7, 2022, to Energy Impact Credit Fund I LP, (iii) Penny Warrant, dated as of October 7, 2022, to Energy Impact Credit Fund II LP, (iv) Penny Warrant, dated as of December 29, 2023, to BP Holdings XVII LP, (v) Penny Warrant, dated as of December 29, 2023, to Energy Impact Credit Fund I LP, (vi) Penny Warrant, dated as of December 29, 2023, to Energy Impact Credit Fund II LP, (vii) Penny Warrant, dated as of May 13, 2024, to BP Holdings XVII LP, (viii) Penny Warrant, dated as of May 13, 2024, to Energy Impact Credit Fund I LP, (ix) Penny Warrant, dated as of May 13, 2024, to Energy Impact Credit Fund II LP, (x) Penny Warrant, dated as of June 28, 2024, to BP Holdings XVII LP, (xi) Penny Warrant, dated as of June 28, 2024, to Energy Impact Credit Fund I LP, (xii) Penny Warrant, dated as of June 28, 2024, to Energy Impact Credit Fund II LP, (xiii) Penny Warrant, dated as of September 30, 2024, to BP Holdings XVII LP, (xiv) Penny Warrant, dated as of September 30, 2024, to Energy Impact Credit Fund I LP, (xv) Penny Warrant, dated as of September 30, 2024, to Energy Impact Credit Fund II LP, (xvi) Penny Warrant, dated as of December 31, 2024, to BP Holdings XVII LP, (xvii) Penny Warrant, dated as of December 31, 2024, to Energy Impact Credit Fund I LP, (xviii) Penny Warrant, dated as of December 31, 2024, to Energy Impact Credit Fund II LP, (collectively, the </w:t>
      </w:r>
      <w:r>
        <w:rPr>
          <w:rFonts w:ascii="Times New Roman" w:cs="Times New Roman" w:eastAsia="Times New Roman" w:hAnsi="Times New Roman"/>
          <w:sz w:val="17"/>
          <w:szCs w:val="17"/>
          <w:u w:val="single" w:color="auto"/>
          <w:color w:val="auto"/>
        </w:rPr>
        <w:t>“Existing Warrants</w:t>
      </w:r>
      <w:r>
        <w:rPr>
          <w:rFonts w:ascii="Times New Roman" w:cs="Times New Roman" w:eastAsia="Times New Roman" w:hAnsi="Times New Roman"/>
          <w:sz w:val="17"/>
          <w:szCs w:val="17"/>
          <w:color w:val="auto"/>
        </w:rPr>
        <w:t>”) (xix) Penny Warrant, to be dated as of February 26, 2025, to BP Holdings XVII LP, (xx) Penny Warrant, to be dated as of February 26, 2025, to Energy Impact Credit Fund I LP, (xxi) Penny Warrant, to be dated as of February 26, 2025, to Energy Impact Credit Fund II LP, (collectively, the “</w:t>
      </w:r>
      <w:r>
        <w:rPr>
          <w:rFonts w:ascii="Times New Roman" w:cs="Times New Roman" w:eastAsia="Times New Roman" w:hAnsi="Times New Roman"/>
          <w:sz w:val="17"/>
          <w:szCs w:val="17"/>
          <w:u w:val="single" w:color="auto"/>
          <w:color w:val="auto"/>
        </w:rPr>
        <w:t>New Warrants</w:t>
      </w:r>
      <w:r>
        <w:rPr>
          <w:rFonts w:ascii="Times New Roman" w:cs="Times New Roman" w:eastAsia="Times New Roman" w:hAnsi="Times New Roman"/>
          <w:sz w:val="17"/>
          <w:szCs w:val="17"/>
          <w:color w:val="auto"/>
        </w:rPr>
        <w:t>”), and (xxii) additional Penny Warrants as a result of the anti-dilution provisions in the Penny Warrants set forth in subsections (i)-(xxi) above (as each may be further amended, modified, extended, restated, replaced, and/or supplemented from time to time, collectively with the Existing Warrants and the New Warrants, the “</w:t>
      </w:r>
      <w:r>
        <w:rPr>
          <w:rFonts w:ascii="Times New Roman" w:cs="Times New Roman" w:eastAsia="Times New Roman" w:hAnsi="Times New Roman"/>
          <w:sz w:val="17"/>
          <w:szCs w:val="17"/>
          <w:u w:val="single" w:color="auto"/>
          <w:color w:val="auto"/>
        </w:rPr>
        <w:t>Warrants</w:t>
      </w:r>
      <w:r>
        <w:rPr>
          <w:rFonts w:ascii="Times New Roman" w:cs="Times New Roman" w:eastAsia="Times New Roman" w:hAnsi="Times New Roman"/>
          <w:sz w:val="17"/>
          <w:szCs w:val="17"/>
          <w:color w:val="auto"/>
        </w:rPr>
        <w:t>”) and the Lenders have agreed to amend and/or waive certain anti-dilution protections in accordance with the terms set forth in Section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255905</wp:posOffset>
            </wp:positionV>
            <wp:extent cx="714121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7" w:name="page168"/>
    <w:bookmarkEnd w:id="167"/>
    <w:p>
      <w:pPr>
        <w:ind w:left="600"/>
        <w:spacing w:after="0"/>
        <w:rPr>
          <w:sz w:val="20"/>
          <w:szCs w:val="20"/>
          <w:color w:val="auto"/>
        </w:rPr>
      </w:pPr>
      <w:r>
        <w:rPr>
          <w:rFonts w:ascii="Times New Roman" w:cs="Times New Roman" w:eastAsia="Times New Roman" w:hAnsi="Times New Roman"/>
          <w:sz w:val="17"/>
          <w:szCs w:val="17"/>
          <w:color w:val="auto"/>
        </w:rPr>
        <w:t>NOW THEREFORE, the Credit Parties, the Required Lenders and the Agent each hereby agrees as follows:</w:t>
      </w:r>
    </w:p>
    <w:p>
      <w:pPr>
        <w:spacing w:after="0" w:line="208" w:lineRule="exact"/>
        <w:rPr>
          <w:sz w:val="20"/>
          <w:szCs w:val="20"/>
          <w:color w:val="auto"/>
        </w:rPr>
      </w:pPr>
    </w:p>
    <w:p>
      <w:pPr>
        <w:ind w:left="780" w:hanging="174"/>
        <w:spacing w:after="0"/>
        <w:tabs>
          <w:tab w:leader="none" w:pos="78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All terms used but not otherwise defined herein have the meanings assigned to them in the Loan Agreement.</w:t>
      </w:r>
    </w:p>
    <w:p>
      <w:pPr>
        <w:spacing w:after="0" w:line="207" w:lineRule="exact"/>
        <w:rPr>
          <w:rFonts w:ascii="Times New Roman" w:cs="Times New Roman" w:eastAsia="Times New Roman" w:hAnsi="Times New Roman"/>
          <w:sz w:val="17"/>
          <w:szCs w:val="17"/>
          <w:color w:val="auto"/>
        </w:rPr>
      </w:pPr>
    </w:p>
    <w:p>
      <w:pPr>
        <w:ind w:left="780" w:hanging="174"/>
        <w:spacing w:after="0"/>
        <w:tabs>
          <w:tab w:leader="none" w:pos="78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07" w:lineRule="exact"/>
        <w:rPr>
          <w:rFonts w:ascii="Times New Roman" w:cs="Times New Roman" w:eastAsia="Times New Roman" w:hAnsi="Times New Roman"/>
          <w:sz w:val="17"/>
          <w:szCs w:val="17"/>
          <w:color w:val="auto"/>
        </w:rPr>
      </w:pPr>
    </w:p>
    <w:p>
      <w:pPr>
        <w:jc w:val="both"/>
        <w:ind w:firstLine="606"/>
        <w:spacing w:after="0" w:line="274" w:lineRule="auto"/>
        <w:tabs>
          <w:tab w:leader="none" w:pos="773"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Amendments to Loan Agreement</w:t>
      </w:r>
      <w:r>
        <w:rPr>
          <w:rFonts w:ascii="Times New Roman" w:cs="Times New Roman" w:eastAsia="Times New Roman" w:hAnsi="Times New Roman"/>
          <w:sz w:val="16"/>
          <w:szCs w:val="16"/>
          <w:color w:val="auto"/>
        </w:rPr>
        <w:t xml:space="preserve">. Subject to the satisfaction of the conditions to effectiveness set forth in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hereof, the Loan Agreement (including Schedules A through F thereto) is hereby amended as of the date hereof by incorporating the changes shown on the marked copy of the Loan Agreement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(it being understood that language which appears as “</w:t>
      </w:r>
      <w:r>
        <w:rPr>
          <w:rFonts w:ascii="Times New Roman" w:cs="Times New Roman" w:eastAsia="Times New Roman" w:hAnsi="Times New Roman"/>
          <w:sz w:val="16"/>
          <w:szCs w:val="16"/>
          <w:color w:val="FF2600"/>
          <w:strike w:val="1"/>
        </w:rPr>
        <w:t>struck out</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color w:val="28CD41"/>
          <w:strike w:val="1"/>
        </w:rPr>
        <w:t>struck out</w:t>
      </w:r>
      <w:r>
        <w:rPr>
          <w:rFonts w:ascii="Times New Roman" w:cs="Times New Roman" w:eastAsia="Times New Roman" w:hAnsi="Times New Roman"/>
          <w:sz w:val="16"/>
          <w:szCs w:val="16"/>
          <w:color w:val="auto"/>
        </w:rPr>
        <w:t>”, as applicable, has been deleted, and language which appears as “</w:t>
      </w:r>
      <w:r>
        <w:rPr>
          <w:rFonts w:ascii="Times New Roman" w:cs="Times New Roman" w:eastAsia="Times New Roman" w:hAnsi="Times New Roman"/>
          <w:sz w:val="16"/>
          <w:szCs w:val="16"/>
          <w:u w:val="single" w:color="auto"/>
          <w:color w:val="0432FF"/>
        </w:rPr>
        <w:t>double-underlined</w:t>
      </w:r>
      <w:r>
        <w:rPr>
          <w:rFonts w:ascii="Times New Roman" w:cs="Times New Roman" w:eastAsia="Times New Roman" w:hAnsi="Times New Roman"/>
          <w:sz w:val="16"/>
          <w:szCs w:val="16"/>
          <w:color w:val="auto"/>
        </w:rPr>
        <w:t>” or “</w:t>
      </w:r>
      <w:r>
        <w:rPr>
          <w:rFonts w:ascii="Times New Roman" w:cs="Times New Roman" w:eastAsia="Times New Roman" w:hAnsi="Times New Roman"/>
          <w:sz w:val="16"/>
          <w:szCs w:val="16"/>
          <w:u w:val="single" w:color="auto"/>
          <w:color w:val="28CD41"/>
        </w:rPr>
        <w:t>double-underlined</w:t>
      </w:r>
      <w:r>
        <w:rPr>
          <w:rFonts w:ascii="Times New Roman" w:cs="Times New Roman" w:eastAsia="Times New Roman" w:hAnsi="Times New Roman"/>
          <w:sz w:val="16"/>
          <w:szCs w:val="16"/>
          <w:color w:val="auto"/>
        </w:rPr>
        <w:t xml:space="preserve">”, as applicable, has been added). A new Exhibit K to the Loan Agreement (Preferred Stock Purchase Agreement for the Fifth Amendment Equity Issuance and Material Related Documents) is hereby added to the Loan Agreement in the form of </w:t>
      </w:r>
      <w:r>
        <w:rPr>
          <w:rFonts w:ascii="Times New Roman" w:cs="Times New Roman" w:eastAsia="Times New Roman" w:hAnsi="Times New Roman"/>
          <w:sz w:val="16"/>
          <w:szCs w:val="16"/>
          <w:u w:val="single" w:color="auto"/>
          <w:color w:val="auto"/>
        </w:rPr>
        <w:t>Exhibit C</w:t>
      </w:r>
      <w:r>
        <w:rPr>
          <w:rFonts w:ascii="Times New Roman" w:cs="Times New Roman" w:eastAsia="Times New Roman" w:hAnsi="Times New Roman"/>
          <w:sz w:val="16"/>
          <w:szCs w:val="16"/>
          <w:color w:val="auto"/>
        </w:rPr>
        <w:t xml:space="preserve"> attached hereto.</w:t>
      </w:r>
    </w:p>
    <w:p>
      <w:pPr>
        <w:spacing w:after="0" w:line="160" w:lineRule="exact"/>
        <w:rPr>
          <w:rFonts w:ascii="Times New Roman" w:cs="Times New Roman" w:eastAsia="Times New Roman" w:hAnsi="Times New Roman"/>
          <w:sz w:val="16"/>
          <w:szCs w:val="16"/>
          <w:color w:val="auto"/>
        </w:rPr>
      </w:pPr>
    </w:p>
    <w:p>
      <w:pPr>
        <w:ind w:left="780" w:hanging="174"/>
        <w:spacing w:after="0"/>
        <w:tabs>
          <w:tab w:leader="none" w:pos="780"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and Amendment of Anti-Dilution Provisions of Warrants</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jc w:val="both"/>
        <w:ind w:firstLine="606"/>
        <w:spacing w:after="0" w:line="255" w:lineRule="auto"/>
        <w:tabs>
          <w:tab w:leader="none" w:pos="834"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Waiver; Amendment. </w:t>
      </w:r>
      <w:r>
        <w:rPr>
          <w:rFonts w:ascii="Times New Roman" w:cs="Times New Roman" w:eastAsia="Times New Roman" w:hAnsi="Times New Roman"/>
          <w:sz w:val="17"/>
          <w:szCs w:val="17"/>
          <w:color w:val="auto"/>
        </w:rPr>
        <w:t>The Lenders hereby agree to (x) waive the effect of the anti-dilution adjustment set forth in Section 4(b) of the Existing Warrants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respect to the Fifth Amendment Initial Equity Issuance (the “</w:t>
      </w: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and (y) amend Section 4(f) of the Existing Warrants, which requires a notice of adjustment to be delivered promptly after any event triggering an adjustment pursuant to Section 4(b), to provide that the Company shall issue a notice of adjustment within 5 business days following the end of each fiscal quarter during which any Existing Warrant is outstanding to reflect all anti-dilution adjustments occurring in the prior fiscal quarter.</w:t>
      </w:r>
    </w:p>
    <w:p>
      <w:pPr>
        <w:spacing w:after="0" w:line="171" w:lineRule="exact"/>
        <w:rPr>
          <w:rFonts w:ascii="Times New Roman" w:cs="Times New Roman" w:eastAsia="Times New Roman" w:hAnsi="Times New Roman"/>
          <w:sz w:val="17"/>
          <w:szCs w:val="17"/>
          <w:color w:val="auto"/>
        </w:rPr>
      </w:pPr>
    </w:p>
    <w:p>
      <w:pPr>
        <w:jc w:val="both"/>
        <w:ind w:firstLine="606"/>
        <w:spacing w:after="0" w:line="275" w:lineRule="auto"/>
        <w:tabs>
          <w:tab w:leader="none" w:pos="843"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Subsequent Equity Issuance</w:t>
      </w:r>
      <w:r>
        <w:rPr>
          <w:rFonts w:ascii="Times New Roman" w:cs="Times New Roman" w:eastAsia="Times New Roman" w:hAnsi="Times New Roman"/>
          <w:sz w:val="16"/>
          <w:szCs w:val="16"/>
          <w:color w:val="auto"/>
        </w:rPr>
        <w:t>. For the avoidance of doubt, the Waiver does not apply to any shares of Preferred Stock and/or Common Stock actually issued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 deemed issued) in connection with the issuance of shares of Series A Preferred Stock and/or exercise of warrants to acquire Series A Preferred Stock issued under the Fifth Amendment Subsequent Equity Issuance, it being agreed and acknowledged that the issuance of shares of Series A Preferred Stock in the amount of $4,500,000 in aggregate stated value and warrants to purchase up to $40,000,000 of shares of Series A Preferred Stock in the Fifth Amendment Subsequent Equity Issuance shall not trigger an anti-dilution adjustment unless and until those shares of Series A Preferred Stock are issued and/or those warrants are exercised.</w:t>
      </w:r>
    </w:p>
    <w:p>
      <w:pPr>
        <w:spacing w:after="0" w:line="156" w:lineRule="exact"/>
        <w:rPr>
          <w:rFonts w:ascii="Times New Roman" w:cs="Times New Roman" w:eastAsia="Times New Roman" w:hAnsi="Times New Roman"/>
          <w:sz w:val="16"/>
          <w:szCs w:val="16"/>
          <w:color w:val="auto"/>
        </w:rPr>
      </w:pPr>
    </w:p>
    <w:p>
      <w:pPr>
        <w:ind w:firstLine="606"/>
        <w:spacing w:after="0" w:line="279" w:lineRule="auto"/>
        <w:tabs>
          <w:tab w:leader="none" w:pos="859"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Consideration. </w:t>
      </w:r>
      <w:r>
        <w:rPr>
          <w:rFonts w:ascii="Times New Roman" w:cs="Times New Roman" w:eastAsia="Times New Roman" w:hAnsi="Times New Roman"/>
          <w:sz w:val="17"/>
          <w:szCs w:val="17"/>
          <w:color w:val="auto"/>
        </w:rPr>
        <w:t>As consideration for the Waiver, Holdings shall issue to the Lenders the New Warrants to purchase an aggregate 330,000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68" w:name="page169"/>
    <w:bookmarkEnd w:id="168"/>
    <w:p>
      <w:pPr>
        <w:jc w:val="both"/>
        <w:ind w:firstLine="606"/>
        <w:spacing w:after="0" w:line="275" w:lineRule="auto"/>
        <w:tabs>
          <w:tab w:leader="none" w:pos="856"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Cap</w:t>
      </w:r>
      <w:r>
        <w:rPr>
          <w:rFonts w:ascii="Times New Roman" w:cs="Times New Roman" w:eastAsia="Times New Roman" w:hAnsi="Times New Roman"/>
          <w:sz w:val="16"/>
          <w:szCs w:val="16"/>
          <w:color w:val="auto"/>
        </w:rPr>
        <w:t>. Notwithstanding anything to the contrary in the Existing Warrants or the New Warrants, the aggregate number of additional shares that may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issued to the Lenders in connection with anti-dilution adjustments under Section 4(b) of the Warrants with respect to the Fifth Amendment Subsequent Equity Issuance and any issuances under the ChEF Purchase Agreement by and between Chardan Capital Markets LLC and Holdings (including any modification, amendment or replacement thereof), shall be capped at an aggregate maximum amount of 1,400,000 shares of Common Stock underlying Penny Warrants (as adjusted to account for stock splits, stock combinations, stock dividends or other distributions or recapitalizations affecting the Common Stock on or after the Effective Date).</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17"/>
          <w:szCs w:val="17"/>
          <w:u w:val="single" w:color="auto"/>
          <w:color w:val="auto"/>
        </w:rPr>
        <w:t>Conditions to Effectiveness</w:t>
      </w:r>
      <w:r>
        <w:rPr>
          <w:rFonts w:ascii="Times New Roman" w:cs="Times New Roman" w:eastAsia="Times New Roman" w:hAnsi="Times New Roman"/>
          <w:sz w:val="17"/>
          <w:szCs w:val="17"/>
          <w:color w:val="auto"/>
        </w:rPr>
        <w:t>. This Amendment shall become effective as of the date first written above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upon the satisfaction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below:</w:t>
      </w:r>
    </w:p>
    <w:p>
      <w:pPr>
        <w:spacing w:after="0" w:line="192" w:lineRule="exact"/>
        <w:rPr>
          <w:sz w:val="20"/>
          <w:szCs w:val="20"/>
          <w:color w:val="auto"/>
        </w:rPr>
      </w:pPr>
    </w:p>
    <w:p>
      <w:pPr>
        <w:ind w:left="840" w:hanging="234"/>
        <w:spacing w:after="0"/>
        <w:tabs>
          <w:tab w:leader="none" w:pos="84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counterparts of this Amendment shall have been executed and delivered by the Credit Parties, the Agent and the Required Lenders;</w:t>
      </w:r>
    </w:p>
    <w:p>
      <w:pPr>
        <w:spacing w:after="0" w:line="207" w:lineRule="exact"/>
        <w:rPr>
          <w:rFonts w:ascii="Times New Roman" w:cs="Times New Roman" w:eastAsia="Times New Roman" w:hAnsi="Times New Roman"/>
          <w:sz w:val="17"/>
          <w:szCs w:val="17"/>
          <w:color w:val="auto"/>
        </w:rPr>
      </w:pPr>
    </w:p>
    <w:p>
      <w:pPr>
        <w:ind w:firstLine="606"/>
        <w:spacing w:after="0" w:line="274" w:lineRule="auto"/>
        <w:tabs>
          <w:tab w:leader="none" w:pos="854"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 shall have delivered to Agent and the Lenders (i) the Term Sheet for Fifth Amendment Equity Issuance and (ii) the Preferred Stock Purchase Agreement for Fifth Amendment Equity Issuance and the material related documents relating thereto;</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84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have paid the legal fees and expenses of Chapman and Cutler LLP, counsel for the Required Lenders, incurred in connection with the preparation, negotiation, execution and delivery of this Amendment and other services rendered in connection with the Loan Agreement prior to the date hereof;</w:t>
      </w:r>
    </w:p>
    <w:p>
      <w:pPr>
        <w:spacing w:after="0" w:line="158" w:lineRule="exact"/>
        <w:rPr>
          <w:rFonts w:ascii="Times New Roman" w:cs="Times New Roman" w:eastAsia="Times New Roman" w:hAnsi="Times New Roman"/>
          <w:sz w:val="17"/>
          <w:szCs w:val="17"/>
          <w:color w:val="auto"/>
        </w:rPr>
      </w:pPr>
    </w:p>
    <w:p>
      <w:pPr>
        <w:jc w:val="both"/>
        <w:ind w:firstLine="606"/>
        <w:spacing w:after="0" w:line="261" w:lineRule="auto"/>
        <w:tabs>
          <w:tab w:leader="none" w:pos="848"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invoiced prior to execution of this Amendment, the Borrower shall have paid the legal fees and expenses of Holland &amp; Knight LLP, counsel for the Agent, incurred in connection with the preparation, negotiation, execution and delivery of this Amendment and other services rendered in connection with the Loan Agreement prior to the date hereof; and</w:t>
      </w:r>
    </w:p>
    <w:p>
      <w:pPr>
        <w:spacing w:after="0" w:line="169" w:lineRule="exact"/>
        <w:rPr>
          <w:rFonts w:ascii="Times New Roman" w:cs="Times New Roman" w:eastAsia="Times New Roman" w:hAnsi="Times New Roman"/>
          <w:sz w:val="17"/>
          <w:szCs w:val="17"/>
          <w:color w:val="auto"/>
        </w:rPr>
      </w:pPr>
    </w:p>
    <w:p>
      <w:pPr>
        <w:ind w:firstLine="606"/>
        <w:spacing w:after="0" w:line="274" w:lineRule="auto"/>
        <w:tabs>
          <w:tab w:leader="none" w:pos="835"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shall have received gross cash proceeds from the initial tranche of the Fifth Amendment Equity Issuance in the aggregate amount of $3,500,000, which proceeds Holdings shall promptly contribute to the Borrower.</w:t>
      </w:r>
    </w:p>
    <w:p>
      <w:pPr>
        <w:spacing w:after="0" w:line="158" w:lineRule="exact"/>
        <w:rPr>
          <w:rFonts w:ascii="Times New Roman" w:cs="Times New Roman" w:eastAsia="Times New Roman" w:hAnsi="Times New Roman"/>
          <w:sz w:val="17"/>
          <w:szCs w:val="17"/>
          <w:color w:val="auto"/>
        </w:rPr>
      </w:pPr>
    </w:p>
    <w:p>
      <w:pPr>
        <w:jc w:val="both"/>
        <w:ind w:firstLine="606"/>
        <w:spacing w:after="0" w:line="261" w:lineRule="auto"/>
        <w:tabs>
          <w:tab w:leader="none" w:pos="824"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shall have issued to the Lenders, on or about the date of this Amendment, penny warrants exercisable to purchase 330,000 shares of Holdings’ common stock (of which 200,000 shall be issued to BP Holdings XVII LP and 130,000 shall be issued to Energy Impact Credit Fund I LP and Energy Impact Credit Fund II LP), which penny warrants shall be in form and substance satisfactory to the Lenders. The Lenders hereby agree that</w:t>
      </w:r>
    </w:p>
    <w:p>
      <w:pPr>
        <w:spacing w:after="0" w:line="169" w:lineRule="exact"/>
        <w:rPr>
          <w:sz w:val="20"/>
          <w:szCs w:val="20"/>
          <w:color w:val="auto"/>
        </w:rPr>
      </w:pPr>
    </w:p>
    <w:p>
      <w:pPr>
        <w:ind w:left="780" w:hanging="174"/>
        <w:spacing w:after="0"/>
        <w:tabs>
          <w:tab w:leader="none" w:pos="78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606"/>
        <w:spacing w:after="0" w:line="261" w:lineRule="auto"/>
        <w:tabs>
          <w:tab w:leader="none" w:pos="838"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Parties represent and warrant that after giving effect to this Amendment, the representations and warranties contained in the Loan Agreement are true and correct in all material respects on and as of the date hereof as if such representations and warranties had been made on and as of the date hereof (except to the extent that any such representations and warranties specifically relate to an earlier date).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9" w:name="page170"/>
    <w:bookmarkEnd w:id="169"/>
    <w:p>
      <w:pPr>
        <w:ind w:firstLine="606"/>
        <w:spacing w:after="0" w:line="274" w:lineRule="auto"/>
        <w:tabs>
          <w:tab w:leader="none" w:pos="846"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Credit Parties represent and warrant that after giving effect to this Amendment, no Default or Event of Default will have occurred and be continuing on and as of the Effective Date.</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853"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Attached hereto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is a true, correct and complete copy of the Term Sheet for the Fifth Amendment Equity Issuance, together with any amendments, modifications and/or supplements thereto as in effect on the date hereof.</w:t>
      </w:r>
    </w:p>
    <w:p>
      <w:pPr>
        <w:spacing w:after="0" w:line="158" w:lineRule="exact"/>
        <w:rPr>
          <w:rFonts w:ascii="Times New Roman" w:cs="Times New Roman" w:eastAsia="Times New Roman" w:hAnsi="Times New Roman"/>
          <w:sz w:val="17"/>
          <w:szCs w:val="17"/>
          <w:color w:val="auto"/>
        </w:rPr>
      </w:pPr>
    </w:p>
    <w:p>
      <w:pPr>
        <w:ind w:firstLine="606"/>
        <w:spacing w:after="0" w:line="274" w:lineRule="auto"/>
        <w:tabs>
          <w:tab w:leader="none" w:pos="843"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Attached hereto as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is a true, correct and complete copy of the Preferred Stock Purchase Agreement for the Fifth Amendment Equity Issuance and the material related documents relating thereto, together with any amendments, modifications and/or supplements thereto as in effect on the date hereof.</w:t>
      </w:r>
    </w:p>
    <w:p>
      <w:pPr>
        <w:spacing w:after="0" w:line="159" w:lineRule="exact"/>
        <w:rPr>
          <w:sz w:val="20"/>
          <w:szCs w:val="20"/>
          <w:color w:val="auto"/>
        </w:rPr>
      </w:pPr>
    </w:p>
    <w:p>
      <w:pPr>
        <w:ind w:left="780" w:hanging="174"/>
        <w:spacing w:after="0"/>
        <w:tabs>
          <w:tab w:leader="none" w:pos="78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Loan Document</w:t>
      </w:r>
      <w:r>
        <w:rPr>
          <w:rFonts w:ascii="Times New Roman" w:cs="Times New Roman" w:eastAsia="Times New Roman" w:hAnsi="Times New Roman"/>
          <w:sz w:val="17"/>
          <w:szCs w:val="17"/>
          <w:color w:val="auto"/>
        </w:rPr>
        <w:t>. This Amendment is designated a Loan Document by the Agent.</w:t>
      </w:r>
    </w:p>
    <w:p>
      <w:pPr>
        <w:spacing w:after="0" w:line="207" w:lineRule="exact"/>
        <w:rPr>
          <w:rFonts w:ascii="Times New Roman" w:cs="Times New Roman" w:eastAsia="Times New Roman" w:hAnsi="Times New Roman"/>
          <w:sz w:val="17"/>
          <w:szCs w:val="17"/>
          <w:color w:val="auto"/>
        </w:rPr>
      </w:pPr>
    </w:p>
    <w:p>
      <w:pPr>
        <w:jc w:val="both"/>
        <w:ind w:firstLine="606"/>
        <w:spacing w:after="0" w:line="253" w:lineRule="auto"/>
        <w:tabs>
          <w:tab w:leader="none" w:pos="773"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Full Force and Effect</w:t>
      </w:r>
      <w:r>
        <w:rPr>
          <w:rFonts w:ascii="Times New Roman" w:cs="Times New Roman" w:eastAsia="Times New Roman" w:hAnsi="Times New Roman"/>
          <w:sz w:val="17"/>
          <w:szCs w:val="17"/>
          <w:color w:val="auto"/>
        </w:rPr>
        <w:t>. Except as expressly set forth herein, nothing contained herein shall be deemed to constitute a waiver of compliance with any term or condition contained in the Loan Agreement or any of the other Loan Documents. Except as expressly amended hereby, the Loan Agreement shall continue unmodified and in full force and effect in accordance with the provisions thereof on the date hereof. This Amendment shall be limited precisely as drafted and shall not imply an obligation on the Agent or any Lender to consent to any matter on any future occasion. As used in the Loan Agreement, the terms “Agreement,” “this Agreement,” “this Loan Agreement,” “herein,” “hereafter,” “hereto,” “hereof” and words of similar import shall mean, unless the context otherwise requires, the Loan Agreement as modified by this Amendment.</w:t>
      </w:r>
    </w:p>
    <w:p>
      <w:pPr>
        <w:spacing w:after="0" w:line="171" w:lineRule="exact"/>
        <w:rPr>
          <w:rFonts w:ascii="Times New Roman" w:cs="Times New Roman" w:eastAsia="Times New Roman" w:hAnsi="Times New Roman"/>
          <w:sz w:val="17"/>
          <w:szCs w:val="17"/>
          <w:color w:val="auto"/>
        </w:rPr>
      </w:pPr>
    </w:p>
    <w:p>
      <w:pPr>
        <w:jc w:val="both"/>
        <w:ind w:firstLine="606"/>
        <w:spacing w:after="0" w:line="258" w:lineRule="auto"/>
        <w:tabs>
          <w:tab w:leader="none" w:pos="773"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CHOICE OF LAW</w:t>
      </w:r>
      <w:r>
        <w:rPr>
          <w:rFonts w:ascii="Times New Roman" w:cs="Times New Roman" w:eastAsia="Times New Roman" w:hAnsi="Times New Roman"/>
          <w:sz w:val="17"/>
          <w:szCs w:val="17"/>
          <w:b w:val="1"/>
          <w:bCs w:val="1"/>
          <w:color w:val="auto"/>
        </w:rPr>
        <w:t>. THIS AMENDMENT SHALL IN ALL RESPECTS BE CONSTRUED IN ACCORDANCE WITH, AND GOVERNED BY, THE LAWS OF THE STATE OF NEW YORK WHICH ARE APPLICABLE TO CONTRACTS MADE AND TO BE PERFORMED WHOLLY WITHIN SUCH STATE WITHOUT REGARD TO ANY PRINCIPLES OF CONFLICTS OF LAW THAT WOULD RESULT IN THE APPLICATION OF THE LAWS OF ANOTHER JURISDICTION.</w:t>
      </w:r>
    </w:p>
    <w:p>
      <w:pPr>
        <w:spacing w:after="0" w:line="172" w:lineRule="exact"/>
        <w:rPr>
          <w:rFonts w:ascii="Times New Roman" w:cs="Times New Roman" w:eastAsia="Times New Roman" w:hAnsi="Times New Roman"/>
          <w:sz w:val="17"/>
          <w:szCs w:val="17"/>
          <w:color w:val="auto"/>
        </w:rPr>
      </w:pPr>
    </w:p>
    <w:p>
      <w:pPr>
        <w:jc w:val="both"/>
        <w:ind w:firstLine="606"/>
        <w:spacing w:after="0" w:line="261" w:lineRule="auto"/>
        <w:tabs>
          <w:tab w:leader="none" w:pos="87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Amendment may be executed in one or more counterparts, each of which shall constitute an original, but all of which when taken together shall constitute but one instrument. Counterparts may be delivered via facsimile, electronic mail (including pdf) or other transmission method and any counterpart so delivered shall be deemed to be as effective as an original signature page delivered manually.</w:t>
      </w:r>
    </w:p>
    <w:p>
      <w:pPr>
        <w:spacing w:after="0" w:line="169" w:lineRule="exact"/>
        <w:rPr>
          <w:rFonts w:ascii="Times New Roman" w:cs="Times New Roman" w:eastAsia="Times New Roman" w:hAnsi="Times New Roman"/>
          <w:sz w:val="17"/>
          <w:szCs w:val="17"/>
          <w:color w:val="auto"/>
        </w:rPr>
      </w:pPr>
    </w:p>
    <w:p>
      <w:pPr>
        <w:ind w:left="860" w:hanging="254"/>
        <w:spacing w:after="0"/>
        <w:tabs>
          <w:tab w:leader="none" w:pos="86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of this Amendment are for the purposes of reference only and shall not affect the construction of this Amendment.</w:t>
      </w:r>
    </w:p>
    <w:p>
      <w:pPr>
        <w:spacing w:after="0" w:line="207" w:lineRule="exact"/>
        <w:rPr>
          <w:rFonts w:ascii="Times New Roman" w:cs="Times New Roman" w:eastAsia="Times New Roman" w:hAnsi="Times New Roman"/>
          <w:sz w:val="17"/>
          <w:szCs w:val="17"/>
          <w:color w:val="auto"/>
        </w:rPr>
      </w:pPr>
    </w:p>
    <w:p>
      <w:pPr>
        <w:jc w:val="both"/>
        <w:ind w:firstLine="606"/>
        <w:spacing w:after="0" w:line="261" w:lineRule="auto"/>
        <w:tabs>
          <w:tab w:leader="none" w:pos="870"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provisions of this Amendment shall be binding upon and inure to the benefit of the parties hereto and their respective successors and assigns; provided that none of the Credit Parties may assign or transfer any of its rights or obligations under this Amendment without the prior written consent of the Agent.</w:t>
      </w:r>
    </w:p>
    <w:p>
      <w:pPr>
        <w:spacing w:after="0" w:line="169" w:lineRule="exact"/>
        <w:rPr>
          <w:rFonts w:ascii="Times New Roman" w:cs="Times New Roman" w:eastAsia="Times New Roman" w:hAnsi="Times New Roman"/>
          <w:sz w:val="17"/>
          <w:szCs w:val="17"/>
          <w:color w:val="auto"/>
        </w:rPr>
      </w:pPr>
    </w:p>
    <w:p>
      <w:pPr>
        <w:ind w:firstLine="606"/>
        <w:spacing w:after="0" w:line="274" w:lineRule="auto"/>
        <w:tabs>
          <w:tab w:leader="none" w:pos="857"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illegality or unenforceability of any provision of this Amendment or any instrument or agreement required hereunder shall not in any way affect or impair the legality or enforceability of the remaining provisions of this Amendment or any instrument or agreement required hereunder.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70" w:name="page171"/>
    <w:bookmarkEnd w:id="170"/>
    <w:p>
      <w:pPr>
        <w:jc w:val="both"/>
        <w:ind w:firstLine="606"/>
        <w:spacing w:after="0" w:line="253" w:lineRule="auto"/>
        <w:tabs>
          <w:tab w:leader="none" w:pos="870"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Release of Claims</w:t>
      </w:r>
      <w:r>
        <w:rPr>
          <w:rFonts w:ascii="Times New Roman" w:cs="Times New Roman" w:eastAsia="Times New Roman" w:hAnsi="Times New Roman"/>
          <w:sz w:val="17"/>
          <w:szCs w:val="17"/>
          <w:color w:val="auto"/>
        </w:rPr>
        <w:t>. In consideration of the Required Lenders’ and the Agent’s agreements contained in this Amendment, the Borrower and Guarantor hereby irrevocably release and forever discharge the Lenders and the Agent and their affiliates, subsidiaries, successors, assigns, directors, officers, employees, agents, consultants and attorneys (each, a “</w:t>
      </w:r>
      <w:r>
        <w:rPr>
          <w:rFonts w:ascii="Times New Roman" w:cs="Times New Roman" w:eastAsia="Times New Roman" w:hAnsi="Times New Roman"/>
          <w:sz w:val="17"/>
          <w:szCs w:val="17"/>
          <w:u w:val="single" w:color="auto"/>
          <w:color w:val="auto"/>
        </w:rPr>
        <w:t>Released Person</w:t>
      </w:r>
      <w:r>
        <w:rPr>
          <w:rFonts w:ascii="Times New Roman" w:cs="Times New Roman" w:eastAsia="Times New Roman" w:hAnsi="Times New Roman"/>
          <w:sz w:val="17"/>
          <w:szCs w:val="17"/>
          <w:color w:val="auto"/>
        </w:rPr>
        <w:t>”) of and from any and all claims, suits, actions, investigations, proceedings or demands, whether based in contract, tort, implied or express warranty, strict liability, criminal or civil statute or common law of any kind or character, known or unknown, which such Borrower and Guarantor ever had or now has against Agent, any Lender or any other Released Person which relates, directly or indirectly, to any acts or omissions of Agent, any Lender or any other Released Person relating to the Loan Agreement or any other Loan Document on or prior to the date hereof.</w:t>
      </w:r>
    </w:p>
    <w:p>
      <w:pPr>
        <w:spacing w:after="0" w:line="175" w:lineRule="exact"/>
        <w:rPr>
          <w:rFonts w:ascii="Times New Roman" w:cs="Times New Roman" w:eastAsia="Times New Roman" w:hAnsi="Times New Roman"/>
          <w:sz w:val="17"/>
          <w:szCs w:val="17"/>
          <w:color w:val="auto"/>
        </w:rPr>
      </w:pPr>
    </w:p>
    <w:p>
      <w:pPr>
        <w:jc w:val="both"/>
        <w:ind w:firstLine="606"/>
        <w:spacing w:after="0" w:line="251" w:lineRule="auto"/>
        <w:tabs>
          <w:tab w:leader="none" w:pos="857"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Reaffirmation</w:t>
      </w:r>
      <w:r>
        <w:rPr>
          <w:rFonts w:ascii="Times New Roman" w:cs="Times New Roman" w:eastAsia="Times New Roman" w:hAnsi="Times New Roman"/>
          <w:sz w:val="17"/>
          <w:szCs w:val="17"/>
          <w:color w:val="auto"/>
        </w:rPr>
        <w:t>. Each of the Credit Parties as debtor, grantor, pledgor, guarantor, assignor, or in other any other similar capacity in which such Credit Party grants liens or security interests in its property or otherwise acts as accommodation party or guarantor, as the case may be, hereby (i) ratifies and reaffirms all of its payment and performance obligations, contingent or otherwise, under each of the Loan Documents to which it is a party (after giving effect hereto) and (ii) to the extent such Credit Party granted liens on or security interests in any of its property pursuant to any such Loan Document as security for or otherwise guaranteed the Borrower’s Obligations under or with respect to the Loan Documents, ratifies and reaffirms such guarantee and grant of security interests and liens and confirms and agrees that such security interests and liens hereafter secure all of the Obligations as amended hereby. Each of the Credit Parties hereby consents to this Amendment and acknowledges that each of the Loan Documents remains in full force and effect and is hereby ratified and reaffirmed. The execution of this Amendment shall not operate as a waiver of any right, power or remedy of the Agent or Lenders, constitute a waiver of any provision of any of the Loan Documents or serve to effect a novation of the Obligations.</w:t>
      </w:r>
    </w:p>
    <w:p>
      <w:pPr>
        <w:spacing w:after="0" w:line="177" w:lineRule="exact"/>
        <w:rPr>
          <w:rFonts w:ascii="Times New Roman" w:cs="Times New Roman" w:eastAsia="Times New Roman" w:hAnsi="Times New Roman"/>
          <w:sz w:val="17"/>
          <w:szCs w:val="17"/>
          <w:color w:val="auto"/>
        </w:rPr>
      </w:pPr>
    </w:p>
    <w:p>
      <w:pPr>
        <w:ind w:firstLine="606"/>
        <w:spacing w:after="0" w:line="274" w:lineRule="auto"/>
        <w:tabs>
          <w:tab w:leader="none" w:pos="857" w:val="left"/>
        </w:tabs>
        <w:numPr>
          <w:ilvl w:val="0"/>
          <w:numId w:val="2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Agent</w:t>
      </w:r>
      <w:r>
        <w:rPr>
          <w:rFonts w:ascii="Times New Roman" w:cs="Times New Roman" w:eastAsia="Times New Roman" w:hAnsi="Times New Roman"/>
          <w:sz w:val="17"/>
          <w:szCs w:val="17"/>
          <w:color w:val="auto"/>
        </w:rPr>
        <w:t>. Each of the Required Lenders, by their execution of this Amendment, hereby directs the Agent to execute this Amendment. In doing so, the Agent shall be entitled to all of its rights, benefits and protections set forth in the Loan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pages follow]</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71" w:name="page172"/>
    <w:bookmarkEnd w:id="171"/>
    <w:p>
      <w:pPr>
        <w:ind w:firstLine="303"/>
        <w:spacing w:after="0" w:line="274" w:lineRule="auto"/>
        <w:rPr>
          <w:sz w:val="20"/>
          <w:szCs w:val="20"/>
          <w:color w:val="auto"/>
        </w:rPr>
      </w:pPr>
      <w:r>
        <w:rPr>
          <w:rFonts w:ascii="Times New Roman" w:cs="Times New Roman" w:eastAsia="Times New Roman" w:hAnsi="Times New Roman"/>
          <w:sz w:val="17"/>
          <w:szCs w:val="17"/>
          <w:color w:val="auto"/>
        </w:rPr>
        <w:t>IN WITNESS WHEREOF, the parties hereto have caused this Amendment to be duly executed by their duly authorized officers, all as of the date and year first above written.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BORROWER:</w:t>
            </w: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7"/>
                <w:szCs w:val="17"/>
                <w:b w:val="1"/>
                <w:bCs w:val="1"/>
                <w:color w:val="auto"/>
              </w:rPr>
              <w:t>DRAGONFLY ENERGY CORP.</w:t>
            </w:r>
          </w:p>
        </w:tc>
      </w:tr>
      <w:tr>
        <w:trPr>
          <w:trHeight w:val="426"/>
        </w:trPr>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Denis Phares</w:t>
            </w:r>
          </w:p>
        </w:tc>
      </w:tr>
      <w:tr>
        <w:trPr>
          <w:trHeight w:val="18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740" w:type="dxa"/>
            <w:vAlign w:val="bottom"/>
          </w:tcPr>
          <w:p>
            <w:pPr>
              <w:ind w:left="2180"/>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Denis Phares</w:t>
            </w:r>
          </w:p>
        </w:tc>
      </w:tr>
      <w:tr>
        <w:trPr>
          <w:trHeight w:val="218"/>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740" w:type="dxa"/>
            <w:vAlign w:val="bottom"/>
          </w:tcPr>
          <w:p>
            <w:pPr>
              <w:ind w:left="218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366"/>
        </w:trPr>
        <w:tc>
          <w:tcPr>
            <w:tcW w:w="3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GUARANTORS :</w:t>
            </w: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7"/>
                <w:szCs w:val="17"/>
                <w:b w:val="1"/>
                <w:bCs w:val="1"/>
                <w:color w:val="auto"/>
              </w:rPr>
              <w:t>DRAGONFLY ENERGY HOLDINGS CORP. (F/K/A</w:t>
            </w:r>
          </w:p>
        </w:tc>
      </w:tr>
      <w:tr>
        <w:trPr>
          <w:trHeight w:val="219"/>
        </w:trPr>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220" w:type="dxa"/>
            <w:vAlign w:val="bottom"/>
          </w:tcPr>
          <w:p>
            <w:pPr>
              <w:spacing w:after="0"/>
              <w:rPr>
                <w:sz w:val="19"/>
                <w:szCs w:val="19"/>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7"/>
                <w:szCs w:val="17"/>
                <w:b w:val="1"/>
                <w:bCs w:val="1"/>
                <w:color w:val="auto"/>
              </w:rPr>
              <w:t>CHARDAN NEXTECH ACQUISITION 2 CORP.)</w:t>
            </w:r>
          </w:p>
        </w:tc>
      </w:tr>
      <w:tr>
        <w:trPr>
          <w:trHeight w:val="409"/>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Denis Phares</w:t>
            </w:r>
          </w:p>
        </w:tc>
      </w:tr>
      <w:tr>
        <w:trPr>
          <w:trHeight w:val="18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740" w:type="dxa"/>
            <w:vAlign w:val="bottom"/>
          </w:tcPr>
          <w:p>
            <w:pPr>
              <w:ind w:left="2180"/>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Denis Phares</w:t>
            </w:r>
          </w:p>
        </w:tc>
      </w:tr>
      <w:tr>
        <w:trPr>
          <w:trHeight w:val="218"/>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740" w:type="dxa"/>
            <w:vAlign w:val="bottom"/>
          </w:tcPr>
          <w:p>
            <w:pPr>
              <w:ind w:left="218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403"/>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780" w:type="dxa"/>
            <w:vAlign w:val="bottom"/>
            <w:gridSpan w:val="2"/>
          </w:tcPr>
          <w:p>
            <w:pPr>
              <w:ind w:left="2180"/>
              <w:spacing w:after="0"/>
              <w:rPr>
                <w:sz w:val="20"/>
                <w:szCs w:val="20"/>
                <w:color w:val="auto"/>
              </w:rPr>
            </w:pPr>
            <w:r>
              <w:rPr>
                <w:rFonts w:ascii="Times New Roman" w:cs="Times New Roman" w:eastAsia="Times New Roman" w:hAnsi="Times New Roman"/>
                <w:sz w:val="17"/>
                <w:szCs w:val="17"/>
                <w:b w:val="1"/>
                <w:bCs w:val="1"/>
                <w:color w:val="auto"/>
              </w:rPr>
              <w:t>BATTLE BORN BATTERY PRODUCTS, LLC</w:t>
            </w:r>
          </w:p>
        </w:tc>
      </w:tr>
      <w:tr>
        <w:trPr>
          <w:trHeight w:val="409"/>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Denis Phares</w:t>
            </w:r>
          </w:p>
        </w:tc>
      </w:tr>
      <w:tr>
        <w:trPr>
          <w:trHeight w:val="18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740" w:type="dxa"/>
            <w:vAlign w:val="bottom"/>
          </w:tcPr>
          <w:p>
            <w:pPr>
              <w:ind w:left="2180"/>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Denis Phares</w:t>
            </w:r>
          </w:p>
        </w:tc>
      </w:tr>
      <w:tr>
        <w:trPr>
          <w:trHeight w:val="218"/>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740" w:type="dxa"/>
            <w:vAlign w:val="bottom"/>
          </w:tcPr>
          <w:p>
            <w:pPr>
              <w:ind w:left="218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7"/>
          <w:szCs w:val="17"/>
          <w:color w:val="auto"/>
        </w:rPr>
        <w:t xml:space="preserve"> F</w:t>
      </w:r>
      <w:r>
        <w:rPr>
          <w:rFonts w:ascii="Times New Roman" w:cs="Times New Roman" w:eastAsia="Times New Roman" w:hAnsi="Times New Roman"/>
          <w:sz w:val="11"/>
          <w:szCs w:val="11"/>
          <w:color w:val="auto"/>
        </w:rPr>
        <w:t>ifth</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mendment to</w:t>
      </w:r>
      <w:r>
        <w:rPr>
          <w:rFonts w:ascii="Times New Roman" w:cs="Times New Roman" w:eastAsia="Times New Roman" w:hAnsi="Times New Roman"/>
          <w:sz w:val="17"/>
          <w:szCs w:val="17"/>
          <w:color w:val="auto"/>
        </w:rPr>
        <w:t xml:space="preserve"> T</w:t>
      </w:r>
      <w:r>
        <w:rPr>
          <w:rFonts w:ascii="Times New Roman" w:cs="Times New Roman" w:eastAsia="Times New Roman" w:hAnsi="Times New Roman"/>
          <w:sz w:val="11"/>
          <w:szCs w:val="11"/>
          <w:color w:val="auto"/>
        </w:rPr>
        <w:t>erm</w:t>
      </w:r>
      <w:r>
        <w:rPr>
          <w:rFonts w:ascii="Times New Roman" w:cs="Times New Roman" w:eastAsia="Times New Roman" w:hAnsi="Times New Roman"/>
          <w:sz w:val="17"/>
          <w:szCs w:val="17"/>
          <w:color w:val="auto"/>
        </w:rPr>
        <w:t xml:space="preserve"> L</w:t>
      </w:r>
      <w:r>
        <w:rPr>
          <w:rFonts w:ascii="Times New Roman" w:cs="Times New Roman" w:eastAsia="Times New Roman" w:hAnsi="Times New Roman"/>
          <w:sz w:val="11"/>
          <w:szCs w:val="11"/>
          <w:color w:val="auto"/>
        </w:rPr>
        <w:t>oan</w:t>
      </w:r>
      <w:r>
        <w:rPr>
          <w:rFonts w:ascii="Times New Roman" w:cs="Times New Roman" w:eastAsia="Times New Roman" w:hAnsi="Times New Roman"/>
          <w:sz w:val="17"/>
          <w:szCs w:val="17"/>
          <w:color w:val="auto"/>
        </w:rPr>
        <w:t>, G</w:t>
      </w:r>
      <w:r>
        <w:rPr>
          <w:rFonts w:ascii="Times New Roman" w:cs="Times New Roman" w:eastAsia="Times New Roman" w:hAnsi="Times New Roman"/>
          <w:sz w:val="11"/>
          <w:szCs w:val="11"/>
          <w:color w:val="auto"/>
        </w:rPr>
        <w:t>uarantee and</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1"/>
          <w:szCs w:val="11"/>
          <w:color w:val="auto"/>
        </w:rPr>
        <w:t>ecurity</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95"/>
        </w:trPr>
        <w:tc>
          <w:tcPr>
            <w:tcW w:w="3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AGENT:</w:t>
            </w:r>
          </w:p>
        </w:tc>
        <w:tc>
          <w:tcPr>
            <w:tcW w:w="8100" w:type="dxa"/>
            <w:vAlign w:val="bottom"/>
            <w:gridSpan w:val="2"/>
          </w:tcPr>
          <w:p>
            <w:pPr>
              <w:ind w:left="2500"/>
              <w:spacing w:after="0"/>
              <w:rPr>
                <w:sz w:val="20"/>
                <w:szCs w:val="20"/>
                <w:color w:val="auto"/>
              </w:rPr>
            </w:pPr>
            <w:r>
              <w:rPr>
                <w:rFonts w:ascii="Times New Roman" w:cs="Times New Roman" w:eastAsia="Times New Roman" w:hAnsi="Times New Roman"/>
                <w:sz w:val="17"/>
                <w:szCs w:val="17"/>
                <w:b w:val="1"/>
                <w:bCs w:val="1"/>
                <w:color w:val="auto"/>
              </w:rPr>
              <w:t>ALTER DOMUS (US) LLC</w:t>
            </w:r>
          </w:p>
        </w:tc>
      </w:tr>
      <w:tr>
        <w:trPr>
          <w:trHeight w:val="426"/>
        </w:trPr>
        <w:tc>
          <w:tcPr>
            <w:tcW w:w="64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3060" w:type="dxa"/>
            <w:vAlign w:val="bottom"/>
          </w:tcPr>
          <w:p>
            <w:pPr>
              <w:ind w:left="250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Pinju Chiu</w:t>
            </w:r>
          </w:p>
        </w:tc>
      </w:tr>
      <w:tr>
        <w:trPr>
          <w:trHeight w:val="185"/>
        </w:trPr>
        <w:tc>
          <w:tcPr>
            <w:tcW w:w="6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060" w:type="dxa"/>
            <w:vAlign w:val="bottom"/>
          </w:tcPr>
          <w:p>
            <w:pPr>
              <w:ind w:left="2500"/>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Pinju Chiu</w:t>
            </w:r>
          </w:p>
        </w:tc>
      </w:tr>
      <w:tr>
        <w:trPr>
          <w:trHeight w:val="218"/>
        </w:trPr>
        <w:tc>
          <w:tcPr>
            <w:tcW w:w="6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60" w:type="dxa"/>
            <w:vAlign w:val="bottom"/>
          </w:tcPr>
          <w:p>
            <w:pPr>
              <w:ind w:left="250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Associate Counsel</w:t>
            </w: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7"/>
          <w:szCs w:val="17"/>
          <w:color w:val="auto"/>
        </w:rPr>
        <w:t xml:space="preserve"> F</w:t>
      </w:r>
      <w:r>
        <w:rPr>
          <w:rFonts w:ascii="Times New Roman" w:cs="Times New Roman" w:eastAsia="Times New Roman" w:hAnsi="Times New Roman"/>
          <w:sz w:val="11"/>
          <w:szCs w:val="11"/>
          <w:color w:val="auto"/>
        </w:rPr>
        <w:t>ifth</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mendment to</w:t>
      </w:r>
      <w:r>
        <w:rPr>
          <w:rFonts w:ascii="Times New Roman" w:cs="Times New Roman" w:eastAsia="Times New Roman" w:hAnsi="Times New Roman"/>
          <w:sz w:val="17"/>
          <w:szCs w:val="17"/>
          <w:color w:val="auto"/>
        </w:rPr>
        <w:t xml:space="preserve"> T</w:t>
      </w:r>
      <w:r>
        <w:rPr>
          <w:rFonts w:ascii="Times New Roman" w:cs="Times New Roman" w:eastAsia="Times New Roman" w:hAnsi="Times New Roman"/>
          <w:sz w:val="11"/>
          <w:szCs w:val="11"/>
          <w:color w:val="auto"/>
        </w:rPr>
        <w:t>erm</w:t>
      </w:r>
      <w:r>
        <w:rPr>
          <w:rFonts w:ascii="Times New Roman" w:cs="Times New Roman" w:eastAsia="Times New Roman" w:hAnsi="Times New Roman"/>
          <w:sz w:val="17"/>
          <w:szCs w:val="17"/>
          <w:color w:val="auto"/>
        </w:rPr>
        <w:t xml:space="preserve"> L</w:t>
      </w:r>
      <w:r>
        <w:rPr>
          <w:rFonts w:ascii="Times New Roman" w:cs="Times New Roman" w:eastAsia="Times New Roman" w:hAnsi="Times New Roman"/>
          <w:sz w:val="11"/>
          <w:szCs w:val="11"/>
          <w:color w:val="auto"/>
        </w:rPr>
        <w:t>oan</w:t>
      </w:r>
      <w:r>
        <w:rPr>
          <w:rFonts w:ascii="Times New Roman" w:cs="Times New Roman" w:eastAsia="Times New Roman" w:hAnsi="Times New Roman"/>
          <w:sz w:val="17"/>
          <w:szCs w:val="17"/>
          <w:color w:val="auto"/>
        </w:rPr>
        <w:t>, G</w:t>
      </w:r>
      <w:r>
        <w:rPr>
          <w:rFonts w:ascii="Times New Roman" w:cs="Times New Roman" w:eastAsia="Times New Roman" w:hAnsi="Times New Roman"/>
          <w:sz w:val="11"/>
          <w:szCs w:val="11"/>
          <w:color w:val="auto"/>
        </w:rPr>
        <w:t>uarantee and</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1"/>
          <w:szCs w:val="11"/>
          <w:color w:val="auto"/>
        </w:rPr>
        <w:t>ecurity</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95"/>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LENDERS:</w:t>
            </w:r>
          </w:p>
        </w:tc>
        <w:tc>
          <w:tcPr>
            <w:tcW w:w="8000" w:type="dxa"/>
            <w:vAlign w:val="bottom"/>
            <w:gridSpan w:val="2"/>
          </w:tcPr>
          <w:p>
            <w:pPr>
              <w:ind w:left="2400"/>
              <w:spacing w:after="0"/>
              <w:rPr>
                <w:sz w:val="20"/>
                <w:szCs w:val="20"/>
                <w:color w:val="auto"/>
              </w:rPr>
            </w:pPr>
            <w:r>
              <w:rPr>
                <w:rFonts w:ascii="Times New Roman" w:cs="Times New Roman" w:eastAsia="Times New Roman" w:hAnsi="Times New Roman"/>
                <w:sz w:val="17"/>
                <w:szCs w:val="17"/>
                <w:b w:val="1"/>
                <w:bCs w:val="1"/>
                <w:color w:val="auto"/>
              </w:rPr>
              <w:t>ENERGY IMPACT CREDIT FUND I LP</w:t>
            </w:r>
          </w:p>
        </w:tc>
      </w:tr>
      <w:tr>
        <w:trPr>
          <w:trHeight w:val="421"/>
        </w:trPr>
        <w:tc>
          <w:tcPr>
            <w:tcW w:w="80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296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Energy Impact Credit Fund I GP LLC, its general partner</w:t>
            </w:r>
          </w:p>
        </w:tc>
      </w:tr>
      <w:tr>
        <w:trPr>
          <w:trHeight w:val="409"/>
        </w:trPr>
        <w:tc>
          <w:tcPr>
            <w:tcW w:w="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6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Harry Giovani</w:t>
            </w:r>
          </w:p>
        </w:tc>
      </w:tr>
      <w:tr>
        <w:trPr>
          <w:trHeight w:val="185"/>
        </w:trPr>
        <w:tc>
          <w:tcPr>
            <w:tcW w:w="8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960" w:type="dxa"/>
            <w:vAlign w:val="bottom"/>
          </w:tcPr>
          <w:p>
            <w:pPr>
              <w:ind w:left="2400"/>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Harry Giovani</w:t>
            </w:r>
          </w:p>
        </w:tc>
      </w:tr>
      <w:tr>
        <w:trPr>
          <w:trHeight w:val="218"/>
        </w:trPr>
        <w:tc>
          <w:tcPr>
            <w:tcW w:w="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96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Managing Partner</w:t>
            </w:r>
          </w:p>
        </w:tc>
      </w:tr>
    </w:tbl>
    <w:p>
      <w:pPr>
        <w:spacing w:after="0" w:line="1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ENERGY IMPACT CREDIT FUND II LP</w:t>
      </w:r>
    </w:p>
    <w:p>
      <w:pPr>
        <w:spacing w:after="0" w:line="212" w:lineRule="exact"/>
        <w:rPr>
          <w:sz w:val="20"/>
          <w:szCs w:val="20"/>
          <w:color w:val="auto"/>
        </w:rPr>
      </w:pPr>
    </w:p>
    <w:tbl>
      <w:tblPr>
        <w:tblLayout w:type="fixed"/>
        <w:tblInd w:w="564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Energy Impact Credit Fund II GP LLC, its general partner</w:t>
            </w:r>
          </w:p>
        </w:tc>
      </w:tr>
      <w:tr>
        <w:trPr>
          <w:trHeight w:val="409"/>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Harry Giovani</w:t>
            </w:r>
          </w:p>
        </w:tc>
      </w:tr>
      <w:tr>
        <w:trPr>
          <w:trHeight w:val="185"/>
        </w:trPr>
        <w:tc>
          <w:tcPr>
            <w:tcW w:w="5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Harry Giovani</w:t>
            </w: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Managing Partner</w:t>
            </w: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7"/>
          <w:szCs w:val="17"/>
          <w:color w:val="auto"/>
        </w:rPr>
        <w:t xml:space="preserve"> F</w:t>
      </w:r>
      <w:r>
        <w:rPr>
          <w:rFonts w:ascii="Times New Roman" w:cs="Times New Roman" w:eastAsia="Times New Roman" w:hAnsi="Times New Roman"/>
          <w:sz w:val="11"/>
          <w:szCs w:val="11"/>
          <w:color w:val="auto"/>
        </w:rPr>
        <w:t>ifth</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mendment to</w:t>
      </w:r>
      <w:r>
        <w:rPr>
          <w:rFonts w:ascii="Times New Roman" w:cs="Times New Roman" w:eastAsia="Times New Roman" w:hAnsi="Times New Roman"/>
          <w:sz w:val="17"/>
          <w:szCs w:val="17"/>
          <w:color w:val="auto"/>
        </w:rPr>
        <w:t xml:space="preserve"> T</w:t>
      </w:r>
      <w:r>
        <w:rPr>
          <w:rFonts w:ascii="Times New Roman" w:cs="Times New Roman" w:eastAsia="Times New Roman" w:hAnsi="Times New Roman"/>
          <w:sz w:val="11"/>
          <w:szCs w:val="11"/>
          <w:color w:val="auto"/>
        </w:rPr>
        <w:t>erm</w:t>
      </w:r>
      <w:r>
        <w:rPr>
          <w:rFonts w:ascii="Times New Roman" w:cs="Times New Roman" w:eastAsia="Times New Roman" w:hAnsi="Times New Roman"/>
          <w:sz w:val="17"/>
          <w:szCs w:val="17"/>
          <w:color w:val="auto"/>
        </w:rPr>
        <w:t xml:space="preserve"> L</w:t>
      </w:r>
      <w:r>
        <w:rPr>
          <w:rFonts w:ascii="Times New Roman" w:cs="Times New Roman" w:eastAsia="Times New Roman" w:hAnsi="Times New Roman"/>
          <w:sz w:val="11"/>
          <w:szCs w:val="11"/>
          <w:color w:val="auto"/>
        </w:rPr>
        <w:t>oan</w:t>
      </w:r>
      <w:r>
        <w:rPr>
          <w:rFonts w:ascii="Times New Roman" w:cs="Times New Roman" w:eastAsia="Times New Roman" w:hAnsi="Times New Roman"/>
          <w:sz w:val="17"/>
          <w:szCs w:val="17"/>
          <w:color w:val="auto"/>
        </w:rPr>
        <w:t>, G</w:t>
      </w:r>
      <w:r>
        <w:rPr>
          <w:rFonts w:ascii="Times New Roman" w:cs="Times New Roman" w:eastAsia="Times New Roman" w:hAnsi="Times New Roman"/>
          <w:sz w:val="11"/>
          <w:szCs w:val="11"/>
          <w:color w:val="auto"/>
        </w:rPr>
        <w:t>uarantee and</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1"/>
          <w:szCs w:val="11"/>
          <w:color w:val="auto"/>
        </w:rPr>
        <w:t>ecurity</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74" w:name="page175"/>
    <w:bookmarkEnd w:id="174"/>
    <w:p>
      <w:pPr>
        <w:ind w:left="4520"/>
        <w:spacing w:after="0"/>
        <w:rPr>
          <w:sz w:val="20"/>
          <w:szCs w:val="20"/>
          <w:color w:val="auto"/>
        </w:rPr>
      </w:pPr>
      <w:r>
        <w:rPr>
          <w:rFonts w:ascii="Times New Roman" w:cs="Times New Roman" w:eastAsia="Times New Roman" w:hAnsi="Times New Roman"/>
          <w:sz w:val="17"/>
          <w:szCs w:val="17"/>
          <w:b w:val="1"/>
          <w:bCs w:val="1"/>
          <w:color w:val="auto"/>
        </w:rPr>
        <w:t>BP HOLDINGS XVII LP</w:t>
      </w:r>
    </w:p>
    <w:p>
      <w:pPr>
        <w:spacing w:after="0" w:line="212" w:lineRule="exact"/>
        <w:rPr>
          <w:sz w:val="20"/>
          <w:szCs w:val="20"/>
          <w:color w:val="auto"/>
        </w:rPr>
      </w:pPr>
    </w:p>
    <w:tbl>
      <w:tblPr>
        <w:tblLayout w:type="fixed"/>
        <w:tblInd w:w="4520" w:type="dxa"/>
        <w:tblCellMar>
          <w:top w:w="0" w:type="dxa"/>
          <w:left w:w="0" w:type="dxa"/>
          <w:bottom w:w="0" w:type="dxa"/>
          <w:right w:w="0" w:type="dxa"/>
        </w:tblCellMar>
      </w:tblPr>
      <w:tr>
        <w:trPr>
          <w:trHeight w:val="202"/>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BPC AS Cayman LLC, its General Partner</w:t>
            </w: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BPC AS LLC, its Manager</w:t>
            </w:r>
          </w:p>
        </w:tc>
      </w:tr>
      <w:tr>
        <w:trPr>
          <w:trHeight w:val="409"/>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Allan Schweitzer</w:t>
            </w:r>
          </w:p>
        </w:tc>
      </w:tr>
      <w:tr>
        <w:trPr>
          <w:trHeight w:val="185"/>
        </w:trPr>
        <w:tc>
          <w:tcPr>
            <w:tcW w:w="56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Name:</w:t>
            </w:r>
          </w:p>
        </w:tc>
        <w:tc>
          <w:tcPr>
            <w:tcW w:w="50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Allan Schweitzer</w:t>
            </w:r>
          </w:p>
        </w:tc>
      </w:t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Portfolio Manager</w:t>
            </w:r>
          </w:p>
        </w:tc>
      </w:tr>
    </w:tbl>
    <w:p>
      <w:pPr>
        <w:spacing w:after="0" w:line="18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1"/>
          <w:szCs w:val="11"/>
          <w:color w:val="auto"/>
        </w:rPr>
        <w:t>ignature</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1"/>
          <w:szCs w:val="11"/>
          <w:color w:val="auto"/>
        </w:rPr>
        <w:t>age to</w:t>
      </w:r>
      <w:r>
        <w:rPr>
          <w:rFonts w:ascii="Times New Roman" w:cs="Times New Roman" w:eastAsia="Times New Roman" w:hAnsi="Times New Roman"/>
          <w:sz w:val="17"/>
          <w:szCs w:val="17"/>
          <w:color w:val="auto"/>
        </w:rPr>
        <w:t xml:space="preserve"> F</w:t>
      </w:r>
      <w:r>
        <w:rPr>
          <w:rFonts w:ascii="Times New Roman" w:cs="Times New Roman" w:eastAsia="Times New Roman" w:hAnsi="Times New Roman"/>
          <w:sz w:val="11"/>
          <w:szCs w:val="11"/>
          <w:color w:val="auto"/>
        </w:rPr>
        <w:t>ifth</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mendment to</w:t>
      </w:r>
      <w:r>
        <w:rPr>
          <w:rFonts w:ascii="Times New Roman" w:cs="Times New Roman" w:eastAsia="Times New Roman" w:hAnsi="Times New Roman"/>
          <w:sz w:val="17"/>
          <w:szCs w:val="17"/>
          <w:color w:val="auto"/>
        </w:rPr>
        <w:t xml:space="preserve"> T</w:t>
      </w:r>
      <w:r>
        <w:rPr>
          <w:rFonts w:ascii="Times New Roman" w:cs="Times New Roman" w:eastAsia="Times New Roman" w:hAnsi="Times New Roman"/>
          <w:sz w:val="11"/>
          <w:szCs w:val="11"/>
          <w:color w:val="auto"/>
        </w:rPr>
        <w:t>erm</w:t>
      </w:r>
      <w:r>
        <w:rPr>
          <w:rFonts w:ascii="Times New Roman" w:cs="Times New Roman" w:eastAsia="Times New Roman" w:hAnsi="Times New Roman"/>
          <w:sz w:val="17"/>
          <w:szCs w:val="17"/>
          <w:color w:val="auto"/>
        </w:rPr>
        <w:t xml:space="preserve"> L</w:t>
      </w:r>
      <w:r>
        <w:rPr>
          <w:rFonts w:ascii="Times New Roman" w:cs="Times New Roman" w:eastAsia="Times New Roman" w:hAnsi="Times New Roman"/>
          <w:sz w:val="11"/>
          <w:szCs w:val="11"/>
          <w:color w:val="auto"/>
        </w:rPr>
        <w:t>oan</w:t>
      </w:r>
      <w:r>
        <w:rPr>
          <w:rFonts w:ascii="Times New Roman" w:cs="Times New Roman" w:eastAsia="Times New Roman" w:hAnsi="Times New Roman"/>
          <w:sz w:val="17"/>
          <w:szCs w:val="17"/>
          <w:color w:val="auto"/>
        </w:rPr>
        <w:t>, G</w:t>
      </w:r>
      <w:r>
        <w:rPr>
          <w:rFonts w:ascii="Times New Roman" w:cs="Times New Roman" w:eastAsia="Times New Roman" w:hAnsi="Times New Roman"/>
          <w:sz w:val="11"/>
          <w:szCs w:val="11"/>
          <w:color w:val="auto"/>
        </w:rPr>
        <w:t>uarantee and</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1"/>
          <w:szCs w:val="11"/>
          <w:color w:val="auto"/>
        </w:rPr>
        <w:t>ecurity</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1"/>
          <w:szCs w:val="11"/>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270510</wp:posOffset>
            </wp:positionV>
            <wp:extent cx="714121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649" w:right="339"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MARKED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280670</wp:posOffset>
            </wp:positionV>
            <wp:extent cx="714121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176" w:name="page177"/>
    <w:bookmarkEnd w:id="17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TERM SHEET FOR FIFTH AMENDMENT EQUITY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280670</wp:posOffset>
            </wp:positionV>
            <wp:extent cx="714121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K TO LOAN AGREEMENT</w:t>
      </w:r>
    </w:p>
    <w:p>
      <w:pPr>
        <w:spacing w:after="0" w:line="208" w:lineRule="exact"/>
        <w:rPr>
          <w:sz w:val="20"/>
          <w:szCs w:val="20"/>
          <w:color w:val="auto"/>
        </w:rPr>
      </w:pPr>
    </w:p>
    <w:p>
      <w:pPr>
        <w:jc w:val="center"/>
        <w:spacing w:after="0" w:line="279" w:lineRule="auto"/>
        <w:rPr>
          <w:sz w:val="20"/>
          <w:szCs w:val="20"/>
          <w:color w:val="auto"/>
        </w:rPr>
      </w:pPr>
      <w:r>
        <w:rPr>
          <w:rFonts w:ascii="Times New Roman" w:cs="Times New Roman" w:eastAsia="Times New Roman" w:hAnsi="Times New Roman"/>
          <w:sz w:val="17"/>
          <w:szCs w:val="17"/>
          <w:b w:val="1"/>
          <w:bCs w:val="1"/>
          <w:color w:val="auto"/>
        </w:rPr>
        <w:t>(PREFERRED STOCK PURCHASE AGREEMENT FOR THE FIFTH AMENDMENT EQUITY ISSUANCE AND MATERIAL RELATED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wp:posOffset>
            </wp:positionH>
            <wp:positionV relativeFrom="paragraph">
              <wp:posOffset>236855</wp:posOffset>
            </wp:positionV>
            <wp:extent cx="714121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60"/>
          </w:cols>
          <w:pgMar w:left="860" w:top="649" w:right="87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145415</wp:posOffset>
            </wp:positionV>
            <wp:extent cx="1593215" cy="3524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593215" cy="35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Dragonfly Energy Announces Corporate Debt Restructuring and Capital Raise</w:t>
      </w:r>
    </w:p>
    <w:p>
      <w:pPr>
        <w:spacing w:after="0" w:line="208" w:lineRule="exact"/>
        <w:rPr>
          <w:sz w:val="20"/>
          <w:szCs w:val="20"/>
          <w:color w:val="auto"/>
        </w:rPr>
      </w:pPr>
    </w:p>
    <w:p>
      <w:pPr>
        <w:jc w:val="center"/>
        <w:ind w:left="340" w:right="2560"/>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Debt Restructuring with Maturity Extension and Covenant Waiver Concurrent $3.5 Million Capital Raise With Second Contingent Tranche of $4.5 Million Transactions Significantly Increase Financial Flexibility and Liquidity</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RENO, Nev. (Feb. 27, 2025) — </w:t>
      </w:r>
      <w:r>
        <w:rPr>
          <w:rFonts w:ascii="Times New Roman" w:cs="Times New Roman" w:eastAsia="Times New Roman" w:hAnsi="Times New Roman"/>
          <w:sz w:val="17"/>
          <w:szCs w:val="17"/>
          <w:color w:val="auto"/>
        </w:rPr>
        <w:t>Dragonfly Energy Holdings Corp. (“Dragonfly Energy” or the “Company”) (Nasdaq: DFLI), an industry leader in energy storage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battery technology, today announced the completion of an amendment of its existing debt facility and a concurrent $3.5 million registered direct offering and private placement of the Company’s Series A Convertible Preferred Stock (the “Preferred Stock”) with a single institutional investor, with a second contingent tranche of $4.5 million, subject to satisfaction of certain events as described below, which the Company believes significantly enhance the company’s financial flexibility and liquidity.</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successfully completed an amendment to its existing debt facility with its senior lenders providing enhanced operational and financial flexibility. Key terms of the amendment include:</w:t>
      </w:r>
    </w:p>
    <w:p>
      <w:pPr>
        <w:spacing w:after="0" w:line="159" w:lineRule="exact"/>
        <w:rPr>
          <w:sz w:val="20"/>
          <w:szCs w:val="20"/>
          <w:color w:val="auto"/>
        </w:rPr>
      </w:pPr>
    </w:p>
    <w:p>
      <w:pPr>
        <w:ind w:left="600" w:hanging="297"/>
        <w:spacing w:after="0"/>
        <w:tabs>
          <w:tab w:leader="none" w:pos="60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Waiver of quarterly liquidity covenant requirements through June 30, 2026</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Extension of the debt maturity date to October 7, 2027</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Payment-in-Kind (PIK) interest option for 2025</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 of the monthly minimum liquidity covenant to $2.5 million through March 31, 2026</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addition to the debt restructuring, the Company has entered into a definitive agreement for the sale of the Preferred Stock in a registered direct offering and private placement, raising at the initial closing, $3.5 million in gross proceeds and the automatic right to receive an additional $4.5 million upon receipt of stockholder approval for the transaction in compliance with the rules of the Nasdaq Stock Market (“Nasdaq”) and the effectiveness of a resale registration statement to be filed with the Securities Exchange Commission (the “SEC”) covering the resale of the shares of the Company’s common stock issuable upon conversion of the Preferred Stock. Additionally, the agreement with the investor includes warrants to purchase additional shares of Preferred Stock in an amount of up to an additional $40 million, providing the Company with the opportunity to secure additional capital under similar terms. The transaction is expected to close on February 27, 2025, subject to customary closing conditions.</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“We believe this successful debt restructuring and capital raise significantly strengthen our financial position and will allow us to execute our strategic initiatives with greater flexibility,” said Dr. Denis Phares, Dragonfly Energy’s chief executive officer. “By securing additional liquidity and extending our debt maturity and receiving relief under our operating covenants, we believe we are reinforcing our ability to innovate, expand into new markets, and drive sustainable value for our shareholders.”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intends to use the net proceeds from the private placement for working capital and general corporate purposes.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the registered direct offering, the Company agreed to sell 180 shares of Preferred Stock at a price of $10,000 per share, initially convertible into shares of common stock at a conversion price of $2.332. Concurrently, in a private placement, the Company agreed to sell an additional 170 shares of Preferred Stock at the same offering price as the registered direct offering, initially convertible into shares of common stock at a conversion price of $2.332. As part of the private placement, the Company also agreed to sell warrants to purchase up to an aggregate of 4,000 additional shares of Preferred Stock with an exercise price of $10,000 a share. The Preferred Stock is also convertible at the option of the holder at a discount to the trading price of the Company’s common stock, subject to a floor, as set forth in the transaction documents. The Company has filed a Current Report on Form 8-K with the SEC detailing the material terms of the registered direct and private placement offerings, the applicable transaction agreements, the Preferred Stock, the warrants and the debt facility amendment.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Chardan Capital Markets, LLC acted as exclusive placement agent for the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9" w:name="page180"/>
    <w:bookmarkEnd w:id="179"/>
    <w:p>
      <w:pPr>
        <w:jc w:val="both"/>
        <w:spacing w:after="0" w:line="256" w:lineRule="auto"/>
        <w:rPr>
          <w:sz w:val="20"/>
          <w:szCs w:val="20"/>
          <w:color w:val="auto"/>
        </w:rPr>
      </w:pPr>
      <w:r>
        <w:rPr>
          <w:rFonts w:ascii="Times New Roman" w:cs="Times New Roman" w:eastAsia="Times New Roman" w:hAnsi="Times New Roman"/>
          <w:sz w:val="17"/>
          <w:szCs w:val="17"/>
          <w:color w:val="auto"/>
        </w:rPr>
        <w:t>The securities described above offered in the concurrent private placement are being offered under Section 4(a)(2) of the Securities Act of 1933, as amended (the “Act”), and Regulation D promulgated thereunder and, along with the shares of common stock underlying such securities, have not been registered under the Act, or applicable state securities laws. Accordingly, such securities may not be offered or sold in the United States except pursuant to an effective registration statement or an applicable exemption from the registration requirements of the Act and such applicable state securities laws.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press release shall not constitute an offer to sell or a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Dragonfly Energy</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To learn more about Dragonfly Energy and its commitment to clean energy advancements, visit </w:t>
      </w:r>
      <w:r>
        <w:rPr>
          <w:rFonts w:ascii="Times New Roman" w:cs="Times New Roman" w:eastAsia="Times New Roman" w:hAnsi="Times New Roman"/>
          <w:sz w:val="17"/>
          <w:szCs w:val="17"/>
          <w:u w:val="single" w:color="auto"/>
          <w:color w:val="auto"/>
        </w:rPr>
        <w:t>investors.dragonflyenergy.com</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2024,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80" w:name="page181"/>
    <w:bookmarkEnd w:id="180"/>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the closing of the offerings, the use of proceeds from the offerings, the ability to successfully achieve the thresholds for the additional funding from the offerings, the impact of the offering and the conversion and sale of the shares of common stock underlying the preferred stock on the Company’s stock price,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access capital as and when needed under its $150 million ChEF Equity Facility;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timely achieve the anticipated benefits of its licensing arrangement with Stryten Energy LLC; the Company’s ability to achieve the anticipated benefits of its customer arrangements with THOR Industries and THOR Industries’ affiliated brands (including Keystone RV Company); the Company’s ability to maintain the listing of its common stock and public warrants on the Nasdaq Capital Market;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2023 filed with the SEC and in the Company’s subsequent filings with the SEC available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Eric Prouty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Szymon Serowiecki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AdvisIRy Partners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DragonflyIR@advisiry.com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1240"/>
      </w:cols>
      <w:pgMar w:left="320" w:top="6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1)"/>
      <w:numFmt w:val="lowerRoman"/>
      <w:start w:val="3"/>
    </w:lvl>
  </w:abstractNum>
  <w:abstractNum w:abstractNumId="2">
    <w:nsid w:val="9DAF632"/>
    <w:multiLevelType w:val="hybridMultilevel"/>
    <w:lvl w:ilvl="0">
      <w:lvlJc w:val="left"/>
      <w:lvlText w:val="(%1)"/>
      <w:numFmt w:val="lowerLetter"/>
      <w:start w:val="4"/>
    </w:lvl>
  </w:abstractNum>
  <w:abstractNum w:abstractNumId="3">
    <w:nsid w:val="53299938"/>
    <w:multiLevelType w:val="hybridMultilevel"/>
    <w:lvl w:ilvl="0">
      <w:lvlJc w:val="left"/>
      <w:lvlText w:val="%1"/>
      <w:numFmt w:val="decimal"/>
      <w:start w:val="104"/>
    </w:lvl>
    <w:lvl w:ilvl="1">
      <w:lvlJc w:val="left"/>
      <w:lvlText w:val="*"/>
      <w:numFmt w:val="bullet"/>
      <w:start w:val="1"/>
    </w:lvl>
  </w:abstractNum>
  <w:abstractNum w:abstractNumId="4">
    <w:nsid w:val="1FBFE8E0"/>
    <w:multiLevelType w:val="hybridMultilevel"/>
    <w:lvl w:ilvl="0">
      <w:lvlJc w:val="left"/>
      <w:lvlText w:val="%1."/>
      <w:numFmt w:val="decimal"/>
      <w:start w:val="1"/>
    </w:lvl>
  </w:abstractNum>
  <w:abstractNum w:abstractNumId="5">
    <w:nsid w:val="5092CA79"/>
    <w:multiLevelType w:val="hybridMultilevel"/>
    <w:lvl w:ilvl="0">
      <w:lvlJc w:val="left"/>
      <w:lvlText w:val="%1."/>
      <w:numFmt w:val="decimal"/>
      <w:start w:val="3"/>
    </w:lvl>
    <w:lvl w:ilvl="1">
      <w:lvlJc w:val="left"/>
      <w:lvlText w:val="(%2)"/>
      <w:numFmt w:val="lowerLetter"/>
      <w:start w:val="1"/>
    </w:lvl>
  </w:abstractNum>
  <w:abstractNum w:abstractNumId="6">
    <w:nsid w:val="1D545C4D"/>
    <w:multiLevelType w:val="hybridMultilevel"/>
    <w:lvl w:ilvl="0">
      <w:lvlJc w:val="left"/>
      <w:lvlText w:val="%1"/>
      <w:numFmt w:val="decimal"/>
      <w:start w:val="1"/>
    </w:lvl>
    <w:lvl w:ilvl="1">
      <w:lvlJc w:val="left"/>
      <w:lvlText w:val="(%2)"/>
      <w:numFmt w:val="lowerLetter"/>
      <w:start w:val="2"/>
    </w:lvl>
  </w:abstractNum>
  <w:abstractNum w:abstractNumId="7">
    <w:nsid w:val="59ADEA3D"/>
    <w:multiLevelType w:val="hybridMultilevel"/>
    <w:lvl w:ilvl="0">
      <w:lvlJc w:val="left"/>
      <w:lvlText w:val="%1."/>
      <w:numFmt w:val="decimal"/>
      <w:start w:val="4"/>
    </w:lvl>
    <w:lvl w:ilvl="1">
      <w:lvlJc w:val="left"/>
      <w:lvlText w:val="(%2)"/>
      <w:numFmt w:val="lowerLetter"/>
      <w:start w:val="1"/>
    </w:lvl>
  </w:abstractNum>
  <w:abstractNum w:abstractNumId="8">
    <w:nsid w:val="288F1A34"/>
    <w:multiLevelType w:val="hybridMultilevel"/>
    <w:lvl w:ilvl="0">
      <w:lvlJc w:val="left"/>
      <w:lvlText w:val="(%1)"/>
      <w:numFmt w:val="lowerLetter"/>
      <w:start w:val="3"/>
    </w:lvl>
    <w:lvl w:ilvl="1">
      <w:lvlJc w:val="left"/>
      <w:lvlText w:val="(%2)"/>
      <w:numFmt w:val="lowerLetter"/>
      <w:start w:val="9"/>
    </w:lvl>
  </w:abstractNum>
  <w:abstractNum w:abstractNumId="9">
    <w:nsid w:val="2A155DBC"/>
    <w:multiLevelType w:val="hybridMultilevel"/>
    <w:lvl w:ilvl="0">
      <w:lvlJc w:val="left"/>
      <w:lvlText w:val="(%1)"/>
      <w:numFmt w:val="lowerRoman"/>
      <w:start w:val="2"/>
    </w:lvl>
  </w:abstractNum>
  <w:abstractNum w:abstractNumId="10">
    <w:nsid w:val="1D9F6E5F"/>
    <w:multiLevelType w:val="hybridMultilevel"/>
    <w:lvl w:ilvl="0">
      <w:lvlJc w:val="left"/>
      <w:lvlText w:val="%1"/>
      <w:numFmt w:val="decimal"/>
      <w:start w:val="1"/>
    </w:lvl>
    <w:lvl w:ilvl="1">
      <w:lvlJc w:val="left"/>
      <w:lvlText w:val="(%2)"/>
      <w:numFmt w:val="lowerRoman"/>
      <w:start w:val="3"/>
    </w:lvl>
  </w:abstractNum>
  <w:abstractNum w:abstractNumId="11">
    <w:nsid w:val="97E1B4E"/>
    <w:multiLevelType w:val="hybridMultilevel"/>
    <w:lvl w:ilvl="0">
      <w:lvlJc w:val="left"/>
      <w:lvlText w:val="(%1)"/>
      <w:numFmt w:val="decimal"/>
      <w:start w:val="1"/>
    </w:lvl>
    <w:lvl w:ilvl="1">
      <w:lvlJc w:val="left"/>
      <w:lvlText w:val="%2"/>
      <w:numFmt w:val="lowerRoman"/>
      <w:start w:val="1"/>
    </w:lvl>
  </w:abstractNum>
  <w:abstractNum w:abstractNumId="12">
    <w:nsid w:val="51088277"/>
    <w:multiLevelType w:val="hybridMultilevel"/>
    <w:lvl w:ilvl="0">
      <w:lvlJc w:val="left"/>
      <w:lvlText w:val="%1"/>
      <w:numFmt w:val="lowerLetter"/>
      <w:start w:val="1"/>
    </w:lvl>
    <w:lvl w:ilvl="1">
      <w:lvlJc w:val="left"/>
      <w:lvlText w:val="(%2)"/>
      <w:numFmt w:val="lowerRoman"/>
      <w:start w:val="4"/>
    </w:lvl>
  </w:abstractNum>
  <w:abstractNum w:abstractNumId="13">
    <w:nsid w:val="1CA0C5FA"/>
    <w:multiLevelType w:val="hybridMultilevel"/>
    <w:lvl w:ilvl="0">
      <w:lvlJc w:val="left"/>
      <w:lvlText w:val="(%1)"/>
      <w:numFmt w:val="lowerLetter"/>
      <w:start w:val="4"/>
    </w:lvl>
    <w:lvl w:ilvl="1">
      <w:lvlJc w:val="left"/>
      <w:lvlText w:val="(%2)"/>
      <w:numFmt w:val="lowerRoman"/>
      <w:start w:val="1"/>
    </w:lvl>
  </w:abstractNum>
  <w:abstractNum w:abstractNumId="14">
    <w:nsid w:val="53584BCB"/>
    <w:multiLevelType w:val="hybridMultilevel"/>
    <w:lvl w:ilvl="0">
      <w:lvlJc w:val="left"/>
      <w:lvlText w:val="%1"/>
      <w:numFmt w:val="lowerLetter"/>
      <w:start w:val="1"/>
    </w:lvl>
    <w:lvl w:ilvl="1">
      <w:lvlJc w:val="left"/>
      <w:lvlText w:val="(%2)"/>
      <w:numFmt w:val="lowerLetter"/>
      <w:start w:val="35"/>
    </w:lvl>
  </w:abstractNum>
  <w:abstractNum w:abstractNumId="15">
    <w:nsid w:val="415E286C"/>
    <w:multiLevelType w:val="hybridMultilevel"/>
    <w:lvl w:ilvl="0">
      <w:lvlJc w:val="left"/>
      <w:lvlText w:val="(%1)"/>
      <w:numFmt w:val="lowerLetter"/>
      <w:start w:val="5"/>
    </w:lvl>
    <w:lvl w:ilvl="1">
      <w:lvlJc w:val="left"/>
      <w:lvlText w:val="(%2)"/>
      <w:numFmt w:val="lowerLetter"/>
      <w:start w:val="9"/>
    </w:lvl>
  </w:abstractNum>
  <w:abstractNum w:abstractNumId="16">
    <w:nsid w:val="7C58FD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7">
    <w:nsid w:val="23D86AA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8">
    <w:nsid w:val="45E6D486"/>
    <w:multiLevelType w:val="hybridMultilevel"/>
    <w:lvl w:ilvl="0">
      <w:lvlJc w:val="left"/>
      <w:lvlText w:val="(%1)"/>
      <w:numFmt w:val="lowerRoman"/>
      <w:start w:val="2"/>
    </w:lvl>
  </w:abstractNum>
  <w:abstractNum w:abstractNumId="19">
    <w:nsid w:val="5C10FE21"/>
    <w:multiLevelType w:val="hybridMultilevel"/>
    <w:lvl w:ilvl="0">
      <w:lvlJc w:val="left"/>
      <w:lvlText w:val="%1"/>
      <w:numFmt w:val="decimal"/>
      <w:start w:val="1"/>
    </w:lvl>
    <w:lvl w:ilvl="1">
      <w:lvlJc w:val="left"/>
      <w:lvlText w:val="(%2)"/>
      <w:numFmt w:val="lowerRoman"/>
      <w:start w:val="3"/>
    </w:lvl>
  </w:abstractNum>
  <w:abstractNum w:abstractNumId="20">
    <w:nsid w:val="E7FFA2B"/>
    <w:multiLevelType w:val="hybridMultilevel"/>
    <w:lvl w:ilvl="0">
      <w:lvlJc w:val="left"/>
      <w:lvlText w:val="(%1)"/>
      <w:numFmt w:val="decimal"/>
      <w:start w:val="30"/>
    </w:lvl>
    <w:lvl w:ilvl="1">
      <w:lvlJc w:val="left"/>
      <w:lvlText w:val="%2"/>
      <w:numFmt w:val="lowerRoman"/>
      <w:start w:val="1"/>
    </w:lvl>
  </w:abstractNum>
  <w:abstractNum w:abstractNumId="21">
    <w:nsid w:val="3C5991AA"/>
    <w:multiLevelType w:val="hybridMultilevel"/>
    <w:lvl w:ilvl="0">
      <w:lvlJc w:val="left"/>
      <w:lvlText w:val="(%1)"/>
      <w:numFmt w:val="lowerRoman"/>
      <w:start w:val="9"/>
    </w:lvl>
  </w:abstractNum>
  <w:abstractNum w:abstractNumId="22">
    <w:nsid w:val="4BD8591A"/>
    <w:multiLevelType w:val="hybridMultilevel"/>
    <w:lvl w:ilvl="0">
      <w:lvlJc w:val="left"/>
      <w:lvlText w:val="%1"/>
      <w:numFmt w:val="lowerLetter"/>
      <w:start w:val="1"/>
    </w:lvl>
    <w:lvl w:ilvl="1">
      <w:lvlJc w:val="left"/>
      <w:lvlText w:val="(%2)"/>
      <w:numFmt w:val="lowerRoman"/>
      <w:start w:val="12"/>
    </w:lvl>
  </w:abstractNum>
  <w:abstractNum w:abstractNumId="23">
    <w:nsid w:val="78DF6A55"/>
    <w:multiLevelType w:val="hybridMultilevel"/>
    <w:lvl w:ilvl="0">
      <w:lvlJc w:val="left"/>
      <w:lvlText w:val="(%1)"/>
      <w:numFmt w:val="lowerLetter"/>
      <w:start w:val="2"/>
    </w:lvl>
    <w:lvl w:ilvl="1">
      <w:lvlJc w:val="left"/>
      <w:lvlText w:val="%2"/>
      <w:numFmt w:val="lowerRoman"/>
      <w:start w:val="1"/>
    </w:lvl>
  </w:abstractNum>
  <w:abstractNum w:abstractNumId="24">
    <w:nsid w:val="39B7AAA2"/>
    <w:multiLevelType w:val="hybridMultilevel"/>
    <w:lvl w:ilvl="0">
      <w:lvlJc w:val="left"/>
      <w:lvlText w:val="%1"/>
      <w:numFmt w:val="decimal"/>
      <w:start w:val="1"/>
    </w:lvl>
    <w:lvl w:ilvl="1">
      <w:lvlJc w:val="left"/>
      <w:lvlText w:val="(%2)"/>
      <w:numFmt w:val="lowerLetter"/>
      <w:start w:val="3"/>
    </w:lvl>
  </w:abstractNum>
  <w:abstractNum w:abstractNumId="25">
    <w:nsid w:val="2B0D8DBE"/>
    <w:multiLevelType w:val="hybridMultilevel"/>
    <w:lvl w:ilvl="0">
      <w:lvlJc w:val="left"/>
      <w:lvlText w:val="%1."/>
      <w:numFmt w:val="decimal"/>
      <w:start w:val="6"/>
    </w:lvl>
    <w:lvl w:ilvl="1">
      <w:lvlJc w:val="left"/>
      <w:lvlText w:val="(%2)"/>
      <w:numFmt w:val="lowerLetter"/>
      <w:start w:val="1"/>
    </w:lvl>
  </w:abstractNum>
  <w:abstractNum w:abstractNumId="26">
    <w:nsid w:val="6C80EC70"/>
    <w:multiLevelType w:val="hybridMultilevel"/>
    <w:lvl w:ilvl="0">
      <w:lvlJc w:val="left"/>
      <w:lvlText w:val="%1"/>
      <w:numFmt w:val="decimal"/>
      <w:start w:val="1"/>
    </w:lvl>
    <w:lvl w:ilvl="1">
      <w:lvlJc w:val="left"/>
      <w:lvlText w:val="(%2)"/>
      <w:numFmt w:val="lowerLetter"/>
      <w:start w:val="2"/>
    </w:lvl>
  </w:abstractNum>
  <w:abstractNum w:abstractNumId="27">
    <w:nsid w:val="379E21B5"/>
    <w:multiLevelType w:val="hybridMultilevel"/>
    <w:lvl w:ilvl="0">
      <w:lvlJc w:val="left"/>
      <w:lvlText w:val="%1."/>
      <w:numFmt w:val="decimal"/>
      <w:start w:val="7"/>
    </w:lvl>
    <w:lvl w:ilvl="1">
      <w:lvlJc w:val="left"/>
      <w:lvlText w:val="(%2)"/>
      <w:numFmt w:val="lowerLetter"/>
      <w:start w:val="1"/>
    </w:lvl>
  </w:abstractNum>
  <w:abstractNum w:abstractNumId="28">
    <w:nsid w:val="69E37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9">
    <w:nsid w:val="2C27173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30">
    <w:nsid w:val="4C9B0904"/>
    <w:multiLevelType w:val="hybridMultilevel"/>
    <w:lvl w:ilvl="0">
      <w:lvlJc w:val="left"/>
      <w:lvlText w:val="(%1)"/>
      <w:numFmt w:val="lowerRoman"/>
      <w:start w:val="2"/>
    </w:lvl>
  </w:abstractNum>
  <w:abstractNum w:abstractNumId="31">
    <w:nsid w:val="6AA7B75C"/>
    <w:multiLevelType w:val="hybridMultilevel"/>
    <w:lvl w:ilvl="0">
      <w:lvlJc w:val="left"/>
      <w:lvlText w:val="%1"/>
      <w:numFmt w:val="lowerLetter"/>
      <w:start w:val="1"/>
    </w:lvl>
    <w:lvl w:ilvl="1">
      <w:lvlJc w:val="left"/>
      <w:lvlText w:val="(%2)"/>
      <w:numFmt w:val="lowerRoman"/>
      <w:start w:val="4"/>
    </w:lvl>
  </w:abstractNum>
  <w:abstractNum w:abstractNumId="32">
    <w:nsid w:val="1DF029D3"/>
    <w:multiLevelType w:val="hybridMultilevel"/>
    <w:lvl w:ilvl="0">
      <w:lvlJc w:val="left"/>
      <w:lvlText w:val="(%1)"/>
      <w:numFmt w:val="lowerLetter"/>
      <w:start w:val="2"/>
    </w:lvl>
    <w:lvl w:ilvl="1">
      <w:lvlJc w:val="left"/>
      <w:lvlText w:val="%2"/>
      <w:numFmt w:val="lowerRoman"/>
      <w:start w:val="1"/>
    </w:lvl>
  </w:abstractNum>
  <w:abstractNum w:abstractNumId="33">
    <w:nsid w:val="5675FF36"/>
    <w:multiLevelType w:val="hybridMultilevel"/>
    <w:lvl w:ilvl="0">
      <w:lvlJc w:val="left"/>
      <w:lvlText w:val="(%1)"/>
      <w:numFmt w:val="lowerLetter"/>
      <w:start w:val="3"/>
    </w:lvl>
  </w:abstractNum>
  <w:abstractNum w:abstractNumId="34">
    <w:nsid w:val="3DD15094"/>
    <w:multiLevelType w:val="hybridMultilevel"/>
    <w:lvl w:ilvl="0">
      <w:lvlJc w:val="left"/>
      <w:lvlText w:val="%1."/>
      <w:numFmt w:val="decimal"/>
      <w:start w:val="9"/>
    </w:lvl>
  </w:abstractNum>
  <w:abstractNum w:abstractNumId="35">
    <w:nsid w:val="3DB012B3"/>
    <w:multiLevelType w:val="hybridMultilevel"/>
    <w:lvl w:ilvl="0">
      <w:lvlJc w:val="left"/>
      <w:lvlText w:val="%1."/>
      <w:numFmt w:val="decimal"/>
      <w:start w:val="11"/>
    </w:lvl>
    <w:lvl w:ilvl="1">
      <w:lvlJc w:val="left"/>
      <w:lvlText w:val="(%2)"/>
      <w:numFmt w:val="lowerLetter"/>
      <w:start w:val="1"/>
    </w:lvl>
  </w:abstractNum>
  <w:abstractNum w:abstractNumId="36">
    <w:nsid w:val="2708C9AF"/>
    <w:multiLevelType w:val="hybridMultilevel"/>
    <w:lvl w:ilvl="0">
      <w:lvlJc w:val="left"/>
      <w:lvlText w:val="%1."/>
      <w:numFmt w:val="decimal"/>
      <w:start w:val="12"/>
    </w:lvl>
    <w:lvl w:ilvl="1">
      <w:lvlJc w:val="left"/>
      <w:lvlText w:val="(%2)"/>
      <w:numFmt w:val="lowerLetter"/>
      <w:start w:val="1"/>
    </w:lvl>
  </w:abstractNum>
  <w:abstractNum w:abstractNumId="37">
    <w:nsid w:val="5B25ACE2"/>
    <w:multiLevelType w:val="hybridMultilevel"/>
    <w:lvl w:ilvl="0">
      <w:lvlJc w:val="left"/>
      <w:lvlText w:val="%1"/>
      <w:numFmt w:val="lowerLetter"/>
      <w:start w:val="1"/>
    </w:lvl>
    <w:lvl w:ilvl="1">
      <w:lvlJc w:val="left"/>
      <w:lvlText w:val="(%2)"/>
      <w:numFmt w:val="lowerLetter"/>
      <w:start w:val="8"/>
    </w:lvl>
  </w:abstractNum>
  <w:abstractNum w:abstractNumId="38">
    <w:nsid w:val="175DFCF0"/>
    <w:multiLevelType w:val="hybridMultilevel"/>
    <w:lvl w:ilvl="0">
      <w:lvlJc w:val="left"/>
      <w:lvlText w:val="(%1)"/>
      <w:numFmt w:val="lowerLetter"/>
      <w:start w:val="61"/>
    </w:lvl>
    <w:lvl w:ilvl="1">
      <w:lvlJc w:val="left"/>
      <w:lvlText w:val="%2"/>
      <w:numFmt w:val="lowerLetter"/>
      <w:start w:val="1"/>
    </w:lvl>
  </w:abstractNum>
  <w:abstractNum w:abstractNumId="39">
    <w:nsid w:val="4F97E3E4"/>
    <w:multiLevelType w:val="hybridMultilevel"/>
    <w:lvl w:ilvl="0">
      <w:lvlJc w:val="left"/>
      <w:lvlText w:val="%1"/>
      <w:numFmt w:val="decimal"/>
      <w:start w:val="1"/>
    </w:lvl>
    <w:lvl w:ilvl="1">
      <w:lvlJc w:val="left"/>
      <w:lvlText w:val="(%2)"/>
      <w:numFmt w:val="lowerLetter"/>
      <w:start w:val="13"/>
    </w:lvl>
  </w:abstractNum>
  <w:abstractNum w:abstractNumId="40">
    <w:nsid w:val="53B0A9E"/>
    <w:multiLevelType w:val="hybridMultilevel"/>
    <w:lvl w:ilvl="0">
      <w:lvlJc w:val="left"/>
      <w:lvlText w:val="%1."/>
      <w:numFmt w:val="decimal"/>
      <w:start w:val="14"/>
    </w:lvl>
    <w:lvl w:ilvl="1">
      <w:lvlJc w:val="left"/>
      <w:lvlText w:val="%2"/>
      <w:numFmt w:val="lowerLetter"/>
      <w:start w:val="1"/>
    </w:lvl>
  </w:abstractNum>
  <w:abstractNum w:abstractNumId="41">
    <w:nsid w:val="34FD6B4F"/>
    <w:multiLevelType w:val="hybridMultilevel"/>
    <w:lvl w:ilvl="0">
      <w:lvlJc w:val="left"/>
      <w:lvlText w:val="%1."/>
      <w:numFmt w:val="decimal"/>
      <w:start w:val="15"/>
    </w:lvl>
  </w:abstractNum>
  <w:abstractNum w:abstractNumId="42">
    <w:nsid w:val="5915FF32"/>
    <w:multiLevelType w:val="hybridMultilevel"/>
    <w:lvl w:ilvl="0">
      <w:lvlJc w:val="left"/>
      <w:lvlText w:val="%1."/>
      <w:numFmt w:val="decimal"/>
      <w:start w:val="17"/>
    </w:lvl>
    <w:lvl w:ilvl="1">
      <w:lvlJc w:val="left"/>
      <w:lvlText w:val="(%2)"/>
      <w:numFmt w:val="lowerLetter"/>
      <w:start w:val="1"/>
    </w:lvl>
  </w:abstractNum>
  <w:abstractNum w:abstractNumId="43">
    <w:nsid w:val="56438D15"/>
    <w:multiLevelType w:val="hybridMultilevel"/>
    <w:lvl w:ilvl="0">
      <w:lvlJc w:val="left"/>
      <w:lvlText w:val="%1"/>
      <w:numFmt w:val="decimal"/>
      <w:start w:val="1"/>
    </w:lvl>
    <w:lvl w:ilvl="1">
      <w:lvlJc w:val="left"/>
      <w:lvlText w:val="(%2)"/>
      <w:numFmt w:val="lowerLetter"/>
      <w:start w:val="4"/>
    </w:lvl>
  </w:abstractNum>
  <w:abstractNum w:abstractNumId="44">
    <w:nsid w:val="519E3149"/>
    <w:multiLevelType w:val="hybridMultilevel"/>
    <w:lvl w:ilvl="0">
      <w:lvlJc w:val="left"/>
      <w:lvlText w:val="%1."/>
      <w:numFmt w:val="decimal"/>
      <w:start w:val="19"/>
    </w:lvl>
    <w:lvl w:ilvl="1">
      <w:lvlJc w:val="left"/>
      <w:lvlText w:val="%2"/>
      <w:numFmt w:val="lowerLetter"/>
      <w:start w:val="1"/>
    </w:lvl>
  </w:abstractNum>
  <w:abstractNum w:abstractNumId="45">
    <w:nsid w:val="2C6E4AFD"/>
    <w:multiLevelType w:val="hybridMultilevel"/>
    <w:lvl w:ilvl="0">
      <w:lvlJc w:val="left"/>
      <w:lvlText w:val="%1."/>
      <w:numFmt w:val="decimal"/>
      <w:start w:val="20"/>
    </w:lvl>
  </w:abstractNum>
  <w:abstractNum w:abstractNumId="46">
    <w:nsid w:val="17A1B582"/>
    <w:multiLevelType w:val="hybridMultilevel"/>
    <w:lvl w:ilvl="0">
      <w:lvlJc w:val="left"/>
      <w:lvlText w:val="%1."/>
      <w:numFmt w:val="decimal"/>
      <w:start w:val="23"/>
    </w:lvl>
    <w:lvl w:ilvl="1">
      <w:lvlJc w:val="left"/>
      <w:lvlText w:val="(%2)"/>
      <w:numFmt w:val="lowerLetter"/>
      <w:start w:val="1"/>
    </w:lvl>
    <w:lvl w:ilvl="2">
      <w:lvlJc w:val="left"/>
      <w:lvlText w:val="(%3)"/>
      <w:numFmt w:val="lowerRoman"/>
      <w:start w:val="1"/>
    </w:lvl>
  </w:abstractNum>
  <w:abstractNum w:abstractNumId="47">
    <w:nsid w:val="4DF72E4E"/>
    <w:multiLevelType w:val="hybridMultilevel"/>
    <w:lvl w:ilvl="0">
      <w:lvlJc w:val="left"/>
      <w:lvlText w:val="(%1)"/>
      <w:numFmt w:val="lowerLetter"/>
      <w:start w:val="2"/>
    </w:lvl>
  </w:abstractNum>
  <w:abstractNum w:abstractNumId="48">
    <w:nsid w:val="5046B5A9"/>
    <w:multiLevelType w:val="hybridMultilevel"/>
    <w:lvl w:ilvl="0">
      <w:lvlJc w:val="left"/>
      <w:lvlText w:val="%1."/>
      <w:numFmt w:val="decimal"/>
      <w:start w:val="24"/>
    </w:lvl>
    <w:lvl w:ilvl="1">
      <w:lvlJc w:val="left"/>
      <w:lvlText w:val="(%2)"/>
      <w:numFmt w:val="lowerLetter"/>
      <w:start w:val="1"/>
    </w:lvl>
  </w:abstractNum>
  <w:abstractNum w:abstractNumId="49">
    <w:nsid w:val="5D888A08"/>
    <w:multiLevelType w:val="hybridMultilevel"/>
    <w:lvl w:ilvl="0">
      <w:lvlJc w:val="left"/>
      <w:lvlText w:val="%1"/>
      <w:numFmt w:val="decimal"/>
      <w:start w:val="1"/>
    </w:lvl>
    <w:lvl w:ilvl="1">
      <w:lvlJc w:val="left"/>
      <w:lvlText w:val="(%2)"/>
      <w:numFmt w:val="lowerLetter"/>
      <w:start w:val="2"/>
    </w:lvl>
  </w:abstractNum>
  <w:abstractNum w:abstractNumId="50">
    <w:nsid w:val="2A082C70"/>
    <w:multiLevelType w:val="hybridMultilevel"/>
    <w:lvl w:ilvl="0">
      <w:lvlJc w:val="left"/>
      <w:lvlText w:val="%1."/>
      <w:numFmt w:val="decimal"/>
      <w:start w:val="25"/>
    </w:lvl>
    <w:lvl w:ilvl="1">
      <w:lvlJc w:val="left"/>
      <w:lvlText w:val="%2"/>
      <w:numFmt w:val="lowerLetter"/>
      <w:start w:val="1"/>
    </w:lvl>
  </w:abstractNum>
  <w:abstractNum w:abstractNumId="51">
    <w:nsid w:val="5EC6AFD4"/>
    <w:multiLevelType w:val="hybridMultilevel"/>
    <w:lvl w:ilvl="0">
      <w:lvlJc w:val="left"/>
      <w:lvlText w:val="%1"/>
      <w:numFmt w:val="lowerLetter"/>
      <w:start w:val="1"/>
    </w:lvl>
    <w:lvl w:ilvl="1">
      <w:lvlJc w:val="left"/>
      <w:lvlText w:val="%2."/>
      <w:numFmt w:val="decimal"/>
      <w:start w:val="26"/>
    </w:lvl>
    <w:lvl w:ilvl="2">
      <w:lvlJc w:val="left"/>
      <w:lvlText w:val="%3"/>
      <w:numFmt w:val="lowerLetter"/>
      <w:start w:val="1"/>
    </w:lvl>
  </w:abstractNum>
  <w:abstractNum w:abstractNumId="52">
    <w:nsid w:val="19E21BB2"/>
    <w:multiLevelType w:val="hybridMultilevel"/>
    <w:lvl w:ilvl="0">
      <w:lvlJc w:val="left"/>
      <w:lvlText w:val="(%1)"/>
      <w:numFmt w:val="lowerLetter"/>
      <w:start w:val="9"/>
    </w:lvl>
    <w:lvl w:ilvl="1">
      <w:lvlJc w:val="left"/>
      <w:lvlText w:val="%2."/>
      <w:numFmt w:val="decimal"/>
      <w:start w:val="27"/>
    </w:lvl>
    <w:lvl w:ilvl="2">
      <w:lvlJc w:val="left"/>
      <w:lvlText w:val="(%3)"/>
      <w:numFmt w:val="lowerLetter"/>
      <w:start w:val="1"/>
    </w:lvl>
  </w:abstractNum>
  <w:abstractNum w:abstractNumId="53">
    <w:nsid w:val="75E0858A"/>
    <w:multiLevelType w:val="hybridMultilevel"/>
    <w:lvl w:ilvl="0">
      <w:lvlJc w:val="left"/>
      <w:lvlText w:val="(%1)"/>
      <w:numFmt w:val="lowerRoman"/>
      <w:start w:val="1"/>
    </w:lvl>
  </w:abstractNum>
  <w:abstractNum w:abstractNumId="54">
    <w:nsid w:val="57A61A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5">
    <w:nsid w:val="5399C65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56">
    <w:nsid w:val="20EE1348"/>
    <w:multiLevelType w:val="hybridMultilevel"/>
    <w:lvl w:ilvl="0">
      <w:lvlJc w:val="left"/>
      <w:lvlText w:val="%1."/>
      <w:numFmt w:val="decimal"/>
      <w:start w:val="28"/>
    </w:lvl>
    <w:lvl w:ilvl="1">
      <w:lvlJc w:val="left"/>
      <w:lvlText w:val="(%2)"/>
      <w:numFmt w:val="lowerLetter"/>
      <w:start w:val="1"/>
    </w:lvl>
    <w:lvl w:ilvl="2">
      <w:lvlJc w:val="left"/>
      <w:lvlText w:val="%3"/>
      <w:numFmt w:val="lowerLetter"/>
      <w:start w:val="1"/>
    </w:lvl>
  </w:abstractNum>
  <w:abstractNum w:abstractNumId="57">
    <w:nsid w:val="4427069A"/>
    <w:multiLevelType w:val="hybridMultilevel"/>
    <w:lvl w:ilvl="0">
      <w:lvlJc w:val="left"/>
      <w:lvlText w:val="%1"/>
      <w:numFmt w:val="decimal"/>
      <w:start w:val="1"/>
    </w:lvl>
    <w:lvl w:ilvl="1">
      <w:lvlJc w:val="left"/>
      <w:lvlText w:val="(%2)"/>
      <w:numFmt w:val="lowerLetter"/>
      <w:start w:val="2"/>
    </w:lvl>
  </w:abstractNum>
  <w:abstractNum w:abstractNumId="58">
    <w:nsid w:val="B37E80A"/>
    <w:multiLevelType w:val="hybridMultilevel"/>
    <w:lvl w:ilvl="0">
      <w:lvlJc w:val="left"/>
      <w:lvlText w:val="%1."/>
      <w:numFmt w:val="decimal"/>
      <w:start w:val="32"/>
    </w:lvl>
    <w:lvl w:ilvl="1">
      <w:lvlJc w:val="left"/>
      <w:lvlText w:val="(%2)"/>
      <w:numFmt w:val="lowerLetter"/>
      <w:start w:val="1"/>
    </w:lvl>
  </w:abstractNum>
  <w:abstractNum w:abstractNumId="59">
    <w:nsid w:val="2157F6BC"/>
    <w:multiLevelType w:val="hybridMultilevel"/>
    <w:lvl w:ilvl="0">
      <w:lvlJc w:val="left"/>
      <w:lvlText w:val="(%1)"/>
      <w:numFmt w:val="lowerLetter"/>
      <w:start w:val="5"/>
    </w:lvl>
  </w:abstractNum>
  <w:abstractNum w:abstractNumId="60">
    <w:nsid w:val="704E1DD5"/>
    <w:multiLevelType w:val="hybridMultilevel"/>
    <w:lvl w:ilvl="0">
      <w:lvlJc w:val="left"/>
      <w:lvlText w:val="(%1)"/>
      <w:numFmt w:val="lowerLetter"/>
      <w:start w:val="9"/>
    </w:lvl>
  </w:abstractNum>
  <w:abstractNum w:abstractNumId="61">
    <w:nsid w:val="57D2F10E"/>
    <w:multiLevelType w:val="hybridMultilevel"/>
    <w:lvl w:ilvl="0">
      <w:lvlJc w:val="left"/>
      <w:lvlText w:val="(%1)"/>
      <w:numFmt w:val="lowerLetter"/>
      <w:start w:val="15"/>
    </w:lvl>
  </w:abstractNum>
  <w:abstractNum w:abstractNumId="62">
    <w:nsid w:val="BFFAE18"/>
    <w:multiLevelType w:val="hybridMultilevel"/>
    <w:lvl w:ilvl="0">
      <w:lvlJc w:val="left"/>
      <w:lvlText w:val="%1"/>
      <w:numFmt w:val="decimal"/>
      <w:start w:val="1"/>
    </w:lvl>
    <w:lvl w:ilvl="1">
      <w:lvlJc w:val="left"/>
      <w:lvlText w:val="(%2)"/>
      <w:numFmt w:val="lowerLetter"/>
      <w:start w:val="19"/>
    </w:lvl>
  </w:abstractNum>
  <w:abstractNum w:abstractNumId="63">
    <w:nsid w:val="E3E47A8"/>
    <w:multiLevelType w:val="hybridMultilevel"/>
    <w:lvl w:ilvl="0">
      <w:lvlJc w:val="left"/>
      <w:lvlText w:val="(%1)"/>
      <w:numFmt w:val="decimal"/>
      <w:start w:val="1"/>
    </w:lvl>
    <w:lvl w:ilvl="1">
      <w:lvlJc w:val="left"/>
      <w:lvlText w:val="(%2)"/>
      <w:numFmt w:val="lowerLetter"/>
      <w:start w:val="24"/>
    </w:lvl>
  </w:abstractNum>
  <w:abstractNum w:abstractNumId="64">
    <w:nsid w:val="2E48F044"/>
    <w:multiLevelType w:val="hybridMultilevel"/>
    <w:lvl w:ilvl="0">
      <w:lvlJc w:val="left"/>
      <w:lvlText w:val="(%1)"/>
      <w:numFmt w:val="lowerLetter"/>
      <w:start w:val="26"/>
    </w:lvl>
  </w:abstractNum>
  <w:abstractNum w:abstractNumId="65">
    <w:nsid w:val="49D0FEAC"/>
    <w:multiLevelType w:val="hybridMultilevel"/>
    <w:lvl w:ilvl="0">
      <w:lvlJc w:val="left"/>
      <w:lvlText w:val="(%1)"/>
      <w:numFmt w:val="lowerLetter"/>
      <w:start w:val="27"/>
    </w:lvl>
  </w:abstractNum>
  <w:abstractNum w:abstractNumId="66">
    <w:nsid w:val="4BEE5A5B"/>
    <w:multiLevelType w:val="hybridMultilevel"/>
    <w:lvl w:ilvl="0">
      <w:lvlJc w:val="left"/>
      <w:lvlText w:val="%1"/>
      <w:numFmt w:val="lowerLetter"/>
      <w:start w:val="1"/>
    </w:lvl>
    <w:lvl w:ilvl="1">
      <w:lvlJc w:val="left"/>
      <w:lvlText w:val="(%2)"/>
      <w:numFmt w:val="lowerLetter"/>
      <w:start w:val="28"/>
    </w:lvl>
  </w:abstractNum>
  <w:abstractNum w:abstractNumId="67">
    <w:nsid w:val="5551B9F3"/>
    <w:multiLevelType w:val="hybridMultilevel"/>
    <w:lvl w:ilvl="0">
      <w:lvlJc w:val="left"/>
      <w:lvlText w:val="(%1)"/>
      <w:numFmt w:val="lowerLetter"/>
      <w:start w:val="35"/>
    </w:lvl>
    <w:lvl w:ilvl="1">
      <w:lvlJc w:val="left"/>
      <w:lvlText w:val="%2"/>
      <w:numFmt w:val="lowerLetter"/>
      <w:start w:val="1"/>
    </w:lvl>
  </w:abstractNum>
  <w:abstractNum w:abstractNumId="68">
    <w:nsid w:val="24F6AB8E"/>
    <w:multiLevelType w:val="hybridMultilevel"/>
    <w:lvl w:ilvl="0">
      <w:lvlJc w:val="left"/>
      <w:lvlText w:val="(%1)"/>
      <w:numFmt w:val="lowerLetter"/>
      <w:start w:val="22"/>
    </w:lvl>
    <w:lvl w:ilvl="1">
      <w:lvlJc w:val="left"/>
      <w:lvlText w:val="(%2)"/>
      <w:numFmt w:val="lowerLetter"/>
      <w:start w:val="29"/>
    </w:lvl>
  </w:abstractNum>
  <w:abstractNum w:abstractNumId="69">
    <w:nsid w:val="634C574C"/>
    <w:multiLevelType w:val="hybridMultilevel"/>
    <w:lvl w:ilvl="0">
      <w:lvlJc w:val="left"/>
      <w:lvlText w:val="%1"/>
      <w:numFmt w:val="lowerLetter"/>
      <w:start w:val="1"/>
    </w:lvl>
    <w:lvl w:ilvl="1">
      <w:lvlJc w:val="left"/>
      <w:lvlText w:val="(%2)"/>
      <w:numFmt w:val="lowerLetter"/>
      <w:start w:val="30"/>
    </w:lvl>
  </w:abstractNum>
  <w:abstractNum w:abstractNumId="70">
    <w:nsid w:val="24E99DD7"/>
    <w:multiLevelType w:val="hybridMultilevel"/>
    <w:lvl w:ilvl="0">
      <w:lvlJc w:val="left"/>
      <w:lvlText w:val="(%1)"/>
      <w:numFmt w:val="lowerLetter"/>
      <w:start w:val="35"/>
    </w:lvl>
    <w:lvl w:ilvl="1">
      <w:lvlJc w:val="left"/>
      <w:lvlText w:val="%2"/>
      <w:numFmt w:val="lowerLetter"/>
      <w:start w:val="1"/>
    </w:lvl>
  </w:abstractNum>
  <w:abstractNum w:abstractNumId="71">
    <w:nsid w:val="2A31B62D"/>
    <w:multiLevelType w:val="hybridMultilevel"/>
    <w:lvl w:ilvl="0">
      <w:lvlJc w:val="left"/>
      <w:lvlText w:val="(%1)"/>
      <w:numFmt w:val="lowerLetter"/>
      <w:start w:val="32"/>
    </w:lvl>
  </w:abstractNum>
  <w:abstractNum w:abstractNumId="72">
    <w:nsid w:val="1849C29B"/>
    <w:multiLevelType w:val="hybridMultilevel"/>
    <w:lvl w:ilvl="0">
      <w:lvlJc w:val="left"/>
      <w:lvlText w:val="(%1)"/>
      <w:numFmt w:val="lowerLetter"/>
      <w:start w:val="37"/>
    </w:lvl>
  </w:abstractNum>
  <w:abstractNum w:abstractNumId="73">
    <w:nsid w:val="7DFF9D09"/>
    <w:multiLevelType w:val="hybridMultilevel"/>
    <w:lvl w:ilvl="0">
      <w:lvlJc w:val="left"/>
      <w:lvlText w:val="(%1)"/>
      <w:numFmt w:val="lowerLetter"/>
      <w:start w:val="41"/>
    </w:lvl>
  </w:abstractNum>
  <w:abstractNum w:abstractNumId="74">
    <w:nsid w:val="754342"/>
    <w:multiLevelType w:val="hybridMultilevel"/>
    <w:lvl w:ilvl="0">
      <w:lvlJc w:val="left"/>
      <w:lvlText w:val="(%1)"/>
      <w:numFmt w:val="lowerLetter"/>
      <w:start w:val="47"/>
    </w:lvl>
  </w:abstractNum>
  <w:abstractNum w:abstractNumId="75">
    <w:nsid w:val="69E7F3E5"/>
    <w:multiLevelType w:val="hybridMultilevel"/>
    <w:lvl w:ilvl="0">
      <w:lvlJc w:val="left"/>
      <w:lvlText w:val="(%1)"/>
      <w:numFmt w:val="lowerLetter"/>
      <w:start w:val="52"/>
    </w:lvl>
  </w:abstractNum>
  <w:abstractNum w:abstractNumId="76">
    <w:nsid w:val="2A6DE806"/>
    <w:multiLevelType w:val="hybridMultilevel"/>
    <w:lvl w:ilvl="0">
      <w:lvlJc w:val="left"/>
      <w:lvlText w:val="(%1)"/>
      <w:numFmt w:val="lowerLetter"/>
      <w:start w:val="53"/>
    </w:lvl>
  </w:abstractNum>
  <w:abstractNum w:abstractNumId="77">
    <w:nsid w:val="1816F8C4"/>
    <w:multiLevelType w:val="hybridMultilevel"/>
    <w:lvl w:ilvl="0">
      <w:lvlJc w:val="left"/>
      <w:lvlText w:val="%1"/>
      <w:numFmt w:val="decimal"/>
      <w:start w:val="1"/>
    </w:lvl>
    <w:lvl w:ilvl="1">
      <w:lvlJc w:val="left"/>
      <w:lvlText w:val="(%2)"/>
      <w:numFmt w:val="lowerLetter"/>
      <w:start w:val="61"/>
    </w:lvl>
  </w:abstractNum>
  <w:abstractNum w:abstractNumId="78">
    <w:nsid w:val="37DF2233"/>
    <w:multiLevelType w:val="hybridMultilevel"/>
    <w:lvl w:ilvl="0">
      <w:lvlJc w:val="left"/>
      <w:lvlText w:val="%1."/>
      <w:numFmt w:val="decimal"/>
      <w:start w:val="33"/>
    </w:lvl>
    <w:lvl w:ilvl="1">
      <w:lvlJc w:val="left"/>
      <w:lvlText w:val="%2"/>
      <w:numFmt w:val="lowerLetter"/>
      <w:start w:val="1"/>
    </w:lvl>
  </w:abstractNum>
  <w:abstractNum w:abstractNumId="79">
    <w:nsid w:val="7AB49DAF"/>
    <w:multiLevelType w:val="hybridMultilevel"/>
    <w:lvl w:ilvl="0">
      <w:lvlJc w:val="left"/>
      <w:lvlText w:val="☐"/>
      <w:numFmt w:val="bullet"/>
      <w:start w:val="1"/>
    </w:lvl>
  </w:abstractNum>
  <w:abstractNum w:abstractNumId="80">
    <w:nsid w:val="759F82CD"/>
    <w:multiLevelType w:val="hybridMultilevel"/>
    <w:lvl w:ilvl="0">
      <w:lvlJc w:val="left"/>
      <w:lvlText w:val="☐"/>
      <w:numFmt w:val="bullet"/>
      <w:start w:val="1"/>
    </w:lvl>
  </w:abstractNum>
  <w:abstractNum w:abstractNumId="81">
    <w:nsid w:val="61E74EA3"/>
    <w:multiLevelType w:val="hybridMultilevel"/>
    <w:lvl w:ilvl="0">
      <w:lvlJc w:val="left"/>
      <w:lvlText w:val="%1)"/>
      <w:numFmt w:val="lowerLetter"/>
      <w:start w:val="1"/>
    </w:lvl>
  </w:abstractNum>
  <w:abstractNum w:abstractNumId="82">
    <w:nsid w:val="597B4D84"/>
    <w:multiLevelType w:val="hybridMultilevel"/>
    <w:lvl w:ilvl="0">
      <w:lvlJc w:val="left"/>
      <w:lvlText w:val="%1)"/>
      <w:numFmt w:val="lowerLetter"/>
      <w:start w:val="2"/>
    </w:lvl>
  </w:abstractNum>
  <w:abstractNum w:abstractNumId="83">
    <w:nsid w:val="F819E7F"/>
    <w:multiLevelType w:val="hybridMultilevel"/>
    <w:lvl w:ilvl="0">
      <w:lvlJc w:val="left"/>
      <w:lvlText w:val="%1."/>
      <w:numFmt w:val="lowerRoman"/>
      <w:start w:val="2"/>
    </w:lvl>
  </w:abstractNum>
  <w:abstractNum w:abstractNumId="84">
    <w:nsid w:val="57C7D42D"/>
    <w:multiLevelType w:val="hybridMultilevel"/>
    <w:lvl w:ilvl="0">
      <w:lvlJc w:val="left"/>
      <w:lvlText w:val="%1."/>
      <w:numFmt w:val="lowerRoman"/>
      <w:start w:val="4"/>
    </w:lvl>
  </w:abstractNum>
  <w:abstractNum w:abstractNumId="85">
    <w:nsid w:val="312167AD"/>
    <w:multiLevelType w:val="hybridMultilevel"/>
    <w:lvl w:ilvl="0">
      <w:lvlJc w:val="left"/>
      <w:lvlText w:val="%1)"/>
      <w:numFmt w:val="lowerLetter"/>
      <w:start w:val="1"/>
    </w:lvl>
  </w:abstractNum>
  <w:abstractNum w:abstractNumId="86">
    <w:nsid w:val="631B64D4"/>
    <w:multiLevelType w:val="hybridMultilevel"/>
    <w:lvl w:ilvl="0">
      <w:lvlJc w:val="left"/>
      <w:lvlText w:val="%1)"/>
      <w:numFmt w:val="lowerLetter"/>
      <w:start w:val="1"/>
    </w:lvl>
  </w:abstractNum>
  <w:abstractNum w:abstractNumId="87">
    <w:nsid w:val="78B5E776"/>
    <w:multiLevelType w:val="hybridMultilevel"/>
    <w:lvl w:ilvl="0">
      <w:lvlJc w:val="left"/>
      <w:lvlText w:val="%1)"/>
      <w:numFmt w:val="lowerLetter"/>
      <w:start w:val="8"/>
    </w:lvl>
  </w:abstractNum>
  <w:abstractNum w:abstractNumId="88">
    <w:nsid w:val="75486E47"/>
    <w:multiLevelType w:val="hybridMultilevel"/>
    <w:lvl w:ilvl="0">
      <w:lvlJc w:val="left"/>
      <w:lvlText w:val="(%1)"/>
      <w:numFmt w:val="decimal"/>
      <w:start w:val="1"/>
    </w:lvl>
    <w:lvl w:ilvl="1">
      <w:lvlJc w:val="left"/>
      <w:lvlText w:val="☐"/>
      <w:numFmt w:val="bullet"/>
      <w:start w:val="1"/>
    </w:lvl>
  </w:abstractNum>
  <w:abstractNum w:abstractNumId="89">
    <w:nsid w:val="6E534CDE"/>
    <w:multiLevelType w:val="hybridMultilevel"/>
    <w:lvl w:ilvl="0">
      <w:lvlJc w:val="left"/>
      <w:lvlText w:val="%1."/>
      <w:numFmt w:val="decimal"/>
      <w:start w:val="1"/>
    </w:lvl>
    <w:lvl w:ilvl="1">
      <w:lvlJc w:val="left"/>
      <w:lvlText w:val="(%2)"/>
      <w:numFmt w:val="lowerLetter"/>
      <w:start w:val="1"/>
    </w:lvl>
  </w:abstractNum>
  <w:abstractNum w:abstractNumId="90">
    <w:nsid w:val="1A0DDE32"/>
    <w:multiLevelType w:val="hybridMultilevel"/>
    <w:lvl w:ilvl="0">
      <w:lvlJc w:val="left"/>
      <w:lvlText w:val="%1"/>
      <w:numFmt w:val="decimal"/>
      <w:start w:val="1"/>
    </w:lvl>
    <w:lvl w:ilvl="1">
      <w:lvlJc w:val="left"/>
      <w:lvlText w:val="(%2)"/>
      <w:numFmt w:val="lowerLetter"/>
      <w:start w:val="4"/>
    </w:lvl>
  </w:abstractNum>
  <w:abstractNum w:abstractNumId="91">
    <w:nsid w:val="65968C1C"/>
    <w:multiLevelType w:val="hybridMultilevel"/>
    <w:lvl w:ilvl="0">
      <w:lvlJc w:val="left"/>
      <w:lvlText w:val="%1."/>
      <w:numFmt w:val="decimal"/>
      <w:start w:val="2"/>
    </w:lvl>
    <w:lvl w:ilvl="1">
      <w:lvlJc w:val="left"/>
      <w:lvlText w:val="(%2)"/>
      <w:numFmt w:val="lowerLetter"/>
      <w:start w:val="1"/>
    </w:lvl>
  </w:abstractNum>
  <w:abstractNum w:abstractNumId="92">
    <w:nsid w:val="46263DEC"/>
    <w:multiLevelType w:val="hybridMultilevel"/>
    <w:lvl w:ilvl="0">
      <w:lvlJc w:val="left"/>
      <w:lvlText w:val="%1"/>
      <w:numFmt w:val="decimal"/>
      <w:start w:val="1"/>
    </w:lvl>
    <w:lvl w:ilvl="1">
      <w:lvlJc w:val="left"/>
      <w:lvlText w:val="(%2)"/>
      <w:numFmt w:val="lowerLetter"/>
      <w:start w:val="4"/>
    </w:lvl>
  </w:abstractNum>
  <w:abstractNum w:abstractNumId="93">
    <w:nsid w:val="260D8C4A"/>
    <w:multiLevelType w:val="hybridMultilevel"/>
    <w:lvl w:ilvl="0">
      <w:lvlJc w:val="left"/>
      <w:lvlText w:val="%1."/>
      <w:numFmt w:val="decimal"/>
      <w:start w:val="3"/>
    </w:lvl>
    <w:lvl w:ilvl="1">
      <w:lvlJc w:val="left"/>
      <w:lvlText w:val="(%2)"/>
      <w:numFmt w:val="lowerLetter"/>
      <w:start w:val="1"/>
    </w:lvl>
  </w:abstractNum>
  <w:abstractNum w:abstractNumId="94">
    <w:nsid w:val="73D4D3C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5">
    <w:nsid w:val="746F2E30"/>
    <w:multiLevelType w:val="hybridMultilevel"/>
    <w:lvl w:ilvl="0">
      <w:lvlJc w:val="left"/>
      <w:lvlText w:val="%1"/>
      <w:numFmt w:val="lowerLetter"/>
      <w:start w:val="1"/>
    </w:lvl>
    <w:lvl w:ilvl="1">
      <w:lvlJc w:val="left"/>
      <w:lvlText w:val="%2."/>
      <w:numFmt w:val="lowerRoman"/>
      <w:start w:val="2"/>
    </w:lvl>
  </w:abstractNum>
  <w:abstractNum w:abstractNumId="96">
    <w:nsid w:val="6FDE8AF6"/>
    <w:multiLevelType w:val="hybridMultilevel"/>
    <w:lvl w:ilvl="0">
      <w:lvlJc w:val="left"/>
      <w:lvlText w:val="(%1)"/>
      <w:numFmt w:val="lowerLetter"/>
      <w:start w:val="2"/>
    </w:lvl>
    <w:lvl w:ilvl="1">
      <w:lvlJc w:val="left"/>
      <w:lvlText w:val="%2"/>
      <w:numFmt w:val="lowerRoman"/>
      <w:start w:val="1"/>
    </w:lvl>
  </w:abstractNum>
  <w:abstractNum w:abstractNumId="97">
    <w:nsid w:val="3FC32E20"/>
    <w:multiLevelType w:val="hybridMultilevel"/>
    <w:lvl w:ilvl="0">
      <w:lvlJc w:val="left"/>
      <w:lvlText w:val="(%1)"/>
      <w:numFmt w:val="lowerLetter"/>
      <w:start w:val="3"/>
    </w:lvl>
  </w:abstractNum>
  <w:abstractNum w:abstractNumId="98">
    <w:nsid w:val="49C0E823"/>
    <w:multiLevelType w:val="hybridMultilevel"/>
    <w:lvl w:ilvl="0">
      <w:lvlJc w:val="left"/>
      <w:lvlText w:val="(%1)"/>
      <w:numFmt w:val="lowerLetter"/>
      <w:start w:val="5"/>
    </w:lvl>
  </w:abstractNum>
  <w:abstractNum w:abstractNumId="99">
    <w:nsid w:val="14D5368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0">
    <w:nsid w:val="230F856C"/>
    <w:multiLevelType w:val="hybridMultilevel"/>
    <w:lvl w:ilvl="0">
      <w:lvlJc w:val="left"/>
      <w:lvlText w:val="%1"/>
      <w:numFmt w:val="lowerLetter"/>
      <w:start w:val="1"/>
    </w:lvl>
    <w:lvl w:ilvl="1">
      <w:lvlJc w:val="left"/>
      <w:lvlText w:val="%2."/>
      <w:numFmt w:val="lowerRoman"/>
      <w:start w:val="3"/>
    </w:lvl>
  </w:abstractNum>
  <w:abstractNum w:abstractNumId="101">
    <w:nsid w:val="6EAA85FB"/>
    <w:multiLevelType w:val="hybridMultilevel"/>
    <w:lvl w:ilvl="0">
      <w:lvlJc w:val="left"/>
      <w:lvlText w:val="(%1)"/>
      <w:numFmt w:val="lowerLetter"/>
      <w:start w:val="5"/>
    </w:lvl>
    <w:lvl w:ilvl="1">
      <w:lvlJc w:val="left"/>
      <w:lvlText w:val="%2"/>
      <w:numFmt w:val="lowerRoman"/>
      <w:start w:val="1"/>
    </w:lvl>
  </w:abstractNum>
  <w:abstractNum w:abstractNumId="102">
    <w:nsid w:val="3F06ECB2"/>
    <w:multiLevelType w:val="hybridMultilevel"/>
    <w:lvl w:ilvl="0">
      <w:lvlJc w:val="left"/>
      <w:lvlText w:val="(%1)"/>
      <w:numFmt w:val="lowerLetter"/>
      <w:start w:val="7"/>
    </w:lvl>
  </w:abstractNum>
  <w:abstractNum w:abstractNumId="103">
    <w:nsid w:val="3B594807"/>
    <w:multiLevelType w:val="hybridMultilevel"/>
    <w:lvl w:ilvl="0">
      <w:lvlJc w:val="left"/>
      <w:lvlText w:val="%1."/>
      <w:numFmt w:val="decimal"/>
      <w:start w:val="6"/>
    </w:lvl>
    <w:lvl w:ilvl="1">
      <w:lvlJc w:val="left"/>
      <w:lvlText w:val="(%2)"/>
      <w:numFmt w:val="lowerLetter"/>
      <w:start w:val="1"/>
    </w:lvl>
  </w:abstractNum>
  <w:abstractNum w:abstractNumId="104">
    <w:nsid w:val="6CAA2304"/>
    <w:multiLevelType w:val="hybridMultilevel"/>
    <w:lvl w:ilvl="0">
      <w:lvlJc w:val="left"/>
      <w:lvlText w:val="%1."/>
      <w:numFmt w:val="decimal"/>
      <w:start w:val="9"/>
    </w:lvl>
    <w:lvl w:ilvl="1">
      <w:lvlJc w:val="left"/>
      <w:lvlText w:val="(%2)"/>
      <w:numFmt w:val="lowerLetter"/>
      <w:start w:val="1"/>
    </w:lvl>
  </w:abstractNum>
  <w:abstractNum w:abstractNumId="105">
    <w:nsid w:val="3F7C2FF4"/>
    <w:multiLevelType w:val="hybridMultilevel"/>
    <w:lvl w:ilvl="0">
      <w:lvlJc w:val="left"/>
      <w:lvlText w:val="%1."/>
      <w:numFmt w:val="decimal"/>
      <w:start w:val="10"/>
    </w:lvl>
    <w:lvl w:ilvl="1">
      <w:lvlJc w:val="left"/>
      <w:lvlText w:val="(%2)"/>
      <w:numFmt w:val="lowerLetter"/>
      <w:start w:val="1"/>
    </w:lvl>
  </w:abstractNum>
  <w:abstractNum w:abstractNumId="106">
    <w:nsid w:val="25413BEC"/>
    <w:multiLevelType w:val="hybridMultilevel"/>
    <w:lvl w:ilvl="0">
      <w:lvlJc w:val="left"/>
      <w:lvlText w:val="%1."/>
      <w:numFmt w:val="decimal"/>
      <w:start w:val="1"/>
    </w:lvl>
    <w:lvl w:ilvl="1">
      <w:lvlJc w:val="left"/>
      <w:lvlText w:val="(%2)"/>
      <w:numFmt w:val="lowerLetter"/>
      <w:start w:val="1"/>
    </w:lvl>
  </w:abstractNum>
  <w:abstractNum w:abstractNumId="107">
    <w:nsid w:val="17180B0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8">
    <w:nsid w:val="579328B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9">
    <w:nsid w:val="5D205E20"/>
    <w:multiLevelType w:val="hybridMultilevel"/>
    <w:lvl w:ilvl="0">
      <w:lvlJc w:val="left"/>
      <w:lvlText w:val="(%1)"/>
      <w:numFmt w:val="lowerLetter"/>
      <w:start w:val="1"/>
    </w:lvl>
  </w:abstractNum>
  <w:abstractNum w:abstractNumId="110">
    <w:nsid w:val="11CCA8BA"/>
    <w:multiLevelType w:val="hybridMultilevel"/>
    <w:lvl w:ilvl="0">
      <w:lvlJc w:val="left"/>
      <w:lvlText w:val="(%1)"/>
      <w:numFmt w:val="lowerLetter"/>
      <w:start w:val="2"/>
    </w:lvl>
  </w:abstractNum>
  <w:abstractNum w:abstractNumId="111">
    <w:nsid w:val="4D32AB86"/>
    <w:multiLevelType w:val="hybridMultilevel"/>
    <w:lvl w:ilvl="0">
      <w:lvlJc w:val="left"/>
      <w:lvlText w:val="(%1)"/>
      <w:numFmt w:val="lowerLetter"/>
      <w:start w:val="7"/>
    </w:lvl>
  </w:abstractNum>
  <w:abstractNum w:abstractNumId="112">
    <w:nsid w:val="3F07ACC3"/>
    <w:multiLevelType w:val="hybridMultilevel"/>
    <w:lvl w:ilvl="0">
      <w:lvlJc w:val="left"/>
      <w:lvlText w:val="(%1)"/>
      <w:numFmt w:val="lowerLetter"/>
      <w:start w:val="1"/>
    </w:lvl>
  </w:abstractNum>
  <w:abstractNum w:abstractNumId="113">
    <w:nsid w:val="6B47F63E"/>
    <w:multiLevelType w:val="hybridMultilevel"/>
    <w:lvl w:ilvl="0">
      <w:lvlJc w:val="left"/>
      <w:lvlText w:val="(%1)"/>
      <w:numFmt w:val="lowerLetter"/>
      <w:start w:val="3"/>
    </w:lvl>
  </w:abstractNum>
  <w:abstractNum w:abstractNumId="114">
    <w:nsid w:val="5CB44A05"/>
    <w:multiLevelType w:val="hybridMultilevel"/>
    <w:lvl w:ilvl="0">
      <w:lvlJc w:val="left"/>
      <w:lvlText w:val="(%1)"/>
      <w:numFmt w:val="lowerLetter"/>
      <w:start w:val="6"/>
    </w:lvl>
  </w:abstractNum>
  <w:abstractNum w:abstractNumId="115">
    <w:nsid w:val="16CF80F1"/>
    <w:multiLevelType w:val="hybridMultilevel"/>
    <w:lvl w:ilvl="0">
      <w:lvlJc w:val="left"/>
      <w:lvlText w:val="(%1)"/>
      <w:numFmt w:val="lowerLetter"/>
      <w:start w:val="10"/>
    </w:lvl>
  </w:abstractNum>
  <w:abstractNum w:abstractNumId="116">
    <w:nsid w:val="1C695DEC"/>
    <w:multiLevelType w:val="hybridMultilevel"/>
    <w:lvl w:ilvl="0">
      <w:lvlJc w:val="left"/>
      <w:lvlText w:val="(%1)"/>
      <w:numFmt w:val="lowerLetter"/>
      <w:start w:val="12"/>
    </w:lvl>
  </w:abstractNum>
  <w:abstractNum w:abstractNumId="117">
    <w:nsid w:val="3FCFAED9"/>
    <w:multiLevelType w:val="hybridMultilevel"/>
    <w:lvl w:ilvl="0">
      <w:lvlJc w:val="left"/>
      <w:lvlText w:val="(%1)"/>
      <w:numFmt w:val="lowerLetter"/>
      <w:start w:val="15"/>
    </w:lvl>
    <w:lvl w:ilvl="1">
      <w:lvlJc w:val="left"/>
      <w:lvlText w:val="(%2)"/>
      <w:numFmt w:val="lowerRoman"/>
      <w:start w:val="1"/>
    </w:lvl>
  </w:abstractNum>
  <w:abstractNum w:abstractNumId="118">
    <w:nsid w:val="F856867"/>
    <w:multiLevelType w:val="hybridMultilevel"/>
    <w:lvl w:ilvl="0">
      <w:lvlJc w:val="left"/>
      <w:lvlText w:val="(%1)"/>
      <w:numFmt w:val="lowerRoman"/>
      <w:start w:val="1"/>
    </w:lvl>
    <w:lvl w:ilvl="1">
      <w:lvlJc w:val="left"/>
      <w:lvlText w:val="(%2)"/>
      <w:numFmt w:val="upperLetter"/>
      <w:start w:val="1"/>
    </w:lvl>
  </w:abstractNum>
  <w:abstractNum w:abstractNumId="119">
    <w:nsid w:val="11B1CC33"/>
    <w:multiLevelType w:val="hybridMultilevel"/>
    <w:lvl w:ilvl="0">
      <w:lvlJc w:val="left"/>
      <w:lvlText w:val="(%1)"/>
      <w:numFmt w:val="lowerRoman"/>
      <w:start w:val="2"/>
    </w:lvl>
  </w:abstractNum>
  <w:abstractNum w:abstractNumId="120">
    <w:nsid w:val="2E22FBB7"/>
    <w:multiLevelType w:val="hybridMultilevel"/>
    <w:lvl w:ilvl="0">
      <w:lvlJc w:val="left"/>
      <w:lvlText w:val="(%1)"/>
      <w:numFmt w:val="lowerLetter"/>
      <w:start w:val="19"/>
    </w:lvl>
  </w:abstractNum>
  <w:abstractNum w:abstractNumId="121">
    <w:nsid w:val="29934699"/>
    <w:multiLevelType w:val="hybridMultilevel"/>
    <w:lvl w:ilvl="0">
      <w:lvlJc w:val="left"/>
      <w:lvlText w:val="(%1)"/>
      <w:numFmt w:val="lowerLetter"/>
      <w:start w:val="23"/>
    </w:lvl>
    <w:lvl w:ilvl="1">
      <w:lvlJc w:val="left"/>
      <w:lvlText w:val="(%2)"/>
      <w:numFmt w:val="lowerRoman"/>
      <w:start w:val="1"/>
    </w:lvl>
  </w:abstractNum>
  <w:abstractNum w:abstractNumId="122">
    <w:nsid w:val="77485850"/>
    <w:multiLevelType w:val="hybridMultilevel"/>
    <w:lvl w:ilvl="0">
      <w:lvlJc w:val="left"/>
      <w:lvlText w:val="(%1)"/>
      <w:numFmt w:val="lowerRoman"/>
      <w:start w:val="2"/>
    </w:lvl>
    <w:lvl w:ilvl="1">
      <w:lvlJc w:val="left"/>
      <w:lvlText w:val="(%2)"/>
      <w:numFmt w:val="upperLetter"/>
      <w:start w:val="1"/>
    </w:lvl>
  </w:abstractNum>
  <w:abstractNum w:abstractNumId="123">
    <w:nsid w:val="744939A3"/>
    <w:multiLevelType w:val="hybridMultilevel"/>
    <w:lvl w:ilvl="0">
      <w:lvlJc w:val="left"/>
      <w:lvlText w:val="(%1)"/>
      <w:numFmt w:val="lowerLetter"/>
      <w:start w:val="26"/>
    </w:lvl>
  </w:abstractNum>
  <w:abstractNum w:abstractNumId="124">
    <w:nsid w:val="4FA0D2E3"/>
    <w:multiLevelType w:val="hybridMultilevel"/>
    <w:lvl w:ilvl="0">
      <w:lvlJc w:val="left"/>
      <w:lvlText w:val="(%1)"/>
      <w:numFmt w:val="lowerLetter"/>
      <w:start w:val="27"/>
    </w:lvl>
  </w:abstractNum>
  <w:abstractNum w:abstractNumId="125">
    <w:nsid w:val="6B1D2C14"/>
    <w:multiLevelType w:val="hybridMultilevel"/>
    <w:lvl w:ilvl="0">
      <w:lvlJc w:val="left"/>
      <w:lvlText w:val="(%1)"/>
      <w:numFmt w:val="lowerLetter"/>
      <w:start w:val="29"/>
    </w:lvl>
  </w:abstractNum>
  <w:abstractNum w:abstractNumId="126">
    <w:nsid w:val="68B867D3"/>
    <w:multiLevelType w:val="hybridMultilevel"/>
    <w:lvl w:ilvl="0">
      <w:lvlJc w:val="left"/>
      <w:lvlText w:val="(%1)"/>
      <w:numFmt w:val="lowerLetter"/>
      <w:start w:val="36"/>
    </w:lvl>
    <w:lvl w:ilvl="1">
      <w:lvlJc w:val="left"/>
      <w:lvlText w:val="(%2)"/>
      <w:numFmt w:val="lowerRoman"/>
      <w:start w:val="1"/>
    </w:lvl>
    <w:lvl w:ilvl="2">
      <w:lvlJc w:val="left"/>
      <w:lvlText w:val="(%3)"/>
      <w:numFmt w:val="decimal"/>
      <w:start w:val="1"/>
    </w:lvl>
  </w:abstractNum>
  <w:abstractNum w:abstractNumId="127">
    <w:nsid w:val="3F7F5DD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128">
    <w:nsid w:val="2AE05A34"/>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129">
    <w:nsid w:val="32794FF7"/>
    <w:multiLevelType w:val="hybridMultilevel"/>
    <w:lvl w:ilvl="0">
      <w:lvlJc w:val="left"/>
      <w:lvlText w:val="(%1)"/>
      <w:numFmt w:val="lowerLetter"/>
      <w:start w:val="41"/>
    </w:lvl>
    <w:lvl w:ilvl="1">
      <w:lvlJc w:val="left"/>
      <w:lvlText w:val="%2"/>
      <w:numFmt w:val="lowerRoman"/>
      <w:start w:val="1"/>
    </w:lvl>
    <w:lvl w:ilvl="2">
      <w:lvlJc w:val="left"/>
      <w:lvlText w:val="%3"/>
      <w:numFmt w:val="decimal"/>
      <w:start w:val="1"/>
    </w:lvl>
  </w:abstractNum>
  <w:abstractNum w:abstractNumId="130">
    <w:nsid w:val="5454945E"/>
    <w:multiLevelType w:val="hybridMultilevel"/>
    <w:lvl w:ilvl="0">
      <w:lvlJc w:val="left"/>
      <w:lvlText w:val="(%1)"/>
      <w:numFmt w:val="lowerLetter"/>
      <w:start w:val="47"/>
    </w:lvl>
  </w:abstractNum>
  <w:abstractNum w:abstractNumId="131">
    <w:nsid w:val="4DEFDFA0"/>
    <w:multiLevelType w:val="hybridMultilevel"/>
    <w:lvl w:ilvl="0">
      <w:lvlJc w:val="left"/>
      <w:lvlText w:val="%1"/>
      <w:numFmt w:val="decimal"/>
      <w:start w:val="1"/>
    </w:lvl>
    <w:lvl w:ilvl="1">
      <w:lvlJc w:val="left"/>
      <w:lvlText w:val="(%2)"/>
      <w:numFmt w:val="lowerLetter"/>
      <w:start w:val="51"/>
    </w:lvl>
  </w:abstractNum>
  <w:abstractNum w:abstractNumId="132">
    <w:nsid w:val="2123D5F2"/>
    <w:multiLevelType w:val="hybridMultilevel"/>
    <w:lvl w:ilvl="0">
      <w:lvlJc w:val="left"/>
      <w:lvlText w:val="%1."/>
      <w:numFmt w:val="decimal"/>
      <w:start w:val="4"/>
    </w:lvl>
    <w:lvl w:ilvl="1">
      <w:lvlJc w:val="left"/>
      <w:lvlText w:val="(%2)"/>
      <w:numFmt w:val="lowerLetter"/>
      <w:start w:val="1"/>
    </w:lvl>
  </w:abstractNum>
  <w:abstractNum w:abstractNumId="133">
    <w:nsid w:val="135B8110"/>
    <w:multiLevelType w:val="hybridMultilevel"/>
    <w:lvl w:ilvl="0">
      <w:lvlJc w:val="left"/>
      <w:lvlText w:val="(%1)"/>
      <w:numFmt w:val="lowerLetter"/>
      <w:start w:val="6"/>
    </w:lvl>
  </w:abstractNum>
  <w:abstractNum w:abstractNumId="134">
    <w:nsid w:val="94927A8"/>
    <w:multiLevelType w:val="hybridMultilevel"/>
    <w:lvl w:ilvl="0">
      <w:lvlJc w:val="left"/>
      <w:lvlText w:val="(%1)"/>
      <w:numFmt w:val="lowerRoman"/>
      <w:start w:val="1"/>
    </w:lvl>
    <w:lvl w:ilvl="1">
      <w:lvlJc w:val="left"/>
      <w:lvlText w:val="(%2)"/>
      <w:numFmt w:val="lowerRoman"/>
      <w:start w:val="1"/>
    </w:lvl>
  </w:abstractNum>
  <w:abstractNum w:abstractNumId="135">
    <w:nsid w:val="DCDF8F6"/>
    <w:multiLevelType w:val="hybridMultilevel"/>
    <w:lvl w:ilvl="0">
      <w:lvlJc w:val="left"/>
      <w:lvlText w:val="(%1)"/>
      <w:numFmt w:val="lowerRoman"/>
      <w:start w:val="2"/>
    </w:lvl>
  </w:abstractNum>
  <w:abstractNum w:abstractNumId="136">
    <w:nsid w:val="52D7B105"/>
    <w:multiLevelType w:val="hybridMultilevel"/>
    <w:lvl w:ilvl="0">
      <w:lvlJc w:val="left"/>
      <w:lvlText w:val="(%1)"/>
      <w:numFmt w:val="lowerLetter"/>
      <w:start w:val="10"/>
    </w:lvl>
  </w:abstractNum>
  <w:abstractNum w:abstractNumId="137">
    <w:nsid w:val="2E8A6394"/>
    <w:multiLevelType w:val="hybridMultilevel"/>
    <w:lvl w:ilvl="0">
      <w:lvlJc w:val="left"/>
      <w:lvlText w:val="(%1)"/>
      <w:numFmt w:val="lowerLetter"/>
      <w:start w:val="12"/>
    </w:lvl>
  </w:abstractNum>
  <w:abstractNum w:abstractNumId="138">
    <w:nsid w:val="24E60401"/>
    <w:multiLevelType w:val="hybridMultilevel"/>
    <w:lvl w:ilvl="0">
      <w:lvlJc w:val="left"/>
      <w:lvlText w:val="(%1)"/>
      <w:numFmt w:val="lowerLetter"/>
      <w:start w:val="13"/>
    </w:lvl>
    <w:lvl w:ilvl="1">
      <w:lvlJc w:val="left"/>
      <w:lvlText w:val="(%2)"/>
      <w:numFmt w:val="lowerLetter"/>
      <w:start w:val="9"/>
    </w:lvl>
  </w:abstractNum>
  <w:abstractNum w:abstractNumId="139">
    <w:nsid w:val="2A6AD9BE"/>
    <w:multiLevelType w:val="hybridMultilevel"/>
    <w:lvl w:ilvl="0">
      <w:lvlJc w:val="left"/>
      <w:lvlText w:val="(%1)"/>
      <w:numFmt w:val="lowerRoman"/>
      <w:start w:val="2"/>
    </w:lvl>
  </w:abstractNum>
  <w:abstractNum w:abstractNumId="140">
    <w:nsid w:val="BAAC1B4"/>
    <w:multiLevelType w:val="hybridMultilevel"/>
    <w:lvl w:ilvl="0">
      <w:lvlJc w:val="left"/>
      <w:lvlText w:val="%1"/>
      <w:numFmt w:val="lowerLetter"/>
      <w:start w:val="1"/>
    </w:lvl>
    <w:lvl w:ilvl="1">
      <w:lvlJc w:val="left"/>
      <w:lvlText w:val="(%2)"/>
      <w:numFmt w:val="lowerRoman"/>
      <w:start w:val="6"/>
    </w:lvl>
  </w:abstractNum>
  <w:abstractNum w:abstractNumId="141">
    <w:nsid w:val="36B2ACBC"/>
    <w:multiLevelType w:val="hybridMultilevel"/>
    <w:lvl w:ilvl="0">
      <w:lvlJc w:val="left"/>
      <w:lvlText w:val="(%1)"/>
      <w:numFmt w:val="lowerLetter"/>
      <w:start w:val="16"/>
    </w:lvl>
    <w:lvl w:ilvl="1">
      <w:lvlJc w:val="left"/>
      <w:lvlText w:val="%2"/>
      <w:numFmt w:val="lowerRoman"/>
      <w:start w:val="1"/>
    </w:lvl>
  </w:abstractNum>
  <w:abstractNum w:abstractNumId="142">
    <w:nsid w:val="779D8544"/>
    <w:multiLevelType w:val="hybridMultilevel"/>
    <w:lvl w:ilvl="0">
      <w:lvlJc w:val="left"/>
      <w:lvlText w:val="(%1)"/>
      <w:numFmt w:val="lowerLetter"/>
      <w:start w:val="21"/>
    </w:lvl>
  </w:abstractNum>
  <w:abstractNum w:abstractNumId="143">
    <w:nsid w:val="4AB26E7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44">
    <w:nsid w:val="21FAA2FA"/>
    <w:multiLevelType w:val="hybridMultilevel"/>
    <w:lvl w:ilvl="0">
      <w:lvlJc w:val="left"/>
      <w:lvlText w:val="(%1)"/>
      <w:numFmt w:val="lowerLetter"/>
      <w:start w:val="3"/>
    </w:lvl>
  </w:abstractNum>
  <w:abstractNum w:abstractNumId="145">
    <w:nsid w:val="5451CF49"/>
    <w:multiLevelType w:val="hybridMultilevel"/>
    <w:lvl w:ilvl="0">
      <w:lvlJc w:val="left"/>
      <w:lvlText w:val="(%1)"/>
      <w:numFmt w:val="lowerLetter"/>
      <w:start w:val="4"/>
    </w:lvl>
  </w:abstractNum>
  <w:abstractNum w:abstractNumId="146">
    <w:nsid w:val="6181EF69"/>
    <w:multiLevelType w:val="hybridMultilevel"/>
    <w:lvl w:ilvl="0">
      <w:lvlJc w:val="left"/>
      <w:lvlText w:val="(%1)"/>
      <w:numFmt w:val="lowerLetter"/>
      <w:start w:val="5"/>
    </w:lvl>
  </w:abstractNum>
  <w:abstractNum w:abstractNumId="147">
    <w:nsid w:val="3E6400E6"/>
    <w:multiLevelType w:val="hybridMultilevel"/>
    <w:lvl w:ilvl="0">
      <w:lvlJc w:val="left"/>
      <w:lvlText w:val="(%1)"/>
      <w:numFmt w:val="lowerLetter"/>
      <w:start w:val="1"/>
    </w:lvl>
  </w:abstractNum>
  <w:abstractNum w:abstractNumId="148">
    <w:nsid w:val="14217E23"/>
    <w:multiLevelType w:val="hybridMultilevel"/>
    <w:lvl w:ilvl="0">
      <w:lvlJc w:val="left"/>
      <w:lvlText w:val="%1"/>
      <w:numFmt w:val="decimal"/>
      <w:start w:val="1"/>
    </w:lvl>
    <w:lvl w:ilvl="1">
      <w:lvlJc w:val="left"/>
      <w:lvlText w:val="(%2)"/>
      <w:numFmt w:val="lowerLetter"/>
      <w:start w:val="2"/>
    </w:lvl>
  </w:abstractNum>
  <w:abstractNum w:abstractNumId="149">
    <w:nsid w:val="710757D0"/>
    <w:multiLevelType w:val="hybridMultilevel"/>
    <w:lvl w:ilvl="0">
      <w:lvlJc w:val="left"/>
      <w:lvlText w:val="%1."/>
      <w:numFmt w:val="decimal"/>
      <w:start w:val="7"/>
    </w:lvl>
    <w:lvl w:ilvl="1">
      <w:lvlJc w:val="left"/>
      <w:lvlText w:val="%2"/>
      <w:numFmt w:val="lowerLetter"/>
      <w:start w:val="1"/>
    </w:lvl>
  </w:abstractNum>
  <w:abstractNum w:abstractNumId="150">
    <w:nsid w:val="5015CD1A"/>
    <w:multiLevelType w:val="hybridMultilevel"/>
    <w:lvl w:ilvl="0">
      <w:lvlJc w:val="left"/>
      <w:lvlText w:val="(%1)"/>
      <w:numFmt w:val="lowerLetter"/>
      <w:start w:val="1"/>
    </w:lvl>
  </w:abstractNum>
  <w:abstractNum w:abstractNumId="151">
    <w:nsid w:val="424479DA"/>
    <w:multiLevelType w:val="hybridMultilevel"/>
    <w:lvl w:ilvl="0">
      <w:lvlJc w:val="left"/>
      <w:lvlText w:val="(%1)"/>
      <w:numFmt w:val="lowerLetter"/>
      <w:start w:val="9"/>
    </w:lvl>
  </w:abstractNum>
  <w:abstractNum w:abstractNumId="152">
    <w:nsid w:val="1A9A9E69"/>
    <w:multiLevelType w:val="hybridMultilevel"/>
    <w:lvl w:ilvl="0">
      <w:lvlJc w:val="left"/>
      <w:lvlText w:val="%1"/>
      <w:numFmt w:val="decimal"/>
      <w:start w:val="1"/>
    </w:lvl>
    <w:lvl w:ilvl="1">
      <w:lvlJc w:val="left"/>
      <w:lvlText w:val="(%2)"/>
      <w:numFmt w:val="lowerLetter"/>
      <w:start w:val="16"/>
    </w:lvl>
  </w:abstractNum>
  <w:abstractNum w:abstractNumId="153">
    <w:nsid w:val="475E256A"/>
    <w:multiLevelType w:val="hybridMultilevel"/>
    <w:lvl w:ilvl="0">
      <w:lvlJc w:val="left"/>
      <w:lvlText w:val="%1."/>
      <w:numFmt w:val="decimal"/>
      <w:start w:val="8"/>
    </w:lvl>
    <w:lvl w:ilvl="1">
      <w:lvlJc w:val="left"/>
      <w:lvlText w:val="%2"/>
      <w:numFmt w:val="lowerLetter"/>
      <w:start w:val="1"/>
    </w:lvl>
  </w:abstractNum>
  <w:abstractNum w:abstractNumId="154">
    <w:nsid w:val="368DB37E"/>
    <w:multiLevelType w:val="hybridMultilevel"/>
    <w:lvl w:ilvl="0">
      <w:lvlJc w:val="left"/>
      <w:lvlText w:val="%1."/>
      <w:numFmt w:val="decimal"/>
      <w:start w:val="9"/>
    </w:lvl>
    <w:lvl w:ilvl="1">
      <w:lvlJc w:val="left"/>
      <w:lvlText w:val="(%2)"/>
      <w:numFmt w:val="lowerLetter"/>
      <w:start w:val="1"/>
    </w:lvl>
  </w:abstractNum>
  <w:abstractNum w:abstractNumId="155">
    <w:nsid w:val="6A3B714C"/>
    <w:multiLevelType w:val="hybridMultilevel"/>
    <w:lvl w:ilvl="0">
      <w:lvlJc w:val="left"/>
      <w:lvlText w:val="(%1)"/>
      <w:numFmt w:val="lowerLetter"/>
      <w:start w:val="5"/>
    </w:lvl>
  </w:abstractNum>
  <w:abstractNum w:abstractNumId="156">
    <w:nsid w:val="327B517E"/>
    <w:multiLevelType w:val="hybridMultilevel"/>
    <w:lvl w:ilvl="0">
      <w:lvlJc w:val="left"/>
      <w:lvlText w:val="(%1)"/>
      <w:numFmt w:val="lowerLetter"/>
      <w:start w:val="6"/>
    </w:lvl>
  </w:abstractNum>
  <w:abstractNum w:abstractNumId="157">
    <w:nsid w:val="1F461B51"/>
    <w:multiLevelType w:val="hybridMultilevel"/>
    <w:lvl w:ilvl="0">
      <w:lvlJc w:val="left"/>
      <w:lvlText w:val="(%1)"/>
      <w:numFmt w:val="lowerLetter"/>
      <w:start w:val="7"/>
    </w:lvl>
  </w:abstractNum>
  <w:abstractNum w:abstractNumId="158">
    <w:nsid w:val="29BACF25"/>
    <w:multiLevelType w:val="hybridMultilevel"/>
    <w:lvl w:ilvl="0">
      <w:lvlJc w:val="left"/>
      <w:lvlText w:val="(%1)"/>
      <w:numFmt w:val="lowerLetter"/>
      <w:start w:val="12"/>
    </w:lvl>
  </w:abstractNum>
  <w:abstractNum w:abstractNumId="159">
    <w:nsid w:val="5D5BABB3"/>
    <w:multiLevelType w:val="hybridMultilevel"/>
    <w:lvl w:ilvl="0">
      <w:lvlJc w:val="left"/>
      <w:lvlText w:val="(%1)"/>
      <w:numFmt w:val="lowerLetter"/>
      <w:start w:val="16"/>
    </w:lvl>
    <w:lvl w:ilvl="1">
      <w:lvlJc w:val="left"/>
      <w:lvlText w:val="(%2)"/>
      <w:numFmt w:val="lowerRoman"/>
      <w:start w:val="1"/>
    </w:lvl>
    <w:lvl w:ilvl="2">
      <w:lvlJc w:val="left"/>
      <w:lvlText w:val="(%3)"/>
      <w:numFmt w:val="decimal"/>
      <w:start w:val="1"/>
    </w:lvl>
  </w:abstractNum>
  <w:abstractNum w:abstractNumId="160">
    <w:nsid w:val="51BF6B48"/>
    <w:multiLevelType w:val="hybridMultilevel"/>
    <w:lvl w:ilvl="0">
      <w:lvlJc w:val="left"/>
      <w:lvlText w:val="1"/>
      <w:numFmt w:val="bullet"/>
      <w:start w:val="1"/>
    </w:lvl>
  </w:abstractNum>
  <w:abstractNum w:abstractNumId="161">
    <w:nsid w:val="7E0F6384"/>
    <w:multiLevelType w:val="hybridMultilevel"/>
    <w:lvl w:ilvl="0">
      <w:lvlJc w:val="left"/>
      <w:lvlText w:val="%1."/>
      <w:numFmt w:val="decimal"/>
      <w:start w:val="1"/>
    </w:lvl>
  </w:abstractNum>
  <w:abstractNum w:abstractNumId="162">
    <w:nsid w:val="2B4B8B53"/>
    <w:multiLevelType w:val="hybridMultilevel"/>
    <w:lvl w:ilvl="0">
      <w:lvlJc w:val="left"/>
      <w:lvlText w:val="(%1)"/>
      <w:numFmt w:val="lowerLetter"/>
      <w:start w:val="1"/>
    </w:lvl>
  </w:abstractNum>
  <w:abstractNum w:abstractNumId="163">
    <w:nsid w:val="72E3413A"/>
    <w:multiLevelType w:val="hybridMultilevel"/>
    <w:lvl w:ilvl="0">
      <w:lvlJc w:val="left"/>
      <w:lvlText w:val="%1"/>
      <w:numFmt w:val="decimal"/>
      <w:start w:val="1"/>
    </w:lvl>
    <w:lvl w:ilvl="1">
      <w:lvlJc w:val="left"/>
      <w:lvlText w:val="(%2)"/>
      <w:numFmt w:val="lowerLetter"/>
      <w:start w:val="5"/>
    </w:lvl>
  </w:abstractNum>
  <w:abstractNum w:abstractNumId="164">
    <w:nsid w:val="116AE494"/>
    <w:multiLevelType w:val="hybridMultilevel"/>
    <w:lvl w:ilvl="0">
      <w:lvlJc w:val="left"/>
      <w:lvlText w:val="(%1)"/>
      <w:numFmt w:val="decimal"/>
      <w:start w:val="2"/>
    </w:lvl>
    <w:lvl w:ilvl="1">
      <w:lvlJc w:val="left"/>
      <w:lvlText w:val="(%2)"/>
      <w:numFmt w:val="lowerLetter"/>
      <w:start w:val="10"/>
    </w:lvl>
  </w:abstractNum>
  <w:abstractNum w:abstractNumId="165">
    <w:nsid w:val="3494B2FB"/>
    <w:multiLevelType w:val="hybridMultilevel"/>
    <w:lvl w:ilvl="0">
      <w:lvlJc w:val="left"/>
      <w:lvlText w:val="%1"/>
      <w:numFmt w:val="decimal"/>
      <w:start w:val="1"/>
    </w:lvl>
    <w:lvl w:ilvl="1">
      <w:lvlJc w:val="left"/>
      <w:lvlText w:val="(%2)"/>
      <w:numFmt w:val="lowerLetter"/>
      <w:start w:val="13"/>
    </w:lvl>
  </w:abstractNum>
  <w:abstractNum w:abstractNumId="166">
    <w:nsid w:val="B13A31"/>
    <w:multiLevelType w:val="hybridMultilevel"/>
    <w:lvl w:ilvl="0">
      <w:lvlJc w:val="left"/>
      <w:lvlText w:val="%1."/>
      <w:numFmt w:val="decimal"/>
      <w:start w:val="2"/>
    </w:lvl>
    <w:lvl w:ilvl="1">
      <w:lvlJc w:val="left"/>
      <w:lvlText w:val="(%2)"/>
      <w:numFmt w:val="lowerLetter"/>
      <w:start w:val="1"/>
    </w:lvl>
  </w:abstractNum>
  <w:abstractNum w:abstractNumId="167">
    <w:nsid w:val="64429599"/>
    <w:multiLevelType w:val="hybridMultilevel"/>
    <w:lvl w:ilvl="0">
      <w:lvlJc w:val="left"/>
      <w:lvlText w:val="(%1)"/>
      <w:numFmt w:val="lowerLetter"/>
      <w:start w:val="4"/>
    </w:lvl>
  </w:abstractNum>
  <w:abstractNum w:abstractNumId="168">
    <w:nsid w:val="631F1690"/>
    <w:multiLevelType w:val="hybridMultilevel"/>
    <w:lvl w:ilvl="0">
      <w:lvlJc w:val="left"/>
      <w:lvlText w:val="(%1)"/>
      <w:numFmt w:val="lowerLetter"/>
      <w:start w:val="6"/>
    </w:lvl>
  </w:abstractNum>
  <w:abstractNum w:abstractNumId="169">
    <w:nsid w:val="25973E32"/>
    <w:multiLevelType w:val="hybridMultilevel"/>
    <w:lvl w:ilvl="0">
      <w:lvlJc w:val="left"/>
      <w:lvlText w:val="%1"/>
      <w:numFmt w:val="decimal"/>
      <w:start w:val="1"/>
    </w:lvl>
    <w:lvl w:ilvl="1">
      <w:lvlJc w:val="left"/>
      <w:lvlText w:val="(%2)"/>
      <w:numFmt w:val="lowerLetter"/>
      <w:start w:val="8"/>
    </w:lvl>
  </w:abstractNum>
  <w:abstractNum w:abstractNumId="170">
    <w:nsid w:val="EAD6F57"/>
    <w:multiLevelType w:val="hybridMultilevel"/>
    <w:lvl w:ilvl="0">
      <w:lvlJc w:val="left"/>
      <w:lvlText w:val="%1."/>
      <w:numFmt w:val="decimal"/>
      <w:start w:val="3"/>
    </w:lvl>
    <w:lvl w:ilvl="1">
      <w:lvlJc w:val="left"/>
      <w:lvlText w:val="%2"/>
      <w:numFmt w:val="lowerLetter"/>
      <w:start w:val="1"/>
    </w:lvl>
  </w:abstractNum>
  <w:abstractNum w:abstractNumId="171">
    <w:nsid w:val="6EC9D844"/>
    <w:multiLevelType w:val="hybridMultilevel"/>
    <w:lvl w:ilvl="0">
      <w:lvlJc w:val="left"/>
      <w:lvlText w:val="(%1)"/>
      <w:numFmt w:val="lowerLetter"/>
      <w:start w:val="1"/>
    </w:lvl>
  </w:abstractNum>
  <w:abstractNum w:abstractNumId="172">
    <w:nsid w:val="5C49EAEE"/>
    <w:multiLevelType w:val="hybridMultilevel"/>
    <w:lvl w:ilvl="0">
      <w:lvlJc w:val="left"/>
      <w:lvlText w:val="(%1)"/>
      <w:numFmt w:val="lowerLetter"/>
      <w:start w:val="2"/>
    </w:lvl>
  </w:abstractNum>
  <w:abstractNum w:abstractNumId="173">
    <w:nsid w:val="64AF49B"/>
    <w:multiLevelType w:val="hybridMultilevel"/>
    <w:lvl w:ilvl="0">
      <w:lvlJc w:val="left"/>
      <w:lvlText w:val="%1"/>
      <w:numFmt w:val="lowerLetter"/>
      <w:start w:val="1"/>
    </w:lvl>
    <w:lvl w:ilvl="1">
      <w:lvlJc w:val="left"/>
      <w:lvlText w:val="(%2)"/>
      <w:numFmt w:val="lowerLetter"/>
      <w:start w:val="3"/>
    </w:lvl>
  </w:abstractNum>
  <w:abstractNum w:abstractNumId="174">
    <w:nsid w:val="397C46BC"/>
    <w:multiLevelType w:val="hybridMultilevel"/>
    <w:lvl w:ilvl="0">
      <w:lvlJc w:val="left"/>
      <w:lvlText w:val="(%1)"/>
      <w:numFmt w:val="lowerLetter"/>
      <w:start w:val="61"/>
    </w:lvl>
    <w:lvl w:ilvl="1">
      <w:lvlJc w:val="left"/>
      <w:lvlText w:val="%2"/>
      <w:numFmt w:val="lowerLetter"/>
      <w:start w:val="1"/>
    </w:lvl>
  </w:abstractNum>
  <w:abstractNum w:abstractNumId="175">
    <w:nsid w:val="7E448DE9"/>
    <w:multiLevelType w:val="hybridMultilevel"/>
    <w:lvl w:ilvl="0">
      <w:lvlJc w:val="left"/>
      <w:lvlText w:val="(%1)"/>
      <w:numFmt w:val="lowerLetter"/>
      <w:start w:val="5"/>
    </w:lvl>
  </w:abstractNum>
  <w:abstractNum w:abstractNumId="176">
    <w:nsid w:val="5A9CC3E5"/>
    <w:multiLevelType w:val="hybridMultilevel"/>
    <w:lvl w:ilvl="0">
      <w:lvlJc w:val="left"/>
      <w:lvlText w:val="(%1)"/>
      <w:numFmt w:val="lowerLetter"/>
      <w:start w:val="8"/>
    </w:lvl>
  </w:abstractNum>
  <w:abstractNum w:abstractNumId="177">
    <w:nsid w:val="1AFE3625"/>
    <w:multiLevelType w:val="hybridMultilevel"/>
    <w:lvl w:ilvl="0">
      <w:lvlJc w:val="left"/>
      <w:lvlText w:val="%1"/>
      <w:numFmt w:val="decimal"/>
      <w:start w:val="1"/>
    </w:lvl>
    <w:lvl w:ilvl="1">
      <w:lvlJc w:val="left"/>
      <w:lvlText w:val="(%2)"/>
      <w:numFmt w:val="lowerLetter"/>
      <w:start w:val="12"/>
    </w:lvl>
  </w:abstractNum>
  <w:abstractNum w:abstractNumId="178">
    <w:nsid w:val="3CA88ECF"/>
    <w:multiLevelType w:val="hybridMultilevel"/>
    <w:lvl w:ilvl="0">
      <w:lvlJc w:val="left"/>
      <w:lvlText w:val="(%1)"/>
      <w:numFmt w:val="decimal"/>
      <w:start w:val="60"/>
    </w:lvl>
    <w:lvl w:ilvl="1">
      <w:lvlJc w:val="left"/>
      <w:lvlText w:val="%2"/>
      <w:numFmt w:val="lowerLetter"/>
      <w:start w:val="1"/>
    </w:lvl>
  </w:abstractNum>
  <w:abstractNum w:abstractNumId="179">
    <w:nsid w:val="6EBE4208"/>
    <w:multiLevelType w:val="hybridMultilevel"/>
    <w:lvl w:ilvl="0">
      <w:lvlJc w:val="left"/>
      <w:lvlText w:val="%1"/>
      <w:numFmt w:val="decimal"/>
      <w:start w:val="1"/>
    </w:lvl>
    <w:lvl w:ilvl="1">
      <w:lvlJc w:val="left"/>
      <w:lvlText w:val="(%2)"/>
      <w:numFmt w:val="lowerLetter"/>
      <w:start w:val="19"/>
    </w:lvl>
  </w:abstractNum>
  <w:abstractNum w:abstractNumId="180">
    <w:nsid w:val="C058DF5"/>
    <w:multiLevelType w:val="hybridMultilevel"/>
    <w:lvl w:ilvl="0">
      <w:lvlJc w:val="left"/>
      <w:lvlText w:val="%1."/>
      <w:numFmt w:val="decimal"/>
      <w:start w:val="4"/>
    </w:lvl>
    <w:lvl w:ilvl="1">
      <w:lvlJc w:val="left"/>
      <w:lvlText w:val="(%2)"/>
      <w:numFmt w:val="lowerLetter"/>
      <w:start w:val="1"/>
    </w:lvl>
  </w:abstractNum>
  <w:abstractNum w:abstractNumId="181">
    <w:nsid w:val="CBE5BE9"/>
    <w:multiLevelType w:val="hybridMultilevel"/>
    <w:lvl w:ilvl="0">
      <w:lvlJc w:val="left"/>
      <w:lvlText w:val="%1."/>
      <w:numFmt w:val="decimal"/>
      <w:start w:val="5"/>
    </w:lvl>
  </w:abstractNum>
  <w:abstractNum w:abstractNumId="182">
    <w:nsid w:val="3102BBE2"/>
    <w:multiLevelType w:val="hybridMultilevel"/>
    <w:lvl w:ilvl="0">
      <w:lvlJc w:val="left"/>
      <w:lvlText w:val="%1."/>
      <w:numFmt w:val="decimal"/>
      <w:start w:val="6"/>
    </w:lvl>
    <w:lvl w:ilvl="1">
      <w:lvlJc w:val="left"/>
      <w:lvlText w:val="(%2)"/>
      <w:numFmt w:val="lowerLetter"/>
      <w:start w:val="1"/>
    </w:lvl>
  </w:abstractNum>
  <w:abstractNum w:abstractNumId="183">
    <w:nsid w:val="26A02C5E"/>
    <w:multiLevelType w:val="hybridMultilevel"/>
    <w:lvl w:ilvl="0">
      <w:lvlJc w:val="left"/>
      <w:lvlText w:val="(%1)"/>
      <w:numFmt w:val="lowerLetter"/>
      <w:start w:val="2"/>
    </w:lvl>
  </w:abstractNum>
  <w:abstractNum w:abstractNumId="184">
    <w:nsid w:val="541C8153"/>
    <w:multiLevelType w:val="hybridMultilevel"/>
    <w:lvl w:ilvl="0">
      <w:lvlJc w:val="left"/>
      <w:lvlText w:val="%1"/>
      <w:numFmt w:val="decimal"/>
      <w:start w:val="1"/>
    </w:lvl>
    <w:lvl w:ilvl="1">
      <w:lvlJc w:val="left"/>
      <w:lvlText w:val="(%2)"/>
      <w:numFmt w:val="lowerLetter"/>
      <w:start w:val="4"/>
    </w:lvl>
  </w:abstractNum>
  <w:abstractNum w:abstractNumId="185">
    <w:nsid w:val="67906F60"/>
    <w:multiLevelType w:val="hybridMultilevel"/>
    <w:lvl w:ilvl="0">
      <w:lvlJc w:val="left"/>
      <w:lvlText w:val="%1."/>
      <w:numFmt w:val="decimal"/>
      <w:start w:val="7"/>
    </w:lvl>
    <w:lvl w:ilvl="1">
      <w:lvlJc w:val="left"/>
      <w:lvlText w:val="%2"/>
      <w:numFmt w:val="lowerLetter"/>
      <w:start w:val="1"/>
    </w:lvl>
  </w:abstractNum>
  <w:abstractNum w:abstractNumId="186">
    <w:nsid w:val="10DB9DAA"/>
    <w:multiLevelType w:val="hybridMultilevel"/>
    <w:lvl w:ilvl="0">
      <w:lvlJc w:val="left"/>
      <w:lvlText w:val="%1."/>
      <w:numFmt w:val="decimal"/>
      <w:start w:val="8"/>
    </w:lvl>
  </w:abstractNum>
  <w:abstractNum w:abstractNumId="187">
    <w:nsid w:val="697D2D2"/>
    <w:multiLevelType w:val="hybridMultilevel"/>
    <w:lvl w:ilvl="0">
      <w:lvlJc w:val="left"/>
      <w:lvlText w:val="%1"/>
      <w:numFmt w:val="decimal"/>
      <w:start w:val="1"/>
    </w:lvl>
    <w:lvl w:ilvl="1">
      <w:lvlJc w:val="left"/>
      <w:lvlText w:val="(%2)"/>
      <w:numFmt w:val="lowerLetter"/>
      <w:start w:val="1"/>
    </w:lvl>
  </w:abstractNum>
  <w:abstractNum w:abstractNumId="188">
    <w:nsid w:val="6D68AB2"/>
    <w:multiLevelType w:val="hybridMultilevel"/>
    <w:lvl w:ilvl="0">
      <w:lvlJc w:val="left"/>
      <w:lvlText w:val="%1."/>
      <w:numFmt w:val="decimal"/>
      <w:start w:val="9"/>
    </w:lvl>
    <w:lvl w:ilvl="1">
      <w:lvlJc w:val="left"/>
      <w:lvlText w:val="%2"/>
      <w:numFmt w:val="lowerLetter"/>
      <w:start w:val="1"/>
    </w:lvl>
  </w:abstractNum>
  <w:abstractNum w:abstractNumId="189">
    <w:nsid w:val="3A966CD0"/>
    <w:multiLevelType w:val="hybridMultilevel"/>
    <w:lvl w:ilvl="0">
      <w:lvlJc w:val="left"/>
      <w:lvlText w:val="%1."/>
      <w:numFmt w:val="decimal"/>
      <w:start w:val="10"/>
    </w:lvl>
  </w:abstractNum>
  <w:abstractNum w:abstractNumId="190">
    <w:nsid w:val="63F37E85"/>
    <w:multiLevelType w:val="hybridMultilevel"/>
    <w:lvl w:ilvl="0">
      <w:lvlJc w:val="left"/>
      <w:lvlText w:val="%1."/>
      <w:numFmt w:val="decimal"/>
      <w:start w:val="11"/>
    </w:lvl>
    <w:lvl w:ilvl="1">
      <w:lvlJc w:val="left"/>
      <w:lvlText w:val="(%2)"/>
      <w:numFmt w:val="lowerLetter"/>
      <w:start w:val="1"/>
    </w:lvl>
  </w:abstractNum>
  <w:abstractNum w:abstractNumId="191">
    <w:nsid w:val="5895F5FA"/>
    <w:multiLevelType w:val="hybridMultilevel"/>
    <w:lvl w:ilvl="0">
      <w:lvlJc w:val="left"/>
      <w:lvlText w:val="(%1)"/>
      <w:numFmt w:val="upperLetter"/>
      <w:start w:val="2"/>
    </w:lvl>
    <w:lvl w:ilvl="1">
      <w:lvlJc w:val="left"/>
      <w:lvlText w:val="(%2)"/>
      <w:numFmt w:val="lowerLetter"/>
      <w:start w:val="3"/>
    </w:lvl>
  </w:abstractNum>
  <w:abstractNum w:abstractNumId="192">
    <w:nsid w:val="38A5D054"/>
    <w:multiLevelType w:val="hybridMultilevel"/>
    <w:lvl w:ilvl="0">
      <w:lvlJc w:val="left"/>
      <w:lvlText w:val="(%1)"/>
      <w:numFmt w:val="lowerLetter"/>
      <w:start w:val="5"/>
    </w:lvl>
  </w:abstractNum>
  <w:abstractNum w:abstractNumId="193">
    <w:nsid w:val="F3F09D8"/>
    <w:multiLevelType w:val="hybridMultilevel"/>
    <w:lvl w:ilvl="0">
      <w:lvlJc w:val="left"/>
      <w:lvlText w:val="(%1)"/>
      <w:numFmt w:val="lowerLetter"/>
      <w:start w:val="9"/>
    </w:lvl>
  </w:abstractNum>
  <w:abstractNum w:abstractNumId="194">
    <w:nsid w:val="4B793735"/>
    <w:multiLevelType w:val="hybridMultilevel"/>
    <w:lvl w:ilvl="0">
      <w:lvlJc w:val="left"/>
      <w:lvlText w:val="%1:"/>
      <w:numFmt w:val="upperLetter"/>
      <w:start w:val="29"/>
    </w:lvl>
  </w:abstractNum>
  <w:abstractNum w:abstractNumId="195">
    <w:nsid w:val="4A10B4E8"/>
    <w:multiLevelType w:val="hybridMultilevel"/>
    <w:lvl w:ilvl="0">
      <w:lvlJc w:val="left"/>
      <w:lvlText w:val="●"/>
      <w:numFmt w:val="bullet"/>
      <w:start w:val="1"/>
    </w:lvl>
  </w:abstractNum>
  <w:abstractNum w:abstractNumId="196">
    <w:nsid w:val="43D3BCD4"/>
    <w:multiLevelType w:val="hybridMultilevel"/>
    <w:lvl w:ilvl="0">
      <w:lvlJc w:val="left"/>
      <w:lvlText w:val="(%1)"/>
      <w:numFmt w:val="lowerLetter"/>
      <w:start w:val="2"/>
    </w:lvl>
  </w:abstractNum>
  <w:abstractNum w:abstractNumId="197">
    <w:nsid w:val="4C2A7166"/>
    <w:multiLevelType w:val="hybridMultilevel"/>
    <w:lvl w:ilvl="0">
      <w:lvlJc w:val="left"/>
      <w:lvlText w:val="%1."/>
      <w:numFmt w:val="decimal"/>
      <w:start w:val="1"/>
    </w:lvl>
  </w:abstractNum>
  <w:abstractNum w:abstractNumId="198">
    <w:nsid w:val="2E534A82"/>
    <w:multiLevelType w:val="hybridMultilevel"/>
    <w:lvl w:ilvl="0">
      <w:lvlJc w:val="left"/>
      <w:lvlText w:val="(%1)"/>
      <w:numFmt w:val="lowerLetter"/>
      <w:start w:val="1"/>
    </w:lvl>
  </w:abstractNum>
  <w:abstractNum w:abstractNumId="199">
    <w:nsid w:val="26F2D364"/>
    <w:multiLevelType w:val="hybridMultilevel"/>
    <w:lvl w:ilvl="0">
      <w:lvlJc w:val="left"/>
      <w:lvlText w:val="(%1)"/>
      <w:numFmt w:val="lowerLetter"/>
      <w:start w:val="4"/>
    </w:lvl>
  </w:abstractNum>
  <w:abstractNum w:abstractNumId="200">
    <w:nsid w:val="71C1AF98"/>
    <w:multiLevelType w:val="hybridMultilevel"/>
    <w:lvl w:ilvl="0">
      <w:lvlJc w:val="left"/>
      <w:lvlText w:val="(%1)"/>
      <w:numFmt w:val="lowerLetter"/>
      <w:start w:val="1"/>
    </w:lvl>
  </w:abstractNum>
  <w:abstractNum w:abstractNumId="201">
    <w:nsid w:val="3D00B9D9"/>
    <w:multiLevelType w:val="hybridMultilevel"/>
    <w:lvl w:ilvl="0">
      <w:lvlJc w:val="left"/>
      <w:lvlText w:val="%1."/>
      <w:numFmt w:val="decimal"/>
      <w:start w:val="6"/>
    </w:lvl>
  </w:abstractNum>
  <w:abstractNum w:abstractNumId="202">
    <w:nsid w:val="15BCABA8"/>
    <w:multiLevelType w:val="hybridMultilevel"/>
    <w:lvl w:ilvl="0">
      <w:lvlJc w:val="left"/>
      <w:lvlText w:val="(%1)"/>
      <w:numFmt w:val="lowerLetter"/>
      <w:start w:val="1"/>
    </w:lvl>
  </w:abstractNum>
  <w:abstractNum w:abstractNumId="203">
    <w:nsid w:val="4E0B9A87"/>
    <w:multiLevelType w:val="hybridMultilevel"/>
    <w:lvl w:ilvl="0">
      <w:lvlJc w:val="left"/>
      <w:lvlText w:val="(%1)"/>
      <w:numFmt w:val="lowerLetter"/>
      <w:start w:val="2"/>
    </w:lvl>
  </w:abstractNum>
  <w:abstractNum w:abstractNumId="204">
    <w:nsid w:val="434BAE75"/>
    <w:multiLevelType w:val="hybridMultilevel"/>
    <w:lvl w:ilvl="0">
      <w:lvlJc w:val="left"/>
      <w:lvlText w:val="%1."/>
      <w:numFmt w:val="decimal"/>
      <w:start w:val="7"/>
    </w:lvl>
  </w:abstractNum>
  <w:abstractNum w:abstractNumId="205">
    <w:nsid w:val="4F38F265"/>
    <w:multiLevelType w:val="hybridMultilevel"/>
    <w:lvl w:ilvl="0">
      <w:lvlJc w:val="left"/>
      <w:lvlText w:val="%1."/>
      <w:numFmt w:val="decimal"/>
      <w:start w:val="14"/>
    </w:lvl>
  </w:abstractNum>
  <w:abstractNum w:abstractNumId="206">
    <w:nsid w:val="4C5028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2025-02-27T06:16:39Z</dcterms:created>
  <dcterms:modified xsi:type="dcterms:W3CDTF">2025-02-27T06:16:39Z</dcterms:modified>
</cp:coreProperties>
</file>