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caps w:val="false"/>
          <w:smallCaps w:val="false"/>
        </w:rPr>
      </w:pPr>
      <w:bookmarkStart w:id="0" w:name="form10-q.htm"/>
      <w:bookmarkStart w:id="1" w:name="ksform10q"/>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D_edei--DocumentType_c20250101__20"/>
      <w:bookmarkEnd w:id="2"/>
      <w:r>
        <w:rPr>
          <w:rFonts w:ascii="Times New Roman;Times;Serif" w:hAnsi="Times New Roman;Times;Serif"/>
          <w:b/>
          <w:i w:val="false"/>
          <w:caps w:val="false"/>
          <w:smallCaps w:val="false"/>
          <w:sz w:val="36"/>
        </w:rPr>
        <w:t>10-Q</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 One)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caps w:val="false"/>
          <w:smallCaps w:val="false"/>
        </w:rPr>
      </w:pPr>
      <w:bookmarkStart w:id="3" w:name="xdx_90D_edei--DocumentQuarterlyReport_db"/>
      <w:bookmarkEnd w:id="3"/>
      <w:r>
        <w:rPr>
          <w:caps w:val="false"/>
          <w:smallCaps w:val="false"/>
        </w:rPr>
        <w:t xml:space="preserve">☒ </w:t>
      </w:r>
      <w:r>
        <w:rPr>
          <w:rFonts w:ascii="Times New Roman;Times;Serif" w:hAnsi="Times New Roman;Times;Serif"/>
          <w:b/>
          <w:i w:val="false"/>
          <w:caps w:val="false"/>
          <w:smallCaps w:val="false"/>
          <w:sz w:val="20"/>
        </w:rPr>
        <w:t>QUARTERLY REPORT UNDER SECTION 13 OR 15(d) 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quarterly period ended: </w:t>
      </w:r>
      <w:bookmarkStart w:id="4" w:name="xdx_909_edei--DocumentPeriodEndDate_c202"/>
      <w:bookmarkEnd w:id="4"/>
      <w:r>
        <w:rPr>
          <w:rFonts w:ascii="Times New Roman;Times;Serif" w:hAnsi="Times New Roman;Times;Serif"/>
          <w:b/>
          <w:i w:val="false"/>
          <w:caps w:val="false"/>
          <w:smallCaps w:val="false"/>
          <w:sz w:val="20"/>
        </w:rPr>
        <w:t xml:space="preserve">June 30, </w:t>
      </w:r>
      <w:bookmarkStart w:id="5" w:name="xdx_90E_edei--DocumentFiscalYearFocus_c2"/>
      <w:bookmarkEnd w:id="5"/>
      <w:r>
        <w:rPr>
          <w:rFonts w:ascii="Times New Roman;Times;Serif" w:hAnsi="Times New Roman;Times;Serif"/>
          <w:b/>
          <w:i w:val="false"/>
          <w:caps w:val="false"/>
          <w:smallCaps w:val="false"/>
          <w:sz w:val="20"/>
        </w:rPr>
        <w:t>2025</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caps w:val="false"/>
          <w:smallCaps w:val="false"/>
        </w:rPr>
      </w:pPr>
      <w:bookmarkStart w:id="6" w:name="xdx_907_edei--DocumentTransitionReport_c"/>
      <w:bookmarkEnd w:id="6"/>
      <w:r>
        <w:rPr>
          <w:caps w:val="false"/>
          <w:smallCaps w:val="false"/>
        </w:rPr>
        <w:t xml:space="preserve">☐ </w:t>
      </w:r>
      <w:r>
        <w:rPr>
          <w:rFonts w:ascii="Times New Roman;Times;Serif" w:hAnsi="Times New Roman;Times;Serif"/>
          <w:b/>
          <w:i w:val="false"/>
          <w:caps w:val="false"/>
          <w:smallCaps w:val="false"/>
          <w:sz w:val="20"/>
        </w:rPr>
        <w:t>TRANSITION REPORT PURSUANT TO SECTION 13 OR 15(d) 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transition period from: _________________ to ___________________</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Commission File Number: </w:t>
      </w:r>
      <w:bookmarkStart w:id="7" w:name="xdx_903_edei--EntityFileNumber_c20250101"/>
      <w:bookmarkEnd w:id="7"/>
      <w:r>
        <w:rPr>
          <w:rFonts w:ascii="Times New Roman;Times;Serif" w:hAnsi="Times New Roman;Times;Serif"/>
          <w:b/>
          <w:i w:val="false"/>
          <w:caps w:val="false"/>
          <w:smallCaps w:val="false"/>
          <w:sz w:val="20"/>
          <w:u w:val="single"/>
        </w:rPr>
        <w:t>001-40730</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bookmarkStart w:id="8" w:name="xdx_902_edei--EntityRegistrantName_c2025"/>
      <w:bookmarkEnd w:id="8"/>
      <w:r>
        <w:rPr>
          <w:rFonts w:ascii="Times New Roman;Times;Serif" w:hAnsi="Times New Roman;Times;Serif"/>
          <w:b/>
          <w:i w:val="false"/>
          <w:caps w:val="false"/>
          <w:smallCaps w:val="false"/>
          <w:sz w:val="36"/>
        </w:rPr>
        <w:t>DRAGONFLY ENERGY HOLDINGS CORP.</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tbl>
      <w:tblPr>
        <w:tblW w:w="4090" w:type="dxa"/>
        <w:jc w:val="left"/>
        <w:tblInd w:w="0" w:type="dxa"/>
        <w:tblLayout w:type="fixed"/>
        <w:tblCellMar>
          <w:top w:w="0" w:type="dxa"/>
          <w:left w:w="0" w:type="dxa"/>
          <w:bottom w:w="28" w:type="dxa"/>
          <w:right w:w="0" w:type="dxa"/>
        </w:tblCellMar>
      </w:tblPr>
      <w:tblGrid>
        <w:gridCol w:w="2495"/>
        <w:gridCol w:w="60"/>
        <w:gridCol w:w="1535"/>
      </w:tblGrid>
      <w:tr>
        <w:trPr/>
        <w:tc>
          <w:tcPr>
            <w:tcW w:w="249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9" w:name="xdx_902_edei--EntityIncorporationStateCo"/>
            <w:bookmarkEnd w:id="9"/>
            <w:r>
              <w:rPr>
                <w:rFonts w:ascii="Times New Roman;Times;Serif" w:hAnsi="Times New Roman;Times;Serif"/>
                <w:b/>
                <w:i w:val="false"/>
                <w:caps w:val="false"/>
                <w:smallCaps w:val="false"/>
                <w:sz w:val="20"/>
              </w:rPr>
              <w:t>Nevada</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0" w:name="xdx_907_edei--EntityTaxIdentificationNum"/>
            <w:bookmarkEnd w:id="10"/>
            <w:r>
              <w:rPr>
                <w:rFonts w:ascii="Times New Roman;Times;Serif" w:hAnsi="Times New Roman;Times;Serif"/>
                <w:b/>
                <w:i w:val="false"/>
                <w:caps w:val="false"/>
                <w:smallCaps w:val="false"/>
                <w:sz w:val="20"/>
              </w:rPr>
              <w:t>85-1873463</w:t>
            </w:r>
          </w:p>
        </w:tc>
      </w:tr>
      <w:tr>
        <w:trPr/>
        <w:tc>
          <w:tcPr>
            <w:tcW w:w="249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tc>
      </w:tr>
      <w:tr>
        <w:trPr/>
        <w:tc>
          <w:tcPr>
            <w:tcW w:w="249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incorporation or organization)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jc w:val="center"/>
        <w:rPr>
          <w:caps w:val="false"/>
          <w:smallCaps w:val="false"/>
        </w:rPr>
      </w:pPr>
      <w:r>
        <w:rPr>
          <w:caps w:val="false"/>
          <w:smallCaps w:val="false"/>
        </w:rPr>
        <w:t> </w:t>
      </w:r>
    </w:p>
    <w:tbl>
      <w:tblPr>
        <w:tblW w:w="4195" w:type="dxa"/>
        <w:jc w:val="left"/>
        <w:tblInd w:w="0" w:type="dxa"/>
        <w:tblLayout w:type="fixed"/>
        <w:tblCellMar>
          <w:top w:w="0" w:type="dxa"/>
          <w:left w:w="0" w:type="dxa"/>
          <w:bottom w:w="0" w:type="dxa"/>
          <w:right w:w="0" w:type="dxa"/>
        </w:tblCellMar>
      </w:tblPr>
      <w:tblGrid>
        <w:gridCol w:w="3215"/>
        <w:gridCol w:w="60"/>
        <w:gridCol w:w="920"/>
      </w:tblGrid>
      <w:tr>
        <w:trPr/>
        <w:tc>
          <w:tcPr>
            <w:tcW w:w="321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1" w:name="xdx_903_edei--EntityAddressAddressLine1_"/>
            <w:bookmarkEnd w:id="11"/>
            <w:r>
              <w:rPr>
                <w:rFonts w:ascii="Times New Roman;Times;Serif" w:hAnsi="Times New Roman;Times;Serif"/>
                <w:b/>
                <w:i w:val="false"/>
                <w:caps w:val="false"/>
                <w:smallCaps w:val="false"/>
                <w:sz w:val="20"/>
              </w:rPr>
              <w:t>12915 Old Virginia Road</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20" w:type="dxa"/>
            <w:tcBorders/>
            <w:vAlign w:val="center"/>
          </w:tcPr>
          <w:p>
            <w:pPr>
              <w:pStyle w:val="TableContents"/>
              <w:bidi w:val="0"/>
              <w:spacing w:before="0" w:after="283"/>
              <w:jc w:val="left"/>
              <w:rPr>
                <w:sz w:val="4"/>
                <w:szCs w:val="4"/>
              </w:rPr>
            </w:pPr>
            <w:r>
              <w:rPr>
                <w:sz w:val="4"/>
                <w:szCs w:val="4"/>
              </w:rPr>
            </w:r>
          </w:p>
        </w:tc>
      </w:tr>
      <w:tr>
        <w:trPr/>
        <w:tc>
          <w:tcPr>
            <w:tcW w:w="321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2" w:name="xdx_90D_edei--EntityAddressCityOrTown_c2"/>
            <w:bookmarkEnd w:id="12"/>
            <w:r>
              <w:rPr>
                <w:rFonts w:ascii="Times New Roman;Times;Serif" w:hAnsi="Times New Roman;Times;Serif"/>
                <w:b/>
                <w:i w:val="false"/>
                <w:caps w:val="false"/>
                <w:smallCaps w:val="false"/>
                <w:sz w:val="20"/>
              </w:rPr>
              <w:t xml:space="preserve">Reno, </w:t>
            </w:r>
            <w:bookmarkStart w:id="13" w:name="xdx_90F_edei--EntityAddressStateOrProvin"/>
            <w:bookmarkEnd w:id="13"/>
            <w:r>
              <w:rPr>
                <w:rFonts w:ascii="Times New Roman;Times;Serif" w:hAnsi="Times New Roman;Times;Serif"/>
                <w:b/>
                <w:i w:val="false"/>
                <w:caps w:val="false"/>
                <w:smallCaps w:val="false"/>
                <w:sz w:val="20"/>
              </w:rPr>
              <w:t>Nevada</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2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4" w:name="xdx_90E_edei--EntityAddressPostalZipCode"/>
            <w:bookmarkEnd w:id="14"/>
            <w:r>
              <w:rPr>
                <w:rFonts w:ascii="Times New Roman;Times;Serif" w:hAnsi="Times New Roman;Times;Serif"/>
                <w:b/>
                <w:i w:val="false"/>
                <w:caps w:val="false"/>
                <w:smallCaps w:val="false"/>
                <w:sz w:val="20"/>
              </w:rPr>
              <w:t>89521</w:t>
            </w:r>
          </w:p>
        </w:tc>
      </w:tr>
      <w:tr>
        <w:trPr/>
        <w:tc>
          <w:tcPr>
            <w:tcW w:w="32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2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bookmarkStart w:id="15" w:name="xdx_905_edei--CityAreaCode_c20250101__20"/>
      <w:bookmarkEnd w:id="15"/>
      <w:r>
        <w:rPr>
          <w:rFonts w:ascii="Times New Roman;Times;Serif" w:hAnsi="Times New Roman;Times;Serif"/>
          <w:b/>
          <w:i w:val="false"/>
          <w:caps w:val="false"/>
          <w:smallCaps w:val="false"/>
          <w:sz w:val="20"/>
          <w:u w:val="single"/>
        </w:rPr>
        <w:t xml:space="preserve">(775) </w:t>
      </w:r>
      <w:bookmarkStart w:id="16" w:name="xdx_904_edei--LocalPhoneNumber_c20250101"/>
      <w:bookmarkEnd w:id="16"/>
      <w:r>
        <w:rPr>
          <w:rFonts w:ascii="Times New Roman;Times;Serif" w:hAnsi="Times New Roman;Times;Serif"/>
          <w:b/>
          <w:i w:val="false"/>
          <w:caps w:val="false"/>
          <w:smallCaps w:val="false"/>
          <w:sz w:val="20"/>
          <w:u w:val="single"/>
        </w:rPr>
        <w:t>622-3448</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N/A</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former address and former fiscal year, if changed since last report)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jc w:val="center"/>
        <w:rPr>
          <w:caps w:val="false"/>
          <w:smallCaps w:val="false"/>
        </w:rPr>
      </w:pPr>
      <w:r>
        <w:rPr>
          <w:caps w:val="false"/>
          <w:smallCaps w:val="false"/>
        </w:rPr>
        <w:t> </w:t>
      </w:r>
    </w:p>
    <w:tbl>
      <w:tblPr>
        <w:tblW w:w="9750" w:type="dxa"/>
        <w:jc w:val="left"/>
        <w:tblInd w:w="0" w:type="dxa"/>
        <w:tblLayout w:type="fixed"/>
        <w:tblCellMar>
          <w:top w:w="0" w:type="dxa"/>
          <w:left w:w="0" w:type="dxa"/>
          <w:bottom w:w="28" w:type="dxa"/>
          <w:right w:w="0" w:type="dxa"/>
        </w:tblCellMar>
      </w:tblPr>
      <w:tblGrid>
        <w:gridCol w:w="4310"/>
        <w:gridCol w:w="60"/>
        <w:gridCol w:w="1610"/>
        <w:gridCol w:w="60"/>
        <w:gridCol w:w="3710"/>
      </w:tblGrid>
      <w:tr>
        <w:trPr/>
        <w:tc>
          <w:tcPr>
            <w:tcW w:w="43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43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7" w:name="xdx_90B_edei--Security12bTitle_c20250101"/>
            <w:bookmarkEnd w:id="17"/>
            <w:r>
              <w:rPr>
                <w:rFonts w:ascii="Times New Roman;Times;Serif" w:hAnsi="Times New Roman;Times;Serif"/>
                <w:b w:val="false"/>
                <w:i w:val="false"/>
                <w:caps w:val="false"/>
                <w:smallCaps w:val="false"/>
                <w:sz w:val="20"/>
              </w:rPr>
              <w:t>Common Stock, par value $0.0001 per share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 w:name="xdx_903_edei--TradingSymbol_c20250101__2"/>
            <w:bookmarkEnd w:id="18"/>
            <w:r>
              <w:rPr>
                <w:rFonts w:ascii="Times New Roman;Times;Serif" w:hAnsi="Times New Roman;Times;Serif"/>
                <w:b w:val="false"/>
                <w:i w:val="false"/>
                <w:caps w:val="false"/>
                <w:smallCaps w:val="false"/>
                <w:sz w:val="20"/>
              </w:rPr>
              <w:t>DFLI</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19" w:name="xdx_90F_edei--SecurityExchangeName_c2025"/>
            <w:bookmarkEnd w:id="19"/>
            <w:r>
              <w:rPr>
                <w:rFonts w:ascii="Times New Roman;Times;Serif" w:hAnsi="Times New Roman;Times;Serif"/>
                <w:b w:val="false"/>
                <w:i w:val="false"/>
                <w:caps w:val="false"/>
                <w:smallCaps w:val="false"/>
                <w:sz w:val="20"/>
              </w:rPr>
              <w:t>Nasdaq Capital Market</w:t>
            </w:r>
          </w:p>
        </w:tc>
      </w:tr>
      <w:tr>
        <w:trPr/>
        <w:tc>
          <w:tcPr>
            <w:tcW w:w="43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A_edei--Security12bTitle_c20250101"/>
            <w:bookmarkEnd w:id="20"/>
            <w:r>
              <w:rPr>
                <w:rFonts w:ascii="Times New Roman;Times;Serif" w:hAnsi="Times New Roman;Times;Serif"/>
                <w:b w:val="false"/>
                <w:i w:val="false"/>
                <w:caps w:val="false"/>
                <w:smallCaps w:val="false"/>
                <w:sz w:val="20"/>
              </w:rPr>
              <w:t>Redeemable Warrants, exercisable for common stock</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4_edei--TradingSymbol_c20250101__2"/>
            <w:bookmarkEnd w:id="21"/>
            <w:r>
              <w:rPr>
                <w:rFonts w:ascii="Times New Roman;Times;Serif" w:hAnsi="Times New Roman;Times;Serif"/>
                <w:b w:val="false"/>
                <w:i w:val="false"/>
                <w:caps w:val="false"/>
                <w:smallCaps w:val="false"/>
                <w:sz w:val="20"/>
              </w:rPr>
              <w:t>DFLIW</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2" w:name="xdx_903_edei--SecurityExchangeName_c2025"/>
            <w:bookmarkEnd w:id="22"/>
            <w:r>
              <w:rPr>
                <w:rFonts w:ascii="Times New Roman;Times;Serif" w:hAnsi="Times New Roman;Times;Serif"/>
                <w:b w:val="false"/>
                <w:i w:val="false"/>
                <w:caps w:val="false"/>
                <w:smallCaps w:val="false"/>
                <w:sz w:val="20"/>
              </w:rPr>
              <w:t>Nasdaq Capital Market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bookmarkStart w:id="23" w:name="xdx_902_edei--EntityCurrentReportingStat"/>
      <w:bookmarkEnd w:id="23"/>
      <w:r>
        <w:rPr>
          <w:rFonts w:ascii="Times New Roman;Times;Serif" w:hAnsi="Times New Roman;Times;Serif"/>
          <w:b w:val="false"/>
          <w:i w:val="false"/>
          <w:caps w:val="false"/>
          <w:smallCaps w:val="false"/>
          <w:sz w:val="20"/>
        </w:rPr>
        <w:t>Yes ☒ No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submitted electronically every Interactive Data File required to be submitted pursuant to Rule 405 of Regulation S-T (Section 232.405 of this chapter) during the preceding 12 months (or such shorter period that the registrant was required to submit such files). </w:t>
      </w:r>
      <w:bookmarkStart w:id="24" w:name="xdx_900_edei--EntityInteractiveDataCurre"/>
      <w:bookmarkEnd w:id="24"/>
      <w:r>
        <w:rPr>
          <w:rFonts w:ascii="Times New Roman;Times;Serif" w:hAnsi="Times New Roman;Times;Serif"/>
          <w:b w:val="false"/>
          <w:i w:val="false"/>
          <w:caps w:val="false"/>
          <w:smallCaps w:val="false"/>
          <w:sz w:val="20"/>
        </w:rPr>
        <w:t>Yes ☒ No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jc w:val="both"/>
        <w:rPr>
          <w:caps w:val="false"/>
          <w:smallCaps w:val="false"/>
        </w:rPr>
      </w:pPr>
      <w:r>
        <w:rPr>
          <w:caps w:val="false"/>
          <w:smallCaps w:val="false"/>
        </w:rPr>
        <w:t> </w:t>
      </w:r>
    </w:p>
    <w:tbl>
      <w:tblPr>
        <w:tblW w:w="4585" w:type="dxa"/>
        <w:jc w:val="left"/>
        <w:tblInd w:w="0" w:type="dxa"/>
        <w:tblLayout w:type="fixed"/>
        <w:tblCellMar>
          <w:top w:w="0" w:type="dxa"/>
          <w:left w:w="0" w:type="dxa"/>
          <w:bottom w:w="0" w:type="dxa"/>
          <w:right w:w="0" w:type="dxa"/>
        </w:tblCellMar>
      </w:tblPr>
      <w:tblGrid>
        <w:gridCol w:w="2060"/>
        <w:gridCol w:w="60"/>
        <w:gridCol w:w="2465"/>
      </w:tblGrid>
      <w:tr>
        <w:trPr/>
        <w:tc>
          <w:tcPr>
            <w:tcW w:w="20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 ☐</w:t>
            </w:r>
          </w:p>
        </w:tc>
      </w:tr>
      <w:tr>
        <w:trPr/>
        <w:tc>
          <w:tcPr>
            <w:tcW w:w="20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25" w:name="xdx_904_edei--EntityFilerCategory_c20250"/>
            <w:bookmarkEnd w:id="25"/>
            <w:r>
              <w:rPr>
                <w:rFonts w:ascii="Times New Roman;Times;Serif" w:hAnsi="Times New Roman;Times;Serif"/>
                <w:b w:val="false"/>
                <w:i w:val="false"/>
                <w:caps w:val="false"/>
                <w:smallCaps w:val="false"/>
                <w:sz w:val="20"/>
              </w:rPr>
              <w:t>Non-accelerated filer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Smaller reporting company </w:t>
            </w:r>
            <w:bookmarkStart w:id="26" w:name="xdx_901_edei--EntitySmallBusiness_c20250"/>
            <w:bookmarkEnd w:id="26"/>
            <w:r>
              <w:rPr>
                <w:rFonts w:ascii="Times New Roman;Times;Serif" w:hAnsi="Times New Roman;Times;Serif"/>
                <w:b w:val="false"/>
                <w:i w:val="false"/>
                <w:caps w:val="false"/>
                <w:smallCaps w:val="false"/>
                <w:sz w:val="20"/>
              </w:rPr>
              <w:t>☒</w:t>
            </w:r>
          </w:p>
        </w:tc>
      </w:tr>
      <w:tr>
        <w:trPr/>
        <w:tc>
          <w:tcPr>
            <w:tcW w:w="20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7" w:name="xdx_901_edei--EntityEmergingGrowthCompan"/>
            <w:bookmarkEnd w:id="27"/>
            <w:r>
              <w:rPr>
                <w:rFonts w:ascii="Times New Roman;Times;Serif" w:hAnsi="Times New Roman;Times;Serif"/>
                <w:b w:val="false"/>
                <w:i w:val="false"/>
                <w:caps w:val="false"/>
                <w:smallCaps w:val="false"/>
                <w:sz w:val="20"/>
              </w:rPr>
              <w: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8" w:name="xdx_906_edei--EntityExTransitionPeriod_c"/>
      <w:bookmarkEnd w:id="28"/>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is a shell company (as defined in Rule 12b-2 of the Exchange Act). Yes ☐ No </w:t>
      </w:r>
      <w:bookmarkStart w:id="29" w:name="xdx_90E_edei--EntityShellCompany_dbF_c20"/>
      <w:bookmarkEnd w:id="29"/>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Aug 11, 2025, there were </w:t>
      </w:r>
      <w:bookmarkStart w:id="30" w:name="xdx_90F_edei--EntityCommonStockSharesOut"/>
      <w:bookmarkEnd w:id="30"/>
      <w:r>
        <w:rPr>
          <w:rFonts w:ascii="Times New Roman;Times;Serif" w:hAnsi="Times New Roman;Times;Serif"/>
          <w:b w:val="false"/>
          <w:i w:val="false"/>
          <w:caps w:val="false"/>
          <w:smallCaps w:val="false"/>
          <w:sz w:val="20"/>
        </w:rPr>
        <w:t>61,724,593 shares of the registrant’s common stock, par value $</w:t>
      </w:r>
      <w:bookmarkStart w:id="31" w:name="xdx_90B_edei--EntityListingParValuePerSh"/>
      <w:bookmarkEnd w:id="31"/>
      <w:r>
        <w:rPr>
          <w:rFonts w:ascii="Times New Roman;Times;Serif" w:hAnsi="Times New Roman;Times;Serif"/>
          <w:b w:val="false"/>
          <w:i w:val="false"/>
          <w:caps w:val="false"/>
          <w:smallCaps w:val="false"/>
          <w:sz w:val="20"/>
        </w:rPr>
        <w:t>0.0001 per share, issued and outstanding.</w:t>
      </w:r>
    </w:p>
    <w:p>
      <w:pPr>
        <w:pStyle w:val="TextBody"/>
        <w:bidi w:val="0"/>
        <w:spacing w:before="0" w:after="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64"/>
        <w:gridCol w:w="8816"/>
        <w:gridCol w:w="725"/>
      </w:tblGrid>
      <w:tr>
        <w:trPr/>
        <w:tc>
          <w:tcPr>
            <w:tcW w:w="9480" w:type="dxa"/>
            <w:gridSpan w:val="2"/>
            <w:tcBorders/>
            <w:vAlign w:val="center"/>
          </w:tcPr>
          <w:p>
            <w:pPr>
              <w:pStyle w:val="TableContents"/>
              <w:bidi w:val="0"/>
              <w:spacing w:before="0" w:after="283"/>
              <w:jc w:val="both"/>
              <w:rPr>
                <w:caps w:val="false"/>
                <w:smallCaps w:val="false"/>
              </w:rPr>
            </w:pPr>
            <w:r>
              <w:rPr>
                <w:caps w:val="false"/>
                <w:smallCaps w:val="false"/>
              </w:rPr>
              <w:t> </w:t>
            </w:r>
          </w:p>
        </w:tc>
        <w:tc>
          <w:tcPr>
            <w:tcW w:w="72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 No.</w:t>
            </w:r>
          </w:p>
        </w:tc>
      </w:tr>
      <w:tr>
        <w:trPr/>
        <w:tc>
          <w:tcPr>
            <w:tcW w:w="9480" w:type="dxa"/>
            <w:gridSpan w:val="2"/>
            <w:tcBorders/>
            <w:shd w:fill="CCEEFF" w:val="clear"/>
            <w:vAlign w:val="center"/>
          </w:tcPr>
          <w:p>
            <w:pPr>
              <w:pStyle w:val="TableContents"/>
              <w:bidi w:val="0"/>
              <w:spacing w:before="0" w:after="283"/>
              <w:jc w:val="both"/>
              <w:rPr/>
            </w:pPr>
            <w:hyperlink w:anchor="ab_001">
              <w:r>
                <w:rPr>
                  <w:rStyle w:val="InternetLink"/>
                  <w:rFonts w:ascii="Times New Roman;Times;Serif" w:hAnsi="Times New Roman;Times;Serif"/>
                  <w:b/>
                  <w:i w:val="false"/>
                  <w:caps w:val="false"/>
                  <w:smallCaps w:val="false"/>
                  <w:sz w:val="20"/>
                </w:rPr>
                <w:t>PART I. FINANCIAL INFORMATION</w:t>
              </w:r>
            </w:hyperlink>
          </w:p>
        </w:tc>
        <w:tc>
          <w:tcPr>
            <w:tcW w:w="72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664"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w:t>
            </w:r>
          </w:p>
        </w:tc>
        <w:tc>
          <w:tcPr>
            <w:tcW w:w="8816"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Statements (Unaudited)</w:t>
            </w:r>
          </w:p>
        </w:tc>
        <w:tc>
          <w:tcPr>
            <w:tcW w:w="7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664"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8816" w:type="dxa"/>
            <w:tcBorders/>
            <w:shd w:fill="CCEEFF" w:val="clear"/>
            <w:vAlign w:val="center"/>
          </w:tcPr>
          <w:p>
            <w:pPr>
              <w:pStyle w:val="TableContents"/>
              <w:bidi w:val="0"/>
              <w:spacing w:before="0" w:after="283"/>
              <w:jc w:val="both"/>
              <w:rPr/>
            </w:pPr>
            <w:hyperlink w:anchor="a_001">
              <w:r>
                <w:rPr>
                  <w:rStyle w:val="InternetLink"/>
                  <w:rFonts w:ascii="Times New Roman;Times;Serif" w:hAnsi="Times New Roman;Times;Serif"/>
                  <w:b w:val="false"/>
                  <w:i w:val="false"/>
                  <w:caps w:val="false"/>
                  <w:smallCaps w:val="false"/>
                  <w:sz w:val="20"/>
                </w:rPr>
                <w:t>Condensed Consolidated Balance Sheets as of June 30, 2025 and December 31, 2024</w:t>
              </w:r>
            </w:hyperlink>
          </w:p>
        </w:tc>
        <w:tc>
          <w:tcPr>
            <w:tcW w:w="7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664"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8816" w:type="dxa"/>
            <w:tcBorders/>
            <w:shd w:fill="FFFFFF" w:val="clear"/>
            <w:vAlign w:val="center"/>
          </w:tcPr>
          <w:p>
            <w:pPr>
              <w:pStyle w:val="TableContents"/>
              <w:bidi w:val="0"/>
              <w:spacing w:before="0" w:after="283"/>
              <w:jc w:val="both"/>
              <w:rPr/>
            </w:pPr>
            <w:hyperlink w:anchor="a_002">
              <w:r>
                <w:rPr>
                  <w:rStyle w:val="InternetLink"/>
                  <w:rFonts w:ascii="Times New Roman;Times;Serif" w:hAnsi="Times New Roman;Times;Serif"/>
                  <w:b w:val="false"/>
                  <w:i w:val="false"/>
                  <w:caps w:val="false"/>
                  <w:smallCaps w:val="false"/>
                  <w:sz w:val="20"/>
                </w:rPr>
                <w:t>Condensed Consolidated Statements of Operations for the three and six months ended June 30, 2025 and 2024</w:t>
              </w:r>
            </w:hyperlink>
          </w:p>
        </w:tc>
        <w:tc>
          <w:tcPr>
            <w:tcW w:w="7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664"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8816" w:type="dxa"/>
            <w:tcBorders/>
            <w:shd w:fill="CCEEFF" w:val="clear"/>
            <w:vAlign w:val="center"/>
          </w:tcPr>
          <w:p>
            <w:pPr>
              <w:pStyle w:val="TableContents"/>
              <w:bidi w:val="0"/>
              <w:spacing w:before="0" w:after="283"/>
              <w:jc w:val="both"/>
              <w:rPr/>
            </w:pPr>
            <w:hyperlink w:anchor="a_003">
              <w:r>
                <w:rPr>
                  <w:rStyle w:val="InternetLink"/>
                  <w:rFonts w:ascii="Times New Roman;Times;Serif" w:hAnsi="Times New Roman;Times;Serif"/>
                  <w:b w:val="false"/>
                  <w:i w:val="false"/>
                  <w:caps w:val="false"/>
                  <w:smallCaps w:val="false"/>
                  <w:sz w:val="20"/>
                </w:rPr>
                <w:t>Condensed Consolidated Statements of Stockholders’ Equity (Deficit) for the three and six months ended June 30, 2025 and 2024</w:t>
              </w:r>
            </w:hyperlink>
          </w:p>
        </w:tc>
        <w:tc>
          <w:tcPr>
            <w:tcW w:w="7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664"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8816" w:type="dxa"/>
            <w:tcBorders/>
            <w:shd w:fill="FFFFFF" w:val="clear"/>
            <w:vAlign w:val="center"/>
          </w:tcPr>
          <w:p>
            <w:pPr>
              <w:pStyle w:val="TableContents"/>
              <w:bidi w:val="0"/>
              <w:spacing w:before="0" w:after="283"/>
              <w:jc w:val="both"/>
              <w:rPr/>
            </w:pPr>
            <w:hyperlink w:anchor="a_004">
              <w:r>
                <w:rPr>
                  <w:rStyle w:val="InternetLink"/>
                  <w:rFonts w:ascii="Times New Roman;Times;Serif" w:hAnsi="Times New Roman;Times;Serif"/>
                  <w:b w:val="false"/>
                  <w:i w:val="false"/>
                  <w:caps w:val="false"/>
                  <w:smallCaps w:val="false"/>
                  <w:sz w:val="20"/>
                </w:rPr>
                <w:t>Condensed Consolidated Statements of Cash Flows for the six months ended June 30, 2025 and 2024</w:t>
              </w:r>
            </w:hyperlink>
          </w:p>
        </w:tc>
        <w:tc>
          <w:tcPr>
            <w:tcW w:w="7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664"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8816" w:type="dxa"/>
            <w:tcBorders/>
            <w:shd w:fill="CCEEFF" w:val="clear"/>
            <w:vAlign w:val="center"/>
          </w:tcPr>
          <w:p>
            <w:pPr>
              <w:pStyle w:val="TableContents"/>
              <w:bidi w:val="0"/>
              <w:spacing w:before="0" w:after="283"/>
              <w:jc w:val="both"/>
              <w:rPr/>
            </w:pPr>
            <w:hyperlink w:anchor="a_005">
              <w:r>
                <w:rPr>
                  <w:rStyle w:val="InternetLink"/>
                  <w:rFonts w:ascii="Times New Roman;Times;Serif" w:hAnsi="Times New Roman;Times;Serif"/>
                  <w:b w:val="false"/>
                  <w:i w:val="false"/>
                  <w:caps w:val="false"/>
                  <w:smallCaps w:val="false"/>
                  <w:sz w:val="20"/>
                </w:rPr>
                <w:t>Notes to Condensed Consolidated Financial Statements</w:t>
              </w:r>
            </w:hyperlink>
          </w:p>
        </w:tc>
        <w:tc>
          <w:tcPr>
            <w:tcW w:w="7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664"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2.</w:t>
            </w:r>
          </w:p>
        </w:tc>
        <w:tc>
          <w:tcPr>
            <w:tcW w:w="8816" w:type="dxa"/>
            <w:tcBorders/>
            <w:shd w:fill="FFFFFF" w:val="clear"/>
            <w:vAlign w:val="center"/>
          </w:tcPr>
          <w:p>
            <w:pPr>
              <w:pStyle w:val="TableContents"/>
              <w:bidi w:val="0"/>
              <w:spacing w:before="0" w:after="283"/>
              <w:jc w:val="both"/>
              <w:rPr/>
            </w:pPr>
            <w:hyperlink w:anchor="a_006">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7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r>
      <w:tr>
        <w:trPr/>
        <w:tc>
          <w:tcPr>
            <w:tcW w:w="664"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3.</w:t>
            </w:r>
          </w:p>
        </w:tc>
        <w:tc>
          <w:tcPr>
            <w:tcW w:w="8816" w:type="dxa"/>
            <w:tcBorders/>
            <w:shd w:fill="CCEEFF" w:val="clear"/>
            <w:vAlign w:val="center"/>
          </w:tcPr>
          <w:p>
            <w:pPr>
              <w:pStyle w:val="TableContents"/>
              <w:bidi w:val="0"/>
              <w:spacing w:before="0" w:after="283"/>
              <w:jc w:val="both"/>
              <w:rPr/>
            </w:pPr>
            <w:hyperlink w:anchor="a_007">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7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w:t>
            </w:r>
          </w:p>
        </w:tc>
      </w:tr>
      <w:tr>
        <w:trPr/>
        <w:tc>
          <w:tcPr>
            <w:tcW w:w="664"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4.</w:t>
            </w:r>
          </w:p>
        </w:tc>
        <w:tc>
          <w:tcPr>
            <w:tcW w:w="8816" w:type="dxa"/>
            <w:tcBorders/>
            <w:shd w:fill="FFFFFF" w:val="clear"/>
            <w:vAlign w:val="center"/>
          </w:tcPr>
          <w:p>
            <w:pPr>
              <w:pStyle w:val="TableContents"/>
              <w:bidi w:val="0"/>
              <w:spacing w:before="0" w:after="283"/>
              <w:jc w:val="both"/>
              <w:rPr/>
            </w:pPr>
            <w:hyperlink w:anchor="a_008">
              <w:r>
                <w:rPr>
                  <w:rStyle w:val="InternetLink"/>
                  <w:rFonts w:ascii="Times New Roman;Times;Serif" w:hAnsi="Times New Roman;Times;Serif"/>
                  <w:b w:val="false"/>
                  <w:i w:val="false"/>
                  <w:caps w:val="false"/>
                  <w:smallCaps w:val="false"/>
                  <w:sz w:val="20"/>
                </w:rPr>
                <w:t>Controls and Procedures</w:t>
              </w:r>
            </w:hyperlink>
          </w:p>
        </w:tc>
        <w:tc>
          <w:tcPr>
            <w:tcW w:w="7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w:t>
            </w:r>
          </w:p>
        </w:tc>
      </w:tr>
      <w:tr>
        <w:trPr/>
        <w:tc>
          <w:tcPr>
            <w:tcW w:w="9480" w:type="dxa"/>
            <w:gridSpan w:val="2"/>
            <w:tcBorders/>
            <w:shd w:fill="CCEEFF" w:val="clear"/>
            <w:vAlign w:val="center"/>
          </w:tcPr>
          <w:p>
            <w:pPr>
              <w:pStyle w:val="TableContents"/>
              <w:bidi w:val="0"/>
              <w:spacing w:before="0" w:after="283"/>
              <w:jc w:val="both"/>
              <w:rPr/>
            </w:pPr>
            <w:hyperlink w:anchor="a_009">
              <w:r>
                <w:rPr>
                  <w:rStyle w:val="InternetLink"/>
                  <w:rFonts w:ascii="Times New Roman;Times;Serif" w:hAnsi="Times New Roman;Times;Serif"/>
                  <w:b/>
                  <w:i w:val="false"/>
                  <w:caps w:val="false"/>
                  <w:smallCaps w:val="false"/>
                  <w:sz w:val="20"/>
                </w:rPr>
                <w:t>PART II. OTHER INFORMATION</w:t>
              </w:r>
            </w:hyperlink>
          </w:p>
        </w:tc>
        <w:tc>
          <w:tcPr>
            <w:tcW w:w="72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664"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w:t>
            </w:r>
          </w:p>
        </w:tc>
        <w:tc>
          <w:tcPr>
            <w:tcW w:w="8816" w:type="dxa"/>
            <w:tcBorders/>
            <w:shd w:fill="FFFFFF" w:val="clear"/>
            <w:vAlign w:val="center"/>
          </w:tcPr>
          <w:p>
            <w:pPr>
              <w:pStyle w:val="TableContents"/>
              <w:bidi w:val="0"/>
              <w:spacing w:before="0" w:after="283"/>
              <w:jc w:val="both"/>
              <w:rPr/>
            </w:pPr>
            <w:hyperlink w:anchor="a_010">
              <w:r>
                <w:rPr>
                  <w:rStyle w:val="InternetLink"/>
                  <w:rFonts w:ascii="Times New Roman;Times;Serif" w:hAnsi="Times New Roman;Times;Serif"/>
                  <w:b w:val="false"/>
                  <w:i w:val="false"/>
                  <w:caps w:val="false"/>
                  <w:smallCaps w:val="false"/>
                  <w:sz w:val="20"/>
                </w:rPr>
                <w:t>Legal Proceedings</w:t>
              </w:r>
            </w:hyperlink>
          </w:p>
        </w:tc>
        <w:tc>
          <w:tcPr>
            <w:tcW w:w="7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w:t>
            </w:r>
          </w:p>
        </w:tc>
      </w:tr>
      <w:tr>
        <w:trPr/>
        <w:tc>
          <w:tcPr>
            <w:tcW w:w="664"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1A.</w:t>
            </w:r>
          </w:p>
        </w:tc>
        <w:tc>
          <w:tcPr>
            <w:tcW w:w="8816" w:type="dxa"/>
            <w:tcBorders/>
            <w:shd w:fill="CCEEFF" w:val="clear"/>
            <w:vAlign w:val="center"/>
          </w:tcPr>
          <w:p>
            <w:pPr>
              <w:pStyle w:val="TableContents"/>
              <w:bidi w:val="0"/>
              <w:spacing w:before="0" w:after="283"/>
              <w:jc w:val="both"/>
              <w:rPr/>
            </w:pPr>
            <w:hyperlink w:anchor="a_011">
              <w:r>
                <w:rPr>
                  <w:rStyle w:val="InternetLink"/>
                  <w:rFonts w:ascii="Times New Roman;Times;Serif" w:hAnsi="Times New Roman;Times;Serif"/>
                  <w:b w:val="false"/>
                  <w:i w:val="false"/>
                  <w:caps w:val="false"/>
                  <w:smallCaps w:val="false"/>
                  <w:sz w:val="20"/>
                </w:rPr>
                <w:t>Risk Factors</w:t>
              </w:r>
            </w:hyperlink>
          </w:p>
        </w:tc>
        <w:tc>
          <w:tcPr>
            <w:tcW w:w="7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w:t>
            </w:r>
          </w:p>
        </w:tc>
      </w:tr>
      <w:tr>
        <w:trPr/>
        <w:tc>
          <w:tcPr>
            <w:tcW w:w="664"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2.</w:t>
            </w:r>
          </w:p>
        </w:tc>
        <w:tc>
          <w:tcPr>
            <w:tcW w:w="8816" w:type="dxa"/>
            <w:tcBorders/>
            <w:shd w:fill="FFFFFF" w:val="clear"/>
            <w:vAlign w:val="center"/>
          </w:tcPr>
          <w:p>
            <w:pPr>
              <w:pStyle w:val="TableContents"/>
              <w:bidi w:val="0"/>
              <w:spacing w:before="0" w:after="283"/>
              <w:jc w:val="both"/>
              <w:rPr/>
            </w:pPr>
            <w:hyperlink w:anchor="a_012">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7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w:t>
            </w:r>
          </w:p>
        </w:tc>
      </w:tr>
      <w:tr>
        <w:trPr/>
        <w:tc>
          <w:tcPr>
            <w:tcW w:w="664"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3.</w:t>
            </w:r>
          </w:p>
        </w:tc>
        <w:tc>
          <w:tcPr>
            <w:tcW w:w="8816" w:type="dxa"/>
            <w:tcBorders/>
            <w:shd w:fill="CCEEFF" w:val="clear"/>
            <w:vAlign w:val="center"/>
          </w:tcPr>
          <w:p>
            <w:pPr>
              <w:pStyle w:val="TableContents"/>
              <w:bidi w:val="0"/>
              <w:spacing w:before="0" w:after="283"/>
              <w:jc w:val="both"/>
              <w:rPr/>
            </w:pPr>
            <w:hyperlink w:anchor="a_013">
              <w:r>
                <w:rPr>
                  <w:rStyle w:val="InternetLink"/>
                  <w:rFonts w:ascii="Times New Roman;Times;Serif" w:hAnsi="Times New Roman;Times;Serif"/>
                  <w:b w:val="false"/>
                  <w:i w:val="false"/>
                  <w:caps w:val="false"/>
                  <w:smallCaps w:val="false"/>
                  <w:sz w:val="20"/>
                </w:rPr>
                <w:t>Defaults Upon Senior Securities</w:t>
              </w:r>
            </w:hyperlink>
          </w:p>
        </w:tc>
        <w:tc>
          <w:tcPr>
            <w:tcW w:w="7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w:t>
            </w:r>
          </w:p>
        </w:tc>
      </w:tr>
      <w:tr>
        <w:trPr/>
        <w:tc>
          <w:tcPr>
            <w:tcW w:w="664"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4.</w:t>
            </w:r>
          </w:p>
        </w:tc>
        <w:tc>
          <w:tcPr>
            <w:tcW w:w="8816" w:type="dxa"/>
            <w:tcBorders/>
            <w:shd w:fill="FFFFFF" w:val="clear"/>
            <w:vAlign w:val="center"/>
          </w:tcPr>
          <w:p>
            <w:pPr>
              <w:pStyle w:val="TableContents"/>
              <w:bidi w:val="0"/>
              <w:spacing w:before="0" w:after="283"/>
              <w:jc w:val="both"/>
              <w:rPr/>
            </w:pPr>
            <w:hyperlink w:anchor="a_014">
              <w:r>
                <w:rPr>
                  <w:rStyle w:val="InternetLink"/>
                  <w:rFonts w:ascii="Times New Roman;Times;Serif" w:hAnsi="Times New Roman;Times;Serif"/>
                  <w:b w:val="false"/>
                  <w:i w:val="false"/>
                  <w:caps w:val="false"/>
                  <w:smallCaps w:val="false"/>
                  <w:sz w:val="20"/>
                </w:rPr>
                <w:t>Mine Safety Disclosures</w:t>
              </w:r>
            </w:hyperlink>
          </w:p>
        </w:tc>
        <w:tc>
          <w:tcPr>
            <w:tcW w:w="7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w:t>
            </w:r>
          </w:p>
        </w:tc>
      </w:tr>
      <w:tr>
        <w:trPr/>
        <w:tc>
          <w:tcPr>
            <w:tcW w:w="664"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5.</w:t>
            </w:r>
          </w:p>
        </w:tc>
        <w:tc>
          <w:tcPr>
            <w:tcW w:w="8816" w:type="dxa"/>
            <w:tcBorders/>
            <w:shd w:fill="CCEEFF" w:val="clear"/>
            <w:vAlign w:val="center"/>
          </w:tcPr>
          <w:p>
            <w:pPr>
              <w:pStyle w:val="TableContents"/>
              <w:bidi w:val="0"/>
              <w:spacing w:before="0" w:after="283"/>
              <w:jc w:val="both"/>
              <w:rPr/>
            </w:pPr>
            <w:hyperlink w:anchor="a_015">
              <w:r>
                <w:rPr>
                  <w:rStyle w:val="InternetLink"/>
                  <w:rFonts w:ascii="Times New Roman;Times;Serif" w:hAnsi="Times New Roman;Times;Serif"/>
                  <w:b w:val="false"/>
                  <w:i w:val="false"/>
                  <w:caps w:val="false"/>
                  <w:smallCaps w:val="false"/>
                  <w:sz w:val="20"/>
                </w:rPr>
                <w:t>Other Information</w:t>
              </w:r>
            </w:hyperlink>
          </w:p>
        </w:tc>
        <w:tc>
          <w:tcPr>
            <w:tcW w:w="7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w:t>
            </w:r>
          </w:p>
        </w:tc>
      </w:tr>
      <w:tr>
        <w:trPr/>
        <w:tc>
          <w:tcPr>
            <w:tcW w:w="664"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6.</w:t>
            </w:r>
          </w:p>
        </w:tc>
        <w:tc>
          <w:tcPr>
            <w:tcW w:w="8816" w:type="dxa"/>
            <w:tcBorders/>
            <w:shd w:fill="FFFFFF" w:val="clear"/>
            <w:vAlign w:val="center"/>
          </w:tcPr>
          <w:p>
            <w:pPr>
              <w:pStyle w:val="TableContents"/>
              <w:bidi w:val="0"/>
              <w:spacing w:before="0" w:after="283"/>
              <w:jc w:val="both"/>
              <w:rPr/>
            </w:pPr>
            <w:hyperlink w:anchor="a_016">
              <w:r>
                <w:rPr>
                  <w:rStyle w:val="InternetLink"/>
                  <w:rFonts w:ascii="Times New Roman;Times;Serif" w:hAnsi="Times New Roman;Times;Serif"/>
                  <w:b w:val="false"/>
                  <w:i w:val="false"/>
                  <w:caps w:val="false"/>
                  <w:smallCaps w:val="false"/>
                  <w:sz w:val="20"/>
                </w:rPr>
                <w:t>Exhibits</w:t>
              </w:r>
            </w:hyperlink>
          </w:p>
        </w:tc>
        <w:tc>
          <w:tcPr>
            <w:tcW w:w="7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w:t>
            </w:r>
          </w:p>
        </w:tc>
      </w:tr>
      <w:tr>
        <w:trPr/>
        <w:tc>
          <w:tcPr>
            <w:tcW w:w="9480" w:type="dxa"/>
            <w:gridSpan w:val="2"/>
            <w:tcBorders/>
            <w:shd w:fill="CCEEFF" w:val="clear"/>
            <w:vAlign w:val="center"/>
          </w:tcPr>
          <w:p>
            <w:pPr>
              <w:pStyle w:val="TableContents"/>
              <w:bidi w:val="0"/>
              <w:spacing w:before="0" w:after="283"/>
              <w:jc w:val="both"/>
              <w:rPr/>
            </w:pPr>
            <w:hyperlink w:anchor="a_017">
              <w:r>
                <w:rPr>
                  <w:rStyle w:val="InternetLink"/>
                  <w:rFonts w:ascii="Times New Roman;Times;Serif" w:hAnsi="Times New Roman;Times;Serif"/>
                  <w:b w:val="false"/>
                  <w:i w:val="false"/>
                  <w:caps w:val="false"/>
                  <w:smallCaps w:val="false"/>
                  <w:sz w:val="20"/>
                </w:rPr>
                <w:t>Signatures</w:t>
              </w:r>
            </w:hyperlink>
          </w:p>
        </w:tc>
        <w:tc>
          <w:tcPr>
            <w:tcW w:w="7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w:t>
            </w:r>
          </w:p>
        </w:tc>
      </w:tr>
    </w:tbl>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bookmarkStart w:id="32" w:name="ab_001"/>
      <w:bookmarkEnd w:id="32"/>
      <w:r>
        <w:rPr>
          <w:rFonts w:ascii="Times New Roman;Times;Serif" w:hAnsi="Times New Roman;Times;Serif"/>
          <w:b/>
          <w:i w:val="false"/>
          <w:caps/>
          <w:sz w:val="20"/>
        </w:rPr>
        <w:t>Dragonfly Energy Holdings Corp.</w:t>
      </w:r>
    </w:p>
    <w:p>
      <w:pPr>
        <w:pStyle w:val="TextBody"/>
        <w:bidi w:val="0"/>
        <w:spacing w:before="0" w:after="0"/>
        <w:jc w:val="center"/>
        <w:rPr>
          <w:rFonts w:ascii="Times New Roman;Times;Serif" w:hAnsi="Times New Roman;Times;Serif"/>
          <w:b/>
          <w:i w:val="false"/>
          <w:caps/>
          <w:sz w:val="20"/>
        </w:rPr>
      </w:pPr>
      <w:bookmarkStart w:id="33" w:name="a_001"/>
      <w:bookmarkEnd w:id="33"/>
      <w:r>
        <w:rPr>
          <w:rFonts w:ascii="Times New Roman;Times;Serif" w:hAnsi="Times New Roman;Times;Serif"/>
          <w:b/>
          <w:i w:val="false"/>
          <w:caps/>
          <w:sz w:val="20"/>
        </w:rPr>
        <w:t>condensed Consolidated Balance Sheets</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34" w:name="xdx_302_111_pn3n3_zc2bWQv0Hwl9"/>
      <w:bookmarkStart w:id="35" w:name="xdx_302_111_pn3n3_zc2bWQv0Hwl9"/>
      <w:bookmarkEnd w:id="35"/>
    </w:p>
    <w:tbl>
      <w:tblPr>
        <w:tblW w:w="10205" w:type="dxa"/>
        <w:jc w:val="left"/>
        <w:tblInd w:w="0" w:type="dxa"/>
        <w:tblLayout w:type="fixed"/>
        <w:tblCellMar>
          <w:top w:w="0" w:type="dxa"/>
          <w:left w:w="0" w:type="dxa"/>
          <w:bottom w:w="0" w:type="dxa"/>
          <w:right w:w="0" w:type="dxa"/>
        </w:tblCellMar>
      </w:tblPr>
      <w:tblGrid>
        <w:gridCol w:w="7159"/>
        <w:gridCol w:w="60"/>
        <w:gridCol w:w="239"/>
        <w:gridCol w:w="1302"/>
        <w:gridCol w:w="95"/>
        <w:gridCol w:w="60"/>
        <w:gridCol w:w="184"/>
        <w:gridCol w:w="994"/>
        <w:gridCol w:w="112"/>
      </w:tblGrid>
      <w:tr>
        <w:trPr/>
        <w:tc>
          <w:tcPr>
            <w:tcW w:w="715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6" w:name="xdx_493_20250630_zxmyklxGR8R4"/>
            <w:bookmarkEnd w:id="36"/>
          </w:p>
        </w:tc>
        <w:tc>
          <w:tcPr>
            <w:tcW w:w="154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June 30, 2025 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7" w:name="xdx_491_20241231_zWgA3iXM0fUi"/>
            <w:bookmarkEnd w:id="37"/>
          </w:p>
        </w:tc>
        <w:tc>
          <w:tcPr>
            <w:tcW w:w="117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December 31, 2024 </w:t>
            </w:r>
          </w:p>
        </w:tc>
        <w:tc>
          <w:tcPr>
            <w:tcW w:w="112" w:type="dxa"/>
            <w:tcBorders/>
            <w:vAlign w:val="center"/>
          </w:tcPr>
          <w:p>
            <w:pPr>
              <w:pStyle w:val="TableContents"/>
              <w:bidi w:val="0"/>
              <w:spacing w:before="0" w:after="283"/>
              <w:jc w:val="left"/>
              <w:rPr/>
            </w:pPr>
            <w:r>
              <w:rPr/>
              <w:t> </w:t>
            </w:r>
            <w:bookmarkStart w:id="38" w:name="xdx_40D_eus-gaap--AssetsCurrentAbstract_"/>
            <w:bookmarkEnd w:id="38"/>
          </w:p>
        </w:tc>
      </w:tr>
      <w:tr>
        <w:trPr/>
        <w:tc>
          <w:tcPr>
            <w:tcW w:w="7159"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Current Assets</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30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39" w:name="xdx_40C_eus-gaap--CashAndCashEquivalents"/>
            <w:bookmarkEnd w:id="39"/>
          </w:p>
        </w:tc>
      </w:tr>
      <w:tr>
        <w:trPr/>
        <w:tc>
          <w:tcPr>
            <w:tcW w:w="715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and cash equivalents</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0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9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4,849</w:t>
            </w:r>
          </w:p>
        </w:tc>
        <w:tc>
          <w:tcPr>
            <w:tcW w:w="112" w:type="dxa"/>
            <w:tcBorders/>
            <w:shd w:fill="FFFFFF" w:val="clear"/>
            <w:vAlign w:val="center"/>
          </w:tcPr>
          <w:p>
            <w:pPr>
              <w:pStyle w:val="TableContents"/>
              <w:bidi w:val="0"/>
              <w:spacing w:before="0" w:after="283"/>
              <w:jc w:val="left"/>
              <w:rPr/>
            </w:pPr>
            <w:r>
              <w:rPr/>
              <w:t> </w:t>
            </w:r>
            <w:bookmarkStart w:id="40" w:name="xdx_407_eus-gaap--AccountsReceivableNetC"/>
            <w:bookmarkEnd w:id="40"/>
          </w:p>
        </w:tc>
      </w:tr>
      <w:tr>
        <w:trPr/>
        <w:tc>
          <w:tcPr>
            <w:tcW w:w="715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receivable, net of allowance for credit losses</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30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2,416</w:t>
            </w:r>
          </w:p>
        </w:tc>
        <w:tc>
          <w:tcPr>
            <w:tcW w:w="112" w:type="dxa"/>
            <w:tcBorders/>
            <w:shd w:fill="CCEEFF" w:val="clear"/>
            <w:vAlign w:val="center"/>
          </w:tcPr>
          <w:p>
            <w:pPr>
              <w:pStyle w:val="TableContents"/>
              <w:bidi w:val="0"/>
              <w:spacing w:before="0" w:after="283"/>
              <w:jc w:val="left"/>
              <w:rPr/>
            </w:pPr>
            <w:r>
              <w:rPr/>
              <w:t> </w:t>
            </w:r>
            <w:bookmarkStart w:id="41" w:name="xdx_40D_eus-gaap--InventoryNet_i01I_maAC"/>
            <w:bookmarkEnd w:id="41"/>
          </w:p>
        </w:tc>
      </w:tr>
      <w:tr>
        <w:trPr/>
        <w:tc>
          <w:tcPr>
            <w:tcW w:w="715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Inventory</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130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21,053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21,716</w:t>
            </w:r>
          </w:p>
        </w:tc>
        <w:tc>
          <w:tcPr>
            <w:tcW w:w="112" w:type="dxa"/>
            <w:tcBorders/>
            <w:shd w:fill="FFFFFF" w:val="clear"/>
            <w:vAlign w:val="center"/>
          </w:tcPr>
          <w:p>
            <w:pPr>
              <w:pStyle w:val="TableContents"/>
              <w:bidi w:val="0"/>
              <w:spacing w:before="0" w:after="283"/>
              <w:jc w:val="left"/>
              <w:rPr/>
            </w:pPr>
            <w:r>
              <w:rPr/>
              <w:t> </w:t>
            </w:r>
            <w:bookmarkStart w:id="42" w:name="xdx_402_ecustom--PrepaidExpenseOtherThan"/>
            <w:bookmarkEnd w:id="42"/>
          </w:p>
        </w:tc>
      </w:tr>
      <w:tr>
        <w:trPr/>
        <w:tc>
          <w:tcPr>
            <w:tcW w:w="715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expenses</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30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806</w:t>
            </w:r>
          </w:p>
        </w:tc>
        <w:tc>
          <w:tcPr>
            <w:tcW w:w="112" w:type="dxa"/>
            <w:tcBorders/>
            <w:shd w:fill="CCEEFF" w:val="clear"/>
            <w:vAlign w:val="center"/>
          </w:tcPr>
          <w:p>
            <w:pPr>
              <w:pStyle w:val="TableContents"/>
              <w:bidi w:val="0"/>
              <w:spacing w:before="0" w:after="283"/>
              <w:jc w:val="left"/>
              <w:rPr/>
            </w:pPr>
            <w:r>
              <w:rPr/>
              <w:t> </w:t>
            </w:r>
            <w:bookmarkStart w:id="43" w:name="xdx_40E_eus-gaap--Supplies_i01I_maACzdsP"/>
            <w:bookmarkEnd w:id="43"/>
          </w:p>
        </w:tc>
      </w:tr>
      <w:tr>
        <w:trPr/>
        <w:tc>
          <w:tcPr>
            <w:tcW w:w="715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inventory</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130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1,362</w:t>
            </w:r>
          </w:p>
        </w:tc>
        <w:tc>
          <w:tcPr>
            <w:tcW w:w="112" w:type="dxa"/>
            <w:tcBorders/>
            <w:shd w:fill="FFFFFF" w:val="clear"/>
            <w:vAlign w:val="center"/>
          </w:tcPr>
          <w:p>
            <w:pPr>
              <w:pStyle w:val="TableContents"/>
              <w:bidi w:val="0"/>
              <w:spacing w:before="0" w:after="283"/>
              <w:jc w:val="left"/>
              <w:rPr/>
            </w:pPr>
            <w:r>
              <w:rPr/>
              <w:t> </w:t>
            </w:r>
            <w:bookmarkStart w:id="44" w:name="xdx_400_eus-gaap--PrepaidTaxes_i01I_maAC"/>
            <w:bookmarkEnd w:id="44"/>
          </w:p>
        </w:tc>
      </w:tr>
      <w:tr>
        <w:trPr/>
        <w:tc>
          <w:tcPr>
            <w:tcW w:w="715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income tax</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30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307</w:t>
            </w:r>
          </w:p>
        </w:tc>
        <w:tc>
          <w:tcPr>
            <w:tcW w:w="112" w:type="dxa"/>
            <w:tcBorders/>
            <w:shd w:fill="CCEEFF" w:val="clear"/>
            <w:vAlign w:val="center"/>
          </w:tcPr>
          <w:p>
            <w:pPr>
              <w:pStyle w:val="TableContents"/>
              <w:bidi w:val="0"/>
              <w:spacing w:before="0" w:after="283"/>
              <w:jc w:val="left"/>
              <w:rPr/>
            </w:pPr>
            <w:r>
              <w:rPr/>
              <w:t> </w:t>
            </w:r>
            <w:bookmarkStart w:id="45" w:name="xdx_405_eus-gaap--AssetsHeldForSaleNotPa"/>
            <w:bookmarkEnd w:id="45"/>
          </w:p>
        </w:tc>
      </w:tr>
      <w:tr>
        <w:trPr/>
        <w:tc>
          <w:tcPr>
            <w:tcW w:w="715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Assets held for sale</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130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644</w:t>
            </w:r>
          </w:p>
        </w:tc>
        <w:tc>
          <w:tcPr>
            <w:tcW w:w="112" w:type="dxa"/>
            <w:tcBorders/>
            <w:shd w:fill="FFFFFF" w:val="clear"/>
            <w:vAlign w:val="center"/>
          </w:tcPr>
          <w:p>
            <w:pPr>
              <w:pStyle w:val="TableContents"/>
              <w:bidi w:val="0"/>
              <w:spacing w:before="0" w:after="283"/>
              <w:jc w:val="left"/>
              <w:rPr/>
            </w:pPr>
            <w:r>
              <w:rPr/>
              <w:t> </w:t>
            </w:r>
            <w:bookmarkStart w:id="46" w:name="xdx_40A_eus-gaap--OtherAssetsCurrent_i01"/>
            <w:bookmarkEnd w:id="46"/>
          </w:p>
        </w:tc>
      </w:tr>
      <w:tr>
        <w:trPr/>
        <w:tc>
          <w:tcPr>
            <w:tcW w:w="715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current assets</w:t>
            </w:r>
          </w:p>
        </w:tc>
        <w:tc>
          <w:tcPr>
            <w:tcW w:w="60" w:type="dxa"/>
            <w:tcBorders/>
            <w:shd w:fill="CCEEFF" w:val="clear"/>
            <w:vAlign w:val="center"/>
          </w:tcPr>
          <w:p>
            <w:pPr>
              <w:pStyle w:val="TableContents"/>
              <w:bidi w:val="0"/>
              <w:spacing w:before="0" w:after="283"/>
              <w:jc w:val="left"/>
              <w:rPr/>
            </w:pPr>
            <w:r>
              <w:rPr/>
              <w:t> </w:t>
            </w:r>
          </w:p>
        </w:tc>
        <w:tc>
          <w:tcPr>
            <w:tcW w:w="23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0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9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825</w:t>
            </w:r>
          </w:p>
        </w:tc>
        <w:tc>
          <w:tcPr>
            <w:tcW w:w="112" w:type="dxa"/>
            <w:tcBorders/>
            <w:shd w:fill="CCEEFF" w:val="clear"/>
            <w:vAlign w:val="center"/>
          </w:tcPr>
          <w:p>
            <w:pPr>
              <w:pStyle w:val="TableContents"/>
              <w:bidi w:val="0"/>
              <w:spacing w:before="0" w:after="283"/>
              <w:jc w:val="left"/>
              <w:rPr/>
            </w:pPr>
            <w:r>
              <w:rPr/>
              <w:t> </w:t>
            </w:r>
            <w:bookmarkStart w:id="47" w:name="xdx_40B_eus-gaap--AssetsCurrent_i01TI_mt"/>
            <w:bookmarkEnd w:id="47"/>
          </w:p>
        </w:tc>
      </w:tr>
      <w:tr>
        <w:trPr/>
        <w:tc>
          <w:tcPr>
            <w:tcW w:w="715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Current Assets</w:t>
            </w:r>
          </w:p>
        </w:tc>
        <w:tc>
          <w:tcPr>
            <w:tcW w:w="60" w:type="dxa"/>
            <w:tcBorders/>
            <w:shd w:fill="FFFFFF" w:val="clear"/>
            <w:vAlign w:val="center"/>
          </w:tcPr>
          <w:p>
            <w:pPr>
              <w:pStyle w:val="TableContents"/>
              <w:bidi w:val="0"/>
              <w:spacing w:before="0" w:after="283"/>
              <w:jc w:val="left"/>
              <w:rPr/>
            </w:pPr>
            <w:r>
              <w:rPr/>
              <w:t> </w:t>
            </w:r>
          </w:p>
        </w:tc>
        <w:tc>
          <w:tcPr>
            <w:tcW w:w="23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0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30,787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9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32,925</w:t>
            </w:r>
          </w:p>
        </w:tc>
        <w:tc>
          <w:tcPr>
            <w:tcW w:w="112" w:type="dxa"/>
            <w:tcBorders/>
            <w:shd w:fill="FFFFFF" w:val="clear"/>
            <w:vAlign w:val="center"/>
          </w:tcPr>
          <w:p>
            <w:pPr>
              <w:pStyle w:val="TableContents"/>
              <w:bidi w:val="0"/>
              <w:spacing w:before="0" w:after="283"/>
              <w:jc w:val="left"/>
              <w:rPr/>
            </w:pPr>
            <w:r>
              <w:rPr/>
              <w:t> </w:t>
            </w:r>
            <w:bookmarkStart w:id="48" w:name="xdx_408_eus-gaap--PropertyPlantAndEquipm"/>
            <w:bookmarkEnd w:id="48"/>
          </w:p>
        </w:tc>
      </w:tr>
      <w:tr>
        <w:trPr/>
        <w:tc>
          <w:tcPr>
            <w:tcW w:w="7159"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Property and Equipment</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30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49" w:name="xdx_40F_eus-gaap--MachineryAndEquipmentG"/>
            <w:bookmarkEnd w:id="49"/>
          </w:p>
        </w:tc>
      </w:tr>
      <w:tr>
        <w:trPr/>
        <w:tc>
          <w:tcPr>
            <w:tcW w:w="715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Machinery and equipment</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130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17,551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16,778</w:t>
            </w:r>
          </w:p>
        </w:tc>
        <w:tc>
          <w:tcPr>
            <w:tcW w:w="112" w:type="dxa"/>
            <w:tcBorders/>
            <w:shd w:fill="FFFFFF" w:val="clear"/>
            <w:vAlign w:val="center"/>
          </w:tcPr>
          <w:p>
            <w:pPr>
              <w:pStyle w:val="TableContents"/>
              <w:bidi w:val="0"/>
              <w:spacing w:before="0" w:after="283"/>
              <w:jc w:val="left"/>
              <w:rPr/>
            </w:pPr>
            <w:r>
              <w:rPr/>
              <w:t> </w:t>
            </w:r>
            <w:bookmarkStart w:id="50" w:name="xdx_400_eus-gaap--FurnitureAndFixturesGr"/>
            <w:bookmarkEnd w:id="50"/>
          </w:p>
        </w:tc>
      </w:tr>
      <w:tr>
        <w:trPr/>
        <w:tc>
          <w:tcPr>
            <w:tcW w:w="715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Office furniture and equipment</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30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355</w:t>
            </w:r>
          </w:p>
        </w:tc>
        <w:tc>
          <w:tcPr>
            <w:tcW w:w="112" w:type="dxa"/>
            <w:tcBorders/>
            <w:shd w:fill="CCEEFF" w:val="clear"/>
            <w:vAlign w:val="center"/>
          </w:tcPr>
          <w:p>
            <w:pPr>
              <w:pStyle w:val="TableContents"/>
              <w:bidi w:val="0"/>
              <w:spacing w:before="0" w:after="283"/>
              <w:jc w:val="left"/>
              <w:rPr/>
            </w:pPr>
            <w:r>
              <w:rPr/>
              <w:t> </w:t>
            </w:r>
            <w:bookmarkStart w:id="51" w:name="xdx_409_eus-gaap--LeaseholdImprovementsG"/>
            <w:bookmarkEnd w:id="51"/>
          </w:p>
        </w:tc>
      </w:tr>
      <w:tr>
        <w:trPr/>
        <w:tc>
          <w:tcPr>
            <w:tcW w:w="715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Leasehold improvements</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130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8,990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9,103</w:t>
            </w:r>
          </w:p>
        </w:tc>
        <w:tc>
          <w:tcPr>
            <w:tcW w:w="112" w:type="dxa"/>
            <w:tcBorders/>
            <w:shd w:fill="FFFFFF" w:val="clear"/>
            <w:vAlign w:val="center"/>
          </w:tcPr>
          <w:p>
            <w:pPr>
              <w:pStyle w:val="TableContents"/>
              <w:bidi w:val="0"/>
              <w:spacing w:before="0" w:after="283"/>
              <w:jc w:val="left"/>
              <w:rPr/>
            </w:pPr>
            <w:r>
              <w:rPr/>
              <w:t> </w:t>
            </w:r>
            <w:bookmarkStart w:id="52" w:name="xdx_404_ecustom--VehicleGross_i01I_maPPA"/>
            <w:bookmarkEnd w:id="52"/>
          </w:p>
        </w:tc>
      </w:tr>
      <w:tr>
        <w:trPr/>
        <w:tc>
          <w:tcPr>
            <w:tcW w:w="715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Vehicle</w:t>
            </w:r>
          </w:p>
        </w:tc>
        <w:tc>
          <w:tcPr>
            <w:tcW w:w="60" w:type="dxa"/>
            <w:tcBorders/>
            <w:shd w:fill="CCEEFF" w:val="clear"/>
            <w:vAlign w:val="center"/>
          </w:tcPr>
          <w:p>
            <w:pPr>
              <w:pStyle w:val="TableContents"/>
              <w:bidi w:val="0"/>
              <w:spacing w:before="0" w:after="283"/>
              <w:jc w:val="left"/>
              <w:rPr/>
            </w:pPr>
            <w:r>
              <w:rPr/>
              <w:t> </w:t>
            </w:r>
          </w:p>
        </w:tc>
        <w:tc>
          <w:tcPr>
            <w:tcW w:w="23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0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9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w:t>
            </w:r>
          </w:p>
        </w:tc>
        <w:tc>
          <w:tcPr>
            <w:tcW w:w="112" w:type="dxa"/>
            <w:tcBorders/>
            <w:shd w:fill="CCEEFF" w:val="clear"/>
            <w:vAlign w:val="center"/>
          </w:tcPr>
          <w:p>
            <w:pPr>
              <w:pStyle w:val="TableContents"/>
              <w:bidi w:val="0"/>
              <w:spacing w:before="0" w:after="283"/>
              <w:jc w:val="left"/>
              <w:rPr/>
            </w:pPr>
            <w:r>
              <w:rPr/>
              <w:t> </w:t>
            </w:r>
            <w:bookmarkStart w:id="53" w:name="xdx_408_eus-gaap--PropertyPlantAndEquipm"/>
            <w:bookmarkEnd w:id="53"/>
          </w:p>
        </w:tc>
      </w:tr>
      <w:tr>
        <w:trPr/>
        <w:tc>
          <w:tcPr>
            <w:tcW w:w="715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130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26,993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26,269</w:t>
            </w:r>
          </w:p>
        </w:tc>
        <w:tc>
          <w:tcPr>
            <w:tcW w:w="112" w:type="dxa"/>
            <w:tcBorders/>
            <w:shd w:fill="FFFFFF" w:val="clear"/>
            <w:vAlign w:val="center"/>
          </w:tcPr>
          <w:p>
            <w:pPr>
              <w:pStyle w:val="TableContents"/>
              <w:bidi w:val="0"/>
              <w:spacing w:before="0" w:after="283"/>
              <w:jc w:val="left"/>
              <w:rPr/>
            </w:pPr>
            <w:r>
              <w:rPr/>
              <w:t> </w:t>
            </w:r>
            <w:bookmarkStart w:id="54" w:name="xdx_40E_eus-gaap--AccumulatedDepreciatio"/>
            <w:bookmarkEnd w:id="54"/>
          </w:p>
        </w:tc>
      </w:tr>
      <w:tr>
        <w:trPr/>
        <w:tc>
          <w:tcPr>
            <w:tcW w:w="715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accumulated depreciation and amortization</w:t>
            </w:r>
          </w:p>
        </w:tc>
        <w:tc>
          <w:tcPr>
            <w:tcW w:w="60" w:type="dxa"/>
            <w:tcBorders/>
            <w:shd w:fill="CCEEFF" w:val="clear"/>
            <w:vAlign w:val="center"/>
          </w:tcPr>
          <w:p>
            <w:pPr>
              <w:pStyle w:val="TableContents"/>
              <w:bidi w:val="0"/>
              <w:spacing w:before="0" w:after="283"/>
              <w:jc w:val="left"/>
              <w:rPr/>
            </w:pPr>
            <w:r>
              <w:rPr/>
              <w:t> </w:t>
            </w:r>
          </w:p>
        </w:tc>
        <w:tc>
          <w:tcPr>
            <w:tcW w:w="23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0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(5,512</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9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(4,162</w:t>
            </w:r>
          </w:p>
        </w:tc>
        <w:tc>
          <w:tcPr>
            <w:tcW w:w="1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55" w:name="xdx_405_eus-gaap--PropertyPlantAndEquipm"/>
            <w:bookmarkEnd w:id="55"/>
          </w:p>
        </w:tc>
      </w:tr>
      <w:tr>
        <w:trPr/>
        <w:tc>
          <w:tcPr>
            <w:tcW w:w="715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Property and Equipment, Net</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130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21,481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22,107</w:t>
            </w:r>
          </w:p>
        </w:tc>
        <w:tc>
          <w:tcPr>
            <w:tcW w:w="112" w:type="dxa"/>
            <w:tcBorders/>
            <w:shd w:fill="FFFFFF" w:val="clear"/>
            <w:vAlign w:val="center"/>
          </w:tcPr>
          <w:p>
            <w:pPr>
              <w:pStyle w:val="TableContents"/>
              <w:bidi w:val="0"/>
              <w:spacing w:before="0" w:after="283"/>
              <w:jc w:val="left"/>
              <w:rPr/>
            </w:pPr>
            <w:r>
              <w:rPr/>
              <w:t> </w:t>
            </w:r>
            <w:bookmarkStart w:id="56" w:name="xdx_407_eus-gaap--OperatingLeaseRightOfU"/>
            <w:bookmarkEnd w:id="56"/>
          </w:p>
        </w:tc>
      </w:tr>
      <w:tr>
        <w:trPr/>
        <w:tc>
          <w:tcPr>
            <w:tcW w:w="715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right of use asset, net</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30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19,055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19,737</w:t>
            </w:r>
          </w:p>
        </w:tc>
        <w:tc>
          <w:tcPr>
            <w:tcW w:w="112" w:type="dxa"/>
            <w:tcBorders/>
            <w:shd w:fill="CCEEFF" w:val="clear"/>
            <w:vAlign w:val="center"/>
          </w:tcPr>
          <w:p>
            <w:pPr>
              <w:pStyle w:val="TableContents"/>
              <w:bidi w:val="0"/>
              <w:spacing w:before="0" w:after="283"/>
              <w:jc w:val="left"/>
              <w:rPr/>
            </w:pPr>
            <w:r>
              <w:rPr/>
              <w:t> </w:t>
            </w:r>
            <w:bookmarkStart w:id="57" w:name="xdx_403_eus-gaap--OtherAssetsNoncurrent_"/>
            <w:bookmarkEnd w:id="57"/>
          </w:p>
        </w:tc>
      </w:tr>
      <w:tr>
        <w:trPr/>
        <w:tc>
          <w:tcPr>
            <w:tcW w:w="715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assets</w:t>
            </w:r>
          </w:p>
        </w:tc>
        <w:tc>
          <w:tcPr>
            <w:tcW w:w="60" w:type="dxa"/>
            <w:tcBorders/>
            <w:shd w:fill="FFFFFF" w:val="clear"/>
            <w:vAlign w:val="center"/>
          </w:tcPr>
          <w:p>
            <w:pPr>
              <w:pStyle w:val="TableContents"/>
              <w:bidi w:val="0"/>
              <w:spacing w:before="0" w:after="283"/>
              <w:jc w:val="left"/>
              <w:rPr/>
            </w:pPr>
            <w:r>
              <w:rPr/>
              <w:t> </w:t>
            </w:r>
          </w:p>
        </w:tc>
        <w:tc>
          <w:tcPr>
            <w:tcW w:w="23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0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9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445</w:t>
            </w:r>
          </w:p>
        </w:tc>
        <w:tc>
          <w:tcPr>
            <w:tcW w:w="112" w:type="dxa"/>
            <w:tcBorders/>
            <w:shd w:fill="FFFFFF" w:val="clear"/>
            <w:vAlign w:val="center"/>
          </w:tcPr>
          <w:p>
            <w:pPr>
              <w:pStyle w:val="TableContents"/>
              <w:bidi w:val="0"/>
              <w:spacing w:before="0" w:after="283"/>
              <w:jc w:val="left"/>
              <w:rPr/>
            </w:pPr>
            <w:r>
              <w:rPr/>
              <w:t> </w:t>
            </w:r>
            <w:bookmarkStart w:id="58" w:name="xdx_403_eus-gaap--Assets_iTI_mtAzQCo_zTK"/>
            <w:bookmarkEnd w:id="58"/>
          </w:p>
        </w:tc>
      </w:tr>
      <w:tr>
        <w:trPr/>
        <w:tc>
          <w:tcPr>
            <w:tcW w:w="7159"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Assets</w:t>
            </w:r>
          </w:p>
        </w:tc>
        <w:tc>
          <w:tcPr>
            <w:tcW w:w="60" w:type="dxa"/>
            <w:tcBorders/>
            <w:shd w:fill="CCEEFF" w:val="clear"/>
            <w:vAlign w:val="center"/>
          </w:tcPr>
          <w:p>
            <w:pPr>
              <w:pStyle w:val="TableContents"/>
              <w:bidi w:val="0"/>
              <w:spacing w:before="0" w:after="283"/>
              <w:jc w:val="left"/>
              <w:rPr/>
            </w:pPr>
            <w:r>
              <w:rPr/>
              <w:t> </w:t>
            </w:r>
          </w:p>
        </w:tc>
        <w:tc>
          <w:tcPr>
            <w:tcW w:w="23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0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71,774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9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75,214</w:t>
            </w:r>
          </w:p>
        </w:tc>
        <w:tc>
          <w:tcPr>
            <w:tcW w:w="112" w:type="dxa"/>
            <w:tcBorders/>
            <w:shd w:fill="CCEEFF" w:val="clear"/>
            <w:vAlign w:val="center"/>
          </w:tcPr>
          <w:p>
            <w:pPr>
              <w:pStyle w:val="TableContents"/>
              <w:bidi w:val="0"/>
              <w:spacing w:before="0" w:after="283"/>
              <w:jc w:val="left"/>
              <w:rPr/>
            </w:pPr>
            <w:r>
              <w:rPr/>
              <w:t> </w:t>
            </w:r>
            <w:bookmarkStart w:id="59" w:name="xdx_403_eus-gaap--LiabilitiesCurrentAbst"/>
            <w:bookmarkEnd w:id="59"/>
          </w:p>
        </w:tc>
      </w:tr>
      <w:tr>
        <w:trPr/>
        <w:tc>
          <w:tcPr>
            <w:tcW w:w="7159" w:type="dxa"/>
            <w:tcBorders/>
            <w:shd w:fill="FFFFFF" w:val="clear"/>
            <w:vAlign w:val="center"/>
          </w:tcPr>
          <w:p>
            <w:pPr>
              <w:pStyle w:val="TableContents"/>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Liabilities</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130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60" w:name="xdx_40C_eus-gaap--AccountsPayableCurrent"/>
            <w:bookmarkEnd w:id="60"/>
          </w:p>
        </w:tc>
      </w:tr>
      <w:tr>
        <w:trPr/>
        <w:tc>
          <w:tcPr>
            <w:tcW w:w="715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payable</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0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9,858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9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10,716</w:t>
            </w:r>
          </w:p>
        </w:tc>
        <w:tc>
          <w:tcPr>
            <w:tcW w:w="112" w:type="dxa"/>
            <w:tcBorders/>
            <w:shd w:fill="CCEEFF" w:val="clear"/>
            <w:vAlign w:val="center"/>
          </w:tcPr>
          <w:p>
            <w:pPr>
              <w:pStyle w:val="TableContents"/>
              <w:bidi w:val="0"/>
              <w:spacing w:before="0" w:after="283"/>
              <w:jc w:val="left"/>
              <w:rPr/>
            </w:pPr>
            <w:r>
              <w:rPr/>
              <w:t> </w:t>
            </w:r>
            <w:bookmarkStart w:id="61" w:name="xdx_402_eus-gaap--EmployeeRelatedLiabili"/>
            <w:bookmarkEnd w:id="61"/>
          </w:p>
        </w:tc>
      </w:tr>
      <w:tr>
        <w:trPr/>
        <w:tc>
          <w:tcPr>
            <w:tcW w:w="715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payroll and other liabilities</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130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4,129</w:t>
            </w:r>
          </w:p>
        </w:tc>
        <w:tc>
          <w:tcPr>
            <w:tcW w:w="112" w:type="dxa"/>
            <w:tcBorders/>
            <w:shd w:fill="FFFFFF" w:val="clear"/>
            <w:vAlign w:val="center"/>
          </w:tcPr>
          <w:p>
            <w:pPr>
              <w:pStyle w:val="TableContents"/>
              <w:bidi w:val="0"/>
              <w:spacing w:before="0" w:after="283"/>
              <w:jc w:val="left"/>
              <w:rPr/>
            </w:pPr>
            <w:r>
              <w:rPr/>
              <w:t> </w:t>
            </w:r>
            <w:bookmarkStart w:id="62" w:name="xdx_407_ecustom--AccruedTariffs_i01I_maL"/>
            <w:bookmarkEnd w:id="62"/>
          </w:p>
        </w:tc>
      </w:tr>
      <w:tr>
        <w:trPr/>
        <w:tc>
          <w:tcPr>
            <w:tcW w:w="715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tariffs</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30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1,915</w:t>
            </w:r>
          </w:p>
        </w:tc>
        <w:tc>
          <w:tcPr>
            <w:tcW w:w="112" w:type="dxa"/>
            <w:tcBorders/>
            <w:shd w:fill="CCEEFF" w:val="clear"/>
            <w:vAlign w:val="center"/>
          </w:tcPr>
          <w:p>
            <w:pPr>
              <w:pStyle w:val="TableContents"/>
              <w:bidi w:val="0"/>
              <w:spacing w:before="0" w:after="283"/>
              <w:jc w:val="left"/>
              <w:rPr/>
            </w:pPr>
            <w:r>
              <w:rPr/>
              <w:t> </w:t>
            </w:r>
            <w:bookmarkStart w:id="63" w:name="xdx_400_ecustom--AccruedSettlementCurren"/>
            <w:bookmarkEnd w:id="63"/>
          </w:p>
        </w:tc>
      </w:tr>
      <w:tr>
        <w:trPr/>
        <w:tc>
          <w:tcPr>
            <w:tcW w:w="715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settlement, current portion</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130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750</w:t>
            </w:r>
          </w:p>
        </w:tc>
        <w:tc>
          <w:tcPr>
            <w:tcW w:w="112" w:type="dxa"/>
            <w:tcBorders/>
            <w:shd w:fill="FFFFFF" w:val="clear"/>
            <w:vAlign w:val="center"/>
          </w:tcPr>
          <w:p>
            <w:pPr>
              <w:pStyle w:val="TableContents"/>
              <w:bidi w:val="0"/>
              <w:spacing w:before="0" w:after="283"/>
              <w:jc w:val="left"/>
              <w:rPr/>
            </w:pPr>
            <w:r>
              <w:rPr/>
              <w:t> </w:t>
            </w:r>
            <w:bookmarkStart w:id="64" w:name="xdx_408_eus-gaap--ContractWithCustomerLi"/>
            <w:bookmarkEnd w:id="64"/>
          </w:p>
        </w:tc>
      </w:tr>
      <w:tr>
        <w:trPr/>
        <w:tc>
          <w:tcPr>
            <w:tcW w:w="715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Customer deposits</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30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317</w:t>
            </w:r>
          </w:p>
        </w:tc>
        <w:tc>
          <w:tcPr>
            <w:tcW w:w="112" w:type="dxa"/>
            <w:tcBorders/>
            <w:shd w:fill="CCEEFF" w:val="clear"/>
            <w:vAlign w:val="center"/>
          </w:tcPr>
          <w:p>
            <w:pPr>
              <w:pStyle w:val="TableContents"/>
              <w:bidi w:val="0"/>
              <w:spacing w:before="0" w:after="283"/>
              <w:jc w:val="left"/>
              <w:rPr/>
            </w:pPr>
            <w:r>
              <w:rPr/>
              <w:t> </w:t>
            </w:r>
            <w:bookmarkStart w:id="65" w:name="xdx_402_eus-gaap--DeferredIncomeCurrent_"/>
            <w:bookmarkEnd w:id="65"/>
          </w:p>
        </w:tc>
      </w:tr>
      <w:tr>
        <w:trPr/>
        <w:tc>
          <w:tcPr>
            <w:tcW w:w="715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revenue, current portion</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130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w:t>
            </w:r>
          </w:p>
        </w:tc>
        <w:tc>
          <w:tcPr>
            <w:tcW w:w="112" w:type="dxa"/>
            <w:tcBorders/>
            <w:shd w:fill="FFFFFF" w:val="clear"/>
            <w:vAlign w:val="center"/>
          </w:tcPr>
          <w:p>
            <w:pPr>
              <w:pStyle w:val="TableContents"/>
              <w:bidi w:val="0"/>
              <w:spacing w:before="0" w:after="283"/>
              <w:jc w:val="left"/>
              <w:rPr/>
            </w:pPr>
            <w:r>
              <w:rPr/>
              <w:t> </w:t>
            </w:r>
            <w:bookmarkStart w:id="66" w:name="xdx_406_ecustom--UncertainTaxPositionLia"/>
            <w:bookmarkEnd w:id="66"/>
          </w:p>
        </w:tc>
      </w:tr>
      <w:tr>
        <w:trPr/>
        <w:tc>
          <w:tcPr>
            <w:tcW w:w="715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Uncertain tax position liability</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30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w:t>
            </w:r>
          </w:p>
        </w:tc>
        <w:tc>
          <w:tcPr>
            <w:tcW w:w="112" w:type="dxa"/>
            <w:tcBorders/>
            <w:shd w:fill="CCEEFF" w:val="clear"/>
            <w:vAlign w:val="center"/>
          </w:tcPr>
          <w:p>
            <w:pPr>
              <w:pStyle w:val="TableContents"/>
              <w:bidi w:val="0"/>
              <w:spacing w:before="0" w:after="283"/>
              <w:jc w:val="left"/>
              <w:rPr/>
            </w:pPr>
            <w:r>
              <w:rPr/>
              <w:t> </w:t>
            </w:r>
            <w:bookmarkStart w:id="67" w:name="xdx_400_eus-gaap--NotesPayableCurrent_i0"/>
            <w:bookmarkEnd w:id="67"/>
          </w:p>
        </w:tc>
      </w:tr>
      <w:tr>
        <w:trPr/>
        <w:tc>
          <w:tcPr>
            <w:tcW w:w="715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Notes payable, current portion, net of debt issuance costs</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130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2" w:type="dxa"/>
            <w:tcBorders/>
            <w:shd w:fill="FFFFFF" w:val="clear"/>
            <w:vAlign w:val="center"/>
          </w:tcPr>
          <w:p>
            <w:pPr>
              <w:pStyle w:val="TableContents"/>
              <w:bidi w:val="0"/>
              <w:spacing w:before="0" w:after="283"/>
              <w:jc w:val="left"/>
              <w:rPr/>
            </w:pPr>
            <w:r>
              <w:rPr/>
              <w:t> </w:t>
            </w:r>
            <w:bookmarkStart w:id="68" w:name="xdx_409_eus-gaap--OperatingLeaseLiabilit"/>
            <w:bookmarkEnd w:id="68"/>
          </w:p>
        </w:tc>
      </w:tr>
      <w:tr>
        <w:trPr/>
        <w:tc>
          <w:tcPr>
            <w:tcW w:w="715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liability, current portion</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30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2,926</w:t>
            </w:r>
          </w:p>
        </w:tc>
        <w:tc>
          <w:tcPr>
            <w:tcW w:w="112" w:type="dxa"/>
            <w:tcBorders/>
            <w:shd w:fill="CCEEFF" w:val="clear"/>
            <w:vAlign w:val="center"/>
          </w:tcPr>
          <w:p>
            <w:pPr>
              <w:pStyle w:val="TableContents"/>
              <w:bidi w:val="0"/>
              <w:spacing w:before="0" w:after="283"/>
              <w:jc w:val="left"/>
              <w:rPr/>
            </w:pPr>
            <w:r>
              <w:rPr/>
              <w:t> </w:t>
            </w:r>
            <w:bookmarkStart w:id="69" w:name="xdx_402_eus-gaap--FinanceLeaseLiabilityC"/>
            <w:bookmarkEnd w:id="69"/>
          </w:p>
        </w:tc>
      </w:tr>
      <w:tr>
        <w:trPr/>
        <w:tc>
          <w:tcPr>
            <w:tcW w:w="715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Financing lease liability, current portion</w:t>
            </w:r>
          </w:p>
        </w:tc>
        <w:tc>
          <w:tcPr>
            <w:tcW w:w="60" w:type="dxa"/>
            <w:tcBorders/>
            <w:shd w:fill="FFFFFF" w:val="clear"/>
            <w:vAlign w:val="center"/>
          </w:tcPr>
          <w:p>
            <w:pPr>
              <w:pStyle w:val="TableContents"/>
              <w:bidi w:val="0"/>
              <w:spacing w:before="0" w:after="283"/>
              <w:jc w:val="left"/>
              <w:rPr/>
            </w:pPr>
            <w:r>
              <w:rPr/>
              <w:t> </w:t>
            </w:r>
          </w:p>
        </w:tc>
        <w:tc>
          <w:tcPr>
            <w:tcW w:w="23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0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9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w:t>
            </w:r>
          </w:p>
        </w:tc>
        <w:tc>
          <w:tcPr>
            <w:tcW w:w="112" w:type="dxa"/>
            <w:tcBorders/>
            <w:shd w:fill="FFFFFF" w:val="clear"/>
            <w:vAlign w:val="center"/>
          </w:tcPr>
          <w:p>
            <w:pPr>
              <w:pStyle w:val="TableContents"/>
              <w:bidi w:val="0"/>
              <w:spacing w:before="0" w:after="283"/>
              <w:jc w:val="left"/>
              <w:rPr/>
            </w:pPr>
            <w:r>
              <w:rPr/>
              <w:t> </w:t>
            </w:r>
            <w:bookmarkStart w:id="70" w:name="xdx_40B_eus-gaap--LiabilitiesCurrent_i01"/>
            <w:bookmarkEnd w:id="70"/>
          </w:p>
        </w:tc>
      </w:tr>
      <w:tr>
        <w:trPr/>
        <w:tc>
          <w:tcPr>
            <w:tcW w:w="715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Current Liabilities</w:t>
            </w:r>
          </w:p>
        </w:tc>
        <w:tc>
          <w:tcPr>
            <w:tcW w:w="60" w:type="dxa"/>
            <w:tcBorders/>
            <w:shd w:fill="CCEEFF" w:val="clear"/>
            <w:vAlign w:val="center"/>
          </w:tcPr>
          <w:p>
            <w:pPr>
              <w:pStyle w:val="TableContents"/>
              <w:bidi w:val="0"/>
              <w:spacing w:before="0" w:after="283"/>
              <w:jc w:val="left"/>
              <w:rPr/>
            </w:pPr>
            <w:r>
              <w:rPr/>
              <w:t> </w:t>
            </w:r>
          </w:p>
        </w:tc>
        <w:tc>
          <w:tcPr>
            <w:tcW w:w="23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0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22,396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9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21,855</w:t>
            </w:r>
          </w:p>
        </w:tc>
        <w:tc>
          <w:tcPr>
            <w:tcW w:w="112" w:type="dxa"/>
            <w:tcBorders/>
            <w:shd w:fill="CCEEFF" w:val="clear"/>
            <w:vAlign w:val="center"/>
          </w:tcPr>
          <w:p>
            <w:pPr>
              <w:pStyle w:val="TableContents"/>
              <w:bidi w:val="0"/>
              <w:spacing w:before="0" w:after="283"/>
              <w:jc w:val="left"/>
              <w:rPr/>
            </w:pPr>
            <w:r>
              <w:rPr/>
              <w:t> </w:t>
            </w:r>
            <w:bookmarkStart w:id="71" w:name="xdx_405_eus-gaap--LiabilitiesNoncurrentA"/>
            <w:bookmarkEnd w:id="71"/>
          </w:p>
        </w:tc>
      </w:tr>
      <w:tr>
        <w:trPr/>
        <w:tc>
          <w:tcPr>
            <w:tcW w:w="7159"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Long-Term Liabilities</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130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72" w:name="xdx_405_eus-gaap--DeferredRevenueNoncurr"/>
            <w:bookmarkEnd w:id="72"/>
          </w:p>
        </w:tc>
      </w:tr>
      <w:tr>
        <w:trPr/>
        <w:tc>
          <w:tcPr>
            <w:tcW w:w="715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revenue, net of current portion</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30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3,583</w:t>
            </w:r>
          </w:p>
        </w:tc>
        <w:tc>
          <w:tcPr>
            <w:tcW w:w="112" w:type="dxa"/>
            <w:tcBorders/>
            <w:shd w:fill="CCEEFF" w:val="clear"/>
            <w:vAlign w:val="center"/>
          </w:tcPr>
          <w:p>
            <w:pPr>
              <w:pStyle w:val="TableContents"/>
              <w:bidi w:val="0"/>
              <w:spacing w:before="0" w:after="283"/>
              <w:jc w:val="left"/>
              <w:rPr/>
            </w:pPr>
            <w:r>
              <w:rPr/>
              <w:t> </w:t>
            </w:r>
            <w:bookmarkStart w:id="73" w:name="xdx_405_eus-gaap--DerivativeLiabilitiesN"/>
            <w:bookmarkEnd w:id="73"/>
          </w:p>
        </w:tc>
      </w:tr>
      <w:tr>
        <w:trPr/>
        <w:tc>
          <w:tcPr>
            <w:tcW w:w="715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Warrant liabilities</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130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5,133</w:t>
            </w:r>
          </w:p>
        </w:tc>
        <w:tc>
          <w:tcPr>
            <w:tcW w:w="112" w:type="dxa"/>
            <w:tcBorders/>
            <w:shd w:fill="FFFFFF" w:val="clear"/>
            <w:vAlign w:val="center"/>
          </w:tcPr>
          <w:p>
            <w:pPr>
              <w:pStyle w:val="TableContents"/>
              <w:bidi w:val="0"/>
              <w:spacing w:before="0" w:after="283"/>
              <w:jc w:val="left"/>
              <w:rPr/>
            </w:pPr>
            <w:r>
              <w:rPr/>
              <w:t> </w:t>
            </w:r>
            <w:bookmarkStart w:id="74" w:name="xdx_40D_ecustom--AccruedSettlementNonCur"/>
            <w:bookmarkEnd w:id="74"/>
          </w:p>
        </w:tc>
      </w:tr>
      <w:tr>
        <w:trPr/>
        <w:tc>
          <w:tcPr>
            <w:tcW w:w="715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settlement, net of current portion</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30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1,750</w:t>
            </w:r>
          </w:p>
        </w:tc>
        <w:tc>
          <w:tcPr>
            <w:tcW w:w="112" w:type="dxa"/>
            <w:tcBorders/>
            <w:shd w:fill="CCEEFF" w:val="clear"/>
            <w:vAlign w:val="center"/>
          </w:tcPr>
          <w:p>
            <w:pPr>
              <w:pStyle w:val="TableContents"/>
              <w:bidi w:val="0"/>
              <w:spacing w:before="0" w:after="283"/>
              <w:jc w:val="left"/>
              <w:rPr/>
            </w:pPr>
            <w:r>
              <w:rPr/>
              <w:t> </w:t>
            </w:r>
            <w:bookmarkStart w:id="75" w:name="xdx_402_eus-gaap--LongTermNotesPayable_i"/>
            <w:bookmarkEnd w:id="75"/>
          </w:p>
        </w:tc>
      </w:tr>
      <w:tr>
        <w:trPr/>
        <w:tc>
          <w:tcPr>
            <w:tcW w:w="715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Notes payable, non current portion, net of debt issuance costs</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130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38,647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29,646</w:t>
            </w:r>
          </w:p>
        </w:tc>
        <w:tc>
          <w:tcPr>
            <w:tcW w:w="112" w:type="dxa"/>
            <w:tcBorders/>
            <w:shd w:fill="FFFFFF" w:val="clear"/>
            <w:vAlign w:val="center"/>
          </w:tcPr>
          <w:p>
            <w:pPr>
              <w:pStyle w:val="TableContents"/>
              <w:bidi w:val="0"/>
              <w:spacing w:before="0" w:after="283"/>
              <w:jc w:val="left"/>
              <w:rPr/>
            </w:pPr>
            <w:r>
              <w:rPr/>
              <w:t> </w:t>
            </w:r>
            <w:bookmarkStart w:id="76" w:name="xdx_404_eus-gaap--OperatingLeaseLiabilit"/>
            <w:bookmarkEnd w:id="76"/>
          </w:p>
        </w:tc>
      </w:tr>
      <w:tr>
        <w:trPr/>
        <w:tc>
          <w:tcPr>
            <w:tcW w:w="715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liability, net of current portion</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30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21,771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22,588</w:t>
            </w:r>
          </w:p>
        </w:tc>
        <w:tc>
          <w:tcPr>
            <w:tcW w:w="112" w:type="dxa"/>
            <w:tcBorders/>
            <w:shd w:fill="CCEEFF" w:val="clear"/>
            <w:vAlign w:val="center"/>
          </w:tcPr>
          <w:p>
            <w:pPr>
              <w:pStyle w:val="TableContents"/>
              <w:bidi w:val="0"/>
              <w:spacing w:before="0" w:after="283"/>
              <w:jc w:val="left"/>
              <w:rPr/>
            </w:pPr>
            <w:r>
              <w:rPr/>
              <w:t> </w:t>
            </w:r>
            <w:bookmarkStart w:id="77" w:name="xdx_40A_eus-gaap--FinanceLeaseLiabilityN"/>
            <w:bookmarkEnd w:id="77"/>
          </w:p>
        </w:tc>
      </w:tr>
      <w:tr>
        <w:trPr/>
        <w:tc>
          <w:tcPr>
            <w:tcW w:w="715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Financing lease liability, net of current portion</w:t>
            </w:r>
          </w:p>
        </w:tc>
        <w:tc>
          <w:tcPr>
            <w:tcW w:w="60" w:type="dxa"/>
            <w:tcBorders/>
            <w:shd w:fill="FFFFFF" w:val="clear"/>
            <w:vAlign w:val="center"/>
          </w:tcPr>
          <w:p>
            <w:pPr>
              <w:pStyle w:val="TableContents"/>
              <w:bidi w:val="0"/>
              <w:spacing w:before="0" w:after="283"/>
              <w:jc w:val="left"/>
              <w:rPr/>
            </w:pPr>
            <w:r>
              <w:rPr/>
              <w:t> </w:t>
            </w:r>
          </w:p>
        </w:tc>
        <w:tc>
          <w:tcPr>
            <w:tcW w:w="23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0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9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w:t>
            </w:r>
          </w:p>
        </w:tc>
        <w:tc>
          <w:tcPr>
            <w:tcW w:w="112" w:type="dxa"/>
            <w:tcBorders/>
            <w:shd w:fill="FFFFFF" w:val="clear"/>
            <w:vAlign w:val="center"/>
          </w:tcPr>
          <w:p>
            <w:pPr>
              <w:pStyle w:val="TableContents"/>
              <w:bidi w:val="0"/>
              <w:spacing w:before="0" w:after="283"/>
              <w:jc w:val="left"/>
              <w:rPr/>
            </w:pPr>
            <w:r>
              <w:rPr/>
              <w:t> </w:t>
            </w:r>
            <w:bookmarkStart w:id="78" w:name="xdx_40D_eus-gaap--LiabilitiesNoncurrent_"/>
            <w:bookmarkEnd w:id="78"/>
          </w:p>
        </w:tc>
      </w:tr>
      <w:tr>
        <w:trPr/>
        <w:tc>
          <w:tcPr>
            <w:tcW w:w="715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Long-Term Liabilities</w:t>
            </w:r>
          </w:p>
        </w:tc>
        <w:tc>
          <w:tcPr>
            <w:tcW w:w="60" w:type="dxa"/>
            <w:tcBorders/>
            <w:shd w:fill="CCEEFF" w:val="clear"/>
            <w:vAlign w:val="center"/>
          </w:tcPr>
          <w:p>
            <w:pPr>
              <w:pStyle w:val="TableContents"/>
              <w:bidi w:val="0"/>
              <w:spacing w:before="0" w:after="283"/>
              <w:jc w:val="left"/>
              <w:rPr/>
            </w:pPr>
            <w:r>
              <w:rPr/>
              <w:t> </w:t>
            </w:r>
          </w:p>
        </w:tc>
        <w:tc>
          <w:tcPr>
            <w:tcW w:w="23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0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64,737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9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62,763</w:t>
            </w:r>
          </w:p>
        </w:tc>
        <w:tc>
          <w:tcPr>
            <w:tcW w:w="112" w:type="dxa"/>
            <w:tcBorders/>
            <w:shd w:fill="CCEEFF" w:val="clear"/>
            <w:vAlign w:val="center"/>
          </w:tcPr>
          <w:p>
            <w:pPr>
              <w:pStyle w:val="TableContents"/>
              <w:bidi w:val="0"/>
              <w:spacing w:before="0" w:after="283"/>
              <w:jc w:val="left"/>
              <w:rPr/>
            </w:pPr>
            <w:r>
              <w:rPr/>
              <w:t> </w:t>
            </w:r>
            <w:bookmarkStart w:id="79" w:name="xdx_407_eus-gaap--Liabilities_i01TI_mtLz"/>
            <w:bookmarkEnd w:id="79"/>
          </w:p>
        </w:tc>
      </w:tr>
      <w:tr>
        <w:trPr/>
        <w:tc>
          <w:tcPr>
            <w:tcW w:w="7159"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Liabilities</w:t>
            </w:r>
          </w:p>
        </w:tc>
        <w:tc>
          <w:tcPr>
            <w:tcW w:w="60" w:type="dxa"/>
            <w:tcBorders/>
            <w:shd w:fill="FFFFFF" w:val="clear"/>
            <w:vAlign w:val="center"/>
          </w:tcPr>
          <w:p>
            <w:pPr>
              <w:pStyle w:val="TableContents"/>
              <w:bidi w:val="0"/>
              <w:spacing w:before="0" w:after="283"/>
              <w:jc w:val="left"/>
              <w:rPr/>
            </w:pPr>
            <w:r>
              <w:rPr/>
              <w:t> </w:t>
            </w:r>
          </w:p>
        </w:tc>
        <w:tc>
          <w:tcPr>
            <w:tcW w:w="23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0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87,133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9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84,618</w:t>
            </w:r>
          </w:p>
        </w:tc>
        <w:tc>
          <w:tcPr>
            <w:tcW w:w="112" w:type="dxa"/>
            <w:tcBorders/>
            <w:shd w:fill="FFFFFF" w:val="clear"/>
            <w:vAlign w:val="center"/>
          </w:tcPr>
          <w:p>
            <w:pPr>
              <w:pStyle w:val="TableContents"/>
              <w:bidi w:val="0"/>
              <w:spacing w:before="0" w:after="283"/>
              <w:jc w:val="left"/>
              <w:rPr/>
            </w:pPr>
            <w:r>
              <w:rPr/>
              <w:t> </w:t>
            </w:r>
            <w:bookmarkStart w:id="80" w:name="xdx_403_eus-gaap--CommitmentsAndContinge"/>
            <w:bookmarkEnd w:id="80"/>
          </w:p>
        </w:tc>
      </w:tr>
      <w:tr>
        <w:trPr/>
        <w:tc>
          <w:tcPr>
            <w:tcW w:w="7159"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Commitments and Contingencies (See Note 5)</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302" w:type="dxa"/>
            <w:tcBorders/>
            <w:shd w:fill="CCEEFF" w:val="clear"/>
            <w:vAlign w:val="center"/>
          </w:tcPr>
          <w:p>
            <w:pPr>
              <w:pStyle w:val="TableContents"/>
              <w:bidi w:val="0"/>
              <w:spacing w:before="0" w:after="283"/>
              <w:jc w:val="right"/>
              <w:rPr/>
            </w:pPr>
            <w:r>
              <w:rPr>
                <w:rFonts w:ascii="Times New Roman;Times;Serif" w:hAnsi="Times New Roman;Times;Serif"/>
                <w:sz w:val="20"/>
              </w:rPr>
              <w:t>-</w:t>
            </w: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rFonts w:ascii="Times New Roman;Times;Serif" w:hAnsi="Times New Roman;Times;Serif"/>
                <w:sz w:val="20"/>
              </w:rPr>
              <w:t>-</w:t>
            </w:r>
            <w:r>
              <w:rPr/>
              <w:t> </w:t>
            </w:r>
          </w:p>
        </w:tc>
        <w:tc>
          <w:tcPr>
            <w:tcW w:w="112" w:type="dxa"/>
            <w:tcBorders/>
            <w:shd w:fill="CCEEFF" w:val="clear"/>
            <w:vAlign w:val="center"/>
          </w:tcPr>
          <w:p>
            <w:pPr>
              <w:pStyle w:val="TableContents"/>
              <w:bidi w:val="0"/>
              <w:spacing w:before="0" w:after="283"/>
              <w:jc w:val="left"/>
              <w:rPr/>
            </w:pPr>
            <w:r>
              <w:rPr/>
              <w:t> </w:t>
            </w:r>
            <w:bookmarkStart w:id="81" w:name="xdx_400_eus-gaap--TemporaryEquityAbstrac"/>
            <w:bookmarkEnd w:id="81"/>
          </w:p>
        </w:tc>
      </w:tr>
      <w:tr>
        <w:trPr/>
        <w:tc>
          <w:tcPr>
            <w:tcW w:w="7159"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Redeemable Preferred Stock</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130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82" w:name="xdx_407_eus-gaap--TemporaryEquityCarryin"/>
            <w:bookmarkEnd w:id="82"/>
          </w:p>
        </w:tc>
      </w:tr>
      <w:tr>
        <w:trPr/>
        <w:tc>
          <w:tcPr>
            <w:tcW w:w="715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Preferred stock - Series A, </w:t>
            </w:r>
            <w:bookmarkStart w:id="83" w:name="xdx_905_eus-gaap--TemporaryEquitySharesA"/>
            <w:bookmarkStart w:id="84" w:name="xdx_907_eus-gaap--TemporaryEquitySharesA"/>
            <w:bookmarkEnd w:id="83"/>
            <w:bookmarkEnd w:id="84"/>
            <w:r>
              <w:rPr>
                <w:rFonts w:ascii="Times New Roman;Times;Serif" w:hAnsi="Times New Roman;Times;Serif"/>
              </w:rPr>
              <w:t>5,000 shares at $</w:t>
            </w:r>
            <w:bookmarkStart w:id="85" w:name="xdx_90A_eus-gaap--TemporaryEquityParOrSt"/>
            <w:bookmarkStart w:id="86" w:name="xdx_90F_eus-gaap--TemporaryEquityParOrSt"/>
            <w:bookmarkEnd w:id="85"/>
            <w:bookmarkEnd w:id="86"/>
            <w:r>
              <w:rPr>
                <w:rFonts w:ascii="Times New Roman;Times;Serif" w:hAnsi="Times New Roman;Times;Serif"/>
              </w:rPr>
              <w:t xml:space="preserve">0.0001 par value, authorized, </w:t>
            </w:r>
            <w:bookmarkStart w:id="87" w:name="xdx_901_eus-gaap--TemporaryEquitySharesO"/>
            <w:bookmarkStart w:id="88" w:name="xdx_909_eus-gaap--TemporaryEquitySharesI"/>
            <w:bookmarkEnd w:id="87"/>
            <w:bookmarkEnd w:id="88"/>
            <w:r>
              <w:rPr>
                <w:rFonts w:ascii="Times New Roman;Times;Serif" w:hAnsi="Times New Roman;Times;Serif"/>
              </w:rPr>
              <w:t xml:space="preserve">136 and </w:t>
            </w:r>
            <w:bookmarkStart w:id="89" w:name="xdx_902_eus-gaap--TemporaryEquitySharesO"/>
            <w:bookmarkStart w:id="90" w:name="xdx_908_eus-gaap--TemporaryEquitySharesI"/>
            <w:bookmarkEnd w:id="89"/>
            <w:bookmarkEnd w:id="90"/>
            <w:r>
              <w:rPr>
                <w:rFonts w:ascii="Times New Roman;Times;Serif" w:hAnsi="Times New Roman;Times;Serif"/>
              </w:rPr>
              <w:t>0 shares issued and outstanding as of June 30, 2025 and December 31, 2024, respectively</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30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2" w:type="dxa"/>
            <w:tcBorders/>
            <w:shd w:fill="CCEEFF" w:val="clear"/>
            <w:vAlign w:val="center"/>
          </w:tcPr>
          <w:p>
            <w:pPr>
              <w:pStyle w:val="TableContents"/>
              <w:bidi w:val="0"/>
              <w:spacing w:before="0" w:after="283"/>
              <w:jc w:val="left"/>
              <w:rPr/>
            </w:pPr>
            <w:r>
              <w:rPr/>
              <w:t> </w:t>
            </w:r>
            <w:bookmarkStart w:id="91" w:name="xdx_40F_eus-gaap--StockholdersEquityAbst"/>
            <w:bookmarkEnd w:id="91"/>
          </w:p>
        </w:tc>
      </w:tr>
      <w:tr>
        <w:trPr/>
        <w:tc>
          <w:tcPr>
            <w:tcW w:w="7159"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Stockholders’ (Deficit)</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130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92" w:name="xdx_40A_eus-gaap--PreferredStockValue_i0"/>
            <w:bookmarkEnd w:id="92"/>
          </w:p>
        </w:tc>
      </w:tr>
      <w:tr>
        <w:trPr/>
        <w:tc>
          <w:tcPr>
            <w:tcW w:w="715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Preferred stock - Undesignated, </w:t>
            </w:r>
            <w:bookmarkStart w:id="93" w:name="xdx_90E_eus-gaap--PreferredStockSharesAu"/>
            <w:bookmarkStart w:id="94" w:name="xdx_904_eus-gaap--PreferredStockSharesAu"/>
            <w:bookmarkEnd w:id="93"/>
            <w:bookmarkEnd w:id="94"/>
            <w:r>
              <w:rPr>
                <w:rFonts w:ascii="Times New Roman;Times;Serif" w:hAnsi="Times New Roman;Times;Serif"/>
              </w:rPr>
              <w:t>4,995,000 shares at $</w:t>
            </w:r>
            <w:bookmarkStart w:id="95" w:name="xdx_907_eus-gaap--PreferredStockParOrSta"/>
            <w:bookmarkStart w:id="96" w:name="xdx_907_eus-gaap--PreferredStockParOrSta"/>
            <w:bookmarkEnd w:id="95"/>
            <w:bookmarkEnd w:id="96"/>
            <w:r>
              <w:rPr>
                <w:rFonts w:ascii="Times New Roman;Times;Serif" w:hAnsi="Times New Roman;Times;Serif"/>
              </w:rPr>
              <w:t xml:space="preserve">0.0001 par value, authorized, </w:t>
            </w:r>
            <w:bookmarkStart w:id="97" w:name="xdx_90B_eus-gaap--PreferredStockSharesOu"/>
            <w:bookmarkStart w:id="98" w:name="xdx_901_eus-gaap--PreferredStockSharesIs"/>
            <w:bookmarkStart w:id="99" w:name="xdx_90E_eus-gaap--PreferredStockSharesOu"/>
            <w:bookmarkStart w:id="100" w:name="xdx_90B_eus-gaap--PreferredStockSharesIs"/>
            <w:bookmarkEnd w:id="97"/>
            <w:bookmarkEnd w:id="98"/>
            <w:bookmarkEnd w:id="99"/>
            <w:bookmarkEnd w:id="100"/>
            <w:r>
              <w:rPr>
                <w:rFonts w:ascii="Times New Roman;Times;Serif" w:hAnsi="Times New Roman;Times;Serif"/>
              </w:rPr>
              <w:t>no shares issued and outstanding as of June 30, 2025 and December 31, 2024</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30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2" w:type="dxa"/>
            <w:tcBorders/>
            <w:shd w:fill="CCEEFF" w:val="clear"/>
            <w:vAlign w:val="center"/>
          </w:tcPr>
          <w:p>
            <w:pPr>
              <w:pStyle w:val="TableContents"/>
              <w:bidi w:val="0"/>
              <w:spacing w:before="0" w:after="283"/>
              <w:jc w:val="left"/>
              <w:rPr/>
            </w:pPr>
            <w:r>
              <w:rPr/>
              <w:t> </w:t>
            </w:r>
            <w:bookmarkStart w:id="101" w:name="xdx_404_eus-gaap--CommonStockValue_i01I_"/>
            <w:bookmarkEnd w:id="101"/>
          </w:p>
        </w:tc>
      </w:tr>
      <w:tr>
        <w:trPr/>
        <w:tc>
          <w:tcPr>
            <w:tcW w:w="715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Common stock, </w:t>
            </w:r>
            <w:bookmarkStart w:id="102" w:name="xdx_901_eus-gaap--CommonStockSharesAutho"/>
            <w:bookmarkStart w:id="103" w:name="xdx_903_eus-gaap--CommonStockSharesAutho"/>
            <w:bookmarkEnd w:id="102"/>
            <w:bookmarkEnd w:id="103"/>
            <w:r>
              <w:rPr>
                <w:rFonts w:ascii="Times New Roman;Times;Serif" w:hAnsi="Times New Roman;Times;Serif"/>
              </w:rPr>
              <w:t>400,000,000 shares at $</w:t>
            </w:r>
            <w:bookmarkStart w:id="104" w:name="xdx_90E_eus-gaap--CommonStockParOrStated"/>
            <w:bookmarkStart w:id="105" w:name="xdx_903_eus-gaap--CommonStockParOrStated"/>
            <w:bookmarkEnd w:id="104"/>
            <w:bookmarkEnd w:id="105"/>
            <w:r>
              <w:rPr>
                <w:rFonts w:ascii="Times New Roman;Times;Serif" w:hAnsi="Times New Roman;Times;Serif"/>
              </w:rPr>
              <w:t xml:space="preserve">0.0001 par value, authorized, </w:t>
              <w:br/>
            </w:r>
            <w:bookmarkStart w:id="106" w:name="xdx_90E_eus-gaap--CommonStockSharesOutst"/>
            <w:bookmarkStart w:id="107" w:name="xdx_906_eus-gaap--CommonStockSharesIssue"/>
            <w:bookmarkEnd w:id="106"/>
            <w:bookmarkEnd w:id="107"/>
            <w:r>
              <w:rPr>
                <w:rFonts w:ascii="Times New Roman;Times;Serif" w:hAnsi="Times New Roman;Times;Serif"/>
              </w:rPr>
              <w:t xml:space="preserve">37,426,379 and </w:t>
            </w:r>
            <w:bookmarkStart w:id="108" w:name="xdx_90C_eus-gaap--CommonStockSharesOutst"/>
            <w:bookmarkStart w:id="109" w:name="xdx_900_eus-gaap--CommonStockSharesIssue"/>
            <w:bookmarkEnd w:id="108"/>
            <w:bookmarkEnd w:id="109"/>
            <w:r>
              <w:rPr>
                <w:rFonts w:ascii="Times New Roman;Times;Serif" w:hAnsi="Times New Roman;Times;Serif"/>
              </w:rPr>
              <w:t>7,232,650 shares issued and outstanding as of June 30, 2025 and December 31, 2024, respectively</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130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c>
          <w:tcPr>
            <w:tcW w:w="112" w:type="dxa"/>
            <w:tcBorders/>
            <w:shd w:fill="FFFFFF" w:val="clear"/>
            <w:vAlign w:val="center"/>
          </w:tcPr>
          <w:p>
            <w:pPr>
              <w:pStyle w:val="TableContents"/>
              <w:bidi w:val="0"/>
              <w:spacing w:before="0" w:after="283"/>
              <w:jc w:val="left"/>
              <w:rPr/>
            </w:pPr>
            <w:r>
              <w:rPr/>
              <w:t> </w:t>
            </w:r>
            <w:bookmarkStart w:id="110" w:name="xdx_403_eus-gaap--AdditionalPaidInCapita"/>
            <w:bookmarkEnd w:id="110"/>
          </w:p>
        </w:tc>
      </w:tr>
      <w:tr>
        <w:trPr/>
        <w:tc>
          <w:tcPr>
            <w:tcW w:w="715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Additional paid in capital</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30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79,377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72,749</w:t>
            </w:r>
          </w:p>
        </w:tc>
        <w:tc>
          <w:tcPr>
            <w:tcW w:w="112" w:type="dxa"/>
            <w:tcBorders/>
            <w:shd w:fill="CCEEFF" w:val="clear"/>
            <w:vAlign w:val="center"/>
          </w:tcPr>
          <w:p>
            <w:pPr>
              <w:pStyle w:val="TableContents"/>
              <w:bidi w:val="0"/>
              <w:spacing w:before="0" w:after="283"/>
              <w:jc w:val="left"/>
              <w:rPr/>
            </w:pPr>
            <w:r>
              <w:rPr/>
              <w:t> </w:t>
            </w:r>
            <w:bookmarkStart w:id="111" w:name="xdx_40C_eus-gaap--RetainedEarningsAccumu"/>
            <w:bookmarkEnd w:id="111"/>
          </w:p>
        </w:tc>
      </w:tr>
      <w:tr>
        <w:trPr/>
        <w:tc>
          <w:tcPr>
            <w:tcW w:w="715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Accumulated deficit</w:t>
            </w:r>
          </w:p>
        </w:tc>
        <w:tc>
          <w:tcPr>
            <w:tcW w:w="60" w:type="dxa"/>
            <w:tcBorders/>
            <w:shd w:fill="FFFFFF" w:val="clear"/>
            <w:vAlign w:val="center"/>
          </w:tcPr>
          <w:p>
            <w:pPr>
              <w:pStyle w:val="TableContents"/>
              <w:bidi w:val="0"/>
              <w:spacing w:before="0" w:after="283"/>
              <w:jc w:val="left"/>
              <w:rPr/>
            </w:pPr>
            <w:r>
              <w:rPr/>
              <w:t> </w:t>
            </w:r>
          </w:p>
        </w:tc>
        <w:tc>
          <w:tcPr>
            <w:tcW w:w="23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0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(95,985</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8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9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(82,154</w:t>
            </w:r>
          </w:p>
        </w:tc>
        <w:tc>
          <w:tcPr>
            <w:tcW w:w="11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12" w:name="xdx_403_eus-gaap--StockholdersEquity_i01"/>
            <w:bookmarkEnd w:id="112"/>
          </w:p>
        </w:tc>
      </w:tr>
      <w:tr>
        <w:trPr/>
        <w:tc>
          <w:tcPr>
            <w:tcW w:w="7159"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Stockholders’ (Deficit)</w:t>
            </w:r>
          </w:p>
        </w:tc>
        <w:tc>
          <w:tcPr>
            <w:tcW w:w="60" w:type="dxa"/>
            <w:tcBorders/>
            <w:shd w:fill="CCEEFF" w:val="clear"/>
            <w:vAlign w:val="center"/>
          </w:tcPr>
          <w:p>
            <w:pPr>
              <w:pStyle w:val="TableContents"/>
              <w:bidi w:val="0"/>
              <w:spacing w:before="0" w:after="283"/>
              <w:jc w:val="left"/>
              <w:rPr/>
            </w:pPr>
            <w:r>
              <w:rPr/>
              <w:t> </w:t>
            </w:r>
          </w:p>
        </w:tc>
        <w:tc>
          <w:tcPr>
            <w:tcW w:w="23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0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(16,604</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9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(9,404</w:t>
            </w:r>
          </w:p>
        </w:tc>
        <w:tc>
          <w:tcPr>
            <w:tcW w:w="1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13" w:name="xdx_404_eus-gaap--LiabilitiesAndStockhol"/>
            <w:bookmarkEnd w:id="113"/>
          </w:p>
        </w:tc>
      </w:tr>
      <w:tr>
        <w:trPr/>
        <w:tc>
          <w:tcPr>
            <w:tcW w:w="715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Liabilities, Redeemable Preferred Stock and Stockholders’ (Deficit)</w:t>
            </w:r>
          </w:p>
        </w:tc>
        <w:tc>
          <w:tcPr>
            <w:tcW w:w="60" w:type="dxa"/>
            <w:tcBorders/>
            <w:shd w:fill="FFFFFF" w:val="cle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0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71,774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9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75,214</w:t>
            </w:r>
          </w:p>
        </w:tc>
        <w:tc>
          <w:tcPr>
            <w:tcW w:w="112" w:type="dxa"/>
            <w:tcBorders/>
            <w:shd w:fill="FFFF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 consolidated financial statements.</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jc w:val="center"/>
        <w:rPr>
          <w:rFonts w:ascii="Times New Roman;Times;Serif" w:hAnsi="Times New Roman;Times;Serif"/>
          <w:b/>
          <w:i w:val="false"/>
          <w:caps/>
          <w:sz w:val="20"/>
        </w:rPr>
      </w:pPr>
      <w:bookmarkStart w:id="114" w:name="a_002"/>
      <w:bookmarkEnd w:id="114"/>
      <w:r>
        <w:rPr>
          <w:rFonts w:ascii="Times New Roman;Times;Serif" w:hAnsi="Times New Roman;Times;Serif"/>
          <w:b/>
          <w:i w:val="false"/>
          <w:caps/>
          <w:sz w:val="20"/>
        </w:rPr>
        <w:t>Unaudited condensed Consolidated Statements of Operations</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For the Three and Six Months Ended June 30, 2025 and 2024</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15" w:name="xdx_30F_113_pn3n3_zDJpeYMn0Euc"/>
      <w:bookmarkStart w:id="116" w:name="xdx_30F_113_pn3n3_zDJpeYMn0Euc"/>
      <w:bookmarkEnd w:id="116"/>
    </w:p>
    <w:tbl>
      <w:tblPr>
        <w:tblW w:w="10205" w:type="dxa"/>
        <w:jc w:val="left"/>
        <w:tblInd w:w="0" w:type="dxa"/>
        <w:tblLayout w:type="fixed"/>
        <w:tblCellMar>
          <w:top w:w="0" w:type="dxa"/>
          <w:left w:w="0" w:type="dxa"/>
          <w:bottom w:w="0" w:type="dxa"/>
          <w:right w:w="0" w:type="dxa"/>
        </w:tblCellMar>
      </w:tblPr>
      <w:tblGrid>
        <w:gridCol w:w="4970"/>
        <w:gridCol w:w="60"/>
        <w:gridCol w:w="140"/>
        <w:gridCol w:w="1100"/>
        <w:gridCol w:w="95"/>
        <w:gridCol w:w="60"/>
        <w:gridCol w:w="140"/>
        <w:gridCol w:w="980"/>
        <w:gridCol w:w="95"/>
        <w:gridCol w:w="60"/>
        <w:gridCol w:w="140"/>
        <w:gridCol w:w="980"/>
        <w:gridCol w:w="95"/>
        <w:gridCol w:w="60"/>
        <w:gridCol w:w="140"/>
        <w:gridCol w:w="980"/>
        <w:gridCol w:w="110"/>
      </w:tblGrid>
      <w:tr>
        <w:trPr/>
        <w:tc>
          <w:tcPr>
            <w:tcW w:w="49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17" w:name="xdx_493_20250401__20250630_zKu4O9YEqf0f"/>
            <w:bookmarkEnd w:id="117"/>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2025</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18" w:name="xdx_492_20240401__20240630_ze9rHwnXzE1l"/>
            <w:bookmarkEnd w:id="118"/>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2024</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19" w:name="xdx_498_20250101__20250630_zCuhbi5Xj607"/>
            <w:bookmarkEnd w:id="119"/>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2025</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20" w:name="xdx_493_20240101__20240630_z3n2idx85sMi"/>
            <w:bookmarkEnd w:id="120"/>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2024</w:t>
            </w:r>
          </w:p>
        </w:tc>
        <w:tc>
          <w:tcPr>
            <w:tcW w:w="110" w:type="dxa"/>
            <w:tcBorders/>
            <w:vAlign w:val="center"/>
          </w:tcPr>
          <w:p>
            <w:pPr>
              <w:pStyle w:val="TableContents"/>
              <w:bidi w:val="0"/>
              <w:spacing w:before="0" w:after="283"/>
              <w:jc w:val="center"/>
              <w:rPr/>
            </w:pPr>
            <w:r>
              <w:rPr/>
              <w:t> </w:t>
            </w:r>
          </w:p>
        </w:tc>
      </w:tr>
      <w:tr>
        <w:trPr/>
        <w:tc>
          <w:tcPr>
            <w:tcW w:w="49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515" w:type="dxa"/>
            <w:gridSpan w:val="6"/>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June 30,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395" w:type="dxa"/>
            <w:gridSpan w:val="6"/>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June 30, </w:t>
            </w:r>
          </w:p>
        </w:tc>
        <w:tc>
          <w:tcPr>
            <w:tcW w:w="110" w:type="dxa"/>
            <w:tcBorders/>
            <w:vAlign w:val="center"/>
          </w:tcPr>
          <w:p>
            <w:pPr>
              <w:pStyle w:val="TableContents"/>
              <w:bidi w:val="0"/>
              <w:spacing w:before="0" w:after="283"/>
              <w:jc w:val="center"/>
              <w:rPr/>
            </w:pPr>
            <w:r>
              <w:rPr/>
              <w:t> </w:t>
            </w:r>
          </w:p>
        </w:tc>
      </w:tr>
      <w:tr>
        <w:trPr/>
        <w:tc>
          <w:tcPr>
            <w:tcW w:w="49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2025</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2024</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2025</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2024</w:t>
            </w:r>
          </w:p>
        </w:tc>
        <w:tc>
          <w:tcPr>
            <w:tcW w:w="110" w:type="dxa"/>
            <w:tcBorders/>
            <w:vAlign w:val="center"/>
          </w:tcPr>
          <w:p>
            <w:pPr>
              <w:pStyle w:val="TableContents"/>
              <w:bidi w:val="0"/>
              <w:spacing w:before="0" w:after="283"/>
              <w:jc w:val="center"/>
              <w:rPr/>
            </w:pPr>
            <w:r>
              <w:rPr/>
              <w:t> </w:t>
            </w:r>
          </w:p>
        </w:tc>
      </w:tr>
      <w:tr>
        <w:trPr/>
        <w:tc>
          <w:tcPr>
            <w:tcW w:w="49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bookmarkStart w:id="121" w:name="xdx_400_eus-gaap--RevenueFromContractWit"/>
            <w:bookmarkEnd w:id="121"/>
          </w:p>
        </w:tc>
      </w:tr>
      <w:tr>
        <w:trPr/>
        <w:tc>
          <w:tcPr>
            <w:tcW w:w="497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Sales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16,248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13,208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29,604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25,713</w:t>
            </w:r>
          </w:p>
        </w:tc>
        <w:tc>
          <w:tcPr>
            <w:tcW w:w="110" w:type="dxa"/>
            <w:tcBorders/>
            <w:shd w:fill="CCEEFF" w:val="clear"/>
            <w:vAlign w:val="center"/>
          </w:tcPr>
          <w:p>
            <w:pPr>
              <w:pStyle w:val="TableContents"/>
              <w:bidi w:val="0"/>
              <w:spacing w:before="0" w:after="283"/>
              <w:jc w:val="left"/>
              <w:rPr/>
            </w:pPr>
            <w:r>
              <w:rPr/>
              <w:t> </w:t>
            </w:r>
          </w:p>
        </w:tc>
      </w:tr>
      <w:tr>
        <w:trPr/>
        <w:tc>
          <w:tcPr>
            <w:tcW w:w="49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22" w:name="xdx_401_eus-gaap--CostOfGoodsAndServices"/>
            <w:bookmarkEnd w:id="122"/>
          </w:p>
        </w:tc>
      </w:tr>
      <w:tr>
        <w:trPr/>
        <w:tc>
          <w:tcPr>
            <w:tcW w:w="497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Cost of Goods Sold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11,643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21,071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19,495</w:t>
            </w:r>
          </w:p>
        </w:tc>
        <w:tc>
          <w:tcPr>
            <w:tcW w:w="110" w:type="dxa"/>
            <w:tcBorders/>
            <w:shd w:fill="CCEEFF" w:val="clear"/>
            <w:vAlign w:val="center"/>
          </w:tcPr>
          <w:p>
            <w:pPr>
              <w:pStyle w:val="TableContents"/>
              <w:bidi w:val="0"/>
              <w:spacing w:before="0" w:after="283"/>
              <w:jc w:val="left"/>
              <w:rPr/>
            </w:pPr>
            <w:r>
              <w:rPr/>
              <w:t> </w:t>
            </w:r>
          </w:p>
        </w:tc>
      </w:tr>
      <w:tr>
        <w:trPr/>
        <w:tc>
          <w:tcPr>
            <w:tcW w:w="49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23" w:name="xdx_404_eus-gaap--GrossProfit_iT_mtGPzCU"/>
            <w:bookmarkEnd w:id="123"/>
          </w:p>
        </w:tc>
      </w:tr>
      <w:tr>
        <w:trPr/>
        <w:tc>
          <w:tcPr>
            <w:tcW w:w="497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Gross Profit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6,218</w:t>
            </w:r>
          </w:p>
        </w:tc>
        <w:tc>
          <w:tcPr>
            <w:tcW w:w="110" w:type="dxa"/>
            <w:tcBorders/>
            <w:shd w:fill="CCEEFF" w:val="clear"/>
            <w:vAlign w:val="center"/>
          </w:tcPr>
          <w:p>
            <w:pPr>
              <w:pStyle w:val="TableContents"/>
              <w:bidi w:val="0"/>
              <w:spacing w:before="0" w:after="283"/>
              <w:jc w:val="left"/>
              <w:rPr/>
            </w:pPr>
            <w:r>
              <w:rPr/>
              <w:t> </w:t>
            </w:r>
          </w:p>
        </w:tc>
      </w:tr>
      <w:tr>
        <w:trPr/>
        <w:tc>
          <w:tcPr>
            <w:tcW w:w="49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24" w:name="xdx_40B_eus-gaap--OperatingExpensesAbstr"/>
            <w:bookmarkEnd w:id="124"/>
          </w:p>
        </w:tc>
      </w:tr>
      <w:tr>
        <w:trPr/>
        <w:tc>
          <w:tcPr>
            <w:tcW w:w="497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25" w:name="xdx_40E_eus-gaap--ResearchAndDevelopment"/>
            <w:bookmarkEnd w:id="125"/>
          </w:p>
        </w:tc>
      </w:tr>
      <w:tr>
        <w:trPr/>
        <w:tc>
          <w:tcPr>
            <w:tcW w:w="49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Research and development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2,864</w:t>
            </w:r>
          </w:p>
        </w:tc>
        <w:tc>
          <w:tcPr>
            <w:tcW w:w="110" w:type="dxa"/>
            <w:tcBorders/>
            <w:shd w:fill="FFFFFF" w:val="clear"/>
            <w:vAlign w:val="center"/>
          </w:tcPr>
          <w:p>
            <w:pPr>
              <w:pStyle w:val="TableContents"/>
              <w:bidi w:val="0"/>
              <w:spacing w:before="0" w:after="283"/>
              <w:jc w:val="left"/>
              <w:rPr/>
            </w:pPr>
            <w:r>
              <w:rPr/>
              <w:t> </w:t>
            </w:r>
            <w:bookmarkStart w:id="126" w:name="xdx_40A_eus-gaap--GeneralAndAdministrati"/>
            <w:bookmarkEnd w:id="126"/>
          </w:p>
        </w:tc>
      </w:tr>
      <w:tr>
        <w:trPr/>
        <w:tc>
          <w:tcPr>
            <w:tcW w:w="49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General and administrative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10,976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10,517</w:t>
            </w:r>
          </w:p>
        </w:tc>
        <w:tc>
          <w:tcPr>
            <w:tcW w:w="110" w:type="dxa"/>
            <w:tcBorders/>
            <w:shd w:fill="CCEEFF" w:val="clear"/>
            <w:vAlign w:val="center"/>
          </w:tcPr>
          <w:p>
            <w:pPr>
              <w:pStyle w:val="TableContents"/>
              <w:bidi w:val="0"/>
              <w:spacing w:before="0" w:after="283"/>
              <w:jc w:val="left"/>
              <w:rPr/>
            </w:pPr>
            <w:r>
              <w:rPr/>
              <w:t> </w:t>
            </w:r>
            <w:bookmarkStart w:id="127" w:name="xdx_40B_eus-gaap--SellingAndMarketingExp"/>
            <w:bookmarkEnd w:id="127"/>
          </w:p>
        </w:tc>
      </w:tr>
      <w:tr>
        <w:trPr/>
        <w:tc>
          <w:tcPr>
            <w:tcW w:w="49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Selling and marketing</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5,425</w:t>
            </w:r>
          </w:p>
        </w:tc>
        <w:tc>
          <w:tcPr>
            <w:tcW w:w="110" w:type="dxa"/>
            <w:tcBorders/>
            <w:shd w:fill="FFFFFF" w:val="clear"/>
            <w:vAlign w:val="center"/>
          </w:tcPr>
          <w:p>
            <w:pPr>
              <w:pStyle w:val="TableContents"/>
              <w:bidi w:val="0"/>
              <w:spacing w:before="0" w:after="283"/>
              <w:jc w:val="left"/>
              <w:rPr/>
            </w:pPr>
            <w:r>
              <w:rPr/>
              <w:t> </w:t>
            </w:r>
          </w:p>
        </w:tc>
      </w:tr>
      <w:tr>
        <w:trPr/>
        <w:tc>
          <w:tcPr>
            <w:tcW w:w="49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28" w:name="xdx_404_eus-gaap--OperatingExpenses_i01T"/>
            <w:bookmarkEnd w:id="128"/>
          </w:p>
        </w:tc>
      </w:tr>
      <w:tr>
        <w:trPr/>
        <w:tc>
          <w:tcPr>
            <w:tcW w:w="497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9,916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17,728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18,806</w:t>
            </w:r>
          </w:p>
        </w:tc>
        <w:tc>
          <w:tcPr>
            <w:tcW w:w="110" w:type="dxa"/>
            <w:tcBorders/>
            <w:shd w:fill="FFFFFF" w:val="clear"/>
            <w:vAlign w:val="center"/>
          </w:tcPr>
          <w:p>
            <w:pPr>
              <w:pStyle w:val="TableContents"/>
              <w:bidi w:val="0"/>
              <w:spacing w:before="0" w:after="283"/>
              <w:jc w:val="left"/>
              <w:rPr/>
            </w:pPr>
            <w:r>
              <w:rPr/>
              <w:t> </w:t>
            </w:r>
          </w:p>
        </w:tc>
      </w:tr>
      <w:tr>
        <w:trPr/>
        <w:tc>
          <w:tcPr>
            <w:tcW w:w="49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29" w:name="xdx_409_eus-gaap--OperatingIncomeLoss_iT"/>
            <w:bookmarkEnd w:id="129"/>
          </w:p>
        </w:tc>
      </w:tr>
      <w:tr>
        <w:trPr/>
        <w:tc>
          <w:tcPr>
            <w:tcW w:w="497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Loss From Operations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(3,281</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(6,749</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(9,195</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(12,588</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9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30" w:name="xdx_40E_eus-gaap--NonoperatingIncomeExpe"/>
            <w:bookmarkEnd w:id="130"/>
          </w:p>
        </w:tc>
      </w:tr>
      <w:tr>
        <w:trPr/>
        <w:tc>
          <w:tcPr>
            <w:tcW w:w="497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Other (Expense) Income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31" w:name="xdx_409_eus-gaap--InterestExpenseNonoper"/>
            <w:bookmarkEnd w:id="131"/>
          </w:p>
        </w:tc>
      </w:tr>
      <w:tr>
        <w:trPr/>
        <w:tc>
          <w:tcPr>
            <w:tcW w:w="49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expense,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(5,442</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(4,878</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(10,143</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(9,638</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32" w:name="xdx_401_eus-gaap--OtherNonoperatingExpen"/>
            <w:bookmarkEnd w:id="132"/>
          </w:p>
        </w:tc>
      </w:tr>
      <w:tr>
        <w:trPr/>
        <w:tc>
          <w:tcPr>
            <w:tcW w:w="49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33" w:name="xdx_405_eus-gaap--FairValueAdjustmentOfW"/>
            <w:bookmarkEnd w:id="133"/>
          </w:p>
        </w:tc>
      </w:tr>
      <w:tr>
        <w:trPr/>
        <w:tc>
          <w:tcPr>
            <w:tcW w:w="49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market value of warrant liability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(1,981</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(1,745</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9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34" w:name="xdx_406_eus-gaap--NonoperatingIncomeExpe"/>
            <w:bookmarkEnd w:id="134"/>
          </w:p>
        </w:tc>
      </w:tr>
      <w:tr>
        <w:trPr/>
        <w:tc>
          <w:tcPr>
            <w:tcW w:w="497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Total Other Expense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(3,753</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(6,878</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(4,636</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(11,406</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9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35" w:name="xdx_400_eus-gaap--IncomeLossFromContinui"/>
            <w:bookmarkEnd w:id="135"/>
          </w:p>
        </w:tc>
      </w:tr>
      <w:tr>
        <w:trPr/>
        <w:tc>
          <w:tcPr>
            <w:tcW w:w="497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Loss Before Taxes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(7,034</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(13,627</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(13,831</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(23,994</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9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36" w:name="xdx_40B_eus-gaap--IncomeTaxExpenseBenefi"/>
            <w:bookmarkEnd w:id="136"/>
          </w:p>
        </w:tc>
      </w:tr>
      <w:tr>
        <w:trPr/>
        <w:tc>
          <w:tcPr>
            <w:tcW w:w="497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Income Tax Expense (Benefit)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bidi w:val="0"/>
              <w:spacing w:before="0" w:after="283"/>
              <w:jc w:val="left"/>
              <w:rPr/>
            </w:pPr>
            <w:r>
              <w:rPr/>
              <w:t> </w:t>
            </w:r>
          </w:p>
        </w:tc>
      </w:tr>
      <w:tr>
        <w:trPr/>
        <w:tc>
          <w:tcPr>
            <w:tcW w:w="49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37" w:name="xdx_407_eus-gaap--NetIncomeLoss_iT_mtNIL"/>
            <w:bookmarkEnd w:id="137"/>
          </w:p>
        </w:tc>
      </w:tr>
      <w:tr>
        <w:trPr/>
        <w:tc>
          <w:tcPr>
            <w:tcW w:w="497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(7,034</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(13,627</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(13,831</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(23,994</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9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9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Per Share- Basic &amp; Diluted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bookmarkStart w:id="138" w:name="xdx_902_eus-gaap--EarningsPerShareDilute"/>
            <w:bookmarkStart w:id="139" w:name="xdx_907_eus-gaap--EarningsPerShareBasic_"/>
            <w:bookmarkEnd w:id="138"/>
            <w:bookmarkEnd w:id="139"/>
            <w:r>
              <w:rPr>
                <w:rFonts w:ascii="Times New Roman;Times;Serif" w:hAnsi="Times New Roman;Times;Serif"/>
              </w:rPr>
              <w:t>(0.58</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bookmarkStart w:id="140" w:name="xdx_908_eus-gaap--EarningsPerShareDilute"/>
            <w:bookmarkStart w:id="141" w:name="xdx_902_eus-gaap--EarningsPerShareBasic_"/>
            <w:bookmarkEnd w:id="140"/>
            <w:bookmarkEnd w:id="141"/>
            <w:r>
              <w:rPr>
                <w:rFonts w:ascii="Times New Roman;Times;Serif" w:hAnsi="Times New Roman;Times;Serif"/>
              </w:rPr>
              <w:t>(2.02</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bookmarkStart w:id="142" w:name="xdx_902_eus-gaap--EarningsPerShareDilute"/>
            <w:bookmarkStart w:id="143" w:name="xdx_903_eus-gaap--EarningsPerShareBasic_"/>
            <w:bookmarkEnd w:id="142"/>
            <w:bookmarkEnd w:id="143"/>
            <w:r>
              <w:rPr>
                <w:rFonts w:ascii="Times New Roman;Times;Serif" w:hAnsi="Times New Roman;Times;Serif"/>
              </w:rPr>
              <w:t>(1.42</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bookmarkStart w:id="144" w:name="xdx_906_eus-gaap--EarningsPerShareDilute"/>
            <w:bookmarkStart w:id="145" w:name="xdx_906_eus-gaap--EarningsPerShareBasic_"/>
            <w:bookmarkEnd w:id="144"/>
            <w:bookmarkEnd w:id="145"/>
            <w:r>
              <w:rPr>
                <w:rFonts w:ascii="Times New Roman;Times;Serif" w:hAnsi="Times New Roman;Times;Serif"/>
              </w:rPr>
              <w:t>(3.57</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9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9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Weighted Average Number of Shares - Basic &amp; Diluted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bookmarkStart w:id="146" w:name="xdx_907_eus-gaap--WeightedAverageNumberO"/>
            <w:bookmarkStart w:id="147" w:name="xdx_90C_eus-gaap--WeightedAverageNumberO"/>
            <w:bookmarkEnd w:id="146"/>
            <w:bookmarkEnd w:id="147"/>
            <w:r>
              <w:rPr>
                <w:rFonts w:ascii="Times New Roman;Times;Serif" w:hAnsi="Times New Roman;Times;Serif"/>
              </w:rPr>
              <w:t>12,188,071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bookmarkStart w:id="148" w:name="xdx_906_eus-gaap--WeightedAverageNumberO"/>
            <w:bookmarkStart w:id="149" w:name="xdx_902_eus-gaap--WeightedAverageNumberO"/>
            <w:bookmarkEnd w:id="148"/>
            <w:bookmarkEnd w:id="149"/>
            <w:r>
              <w:rPr>
                <w:rFonts w:ascii="Times New Roman;Times;Serif" w:hAnsi="Times New Roman;Times;Serif"/>
              </w:rPr>
              <w:t>6,741,537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bookmarkStart w:id="150" w:name="xdx_90C_eus-gaap--WeightedAverageNumberO"/>
            <w:bookmarkStart w:id="151" w:name="xdx_905_eus-gaap--WeightedAverageNumberO"/>
            <w:bookmarkEnd w:id="150"/>
            <w:bookmarkEnd w:id="151"/>
            <w:r>
              <w:rPr>
                <w:rFonts w:ascii="Times New Roman;Times;Serif" w:hAnsi="Times New Roman;Times;Serif"/>
              </w:rPr>
              <w:t>9,759,302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bookmarkStart w:id="152" w:name="xdx_906_eus-gaap--WeightedAverageNumberO"/>
            <w:bookmarkStart w:id="153" w:name="xdx_90F_eus-gaap--WeightedAverageNumberO"/>
            <w:bookmarkEnd w:id="152"/>
            <w:bookmarkEnd w:id="153"/>
            <w:r>
              <w:rPr>
                <w:rFonts w:ascii="Times New Roman;Times;Serif" w:hAnsi="Times New Roman;Times;Serif"/>
              </w:rPr>
              <w:t>6,718,627</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 consolidated financial statements.</w:t>
      </w:r>
    </w:p>
    <w:p>
      <w:pPr>
        <w:pStyle w:val="TextBody"/>
        <w:bidi w:val="0"/>
        <w:spacing w:before="0" w:after="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jc w:val="center"/>
        <w:rPr>
          <w:rFonts w:ascii="Times New Roman;Times;Serif" w:hAnsi="Times New Roman;Times;Serif"/>
          <w:b/>
          <w:i w:val="false"/>
          <w:caps/>
          <w:sz w:val="20"/>
        </w:rPr>
      </w:pPr>
      <w:bookmarkStart w:id="154" w:name="a_003"/>
      <w:bookmarkEnd w:id="154"/>
      <w:r>
        <w:rPr>
          <w:rFonts w:ascii="Times New Roman;Times;Serif" w:hAnsi="Times New Roman;Times;Serif"/>
          <w:b/>
          <w:i w:val="false"/>
          <w:caps/>
          <w:sz w:val="20"/>
        </w:rPr>
        <w:t>Unaudited Condensed Consolidated Statements of Shareholders’ Equity (Deficit)</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For The Three and Six Months Ended June 30, 2025 and 2024</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data)</w:t>
      </w:r>
    </w:p>
    <w:p>
      <w:pPr>
        <w:pStyle w:val="TextBody"/>
        <w:bidi w:val="0"/>
        <w:spacing w:before="0" w:after="0"/>
        <w:jc w:val="center"/>
        <w:rPr>
          <w:caps/>
        </w:rPr>
      </w:pPr>
      <w:r>
        <w:rPr>
          <w:caps/>
        </w:rPr>
        <w:t> </w:t>
      </w:r>
    </w:p>
    <w:p>
      <w:pPr>
        <w:pStyle w:val="Normal"/>
        <w:bidi w:val="0"/>
        <w:spacing w:before="0" w:after="0"/>
        <w:jc w:val="left"/>
        <w:rPr>
          <w:sz w:val="4"/>
          <w:szCs w:val="4"/>
        </w:rPr>
      </w:pPr>
      <w:r>
        <w:rPr>
          <w:sz w:val="4"/>
          <w:szCs w:val="4"/>
        </w:rPr>
      </w:r>
      <w:bookmarkStart w:id="155" w:name="xdx_301_114_zHTZc8ZnTKO2"/>
      <w:bookmarkStart w:id="156" w:name="xdx_301_114_zHTZc8ZnTKO2"/>
      <w:bookmarkEnd w:id="156"/>
    </w:p>
    <w:tbl>
      <w:tblPr>
        <w:tblW w:w="10205" w:type="dxa"/>
        <w:jc w:val="left"/>
        <w:tblInd w:w="0" w:type="dxa"/>
        <w:tblLayout w:type="fixed"/>
        <w:tblCellMar>
          <w:top w:w="0" w:type="dxa"/>
          <w:left w:w="0" w:type="dxa"/>
          <w:bottom w:w="0" w:type="dxa"/>
          <w:right w:w="0" w:type="dxa"/>
        </w:tblCellMar>
      </w:tblPr>
      <w:tblGrid>
        <w:gridCol w:w="2201"/>
        <w:gridCol w:w="60"/>
        <w:gridCol w:w="112"/>
        <w:gridCol w:w="600"/>
        <w:gridCol w:w="111"/>
        <w:gridCol w:w="70"/>
        <w:gridCol w:w="184"/>
        <w:gridCol w:w="744"/>
        <w:gridCol w:w="95"/>
        <w:gridCol w:w="60"/>
        <w:gridCol w:w="60"/>
        <w:gridCol w:w="1100"/>
        <w:gridCol w:w="95"/>
        <w:gridCol w:w="60"/>
        <w:gridCol w:w="400"/>
        <w:gridCol w:w="400"/>
        <w:gridCol w:w="60"/>
        <w:gridCol w:w="60"/>
        <w:gridCol w:w="200"/>
        <w:gridCol w:w="971"/>
        <w:gridCol w:w="60"/>
        <w:gridCol w:w="60"/>
        <w:gridCol w:w="200"/>
        <w:gridCol w:w="1080"/>
        <w:gridCol w:w="95"/>
        <w:gridCol w:w="60"/>
        <w:gridCol w:w="140"/>
        <w:gridCol w:w="755"/>
        <w:gridCol w:w="112"/>
      </w:tblGrid>
      <w:tr>
        <w:trPr/>
        <w:tc>
          <w:tcPr>
            <w:tcW w:w="22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57" w:name="xdx_4B3_us-gaap--StatementEquityComponen"/>
            <w:bookmarkEnd w:id="157"/>
          </w:p>
        </w:tc>
        <w:tc>
          <w:tcPr>
            <w:tcW w:w="744"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right w:val="single" w:sz="8" w:space="0" w:color="000000"/>
            </w:tcBorders>
            <w:shd w:fill="FFFF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0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58" w:name="xdx_4BC_us-gaap--StatementEquityComponen"/>
            <w:bookmarkEnd w:id="158"/>
          </w:p>
        </w:tc>
        <w:tc>
          <w:tcPr>
            <w:tcW w:w="40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59" w:name="xdx_4BF_us-gaap--StatementEquityComponen"/>
            <w:bookmarkEnd w:id="159"/>
          </w:p>
        </w:tc>
        <w:tc>
          <w:tcPr>
            <w:tcW w:w="971"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60" w:name="xdx_4BE_us-gaap--StatementEquityComponen"/>
            <w:bookmarkEnd w:id="160"/>
          </w:p>
        </w:tc>
        <w:tc>
          <w:tcPr>
            <w:tcW w:w="108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61" w:name="xdx_4B4_zqmnkA7VN9T2"/>
            <w:bookmarkEnd w:id="161"/>
          </w:p>
        </w:tc>
        <w:tc>
          <w:tcPr>
            <w:tcW w:w="7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20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1"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Redeemable Preferred Stock</w:t>
            </w:r>
          </w:p>
        </w:tc>
        <w:tc>
          <w:tcPr>
            <w:tcW w:w="95" w:type="dxa"/>
            <w:tcBorders/>
            <w:vAlign w:val="center"/>
          </w:tcPr>
          <w:p>
            <w:pPr>
              <w:pStyle w:val="TableContents"/>
              <w:bidi w:val="0"/>
              <w:spacing w:before="0" w:after="283"/>
              <w:jc w:val="left"/>
              <w:rPr/>
            </w:pPr>
            <w:r>
              <w:rPr/>
              <w:t> </w:t>
            </w:r>
          </w:p>
        </w:tc>
        <w:tc>
          <w:tcPr>
            <w:tcW w:w="60" w:type="dxa"/>
            <w:tcBorders>
              <w:left w:val="single" w:sz="8" w:space="0" w:color="000000"/>
            </w:tcBorders>
            <w:tcMar>
              <w:left w:w="28" w:type="dxa"/>
            </w:tcMar>
            <w:vAlign w:val="center"/>
          </w:tcPr>
          <w:p>
            <w:pPr>
              <w:pStyle w:val="TableContents"/>
              <w:bidi w:val="0"/>
              <w:spacing w:before="0" w:after="283"/>
              <w:jc w:val="left"/>
              <w:rPr/>
            </w:pPr>
            <w:r>
              <w:rPr/>
              <w:t> </w:t>
            </w:r>
          </w:p>
        </w:tc>
        <w:tc>
          <w:tcPr>
            <w:tcW w:w="211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1" w:type="dxa"/>
            <w:gridSpan w:val="2"/>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Additional 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r>
      <w:tr>
        <w:trPr/>
        <w:tc>
          <w:tcPr>
            <w:tcW w:w="220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Shares</w:t>
            </w:r>
          </w:p>
        </w:tc>
        <w:tc>
          <w:tcPr>
            <w:tcW w:w="111"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92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Amount</w:t>
            </w:r>
          </w:p>
        </w:tc>
        <w:tc>
          <w:tcPr>
            <w:tcW w:w="95" w:type="dxa"/>
            <w:tcBorders/>
            <w:vAlign w:val="center"/>
          </w:tcPr>
          <w:p>
            <w:pPr>
              <w:pStyle w:val="TableContents"/>
              <w:bidi w:val="0"/>
              <w:spacing w:before="0" w:after="283"/>
              <w:jc w:val="left"/>
              <w:rPr/>
            </w:pPr>
            <w:r>
              <w:rPr/>
              <w:t> </w:t>
            </w:r>
          </w:p>
        </w:tc>
        <w:tc>
          <w:tcPr>
            <w:tcW w:w="60" w:type="dxa"/>
            <w:tcBorders>
              <w:left w:val="single" w:sz="8" w:space="0" w:color="000000"/>
            </w:tcBorders>
            <w:tcMar>
              <w:left w:w="28" w:type="dxa"/>
            </w:tcMar>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Total</w:t>
            </w:r>
          </w:p>
        </w:tc>
        <w:tc>
          <w:tcPr>
            <w:tcW w:w="112" w:type="dxa"/>
            <w:tcBorders/>
            <w:vAlign w:val="center"/>
          </w:tcPr>
          <w:p>
            <w:pPr>
              <w:pStyle w:val="TableContents"/>
              <w:bidi w:val="0"/>
              <w:spacing w:before="0" w:after="283"/>
              <w:jc w:val="left"/>
              <w:rPr/>
            </w:pPr>
            <w:r>
              <w:rPr/>
              <w:t> </w:t>
            </w:r>
          </w:p>
        </w:tc>
      </w:tr>
      <w:tr>
        <w:trPr/>
        <w:tc>
          <w:tcPr>
            <w:tcW w:w="220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2" w:type="dxa"/>
            <w:gridSpan w:val="2"/>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928"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left w:val="single" w:sz="8" w:space="0" w:color="000000"/>
            </w:tcBorders>
            <w:tcMar>
              <w:left w:w="28" w:type="dxa"/>
            </w:tcMar>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1"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bookmarkStart w:id="162" w:name="xdx_434_c20250101__20250331_eus-gaap--St"/>
            <w:bookmarkEnd w:id="162"/>
          </w:p>
        </w:tc>
      </w:tr>
      <w:tr>
        <w:trPr/>
        <w:tc>
          <w:tcPr>
            <w:tcW w:w="2201"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 January 1, 2025</w:t>
            </w:r>
          </w:p>
        </w:tc>
        <w:tc>
          <w:tcPr>
            <w:tcW w:w="60" w:type="dxa"/>
            <w:tcBorders/>
            <w:shd w:fill="CCEEFF" w:val="clear"/>
            <w:vAlign w:val="center"/>
          </w:tcPr>
          <w:p>
            <w:pPr>
              <w:pStyle w:val="TableContents"/>
              <w:bidi w:val="0"/>
              <w:spacing w:before="0" w:after="283"/>
              <w:jc w:val="left"/>
              <w:rPr/>
            </w:pPr>
            <w:r>
              <w:rPr/>
              <w:t> </w:t>
            </w:r>
          </w:p>
        </w:tc>
        <w:tc>
          <w:tcPr>
            <w:tcW w:w="11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63" w:name="xdx_986_eus-gaap--SharesOutstanding_iS_p"/>
            <w:bookmarkEnd w:id="163"/>
          </w:p>
        </w:tc>
        <w:tc>
          <w:tcPr>
            <w:tcW w:w="6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1"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84"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4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64" w:name="xdx_981_eus-gaap--SharesOutstanding_iS_p"/>
            <w:bookmarkEnd w:id="164"/>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7,232,650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7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72,749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(82,154</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(9,404</w:t>
            </w:r>
          </w:p>
        </w:tc>
        <w:tc>
          <w:tcPr>
            <w:tcW w:w="1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20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600"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74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97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0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165" w:name="xdx_400_eus-gaap--NetIncomeLoss_pn3n3_zQ"/>
            <w:bookmarkEnd w:id="165"/>
          </w:p>
        </w:tc>
      </w:tr>
      <w:tr>
        <w:trPr/>
        <w:tc>
          <w:tcPr>
            <w:tcW w:w="220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6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1"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74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97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(6,797</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(6,797</w:t>
            </w:r>
          </w:p>
        </w:tc>
        <w:tc>
          <w:tcPr>
            <w:tcW w:w="1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66" w:name="xdx_409_eus-gaap--StockIssuedDuringPerio"/>
            <w:bookmarkEnd w:id="166"/>
          </w:p>
        </w:tc>
      </w:tr>
      <w:tr>
        <w:trPr/>
        <w:tc>
          <w:tcPr>
            <w:tcW w:w="220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Common stock issued in public offering (ATM), net of costs</w:t>
            </w:r>
          </w:p>
        </w:tc>
        <w:tc>
          <w:tcPr>
            <w:tcW w:w="6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6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1"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74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67" w:name="xdx_981_eus-gaap--StockIssuedDuringPerio"/>
            <w:bookmarkEnd w:id="167"/>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23,160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97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0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w:t>
            </w:r>
          </w:p>
        </w:tc>
        <w:tc>
          <w:tcPr>
            <w:tcW w:w="112" w:type="dxa"/>
            <w:tcBorders/>
            <w:shd w:fill="FFFFFF" w:val="clear"/>
            <w:vAlign w:val="center"/>
          </w:tcPr>
          <w:p>
            <w:pPr>
              <w:pStyle w:val="TableContents"/>
              <w:bidi w:val="0"/>
              <w:spacing w:before="0" w:after="283"/>
              <w:jc w:val="left"/>
              <w:rPr/>
            </w:pPr>
            <w:r>
              <w:rPr/>
              <w:t> </w:t>
            </w:r>
            <w:bookmarkStart w:id="168" w:name="xdx_407_eus-gaap--StockIssuedDuringPerio"/>
            <w:bookmarkEnd w:id="168"/>
          </w:p>
        </w:tc>
      </w:tr>
      <w:tr>
        <w:trPr/>
        <w:tc>
          <w:tcPr>
            <w:tcW w:w="220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Redeemable preferred stock issued, net</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bookmarkStart w:id="169" w:name="xdx_98B_eus-gaap--StockIssuedDuringPerio"/>
            <w:bookmarkEnd w:id="169"/>
          </w:p>
        </w:tc>
        <w:tc>
          <w:tcPr>
            <w:tcW w:w="6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350</w:t>
            </w:r>
          </w:p>
        </w:tc>
        <w:tc>
          <w:tcPr>
            <w:tcW w:w="111"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74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3,180</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97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2" w:type="dxa"/>
            <w:tcBorders/>
            <w:shd w:fill="CCEEFF" w:val="clear"/>
            <w:vAlign w:val="center"/>
          </w:tcPr>
          <w:p>
            <w:pPr>
              <w:pStyle w:val="TableContents"/>
              <w:bidi w:val="0"/>
              <w:spacing w:before="0" w:after="283"/>
              <w:jc w:val="left"/>
              <w:rPr/>
            </w:pPr>
            <w:r>
              <w:rPr/>
              <w:t> </w:t>
            </w:r>
            <w:bookmarkStart w:id="170" w:name="xdx_40B_ecustom--StockIssuedDuringPeriod"/>
            <w:bookmarkEnd w:id="170"/>
          </w:p>
        </w:tc>
      </w:tr>
      <w:tr>
        <w:trPr/>
        <w:tc>
          <w:tcPr>
            <w:tcW w:w="220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for vested restricted stock units</w:t>
            </w:r>
          </w:p>
        </w:tc>
        <w:tc>
          <w:tcPr>
            <w:tcW w:w="6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6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1"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74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71" w:name="xdx_98E_ecustom--StockIssuedDuringPeriod"/>
            <w:bookmarkEnd w:id="171"/>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21,945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97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0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2" w:type="dxa"/>
            <w:tcBorders/>
            <w:shd w:fill="FFFFFF" w:val="clear"/>
            <w:vAlign w:val="center"/>
          </w:tcPr>
          <w:p>
            <w:pPr>
              <w:pStyle w:val="TableContents"/>
              <w:bidi w:val="0"/>
              <w:spacing w:before="0" w:after="283"/>
              <w:jc w:val="left"/>
              <w:rPr/>
            </w:pPr>
            <w:r>
              <w:rPr/>
              <w:t> </w:t>
            </w:r>
            <w:bookmarkStart w:id="172" w:name="xdx_40D_eus-gaap--StockIssuedDuringPerio"/>
            <w:bookmarkEnd w:id="172"/>
          </w:p>
        </w:tc>
      </w:tr>
      <w:tr>
        <w:trPr/>
        <w:tc>
          <w:tcPr>
            <w:tcW w:w="220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Conversion of preferred stock to common stock</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bookmarkStart w:id="173" w:name="xdx_983_eus-gaap--StockIssuedDuringPerio"/>
            <w:bookmarkEnd w:id="173"/>
          </w:p>
        </w:tc>
        <w:tc>
          <w:tcPr>
            <w:tcW w:w="6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w:t>
            </w:r>
          </w:p>
        </w:tc>
        <w:tc>
          <w:tcPr>
            <w:tcW w:w="11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74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(273</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74" w:name="xdx_987_eus-gaap--StockIssuedDuringPerio"/>
            <w:bookmarkEnd w:id="174"/>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311,887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97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273</w:t>
            </w:r>
          </w:p>
        </w:tc>
        <w:tc>
          <w:tcPr>
            <w:tcW w:w="112" w:type="dxa"/>
            <w:tcBorders/>
            <w:shd w:fill="CCEEFF" w:val="clear"/>
            <w:vAlign w:val="center"/>
          </w:tcPr>
          <w:p>
            <w:pPr>
              <w:pStyle w:val="TableContents"/>
              <w:bidi w:val="0"/>
              <w:spacing w:before="0" w:after="283"/>
              <w:jc w:val="left"/>
              <w:rPr/>
            </w:pPr>
            <w:r>
              <w:rPr/>
              <w:t> </w:t>
            </w:r>
            <w:bookmarkStart w:id="175" w:name="xdx_409_eus-gaap--AdjustmentsToAdditiona"/>
            <w:bookmarkEnd w:id="175"/>
          </w:p>
        </w:tc>
      </w:tr>
      <w:tr>
        <w:trPr/>
        <w:tc>
          <w:tcPr>
            <w:tcW w:w="220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 compensation expense</w:t>
            </w:r>
          </w:p>
        </w:tc>
        <w:tc>
          <w:tcPr>
            <w:tcW w:w="60" w:type="dxa"/>
            <w:tcBorders/>
            <w:shd w:fill="FFFFFF" w:val="clear"/>
            <w:vAlign w:val="center"/>
          </w:tcPr>
          <w:p>
            <w:pPr>
              <w:pStyle w:val="TableContents"/>
              <w:bidi w:val="0"/>
              <w:spacing w:before="0" w:after="283"/>
              <w:jc w:val="left"/>
              <w:rPr/>
            </w:pPr>
            <w:r>
              <w:rPr/>
              <w:t> </w:t>
            </w:r>
          </w:p>
        </w:tc>
        <w:tc>
          <w:tcPr>
            <w:tcW w:w="11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1"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8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4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7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220</w:t>
            </w:r>
          </w:p>
        </w:tc>
        <w:tc>
          <w:tcPr>
            <w:tcW w:w="112" w:type="dxa"/>
            <w:tcBorders/>
            <w:shd w:fill="FFFFFF" w:val="clear"/>
            <w:vAlign w:val="center"/>
          </w:tcPr>
          <w:p>
            <w:pPr>
              <w:pStyle w:val="TableContents"/>
              <w:bidi w:val="0"/>
              <w:spacing w:before="0" w:after="283"/>
              <w:jc w:val="left"/>
              <w:rPr/>
            </w:pPr>
            <w:r>
              <w:rPr/>
              <w:t> </w:t>
            </w:r>
          </w:p>
        </w:tc>
      </w:tr>
      <w:tr>
        <w:trPr/>
        <w:tc>
          <w:tcPr>
            <w:tcW w:w="220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600"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74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97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176" w:name="xdx_43E_c20250401__20250630_eus-gaap--St"/>
            <w:bookmarkEnd w:id="176"/>
          </w:p>
        </w:tc>
      </w:tr>
      <w:tr>
        <w:trPr/>
        <w:tc>
          <w:tcPr>
            <w:tcW w:w="2201"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 March 31, 2025</w:t>
            </w:r>
          </w:p>
        </w:tc>
        <w:tc>
          <w:tcPr>
            <w:tcW w:w="6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bookmarkStart w:id="177" w:name="xdx_986_eus-gaap--SharesOutstanding_iS_p"/>
            <w:bookmarkEnd w:id="177"/>
          </w:p>
        </w:tc>
        <w:tc>
          <w:tcPr>
            <w:tcW w:w="6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320</w:t>
            </w:r>
          </w:p>
        </w:tc>
        <w:tc>
          <w:tcPr>
            <w:tcW w:w="111"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74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2,907</w:t>
            </w:r>
          </w:p>
        </w:tc>
        <w:tc>
          <w:tcPr>
            <w:tcW w:w="95"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78" w:name="xdx_980_eus-gaap--SharesOutstanding_iS_p"/>
            <w:bookmarkEnd w:id="178"/>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7,589,642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97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73,305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0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(88,951</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(15,645</w:t>
            </w:r>
          </w:p>
        </w:tc>
        <w:tc>
          <w:tcPr>
            <w:tcW w:w="11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79" w:name="xdx_400_eus-gaap--NetIncomeLoss_pn3n3_zk"/>
            <w:bookmarkEnd w:id="179"/>
          </w:p>
        </w:tc>
      </w:tr>
      <w:tr>
        <w:trPr/>
        <w:tc>
          <w:tcPr>
            <w:tcW w:w="220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6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1"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74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97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(7,034</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(7,034</w:t>
            </w:r>
          </w:p>
        </w:tc>
        <w:tc>
          <w:tcPr>
            <w:tcW w:w="1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80" w:name="xdx_405_eus-gaap--StockIssuedDuringPerio"/>
            <w:bookmarkEnd w:id="180"/>
          </w:p>
        </w:tc>
      </w:tr>
      <w:tr>
        <w:trPr/>
        <w:tc>
          <w:tcPr>
            <w:tcW w:w="220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 issuance under ESPP</w:t>
            </w:r>
          </w:p>
        </w:tc>
        <w:tc>
          <w:tcPr>
            <w:tcW w:w="6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6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1"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74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81" w:name="xdx_98A_eus-gaap--StockIssuedDuringPerio"/>
            <w:bookmarkEnd w:id="181"/>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87,506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97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0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73</w:t>
            </w:r>
          </w:p>
        </w:tc>
        <w:tc>
          <w:tcPr>
            <w:tcW w:w="112" w:type="dxa"/>
            <w:tcBorders/>
            <w:shd w:fill="FFFFFF" w:val="clear"/>
            <w:vAlign w:val="center"/>
          </w:tcPr>
          <w:p>
            <w:pPr>
              <w:pStyle w:val="TableContents"/>
              <w:bidi w:val="0"/>
              <w:spacing w:before="0" w:after="283"/>
              <w:jc w:val="left"/>
              <w:rPr/>
            </w:pPr>
            <w:r>
              <w:rPr/>
              <w:t> </w:t>
            </w:r>
            <w:bookmarkStart w:id="182" w:name="xdx_407_eus-gaap--StockIssuedDuringPerio"/>
            <w:bookmarkEnd w:id="182"/>
          </w:p>
        </w:tc>
      </w:tr>
      <w:tr>
        <w:trPr/>
        <w:tc>
          <w:tcPr>
            <w:tcW w:w="220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Redeemable preferred stock issued, net</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bookmarkStart w:id="183" w:name="xdx_983_eus-gaap--StockIssuedDuringPerio"/>
            <w:bookmarkEnd w:id="183"/>
          </w:p>
        </w:tc>
        <w:tc>
          <w:tcPr>
            <w:tcW w:w="6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450</w:t>
            </w:r>
          </w:p>
        </w:tc>
        <w:tc>
          <w:tcPr>
            <w:tcW w:w="111"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74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4,150</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97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2" w:type="dxa"/>
            <w:tcBorders/>
            <w:shd w:fill="CCEEFF" w:val="clear"/>
            <w:vAlign w:val="center"/>
          </w:tcPr>
          <w:p>
            <w:pPr>
              <w:pStyle w:val="TableContents"/>
              <w:bidi w:val="0"/>
              <w:spacing w:before="0" w:after="283"/>
              <w:jc w:val="left"/>
              <w:rPr/>
            </w:pPr>
            <w:r>
              <w:rPr/>
              <w:t> </w:t>
            </w:r>
            <w:bookmarkStart w:id="184" w:name="xdx_40B_ecustom--StockIssuedDuringPeriod"/>
            <w:bookmarkEnd w:id="184"/>
          </w:p>
        </w:tc>
      </w:tr>
      <w:tr>
        <w:trPr/>
        <w:tc>
          <w:tcPr>
            <w:tcW w:w="220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for vested restricted stock units</w:t>
            </w:r>
          </w:p>
        </w:tc>
        <w:tc>
          <w:tcPr>
            <w:tcW w:w="6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6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1"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74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85" w:name="xdx_981_ecustom--StockIssuedDuringPeriod"/>
            <w:bookmarkEnd w:id="185"/>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64,343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97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0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2" w:type="dxa"/>
            <w:tcBorders/>
            <w:shd w:fill="FFFFFF" w:val="clear"/>
            <w:vAlign w:val="center"/>
          </w:tcPr>
          <w:p>
            <w:pPr>
              <w:pStyle w:val="TableContents"/>
              <w:bidi w:val="0"/>
              <w:spacing w:before="0" w:after="283"/>
              <w:jc w:val="left"/>
              <w:rPr/>
            </w:pPr>
            <w:r>
              <w:rPr/>
              <w:t> </w:t>
            </w:r>
            <w:bookmarkStart w:id="186" w:name="xdx_40D_eus-gaap--StockIssuedDuringPerio"/>
            <w:bookmarkEnd w:id="186"/>
          </w:p>
        </w:tc>
      </w:tr>
      <w:tr>
        <w:trPr/>
        <w:tc>
          <w:tcPr>
            <w:tcW w:w="220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Conversion of preferred stock to common stock</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bookmarkStart w:id="187" w:name="xdx_980_eus-gaap--StockIssuedDuringPerio"/>
            <w:bookmarkEnd w:id="187"/>
          </w:p>
        </w:tc>
        <w:tc>
          <w:tcPr>
            <w:tcW w:w="6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(634</w:t>
            </w:r>
          </w:p>
        </w:tc>
        <w:tc>
          <w:tcPr>
            <w:tcW w:w="11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74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(5,812</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88" w:name="xdx_980_eus-gaap--StockIssuedDuringPerio"/>
            <w:bookmarkEnd w:id="188"/>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29,684,888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97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5,812</w:t>
            </w:r>
          </w:p>
        </w:tc>
        <w:tc>
          <w:tcPr>
            <w:tcW w:w="112" w:type="dxa"/>
            <w:tcBorders/>
            <w:shd w:fill="CCEEFF" w:val="clear"/>
            <w:vAlign w:val="center"/>
          </w:tcPr>
          <w:p>
            <w:pPr>
              <w:pStyle w:val="TableContents"/>
              <w:bidi w:val="0"/>
              <w:spacing w:before="0" w:after="283"/>
              <w:jc w:val="left"/>
              <w:rPr/>
            </w:pPr>
            <w:r>
              <w:rPr/>
              <w:t> </w:t>
            </w:r>
            <w:bookmarkStart w:id="189" w:name="xdx_409_eus-gaap--AdjustmentsToAdditiona"/>
            <w:bookmarkEnd w:id="189"/>
          </w:p>
        </w:tc>
      </w:tr>
      <w:tr>
        <w:trPr/>
        <w:tc>
          <w:tcPr>
            <w:tcW w:w="220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 compensation expense</w:t>
            </w:r>
          </w:p>
        </w:tc>
        <w:tc>
          <w:tcPr>
            <w:tcW w:w="60" w:type="dxa"/>
            <w:tcBorders/>
            <w:shd w:fill="FFFFFF" w:val="clear"/>
            <w:vAlign w:val="center"/>
          </w:tcPr>
          <w:p>
            <w:pPr>
              <w:pStyle w:val="TableContents"/>
              <w:bidi w:val="0"/>
              <w:spacing w:before="0" w:after="283"/>
              <w:jc w:val="left"/>
              <w:rPr/>
            </w:pPr>
            <w:r>
              <w:rPr/>
              <w:t> </w:t>
            </w:r>
          </w:p>
        </w:tc>
        <w:tc>
          <w:tcPr>
            <w:tcW w:w="11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1"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8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4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7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190</w:t>
            </w:r>
          </w:p>
        </w:tc>
        <w:tc>
          <w:tcPr>
            <w:tcW w:w="112" w:type="dxa"/>
            <w:tcBorders/>
            <w:shd w:fill="FFFFFF" w:val="clear"/>
            <w:vAlign w:val="center"/>
          </w:tcPr>
          <w:p>
            <w:pPr>
              <w:pStyle w:val="TableContents"/>
              <w:bidi w:val="0"/>
              <w:spacing w:before="0" w:after="283"/>
              <w:jc w:val="left"/>
              <w:rPr/>
            </w:pPr>
            <w:r>
              <w:rPr/>
              <w:t> </w:t>
            </w:r>
          </w:p>
        </w:tc>
      </w:tr>
      <w:tr>
        <w:trPr/>
        <w:tc>
          <w:tcPr>
            <w:tcW w:w="220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600"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74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97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190" w:name="xdx_431_c20250401__20250630_eus-gaap--St"/>
            <w:bookmarkEnd w:id="190"/>
          </w:p>
        </w:tc>
      </w:tr>
      <w:tr>
        <w:trPr/>
        <w:tc>
          <w:tcPr>
            <w:tcW w:w="2201"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 June 30, 2025</w:t>
            </w:r>
          </w:p>
        </w:tc>
        <w:tc>
          <w:tcPr>
            <w:tcW w:w="60" w:type="dxa"/>
            <w:tcBorders/>
            <w:shd w:fill="FFFFFF" w:val="clear"/>
            <w:vAlign w:val="center"/>
          </w:tcPr>
          <w:p>
            <w:pPr>
              <w:pStyle w:val="TableContents"/>
              <w:bidi w:val="0"/>
              <w:spacing w:before="0" w:after="283"/>
              <w:jc w:val="left"/>
              <w:rPr/>
            </w:pPr>
            <w:r>
              <w:rPr/>
              <w:t> </w:t>
            </w:r>
          </w:p>
        </w:tc>
        <w:tc>
          <w:tcPr>
            <w:tcW w:w="11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91" w:name="xdx_988_eus-gaap--SharesOutstanding_iE_p"/>
            <w:bookmarkEnd w:id="191"/>
          </w:p>
        </w:tc>
        <w:tc>
          <w:tcPr>
            <w:tcW w:w="6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136</w:t>
            </w:r>
          </w:p>
        </w:tc>
        <w:tc>
          <w:tcPr>
            <w:tcW w:w="111"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84"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4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1,245</w:t>
            </w:r>
          </w:p>
        </w:tc>
        <w:tc>
          <w:tcPr>
            <w:tcW w:w="95"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92" w:name="xdx_986_eus-gaap--SharesOutstanding_iE_p"/>
            <w:bookmarkEnd w:id="192"/>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37,426,379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7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79,377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(95,985</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(16,604</w:t>
            </w:r>
          </w:p>
        </w:tc>
        <w:tc>
          <w:tcPr>
            <w:tcW w:w="11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20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600"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74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97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193" w:name="xdx_43E_c20240101__20240331_eus-gaap--St"/>
            <w:bookmarkEnd w:id="193"/>
          </w:p>
        </w:tc>
      </w:tr>
      <w:tr>
        <w:trPr/>
        <w:tc>
          <w:tcPr>
            <w:tcW w:w="2201"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 January 1, 2024</w:t>
            </w:r>
          </w:p>
        </w:tc>
        <w:tc>
          <w:tcPr>
            <w:tcW w:w="60" w:type="dxa"/>
            <w:tcBorders/>
            <w:shd w:fill="FFFFFF" w:val="clear"/>
            <w:vAlign w:val="center"/>
          </w:tcPr>
          <w:p>
            <w:pPr>
              <w:pStyle w:val="TableContents"/>
              <w:bidi w:val="0"/>
              <w:spacing w:before="0" w:after="283"/>
              <w:jc w:val="left"/>
              <w:rPr/>
            </w:pPr>
            <w:r>
              <w:rPr/>
              <w:t> </w:t>
            </w:r>
          </w:p>
        </w:tc>
        <w:tc>
          <w:tcPr>
            <w:tcW w:w="11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94" w:name="xdx_981_eus-gaap--SharesOutstanding_iS_p"/>
            <w:bookmarkEnd w:id="194"/>
          </w:p>
        </w:tc>
        <w:tc>
          <w:tcPr>
            <w:tcW w:w="6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1"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84"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4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95" w:name="xdx_981_eus-gaap--SharesOutstanding_iS_p"/>
            <w:bookmarkEnd w:id="195"/>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6,695,587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7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69,450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(41,539</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27,912</w:t>
            </w:r>
          </w:p>
        </w:tc>
        <w:tc>
          <w:tcPr>
            <w:tcW w:w="112" w:type="dxa"/>
            <w:tcBorders/>
            <w:shd w:fill="FFFFFF" w:val="clear"/>
            <w:vAlign w:val="center"/>
          </w:tcPr>
          <w:p>
            <w:pPr>
              <w:pStyle w:val="TableContents"/>
              <w:bidi w:val="0"/>
              <w:spacing w:before="0" w:after="283"/>
              <w:jc w:val="left"/>
              <w:rPr/>
            </w:pPr>
            <w:r>
              <w:rPr/>
              <w:t> </w:t>
            </w:r>
          </w:p>
        </w:tc>
      </w:tr>
      <w:tr>
        <w:trPr/>
        <w:tc>
          <w:tcPr>
            <w:tcW w:w="220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600"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74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97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196" w:name="xdx_403_eus-gaap--NetIncomeLoss_pn3n3_zT"/>
            <w:bookmarkEnd w:id="196"/>
          </w:p>
        </w:tc>
      </w:tr>
      <w:tr>
        <w:trPr/>
        <w:tc>
          <w:tcPr>
            <w:tcW w:w="220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w:t>
            </w:r>
          </w:p>
        </w:tc>
        <w:tc>
          <w:tcPr>
            <w:tcW w:w="6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6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1"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74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97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0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(10,367</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(10,367</w:t>
            </w:r>
          </w:p>
        </w:tc>
        <w:tc>
          <w:tcPr>
            <w:tcW w:w="11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97" w:name="xdx_40C_eus-gaap--AdjustmentsToAdditiona"/>
            <w:bookmarkEnd w:id="197"/>
          </w:p>
        </w:tc>
      </w:tr>
      <w:tr>
        <w:trPr/>
        <w:tc>
          <w:tcPr>
            <w:tcW w:w="220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 compensation expense</w:t>
            </w:r>
          </w:p>
        </w:tc>
        <w:tc>
          <w:tcPr>
            <w:tcW w:w="60" w:type="dxa"/>
            <w:tcBorders/>
            <w:shd w:fill="CCEEFF" w:val="clear"/>
            <w:vAlign w:val="center"/>
          </w:tcPr>
          <w:p>
            <w:pPr>
              <w:pStyle w:val="TableContents"/>
              <w:bidi w:val="0"/>
              <w:spacing w:before="0" w:after="283"/>
              <w:jc w:val="left"/>
              <w:rPr/>
            </w:pPr>
            <w:r>
              <w:rPr/>
              <w:t> </w:t>
            </w:r>
          </w:p>
        </w:tc>
        <w:tc>
          <w:tcPr>
            <w:tcW w:w="11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1"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8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4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7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266</w:t>
            </w:r>
          </w:p>
        </w:tc>
        <w:tc>
          <w:tcPr>
            <w:tcW w:w="112" w:type="dxa"/>
            <w:tcBorders/>
            <w:shd w:fill="CCEEFF" w:val="clear"/>
            <w:vAlign w:val="center"/>
          </w:tcPr>
          <w:p>
            <w:pPr>
              <w:pStyle w:val="TableContents"/>
              <w:bidi w:val="0"/>
              <w:spacing w:before="0" w:after="283"/>
              <w:jc w:val="left"/>
              <w:rPr/>
            </w:pPr>
            <w:r>
              <w:rPr/>
              <w:t> </w:t>
            </w:r>
          </w:p>
        </w:tc>
      </w:tr>
      <w:tr>
        <w:trPr/>
        <w:tc>
          <w:tcPr>
            <w:tcW w:w="220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600"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74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97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0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198" w:name="xdx_439_c20240401__20240630_eus-gaap--St"/>
            <w:bookmarkEnd w:id="198"/>
          </w:p>
        </w:tc>
      </w:tr>
      <w:tr>
        <w:trPr/>
        <w:tc>
          <w:tcPr>
            <w:tcW w:w="2201"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 March 31, 2024</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bookmarkStart w:id="199" w:name="xdx_989_eus-gaap--SharesOutstanding_iS_p"/>
            <w:bookmarkEnd w:id="199"/>
          </w:p>
        </w:tc>
        <w:tc>
          <w:tcPr>
            <w:tcW w:w="6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1"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74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00" w:name="xdx_982_eus-gaap--SharesOutstanding_iS_p"/>
            <w:bookmarkEnd w:id="200"/>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6,695,587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97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69,716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(51,906</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17,811</w:t>
            </w:r>
          </w:p>
        </w:tc>
        <w:tc>
          <w:tcPr>
            <w:tcW w:w="112" w:type="dxa"/>
            <w:tcBorders/>
            <w:shd w:fill="CCEEFF" w:val="clear"/>
            <w:vAlign w:val="center"/>
          </w:tcPr>
          <w:p>
            <w:pPr>
              <w:pStyle w:val="TableContents"/>
              <w:bidi w:val="0"/>
              <w:spacing w:before="0" w:after="283"/>
              <w:jc w:val="left"/>
              <w:rPr/>
            </w:pPr>
            <w:r>
              <w:rPr/>
              <w:t> </w:t>
            </w:r>
            <w:bookmarkStart w:id="201" w:name="xdx_43D_c20240401__20240630_eus-gaap--St"/>
            <w:bookmarkEnd w:id="201"/>
          </w:p>
        </w:tc>
      </w:tr>
      <w:tr>
        <w:trPr/>
        <w:tc>
          <w:tcPr>
            <w:tcW w:w="2201"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Balance</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bookmarkStart w:id="202" w:name="xdx_987_eus-gaap--SharesOutstanding_iS_p"/>
            <w:bookmarkEnd w:id="202"/>
          </w:p>
        </w:tc>
        <w:tc>
          <w:tcPr>
            <w:tcW w:w="60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1"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74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03" w:name="xdx_988_eus-gaap--SharesOutstanding_iS_p"/>
            <w:bookmarkEnd w:id="203"/>
          </w:p>
        </w:tc>
        <w:tc>
          <w:tcPr>
            <w:tcW w:w="110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6,695,587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97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69,716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(51,906</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17,811</w:t>
            </w:r>
          </w:p>
        </w:tc>
        <w:tc>
          <w:tcPr>
            <w:tcW w:w="112" w:type="dxa"/>
            <w:tcBorders/>
            <w:shd w:fill="CCEEFF" w:val="clear"/>
            <w:vAlign w:val="center"/>
          </w:tcPr>
          <w:p>
            <w:pPr>
              <w:pStyle w:val="TableContents"/>
              <w:bidi w:val="0"/>
              <w:spacing w:before="0" w:after="283"/>
              <w:jc w:val="left"/>
              <w:rPr/>
            </w:pPr>
            <w:r>
              <w:rPr/>
              <w:t> </w:t>
            </w:r>
            <w:bookmarkStart w:id="204" w:name="xdx_400_eus-gaap--NetIncomeLoss_pn3n3_zu"/>
            <w:bookmarkEnd w:id="204"/>
          </w:p>
        </w:tc>
      </w:tr>
      <w:tr>
        <w:trPr/>
        <w:tc>
          <w:tcPr>
            <w:tcW w:w="220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w:t>
            </w:r>
          </w:p>
        </w:tc>
        <w:tc>
          <w:tcPr>
            <w:tcW w:w="6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6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1"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74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97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0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(13,627</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(13,627</w:t>
            </w:r>
          </w:p>
        </w:tc>
        <w:tc>
          <w:tcPr>
            <w:tcW w:w="11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05" w:name="xdx_409_eus-gaap--StockIssuedDuringPerio"/>
            <w:bookmarkEnd w:id="205"/>
          </w:p>
        </w:tc>
      </w:tr>
      <w:tr>
        <w:trPr/>
        <w:tc>
          <w:tcPr>
            <w:tcW w:w="220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Common stock issued in public offering (ATM), net of costs</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6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1"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74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06" w:name="xdx_988_eus-gaap--StockIssuedDuringPerio"/>
            <w:bookmarkEnd w:id="206"/>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94,496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97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730</w:t>
            </w:r>
          </w:p>
        </w:tc>
        <w:tc>
          <w:tcPr>
            <w:tcW w:w="112" w:type="dxa"/>
            <w:tcBorders/>
            <w:shd w:fill="CCEEFF" w:val="clear"/>
            <w:vAlign w:val="center"/>
          </w:tcPr>
          <w:p>
            <w:pPr>
              <w:pStyle w:val="TableContents"/>
              <w:bidi w:val="0"/>
              <w:spacing w:before="0" w:after="283"/>
              <w:jc w:val="left"/>
              <w:rPr/>
            </w:pPr>
            <w:r>
              <w:rPr/>
              <w:t> </w:t>
            </w:r>
            <w:bookmarkStart w:id="207" w:name="xdx_405_eus-gaap--StockIssuedDuringPerio"/>
            <w:bookmarkEnd w:id="207"/>
          </w:p>
        </w:tc>
      </w:tr>
      <w:tr>
        <w:trPr/>
        <w:tc>
          <w:tcPr>
            <w:tcW w:w="220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 issuance under ESPP</w:t>
            </w:r>
          </w:p>
        </w:tc>
        <w:tc>
          <w:tcPr>
            <w:tcW w:w="6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6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1"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74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08" w:name="xdx_98A_eus-gaap--StockIssuedDuringPerio"/>
            <w:bookmarkEnd w:id="208"/>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27,197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97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0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112</w:t>
            </w:r>
          </w:p>
        </w:tc>
        <w:tc>
          <w:tcPr>
            <w:tcW w:w="112" w:type="dxa"/>
            <w:tcBorders/>
            <w:shd w:fill="FFFFFF" w:val="clear"/>
            <w:vAlign w:val="center"/>
          </w:tcPr>
          <w:p>
            <w:pPr>
              <w:pStyle w:val="TableContents"/>
              <w:bidi w:val="0"/>
              <w:spacing w:before="0" w:after="283"/>
              <w:jc w:val="left"/>
              <w:rPr/>
            </w:pPr>
            <w:r>
              <w:rPr/>
              <w:t> </w:t>
            </w:r>
            <w:bookmarkStart w:id="209" w:name="xdx_408_eus-gaap--StockIssuedDuringPerio"/>
            <w:bookmarkEnd w:id="209"/>
          </w:p>
        </w:tc>
      </w:tr>
      <w:tr>
        <w:trPr/>
        <w:tc>
          <w:tcPr>
            <w:tcW w:w="220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 cancellation</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6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1"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74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10" w:name="xdx_982_eus-gaap--StockIssuedDuringPerio"/>
            <w:bookmarkEnd w:id="210"/>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97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2" w:type="dxa"/>
            <w:tcBorders/>
            <w:shd w:fill="CCEEFF" w:val="clear"/>
            <w:vAlign w:val="center"/>
          </w:tcPr>
          <w:p>
            <w:pPr>
              <w:pStyle w:val="TableContents"/>
              <w:bidi w:val="0"/>
              <w:spacing w:before="0" w:after="283"/>
              <w:jc w:val="left"/>
              <w:rPr/>
            </w:pPr>
            <w:r>
              <w:rPr/>
              <w:t> </w:t>
            </w:r>
            <w:bookmarkStart w:id="211" w:name="xdx_407_eus-gaap--StockIssuedDuringPerio"/>
            <w:bookmarkEnd w:id="211"/>
          </w:p>
        </w:tc>
      </w:tr>
      <w:tr>
        <w:trPr/>
        <w:tc>
          <w:tcPr>
            <w:tcW w:w="220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Exercise of stock options</w:t>
            </w:r>
          </w:p>
        </w:tc>
        <w:tc>
          <w:tcPr>
            <w:tcW w:w="6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6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1"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74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12" w:name="xdx_98F_eus-gaap--StockIssuedDuringPerio"/>
            <w:bookmarkEnd w:id="212"/>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97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0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w:t>
            </w:r>
          </w:p>
        </w:tc>
        <w:tc>
          <w:tcPr>
            <w:tcW w:w="112" w:type="dxa"/>
            <w:tcBorders/>
            <w:shd w:fill="FFFFFF" w:val="clear"/>
            <w:vAlign w:val="center"/>
          </w:tcPr>
          <w:p>
            <w:pPr>
              <w:pStyle w:val="TableContents"/>
              <w:bidi w:val="0"/>
              <w:spacing w:before="0" w:after="283"/>
              <w:jc w:val="left"/>
              <w:rPr/>
            </w:pPr>
            <w:r>
              <w:rPr/>
              <w:t> </w:t>
            </w:r>
            <w:bookmarkStart w:id="213" w:name="xdx_40B_ecustom--StockIssuedDuringPeriod"/>
            <w:bookmarkEnd w:id="213"/>
          </w:p>
        </w:tc>
      </w:tr>
      <w:tr>
        <w:trPr/>
        <w:tc>
          <w:tcPr>
            <w:tcW w:w="220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issued for vested restricted stock units</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6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1"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74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14" w:name="xdx_988_ecustom--StockIssuedDuringPeriod"/>
            <w:bookmarkEnd w:id="214"/>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97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2" w:type="dxa"/>
            <w:tcBorders/>
            <w:shd w:fill="CCEEFF" w:val="clear"/>
            <w:vAlign w:val="center"/>
          </w:tcPr>
          <w:p>
            <w:pPr>
              <w:pStyle w:val="TableContents"/>
              <w:bidi w:val="0"/>
              <w:spacing w:before="0" w:after="283"/>
              <w:jc w:val="left"/>
              <w:rPr/>
            </w:pPr>
            <w:r>
              <w:rPr/>
              <w:t> </w:t>
            </w:r>
            <w:bookmarkStart w:id="215" w:name="xdx_409_eus-gaap--AdjustmentsToAdditiona"/>
            <w:bookmarkEnd w:id="215"/>
          </w:p>
        </w:tc>
      </w:tr>
      <w:tr>
        <w:trPr/>
        <w:tc>
          <w:tcPr>
            <w:tcW w:w="220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 compensation expense</w:t>
            </w:r>
          </w:p>
        </w:tc>
        <w:tc>
          <w:tcPr>
            <w:tcW w:w="60" w:type="dxa"/>
            <w:tcBorders/>
            <w:shd w:fill="FFFFFF" w:val="clear"/>
            <w:vAlign w:val="center"/>
          </w:tcPr>
          <w:p>
            <w:pPr>
              <w:pStyle w:val="TableContents"/>
              <w:bidi w:val="0"/>
              <w:spacing w:before="0" w:after="283"/>
              <w:jc w:val="left"/>
              <w:rPr/>
            </w:pPr>
            <w:r>
              <w:rPr/>
              <w:t> </w:t>
            </w:r>
          </w:p>
        </w:tc>
        <w:tc>
          <w:tcPr>
            <w:tcW w:w="11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1"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8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4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7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237</w:t>
            </w:r>
          </w:p>
        </w:tc>
        <w:tc>
          <w:tcPr>
            <w:tcW w:w="112" w:type="dxa"/>
            <w:tcBorders/>
            <w:shd w:fill="FFFFFF" w:val="clear"/>
            <w:vAlign w:val="center"/>
          </w:tcPr>
          <w:p>
            <w:pPr>
              <w:pStyle w:val="TableContents"/>
              <w:bidi w:val="0"/>
              <w:spacing w:before="0" w:after="283"/>
              <w:jc w:val="left"/>
              <w:rPr/>
            </w:pPr>
            <w:r>
              <w:rPr/>
              <w:t> </w:t>
            </w:r>
          </w:p>
        </w:tc>
      </w:tr>
      <w:tr>
        <w:trPr/>
        <w:tc>
          <w:tcPr>
            <w:tcW w:w="220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600"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74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97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216" w:name="xdx_43C_c20240401__20240630_eus-gaap--St"/>
            <w:bookmarkEnd w:id="216"/>
          </w:p>
        </w:tc>
      </w:tr>
      <w:tr>
        <w:trPr/>
        <w:tc>
          <w:tcPr>
            <w:tcW w:w="2201"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 June 30, 2024</w:t>
            </w:r>
          </w:p>
        </w:tc>
        <w:tc>
          <w:tcPr>
            <w:tcW w:w="60" w:type="dxa"/>
            <w:tcBorders/>
            <w:shd w:fill="FFFFFF" w:val="clear"/>
            <w:vAlign w:val="center"/>
          </w:tcPr>
          <w:p>
            <w:pPr>
              <w:pStyle w:val="TableContents"/>
              <w:bidi w:val="0"/>
              <w:spacing w:before="0" w:after="283"/>
              <w:jc w:val="left"/>
              <w:rPr/>
            </w:pPr>
            <w:r>
              <w:rPr/>
              <w:t> </w:t>
            </w:r>
          </w:p>
        </w:tc>
        <w:tc>
          <w:tcPr>
            <w:tcW w:w="11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217" w:name="xdx_98F_eus-gaap--SharesOutstanding_iE_p"/>
            <w:bookmarkEnd w:id="217"/>
          </w:p>
        </w:tc>
        <w:tc>
          <w:tcPr>
            <w:tcW w:w="6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1"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8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4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218" w:name="xdx_98E_eus-gaap--SharesOutstanding_iE_p"/>
            <w:bookmarkEnd w:id="218"/>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6,818,626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7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70,798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(65,533</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5,266</w:t>
            </w:r>
          </w:p>
        </w:tc>
        <w:tc>
          <w:tcPr>
            <w:tcW w:w="112" w:type="dxa"/>
            <w:tcBorders/>
            <w:shd w:fill="FFFFFF" w:val="clear"/>
            <w:vAlign w:val="center"/>
          </w:tcPr>
          <w:p>
            <w:pPr>
              <w:pStyle w:val="TableContents"/>
              <w:bidi w:val="0"/>
              <w:spacing w:before="0" w:after="283"/>
              <w:jc w:val="left"/>
              <w:rPr/>
            </w:pPr>
            <w:r>
              <w:rPr/>
              <w:t> </w:t>
            </w:r>
            <w:bookmarkStart w:id="219" w:name="xdx_438_c20240401__20240630_eus-gaap--St"/>
            <w:bookmarkEnd w:id="219"/>
          </w:p>
        </w:tc>
      </w:tr>
      <w:tr>
        <w:trPr/>
        <w:tc>
          <w:tcPr>
            <w:tcW w:w="2201"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Balance</w:t>
            </w:r>
          </w:p>
        </w:tc>
        <w:tc>
          <w:tcPr>
            <w:tcW w:w="60" w:type="dxa"/>
            <w:tcBorders/>
            <w:shd w:fill="FFFFFF" w:val="clear"/>
            <w:vAlign w:val="center"/>
          </w:tcPr>
          <w:p>
            <w:pPr>
              <w:pStyle w:val="TableContents"/>
              <w:bidi w:val="0"/>
              <w:spacing w:before="0" w:after="283"/>
              <w:jc w:val="left"/>
              <w:rPr/>
            </w:pPr>
            <w:r>
              <w:rPr/>
              <w:t> </w:t>
            </w:r>
          </w:p>
        </w:tc>
        <w:tc>
          <w:tcPr>
            <w:tcW w:w="11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220" w:name="xdx_98D_eus-gaap--SharesOutstanding_iE_p"/>
            <w:bookmarkEnd w:id="220"/>
          </w:p>
        </w:tc>
        <w:tc>
          <w:tcPr>
            <w:tcW w:w="6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1"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8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4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221" w:name="xdx_985_eus-gaap--SharesOutstanding_iE_p"/>
            <w:bookmarkEnd w:id="221"/>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6,818,626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4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70,798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(65,533</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5,266</w:t>
            </w:r>
          </w:p>
        </w:tc>
        <w:tc>
          <w:tcPr>
            <w:tcW w:w="112" w:type="dxa"/>
            <w:tcBorders/>
            <w:shd w:fill="FFFFFF" w:val="clear"/>
            <w:vAlign w:val="center"/>
          </w:tcPr>
          <w:p>
            <w:pPr>
              <w:pStyle w:val="TableContents"/>
              <w:bidi w:val="0"/>
              <w:spacing w:before="0" w:after="283"/>
              <w:jc w:val="left"/>
              <w:rPr/>
            </w:pPr>
            <w:r>
              <w:rPr/>
              <w:t> </w:t>
            </w:r>
          </w:p>
        </w:tc>
      </w:tr>
    </w:tbl>
    <w:p>
      <w:pPr>
        <w:pStyle w:val="TextBody"/>
        <w:bidi w:val="0"/>
        <w:spacing w:before="0" w:after="0"/>
        <w:jc w:val="center"/>
        <w:rPr>
          <w:caps/>
        </w:rPr>
      </w:pPr>
      <w:r>
        <w:rPr>
          <w:caps/>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 consolidated financial statements.</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jc w:val="left"/>
        <w:rPr>
          <w:caps/>
        </w:rPr>
      </w:pPr>
      <w:r>
        <w:rPr>
          <w:caps/>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jc w:val="center"/>
        <w:rPr>
          <w:rFonts w:ascii="Times New Roman;Times;Serif" w:hAnsi="Times New Roman;Times;Serif"/>
          <w:b/>
          <w:i w:val="false"/>
          <w:caps/>
          <w:sz w:val="20"/>
        </w:rPr>
      </w:pPr>
      <w:bookmarkStart w:id="222" w:name="a_004"/>
      <w:bookmarkEnd w:id="222"/>
      <w:r>
        <w:rPr>
          <w:rFonts w:ascii="Times New Roman;Times;Serif" w:hAnsi="Times New Roman;Times;Serif"/>
          <w:b/>
          <w:i w:val="false"/>
          <w:caps/>
          <w:sz w:val="20"/>
        </w:rPr>
        <w:t>Unaudited Condensed Consolidated Statements of Cash Flows</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For The Six Months Ended June 30, 2025 and 2024</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(in thousands)</w:t>
      </w:r>
    </w:p>
    <w:p>
      <w:pPr>
        <w:pStyle w:val="TextBody"/>
        <w:bidi w:val="0"/>
        <w:spacing w:before="0" w:after="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23" w:name="xdx_306_112_pn3n3_zB5twOj6s3Of"/>
      <w:bookmarkStart w:id="224" w:name="xdx_306_112_pn3n3_zB5twOj6s3Of"/>
      <w:bookmarkEnd w:id="224"/>
    </w:p>
    <w:tbl>
      <w:tblPr>
        <w:tblW w:w="9440" w:type="dxa"/>
        <w:jc w:val="left"/>
        <w:tblInd w:w="0" w:type="dxa"/>
        <w:tblLayout w:type="fixed"/>
        <w:tblCellMar>
          <w:top w:w="0" w:type="dxa"/>
          <w:left w:w="0" w:type="dxa"/>
          <w:bottom w:w="0" w:type="dxa"/>
          <w:right w:w="0" w:type="dxa"/>
        </w:tblCellMar>
      </w:tblPr>
      <w:tblGrid>
        <w:gridCol w:w="7325"/>
        <w:gridCol w:w="60"/>
        <w:gridCol w:w="140"/>
        <w:gridCol w:w="755"/>
        <w:gridCol w:w="95"/>
        <w:gridCol w:w="60"/>
        <w:gridCol w:w="140"/>
        <w:gridCol w:w="755"/>
        <w:gridCol w:w="110"/>
      </w:tblGrid>
      <w:tr>
        <w:trPr/>
        <w:tc>
          <w:tcPr>
            <w:tcW w:w="73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25" w:name="xdx_493_20250101__20250630_zQreBrAVSIZf"/>
            <w:bookmarkEnd w:id="225"/>
          </w:p>
        </w:tc>
        <w:tc>
          <w:tcPr>
            <w:tcW w:w="8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26" w:name="xdx_49C_20240101__20240630_zzFj9KzDARc2"/>
            <w:bookmarkEnd w:id="226"/>
          </w:p>
        </w:tc>
        <w:tc>
          <w:tcPr>
            <w:tcW w:w="8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2024</w:t>
            </w:r>
          </w:p>
        </w:tc>
        <w:tc>
          <w:tcPr>
            <w:tcW w:w="110" w:type="dxa"/>
            <w:tcBorders/>
            <w:vAlign w:val="center"/>
          </w:tcPr>
          <w:p>
            <w:pPr>
              <w:pStyle w:val="TableContents"/>
              <w:bidi w:val="0"/>
              <w:spacing w:before="0" w:after="283"/>
              <w:jc w:val="left"/>
              <w:rPr/>
            </w:pPr>
            <w:r>
              <w:rPr/>
              <w:t> </w:t>
            </w:r>
            <w:bookmarkStart w:id="227" w:name="xdx_40B_eus-gaap--NetCashProvidedByUsedI"/>
            <w:bookmarkEnd w:id="227"/>
          </w:p>
        </w:tc>
      </w:tr>
      <w:tr>
        <w:trPr/>
        <w:tc>
          <w:tcPr>
            <w:tcW w:w="73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28" w:name="xdx_40A_eus-gaap--NetIncomeLoss_i01_maNC"/>
            <w:bookmarkEnd w:id="228"/>
          </w:p>
        </w:tc>
      </w:tr>
      <w:tr>
        <w:trPr/>
        <w:tc>
          <w:tcPr>
            <w:tcW w:w="73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(13,831</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(23,994</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29" w:name="xdx_404_eus-gaap--AdjustmentsToReconcile"/>
            <w:bookmarkEnd w:id="229"/>
          </w:p>
        </w:tc>
      </w:tr>
      <w:tr>
        <w:trPr/>
        <w:tc>
          <w:tcPr>
            <w:tcW w:w="73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Adjustments to Reconcile Net Loss to Net Cash Used in Operating Activities</w:t>
            </w:r>
          </w:p>
        </w:tc>
        <w:tc>
          <w:tcPr>
            <w:tcW w:w="60" w:type="dxa"/>
            <w:tcBorders/>
            <w:shd w:fill="CCEEFF" w:val="clear"/>
            <w:vAlign w:val="center"/>
          </w:tcPr>
          <w:p>
            <w:pPr>
              <w:pStyle w:val="TableContents"/>
              <w:bidi w:val="0"/>
              <w:spacing w:before="0" w:after="283"/>
              <w:jc w:val="left"/>
              <w:rPr/>
            </w:pPr>
            <w:r>
              <w:rPr/>
              <w:b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30" w:name="xdx_40D_eus-gaap--ShareBasedCompensation"/>
            <w:bookmarkEnd w:id="230"/>
          </w:p>
        </w:tc>
      </w:tr>
      <w:tr>
        <w:trPr/>
        <w:tc>
          <w:tcPr>
            <w:tcW w:w="73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 based compensation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503</w:t>
            </w:r>
          </w:p>
        </w:tc>
        <w:tc>
          <w:tcPr>
            <w:tcW w:w="110" w:type="dxa"/>
            <w:tcBorders/>
            <w:shd w:fill="FFFFFF" w:val="clear"/>
            <w:vAlign w:val="center"/>
          </w:tcPr>
          <w:p>
            <w:pPr>
              <w:pStyle w:val="TableContents"/>
              <w:bidi w:val="0"/>
              <w:spacing w:before="0" w:after="283"/>
              <w:jc w:val="left"/>
              <w:rPr/>
            </w:pPr>
            <w:r>
              <w:rPr/>
              <w:t> </w:t>
            </w:r>
            <w:bookmarkStart w:id="231" w:name="xdx_40F_eus-gaap--AmortizationOfDebtDisc"/>
            <w:bookmarkEnd w:id="231"/>
          </w:p>
        </w:tc>
      </w:tr>
      <w:tr>
        <w:trPr/>
        <w:tc>
          <w:tcPr>
            <w:tcW w:w="73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Amortization of debt discount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2,428</w:t>
            </w:r>
          </w:p>
        </w:tc>
        <w:tc>
          <w:tcPr>
            <w:tcW w:w="110" w:type="dxa"/>
            <w:tcBorders/>
            <w:shd w:fill="CCEEFF" w:val="clear"/>
            <w:vAlign w:val="center"/>
          </w:tcPr>
          <w:p>
            <w:pPr>
              <w:pStyle w:val="TableContents"/>
              <w:bidi w:val="0"/>
              <w:spacing w:before="0" w:after="283"/>
              <w:jc w:val="left"/>
              <w:rPr/>
            </w:pPr>
            <w:r>
              <w:rPr/>
              <w:t> </w:t>
            </w:r>
            <w:bookmarkStart w:id="232" w:name="xdx_408_eus-gaap--FairValueAdjustmentOfW"/>
            <w:bookmarkEnd w:id="232"/>
          </w:p>
        </w:tc>
      </w:tr>
      <w:tr>
        <w:trPr/>
        <w:tc>
          <w:tcPr>
            <w:tcW w:w="73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market value of warrant liability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(5,507</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1,745</w:t>
            </w:r>
          </w:p>
        </w:tc>
        <w:tc>
          <w:tcPr>
            <w:tcW w:w="110" w:type="dxa"/>
            <w:tcBorders/>
            <w:shd w:fill="FFFFFF" w:val="clear"/>
            <w:vAlign w:val="center"/>
          </w:tcPr>
          <w:p>
            <w:pPr>
              <w:pStyle w:val="TableContents"/>
              <w:bidi w:val="0"/>
              <w:spacing w:before="0" w:after="283"/>
              <w:jc w:val="left"/>
              <w:rPr/>
            </w:pPr>
            <w:r>
              <w:rPr/>
              <w:t> </w:t>
            </w:r>
            <w:bookmarkStart w:id="233" w:name="xdx_405_eus-gaap--PaidInKindInterest_i02"/>
            <w:bookmarkEnd w:id="233"/>
          </w:p>
        </w:tc>
      </w:tr>
      <w:tr>
        <w:trPr/>
        <w:tc>
          <w:tcPr>
            <w:tcW w:w="73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Non-cash interest expense (paid-in kind)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7,306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4,582</w:t>
            </w:r>
          </w:p>
        </w:tc>
        <w:tc>
          <w:tcPr>
            <w:tcW w:w="110" w:type="dxa"/>
            <w:tcBorders/>
            <w:shd w:fill="CCEEFF" w:val="clear"/>
            <w:vAlign w:val="center"/>
          </w:tcPr>
          <w:p>
            <w:pPr>
              <w:pStyle w:val="TableContents"/>
              <w:bidi w:val="0"/>
              <w:spacing w:before="0" w:after="283"/>
              <w:jc w:val="left"/>
              <w:rPr/>
            </w:pPr>
            <w:r>
              <w:rPr/>
              <w:t> </w:t>
            </w:r>
            <w:bookmarkStart w:id="234" w:name="xdx_40D_eus-gaap--ProvisionForDoubtfulAc"/>
            <w:bookmarkEnd w:id="234"/>
          </w:p>
        </w:tc>
      </w:tr>
      <w:tr>
        <w:trPr/>
        <w:tc>
          <w:tcPr>
            <w:tcW w:w="73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Provision for credit losses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w:t>
            </w:r>
          </w:p>
        </w:tc>
        <w:tc>
          <w:tcPr>
            <w:tcW w:w="110" w:type="dxa"/>
            <w:tcBorders/>
            <w:shd w:fill="FFFFFF" w:val="clear"/>
            <w:vAlign w:val="center"/>
          </w:tcPr>
          <w:p>
            <w:pPr>
              <w:pStyle w:val="TableContents"/>
              <w:bidi w:val="0"/>
              <w:spacing w:before="0" w:after="283"/>
              <w:jc w:val="left"/>
              <w:rPr/>
            </w:pPr>
            <w:r>
              <w:rPr/>
              <w:t> </w:t>
            </w:r>
            <w:bookmarkStart w:id="235" w:name="xdx_408_eus-gaap--DepreciationDepletionA"/>
            <w:bookmarkEnd w:id="235"/>
          </w:p>
        </w:tc>
      </w:tr>
      <w:tr>
        <w:trPr/>
        <w:tc>
          <w:tcPr>
            <w:tcW w:w="73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663</w:t>
            </w:r>
          </w:p>
        </w:tc>
        <w:tc>
          <w:tcPr>
            <w:tcW w:w="110" w:type="dxa"/>
            <w:tcBorders/>
            <w:shd w:fill="CCEEFF" w:val="clear"/>
            <w:vAlign w:val="center"/>
          </w:tcPr>
          <w:p>
            <w:pPr>
              <w:pStyle w:val="TableContents"/>
              <w:bidi w:val="0"/>
              <w:spacing w:before="0" w:after="283"/>
              <w:jc w:val="left"/>
              <w:rPr/>
            </w:pPr>
            <w:r>
              <w:rPr/>
              <w:t> </w:t>
            </w:r>
            <w:bookmarkStart w:id="236" w:name="xdx_40A_eus-gaap--OperatingLeaseRightOfU"/>
            <w:bookmarkEnd w:id="236"/>
          </w:p>
        </w:tc>
      </w:tr>
      <w:tr>
        <w:trPr/>
        <w:tc>
          <w:tcPr>
            <w:tcW w:w="73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Amortization of right of use of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1,019</w:t>
            </w:r>
          </w:p>
        </w:tc>
        <w:tc>
          <w:tcPr>
            <w:tcW w:w="110" w:type="dxa"/>
            <w:tcBorders/>
            <w:shd w:fill="FFFFFF" w:val="clear"/>
            <w:vAlign w:val="center"/>
          </w:tcPr>
          <w:p>
            <w:pPr>
              <w:pStyle w:val="TableContents"/>
              <w:bidi w:val="0"/>
              <w:spacing w:before="0" w:after="283"/>
              <w:jc w:val="left"/>
              <w:rPr/>
            </w:pPr>
            <w:r>
              <w:rPr/>
              <w:t> </w:t>
            </w:r>
            <w:bookmarkStart w:id="237" w:name="xdx_40D_eus-gaap--IncreaseDecreaseInOper"/>
            <w:bookmarkEnd w:id="237"/>
          </w:p>
        </w:tc>
      </w:tr>
      <w:tr>
        <w:trPr/>
        <w:tc>
          <w:tcPr>
            <w:tcW w:w="73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Changes in Assets and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38" w:name="xdx_409_eus-gaap--IncreaseDecreaseInAcco"/>
            <w:bookmarkEnd w:id="238"/>
          </w:p>
        </w:tc>
      </w:tr>
      <w:tr>
        <w:trPr/>
        <w:tc>
          <w:tcPr>
            <w:tcW w:w="73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receivable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(1,223</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(1,246</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39" w:name="xdx_40E_eus-gaap--IncreaseDecreaseInInve"/>
            <w:bookmarkEnd w:id="239"/>
          </w:p>
        </w:tc>
      </w:tr>
      <w:tr>
        <w:trPr/>
        <w:tc>
          <w:tcPr>
            <w:tcW w:w="73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Inventories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10,125</w:t>
            </w:r>
          </w:p>
        </w:tc>
        <w:tc>
          <w:tcPr>
            <w:tcW w:w="110" w:type="dxa"/>
            <w:tcBorders/>
            <w:shd w:fill="CCEEFF" w:val="clear"/>
            <w:vAlign w:val="center"/>
          </w:tcPr>
          <w:p>
            <w:pPr>
              <w:pStyle w:val="TableContents"/>
              <w:bidi w:val="0"/>
              <w:spacing w:before="0" w:after="283"/>
              <w:jc w:val="left"/>
              <w:rPr/>
            </w:pPr>
            <w:r>
              <w:rPr/>
              <w:t> </w:t>
            </w:r>
            <w:bookmarkStart w:id="240" w:name="xdx_40A_eus-gaap--IncreaseDecreaseInPrep"/>
            <w:bookmarkEnd w:id="240"/>
          </w:p>
        </w:tc>
      </w:tr>
      <w:tr>
        <w:trPr/>
        <w:tc>
          <w:tcPr>
            <w:tcW w:w="73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41" w:name="xdx_40E_ecustom--IncreaseDecreaseInPrepa"/>
            <w:bookmarkEnd w:id="241"/>
          </w:p>
        </w:tc>
      </w:tr>
      <w:tr>
        <w:trPr/>
        <w:tc>
          <w:tcPr>
            <w:tcW w:w="73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inventory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(152</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(595</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42" w:name="xdx_406_eus-gaap--IncreaseDecreaseInOthe"/>
            <w:bookmarkEnd w:id="242"/>
          </w:p>
        </w:tc>
      </w:tr>
      <w:tr>
        <w:trPr/>
        <w:tc>
          <w:tcPr>
            <w:tcW w:w="73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(632</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43" w:name="xdx_403_eus-gaap--IncreaseDecreaseInOthe"/>
            <w:bookmarkEnd w:id="243"/>
          </w:p>
        </w:tc>
      </w:tr>
      <w:tr>
        <w:trPr/>
        <w:tc>
          <w:tcPr>
            <w:tcW w:w="73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(445</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44" w:name="xdx_403_eus-gaap--IncreaseDecreaseInAccr"/>
            <w:bookmarkEnd w:id="244"/>
          </w:p>
        </w:tc>
      </w:tr>
      <w:tr>
        <w:trPr/>
        <w:tc>
          <w:tcPr>
            <w:tcW w:w="73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Income taxes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174</w:t>
            </w:r>
          </w:p>
        </w:tc>
        <w:tc>
          <w:tcPr>
            <w:tcW w:w="110" w:type="dxa"/>
            <w:tcBorders/>
            <w:shd w:fill="FFFFFF" w:val="clear"/>
            <w:vAlign w:val="center"/>
          </w:tcPr>
          <w:p>
            <w:pPr>
              <w:pStyle w:val="TableContents"/>
              <w:bidi w:val="0"/>
              <w:spacing w:before="0" w:after="283"/>
              <w:jc w:val="left"/>
              <w:rPr/>
            </w:pPr>
            <w:r>
              <w:rPr/>
              <w:t> </w:t>
            </w:r>
            <w:bookmarkStart w:id="245" w:name="xdx_40A_eus-gaap--IncreaseDecreaseInAcco"/>
            <w:bookmarkEnd w:id="245"/>
          </w:p>
        </w:tc>
      </w:tr>
      <w:tr>
        <w:trPr/>
        <w:tc>
          <w:tcPr>
            <w:tcW w:w="73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payable and accrued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(1,890</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46" w:name="xdx_408_eus-gaap--IncreaseDecreaseInOper"/>
            <w:bookmarkEnd w:id="246"/>
          </w:p>
        </w:tc>
      </w:tr>
      <w:tr>
        <w:trPr/>
        <w:tc>
          <w:tcPr>
            <w:tcW w:w="73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(1,436</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47" w:name="xdx_405_ecustom--IncreaseDecreaseInAccru"/>
            <w:bookmarkEnd w:id="247"/>
          </w:p>
        </w:tc>
      </w:tr>
      <w:tr>
        <w:trPr/>
        <w:tc>
          <w:tcPr>
            <w:tcW w:w="73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tariffs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w:t>
            </w:r>
          </w:p>
        </w:tc>
        <w:tc>
          <w:tcPr>
            <w:tcW w:w="110" w:type="dxa"/>
            <w:tcBorders/>
            <w:shd w:fill="CCEEFF" w:val="clear"/>
            <w:vAlign w:val="center"/>
          </w:tcPr>
          <w:p>
            <w:pPr>
              <w:pStyle w:val="TableContents"/>
              <w:bidi w:val="0"/>
              <w:spacing w:before="0" w:after="283"/>
              <w:jc w:val="left"/>
              <w:rPr/>
            </w:pPr>
            <w:r>
              <w:rPr/>
              <w:t> </w:t>
            </w:r>
            <w:bookmarkStart w:id="248" w:name="xdx_40C_ecustom--IncreaseDecreaseInAccru"/>
            <w:bookmarkEnd w:id="248"/>
          </w:p>
        </w:tc>
      </w:tr>
      <w:tr>
        <w:trPr/>
        <w:tc>
          <w:tcPr>
            <w:tcW w:w="73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settlement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(187</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FFFFFF" w:val="clear"/>
            <w:vAlign w:val="center"/>
          </w:tcPr>
          <w:p>
            <w:pPr>
              <w:pStyle w:val="TableContents"/>
              <w:bidi w:val="0"/>
              <w:spacing w:before="0" w:after="283"/>
              <w:jc w:val="left"/>
              <w:rPr/>
            </w:pPr>
            <w:r>
              <w:rPr/>
              <w:t> </w:t>
            </w:r>
            <w:bookmarkStart w:id="249" w:name="xdx_40C_eus-gaap--IncreaseDecreaseInDefe"/>
            <w:bookmarkEnd w:id="249"/>
          </w:p>
        </w:tc>
      </w:tr>
      <w:tr>
        <w:trPr/>
        <w:tc>
          <w:tcPr>
            <w:tcW w:w="73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bidi w:val="0"/>
              <w:spacing w:before="0" w:after="283"/>
              <w:jc w:val="left"/>
              <w:rPr/>
            </w:pPr>
            <w:r>
              <w:rPr/>
              <w:t> </w:t>
            </w:r>
            <w:bookmarkStart w:id="250" w:name="xdx_408_eus-gaap--IncreaseDecreaseInCont"/>
            <w:bookmarkEnd w:id="250"/>
          </w:p>
        </w:tc>
      </w:tr>
      <w:tr>
        <w:trPr/>
        <w:tc>
          <w:tcPr>
            <w:tcW w:w="73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Customer deposits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(151</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w:t>
            </w:r>
          </w:p>
        </w:tc>
        <w:tc>
          <w:tcPr>
            <w:tcW w:w="110" w:type="dxa"/>
            <w:tcBorders/>
            <w:shd w:fill="FFFFFF" w:val="clear"/>
            <w:vAlign w:val="center"/>
          </w:tcPr>
          <w:p>
            <w:pPr>
              <w:pStyle w:val="TableContents"/>
              <w:bidi w:val="0"/>
              <w:spacing w:before="0" w:after="283"/>
              <w:jc w:val="left"/>
              <w:rPr/>
            </w:pPr>
            <w:r>
              <w:rPr/>
              <w:t> </w:t>
            </w:r>
            <w:bookmarkStart w:id="251" w:name="xdx_405_eus-gaap--AdjustmentsToReconcile"/>
            <w:bookmarkEnd w:id="251"/>
          </w:p>
        </w:tc>
      </w:tr>
      <w:tr>
        <w:trPr/>
        <w:tc>
          <w:tcPr>
            <w:tcW w:w="73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Adjustments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16,583</w:t>
            </w:r>
          </w:p>
        </w:tc>
        <w:tc>
          <w:tcPr>
            <w:tcW w:w="110" w:type="dxa"/>
            <w:tcBorders/>
            <w:shd w:fill="CCEEFF" w:val="clear"/>
            <w:vAlign w:val="center"/>
          </w:tcPr>
          <w:p>
            <w:pPr>
              <w:pStyle w:val="TableContents"/>
              <w:bidi w:val="0"/>
              <w:spacing w:before="0" w:after="283"/>
              <w:jc w:val="left"/>
              <w:rPr/>
            </w:pPr>
            <w:r>
              <w:rPr/>
              <w:t> </w:t>
            </w:r>
            <w:bookmarkStart w:id="252" w:name="xdx_40B_eus-gaap--NetCashProvidedByUsedI"/>
            <w:bookmarkEnd w:id="252"/>
          </w:p>
        </w:tc>
      </w:tr>
      <w:tr>
        <w:trPr/>
        <w:tc>
          <w:tcPr>
            <w:tcW w:w="73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(7,865</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(7,411</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3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53" w:name="xdx_40E_eus-gaap--NetCashProvidedByUsedI"/>
            <w:bookmarkEnd w:id="253"/>
          </w:p>
        </w:tc>
      </w:tr>
      <w:tr>
        <w:trPr/>
        <w:tc>
          <w:tcPr>
            <w:tcW w:w="73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Flows Used in Investing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54" w:name="xdx_405_eus-gaap--PaymentsToAcquirePrope"/>
            <w:bookmarkEnd w:id="254"/>
          </w:p>
        </w:tc>
      </w:tr>
      <w:tr>
        <w:trPr/>
        <w:tc>
          <w:tcPr>
            <w:tcW w:w="73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Purchase of property and equipment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(1,621</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(1,324</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55" w:name="xdx_40C_eus-gaap--NetCashProvidedByUsedI"/>
            <w:bookmarkEnd w:id="255"/>
          </w:p>
        </w:tc>
      </w:tr>
      <w:tr>
        <w:trPr/>
        <w:tc>
          <w:tcPr>
            <w:tcW w:w="73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(1,621</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(1,324</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 consolidated financial statements.</w:t>
      </w:r>
    </w:p>
    <w:p>
      <w:pPr>
        <w:pStyle w:val="TextBody"/>
        <w:bidi w:val="0"/>
        <w:spacing w:before="0" w:after="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Unaudited Condensed Consolidated Statements of Cash Flows (Continued)</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For The Six Months Ended June 30, 2025 and 2024</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(in thousands)</w:t>
      </w:r>
    </w:p>
    <w:p>
      <w:pPr>
        <w:pStyle w:val="TextBody"/>
        <w:bidi w:val="0"/>
        <w:spacing w:before="0" w:after="0"/>
        <w:jc w:val="center"/>
        <w:rPr>
          <w:caps/>
        </w:rPr>
      </w:pPr>
      <w:r>
        <w:rPr>
          <w:caps/>
        </w:rPr>
        <w:t> </w:t>
      </w:r>
    </w:p>
    <w:tbl>
      <w:tblPr>
        <w:tblW w:w="10205" w:type="dxa"/>
        <w:jc w:val="left"/>
        <w:tblInd w:w="0" w:type="dxa"/>
        <w:tblLayout w:type="fixed"/>
        <w:tblCellMar>
          <w:top w:w="0" w:type="dxa"/>
          <w:left w:w="0" w:type="dxa"/>
          <w:bottom w:w="0" w:type="dxa"/>
          <w:right w:w="0" w:type="dxa"/>
        </w:tblCellMar>
      </w:tblPr>
      <w:tblGrid>
        <w:gridCol w:w="8285"/>
        <w:gridCol w:w="60"/>
        <w:gridCol w:w="140"/>
        <w:gridCol w:w="635"/>
        <w:gridCol w:w="95"/>
        <w:gridCol w:w="60"/>
        <w:gridCol w:w="140"/>
        <w:gridCol w:w="680"/>
        <w:gridCol w:w="110"/>
      </w:tblGrid>
      <w:tr>
        <w:trPr/>
        <w:tc>
          <w:tcPr>
            <w:tcW w:w="828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(continued from previous page)</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2024</w:t>
            </w:r>
          </w:p>
        </w:tc>
        <w:tc>
          <w:tcPr>
            <w:tcW w:w="110" w:type="dxa"/>
            <w:tcBorders/>
            <w:vAlign w:val="center"/>
          </w:tcPr>
          <w:p>
            <w:pPr>
              <w:pStyle w:val="TableContents"/>
              <w:bidi w:val="0"/>
              <w:spacing w:before="0" w:after="283"/>
              <w:jc w:val="left"/>
              <w:rPr/>
            </w:pPr>
            <w:r>
              <w:rPr/>
              <w:t> </w:t>
            </w:r>
            <w:bookmarkStart w:id="256" w:name="xdx_40C_eus-gaap--NetCashProvidedByUsedI"/>
            <w:bookmarkEnd w:id="256"/>
          </w:p>
        </w:tc>
      </w:tr>
      <w:tr>
        <w:trPr/>
        <w:tc>
          <w:tcPr>
            <w:tcW w:w="82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57" w:name="xdx_408_ecustom--ProceedsFromIssuanceIni"/>
            <w:bookmarkEnd w:id="257"/>
          </w:p>
        </w:tc>
      </w:tr>
      <w:tr>
        <w:trPr/>
        <w:tc>
          <w:tcPr>
            <w:tcW w:w="82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public offering (ATM),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788</w:t>
            </w:r>
          </w:p>
        </w:tc>
        <w:tc>
          <w:tcPr>
            <w:tcW w:w="110" w:type="dxa"/>
            <w:tcBorders/>
            <w:shd w:fill="FFFFFF" w:val="clear"/>
            <w:vAlign w:val="center"/>
          </w:tcPr>
          <w:p>
            <w:pPr>
              <w:pStyle w:val="TableContents"/>
              <w:bidi w:val="0"/>
              <w:spacing w:before="0" w:after="283"/>
              <w:jc w:val="left"/>
              <w:rPr/>
            </w:pPr>
            <w:r>
              <w:rPr/>
              <w:t> </w:t>
            </w:r>
            <w:bookmarkStart w:id="258" w:name="xdx_403_eus-gaap--PaymentsOfStockIssuanc"/>
            <w:bookmarkEnd w:id="258"/>
          </w:p>
        </w:tc>
      </w:tr>
      <w:tr>
        <w:trPr/>
        <w:tc>
          <w:tcPr>
            <w:tcW w:w="82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Payments from public offering costs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59" w:name="xdx_408_eus-gaap--ProceedsFromIssuanceOf"/>
            <w:bookmarkEnd w:id="259"/>
          </w:p>
        </w:tc>
      </w:tr>
      <w:tr>
        <w:trPr/>
        <w:tc>
          <w:tcPr>
            <w:tcW w:w="82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preferred stock offering, net of fees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7,330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FFFFFF" w:val="clear"/>
            <w:vAlign w:val="center"/>
          </w:tcPr>
          <w:p>
            <w:pPr>
              <w:pStyle w:val="TableContents"/>
              <w:bidi w:val="0"/>
              <w:spacing w:before="0" w:after="283"/>
              <w:jc w:val="left"/>
              <w:rPr/>
            </w:pPr>
            <w:r>
              <w:rPr/>
              <w:t> </w:t>
            </w:r>
            <w:bookmarkStart w:id="260" w:name="xdx_404_eus-gaap--ProceedsFromNotesPayab"/>
            <w:bookmarkEnd w:id="260"/>
          </w:p>
        </w:tc>
      </w:tr>
      <w:tr>
        <w:trPr/>
        <w:tc>
          <w:tcPr>
            <w:tcW w:w="82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note payable, related party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2,700</w:t>
            </w:r>
          </w:p>
        </w:tc>
        <w:tc>
          <w:tcPr>
            <w:tcW w:w="110" w:type="dxa"/>
            <w:tcBorders/>
            <w:shd w:fill="CCEEFF" w:val="clear"/>
            <w:vAlign w:val="center"/>
          </w:tcPr>
          <w:p>
            <w:pPr>
              <w:pStyle w:val="TableContents"/>
              <w:bidi w:val="0"/>
              <w:spacing w:before="0" w:after="283"/>
              <w:jc w:val="left"/>
              <w:rPr/>
            </w:pPr>
            <w:r>
              <w:rPr/>
              <w:t> </w:t>
            </w:r>
            <w:bookmarkStart w:id="261" w:name="xdx_40B_eus-gaap--RepaymentsOfNotesPayab"/>
            <w:bookmarkEnd w:id="261"/>
          </w:p>
        </w:tc>
      </w:tr>
      <w:tr>
        <w:trPr/>
        <w:tc>
          <w:tcPr>
            <w:tcW w:w="82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Repayment of note payable, related party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(2,700</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62" w:name="xdx_405_eus-gaap--ProceedsFromStockOptio"/>
            <w:bookmarkEnd w:id="262"/>
          </w:p>
        </w:tc>
      </w:tr>
      <w:tr>
        <w:trPr/>
        <w:tc>
          <w:tcPr>
            <w:tcW w:w="82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exercise of options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w:t>
            </w:r>
          </w:p>
        </w:tc>
        <w:tc>
          <w:tcPr>
            <w:tcW w:w="110" w:type="dxa"/>
            <w:tcBorders/>
            <w:shd w:fill="CCEEFF" w:val="clear"/>
            <w:vAlign w:val="center"/>
          </w:tcPr>
          <w:p>
            <w:pPr>
              <w:pStyle w:val="TableContents"/>
              <w:bidi w:val="0"/>
              <w:spacing w:before="0" w:after="283"/>
              <w:jc w:val="left"/>
              <w:rPr/>
            </w:pPr>
            <w:r>
              <w:rPr/>
              <w:t> </w:t>
            </w:r>
            <w:bookmarkStart w:id="263" w:name="xdx_40E_ecustom--FinancingLeaseLiabiliti"/>
            <w:bookmarkEnd w:id="263"/>
          </w:p>
        </w:tc>
      </w:tr>
      <w:tr>
        <w:trPr/>
        <w:tc>
          <w:tcPr>
            <w:tcW w:w="82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Financing lease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64" w:name="xdx_401_eus-gaap--NetCashProvidedByUsedI"/>
            <w:bookmarkEnd w:id="264"/>
          </w:p>
        </w:tc>
      </w:tr>
      <w:tr>
        <w:trPr/>
        <w:tc>
          <w:tcPr>
            <w:tcW w:w="82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7,370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721</w:t>
            </w:r>
          </w:p>
        </w:tc>
        <w:tc>
          <w:tcPr>
            <w:tcW w:w="110" w:type="dxa"/>
            <w:tcBorders/>
            <w:shd w:fill="CCEEFF" w:val="clear"/>
            <w:vAlign w:val="center"/>
          </w:tcPr>
          <w:p>
            <w:pPr>
              <w:pStyle w:val="TableContents"/>
              <w:bidi w:val="0"/>
              <w:spacing w:before="0" w:after="283"/>
              <w:jc w:val="left"/>
              <w:rPr/>
            </w:pPr>
            <w:r>
              <w:rPr/>
              <w:t> </w:t>
            </w:r>
          </w:p>
        </w:tc>
      </w:tr>
      <w:tr>
        <w:trPr/>
        <w:tc>
          <w:tcPr>
            <w:tcW w:w="82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65" w:name="xdx_405_eus-gaap--CashCashEquivalentsRes"/>
            <w:bookmarkEnd w:id="265"/>
          </w:p>
        </w:tc>
      </w:tr>
      <w:tr>
        <w:trPr/>
        <w:tc>
          <w:tcPr>
            <w:tcW w:w="82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(Decrease) in 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(2,116</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(8,014</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66" w:name="xdx_401_eus-gaap--CashCashEquivalentsRes"/>
            <w:bookmarkEnd w:id="266"/>
          </w:p>
        </w:tc>
      </w:tr>
      <w:tr>
        <w:trPr/>
        <w:tc>
          <w:tcPr>
            <w:tcW w:w="82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Beginning Cash and cash equivalents - beginning of period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12,713</w:t>
            </w:r>
          </w:p>
        </w:tc>
        <w:tc>
          <w:tcPr>
            <w:tcW w:w="110" w:type="dxa"/>
            <w:tcBorders/>
            <w:shd w:fill="FFFFFF" w:val="clear"/>
            <w:vAlign w:val="center"/>
          </w:tcPr>
          <w:p>
            <w:pPr>
              <w:pStyle w:val="TableContents"/>
              <w:bidi w:val="0"/>
              <w:spacing w:before="0" w:after="283"/>
              <w:jc w:val="left"/>
              <w:rPr/>
            </w:pPr>
            <w:r>
              <w:rPr/>
              <w:t> </w:t>
            </w:r>
            <w:bookmarkStart w:id="267" w:name="xdx_406_eus-gaap--CashCashEquivalentsRes"/>
            <w:bookmarkEnd w:id="267"/>
          </w:p>
        </w:tc>
      </w:tr>
      <w:tr>
        <w:trPr/>
        <w:tc>
          <w:tcPr>
            <w:tcW w:w="82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Ending Cash and cash equivalents - end of period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3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4,699</w:t>
            </w:r>
          </w:p>
        </w:tc>
        <w:tc>
          <w:tcPr>
            <w:tcW w:w="110" w:type="dxa"/>
            <w:tcBorders/>
            <w:shd w:fill="CCEEFF" w:val="clear"/>
            <w:vAlign w:val="center"/>
          </w:tcPr>
          <w:p>
            <w:pPr>
              <w:pStyle w:val="TableContents"/>
              <w:bidi w:val="0"/>
              <w:spacing w:before="0" w:after="283"/>
              <w:jc w:val="left"/>
              <w:rPr/>
            </w:pPr>
            <w:r>
              <w:rPr/>
              <w:t> </w:t>
            </w:r>
          </w:p>
        </w:tc>
      </w:tr>
      <w:tr>
        <w:trPr/>
        <w:tc>
          <w:tcPr>
            <w:tcW w:w="82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68" w:name="xdx_404_eus-gaap--SupplementalCashFlowIn"/>
            <w:bookmarkEnd w:id="268"/>
          </w:p>
        </w:tc>
      </w:tr>
      <w:tr>
        <w:trPr/>
        <w:tc>
          <w:tcPr>
            <w:tcW w:w="82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Supplemental Disclosures of Cash Flow Information: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69" w:name="xdx_406_eus-gaap--IncomeTaxesPaidNet_i01"/>
            <w:bookmarkEnd w:id="269"/>
          </w:p>
        </w:tc>
      </w:tr>
      <w:tr>
        <w:trPr/>
        <w:tc>
          <w:tcPr>
            <w:tcW w:w="82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paid for income taxes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3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FFFFFF" w:val="clear"/>
            <w:vAlign w:val="center"/>
          </w:tcPr>
          <w:p>
            <w:pPr>
              <w:pStyle w:val="TableContents"/>
              <w:bidi w:val="0"/>
              <w:spacing w:before="0" w:after="283"/>
              <w:jc w:val="left"/>
              <w:rPr/>
            </w:pPr>
            <w:r>
              <w:rPr/>
              <w:t> </w:t>
            </w:r>
            <w:bookmarkStart w:id="270" w:name="xdx_405_eus-gaap--InterestPaidNet_i01_pn"/>
            <w:bookmarkEnd w:id="270"/>
          </w:p>
        </w:tc>
      </w:tr>
      <w:tr>
        <w:trPr/>
        <w:tc>
          <w:tcPr>
            <w:tcW w:w="82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paid for interest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3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4,780</w:t>
            </w:r>
          </w:p>
        </w:tc>
        <w:tc>
          <w:tcPr>
            <w:tcW w:w="110" w:type="dxa"/>
            <w:tcBorders/>
            <w:shd w:fill="CCEEFF" w:val="clear"/>
            <w:vAlign w:val="center"/>
          </w:tcPr>
          <w:p>
            <w:pPr>
              <w:pStyle w:val="TableContents"/>
              <w:bidi w:val="0"/>
              <w:spacing w:before="0" w:after="283"/>
              <w:jc w:val="left"/>
              <w:rPr/>
            </w:pPr>
            <w:r>
              <w:rPr/>
              <w:t> </w:t>
            </w:r>
            <w:bookmarkStart w:id="271" w:name="xdx_406_eus-gaap--CashFlowNoncashInvesti"/>
            <w:bookmarkEnd w:id="271"/>
          </w:p>
        </w:tc>
      </w:tr>
      <w:tr>
        <w:trPr/>
        <w:tc>
          <w:tcPr>
            <w:tcW w:w="82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Supplemental Non-Cash Items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72" w:name="xdx_40A_eus-gaap--CapitalExpendituresInc"/>
            <w:bookmarkEnd w:id="272"/>
          </w:p>
        </w:tc>
      </w:tr>
      <w:tr>
        <w:trPr/>
        <w:tc>
          <w:tcPr>
            <w:tcW w:w="82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Purchases of property and equipment, not yet paid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3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2,278</w:t>
            </w:r>
          </w:p>
        </w:tc>
        <w:tc>
          <w:tcPr>
            <w:tcW w:w="110" w:type="dxa"/>
            <w:tcBorders/>
            <w:shd w:fill="CCEEFF" w:val="clear"/>
            <w:vAlign w:val="center"/>
          </w:tcPr>
          <w:p>
            <w:pPr>
              <w:pStyle w:val="TableContents"/>
              <w:bidi w:val="0"/>
              <w:spacing w:before="0" w:after="283"/>
              <w:jc w:val="left"/>
              <w:rPr/>
            </w:pPr>
            <w:r>
              <w:rPr/>
              <w:t> </w:t>
            </w:r>
            <w:bookmarkStart w:id="273" w:name="xdx_400_eus-gaap--RightOfUseAssetObtaine"/>
            <w:bookmarkEnd w:id="273"/>
          </w:p>
        </w:tc>
      </w:tr>
      <w:tr>
        <w:trPr/>
        <w:tc>
          <w:tcPr>
            <w:tcW w:w="82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Recognition of right of use asset obtained in exchange for operating lease liability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3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18,653</w:t>
            </w:r>
          </w:p>
        </w:tc>
        <w:tc>
          <w:tcPr>
            <w:tcW w:w="110" w:type="dxa"/>
            <w:tcBorders/>
            <w:shd w:fill="FFFFFF" w:val="clear"/>
            <w:vAlign w:val="center"/>
          </w:tcPr>
          <w:p>
            <w:pPr>
              <w:pStyle w:val="TableContents"/>
              <w:bidi w:val="0"/>
              <w:spacing w:before="0" w:after="283"/>
              <w:jc w:val="left"/>
              <w:rPr/>
            </w:pPr>
            <w:r>
              <w:rPr/>
              <w:t> </w:t>
            </w:r>
            <w:bookmarkStart w:id="274" w:name="xdx_40E_ecustom--RecognitionOfLeaseholdI"/>
            <w:bookmarkEnd w:id="274"/>
          </w:p>
        </w:tc>
      </w:tr>
      <w:tr>
        <w:trPr/>
        <w:tc>
          <w:tcPr>
            <w:tcW w:w="82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Recognition of leasehold improvements obtained in exchange for operating lease liability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3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4,683</w:t>
            </w:r>
          </w:p>
        </w:tc>
        <w:tc>
          <w:tcPr>
            <w:tcW w:w="110" w:type="dxa"/>
            <w:tcBorders/>
            <w:shd w:fill="CCEEFF" w:val="clear"/>
            <w:vAlign w:val="center"/>
          </w:tcPr>
          <w:p>
            <w:pPr>
              <w:pStyle w:val="TableContents"/>
              <w:bidi w:val="0"/>
              <w:spacing w:before="0" w:after="283"/>
              <w:jc w:val="left"/>
              <w:rPr/>
            </w:pPr>
            <w:r>
              <w:rPr/>
              <w:t> </w:t>
            </w:r>
            <w:bookmarkStart w:id="275" w:name="xdx_40D_ecustom--RecognitionOfWarrantLia"/>
            <w:bookmarkEnd w:id="275"/>
          </w:p>
        </w:tc>
      </w:tr>
      <w:tr>
        <w:trPr/>
        <w:tc>
          <w:tcPr>
            <w:tcW w:w="82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Recognition of warrant liability - Investor Warrants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3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4,796</w:t>
            </w:r>
          </w:p>
        </w:tc>
        <w:tc>
          <w:tcPr>
            <w:tcW w:w="110" w:type="dxa"/>
            <w:tcBorders/>
            <w:shd w:fill="FFFFFF" w:val="clear"/>
            <w:vAlign w:val="center"/>
          </w:tcPr>
          <w:p>
            <w:pPr>
              <w:pStyle w:val="TableContents"/>
              <w:bidi w:val="0"/>
              <w:spacing w:before="0" w:after="283"/>
              <w:jc w:val="left"/>
              <w:rPr/>
            </w:pPr>
            <w:r>
              <w:rPr/>
              <w:t> </w:t>
            </w:r>
            <w:bookmarkStart w:id="276" w:name="xdx_402_ecustom--ConversionOfPreferredSt"/>
            <w:bookmarkEnd w:id="276"/>
          </w:p>
        </w:tc>
      </w:tr>
      <w:tr>
        <w:trPr/>
        <w:tc>
          <w:tcPr>
            <w:tcW w:w="82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Conversion of preferred stock to common stock</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3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bidi w:val="0"/>
              <w:spacing w:before="0" w:after="283"/>
              <w:jc w:val="left"/>
              <w:rPr/>
            </w:pPr>
            <w:r>
              <w:rPr/>
              <w:t> </w:t>
            </w:r>
            <w:bookmarkStart w:id="277" w:name="xdx_400_ecustom--SettlementOfAccruedLiab"/>
            <w:bookmarkEnd w:id="277"/>
          </w:p>
        </w:tc>
      </w:tr>
      <w:tr>
        <w:trPr/>
        <w:tc>
          <w:tcPr>
            <w:tcW w:w="82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Settlement of accrued liability for employee stock purchase plan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3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112</w:t>
            </w:r>
          </w:p>
        </w:tc>
        <w:tc>
          <w:tcPr>
            <w:tcW w:w="110" w:type="dxa"/>
            <w:tcBorders/>
            <w:shd w:fill="FFFFFF" w:val="clear"/>
            <w:vAlign w:val="center"/>
          </w:tcPr>
          <w:p>
            <w:pPr>
              <w:pStyle w:val="TableContents"/>
              <w:bidi w:val="0"/>
              <w:spacing w:before="0" w:after="283"/>
              <w:jc w:val="left"/>
              <w:rPr/>
            </w:pPr>
            <w:r>
              <w:rPr/>
              <w:t> </w:t>
            </w:r>
            <w:bookmarkStart w:id="278" w:name="xdx_40C_ecustom--ReclassificationOfAsset"/>
            <w:bookmarkEnd w:id="278"/>
          </w:p>
        </w:tc>
      </w:tr>
      <w:tr>
        <w:trPr/>
        <w:tc>
          <w:tcPr>
            <w:tcW w:w="82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Reclassification of assets held for sale to machinery and equipment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3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 consolidated financial statements.</w:t>
      </w:r>
    </w:p>
    <w:p>
      <w:pPr>
        <w:pStyle w:val="TextBody"/>
        <w:bidi w:val="0"/>
        <w:spacing w:before="0" w:after="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jc w:val="center"/>
        <w:rPr>
          <w:rFonts w:ascii="Times New Roman;Times;Serif" w:hAnsi="Times New Roman;Times;Serif"/>
          <w:b/>
          <w:i w:val="false"/>
          <w:caps/>
          <w:sz w:val="20"/>
        </w:rPr>
      </w:pPr>
      <w:bookmarkStart w:id="279" w:name="a_005"/>
      <w:bookmarkEnd w:id="279"/>
      <w:r>
        <w:rPr>
          <w:rFonts w:ascii="Times New Roman;Times;Serif" w:hAnsi="Times New Roman;Times;Serif"/>
          <w:b/>
          <w:i w:val="false"/>
          <w:caps/>
          <w:sz w:val="20"/>
        </w:rPr>
        <w:t>Notes to Unaudited Condensed Consolidated Financial Statements</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jc w:val="center"/>
        <w:rPr>
          <w:caps/>
        </w:rPr>
      </w:pPr>
      <w:r>
        <w:rPr>
          <w:caps/>
        </w:rPr>
        <w:t> </w:t>
      </w:r>
    </w:p>
    <w:p>
      <w:pPr>
        <w:pStyle w:val="TextBody"/>
        <w:bidi w:val="0"/>
        <w:spacing w:before="0" w:after="0"/>
        <w:jc w:val="both"/>
        <w:rPr>
          <w:rFonts w:ascii="Times New Roman;Times;Serif" w:hAnsi="Times New Roman;Times;Serif"/>
          <w:b/>
          <w:i w:val="false"/>
          <w:caps/>
          <w:sz w:val="20"/>
        </w:rPr>
      </w:pPr>
      <w:bookmarkStart w:id="280" w:name="xdx_80F_eus-gaap--NatureOfOperations_zy9"/>
      <w:bookmarkEnd w:id="280"/>
      <w:r>
        <w:rPr>
          <w:rFonts w:ascii="Times New Roman;Times;Serif" w:hAnsi="Times New Roman;Times;Serif"/>
          <w:b/>
          <w:i w:val="false"/>
          <w:caps/>
          <w:sz w:val="20"/>
        </w:rPr>
        <w:t xml:space="preserve">Note 1 - </w:t>
      </w:r>
      <w:bookmarkStart w:id="281" w:name="xdx_826_zrkkZKZIN0F9"/>
      <w:bookmarkEnd w:id="281"/>
      <w:r>
        <w:rPr>
          <w:rFonts w:ascii="Times New Roman;Times;Serif" w:hAnsi="Times New Roman;Times;Serif"/>
          <w:b/>
          <w:i w:val="false"/>
          <w:caps/>
          <w:sz w:val="20"/>
        </w:rPr>
        <w:t>Nature of Business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Dragonfly Energy Holdings Corp. (the “Company”) sells lithium ion battery packs for use in a wide variety of applications. The Company sells to distributors under the Dragonfly Energy brand name, and sells direct to consumers under the trade name Battleborn Batteries. In addition, the Company develops technology for improved lithium ion battery manufacturing and assembly methods.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sz w:val="20"/>
        </w:rPr>
      </w:pPr>
      <w:bookmarkStart w:id="282" w:name="xdx_80B_eus-gaap--SignificantAccountingP"/>
      <w:bookmarkEnd w:id="282"/>
      <w:r>
        <w:rPr>
          <w:rFonts w:ascii="Times New Roman;Times;Serif" w:hAnsi="Times New Roman;Times;Serif"/>
          <w:b/>
          <w:i w:val="false"/>
          <w:caps/>
          <w:sz w:val="20"/>
        </w:rPr>
        <w:t xml:space="preserve">Note 2 – </w:t>
      </w:r>
      <w:bookmarkStart w:id="283" w:name="xdx_822_zGhj4O2YRsAd"/>
      <w:bookmarkEnd w:id="283"/>
      <w:r>
        <w:rPr>
          <w:rFonts w:ascii="Times New Roman;Times;Serif" w:hAnsi="Times New Roman;Times;Serif"/>
          <w:b/>
          <w:i w:val="false"/>
          <w:caps/>
          <w:sz w:val="20"/>
        </w:rPr>
        <w:t>Summary of Significant Accounting Policies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u w:val="single"/>
        </w:rPr>
      </w:pPr>
      <w:bookmarkStart w:id="284" w:name="xdx_86A_zyTBg38LWqYi"/>
      <w:bookmarkStart w:id="285" w:name="xdx_841_eus-gaap--ConsolidationPolicyTex"/>
      <w:bookmarkEnd w:id="284"/>
      <w:bookmarkEnd w:id="285"/>
      <w:r>
        <w:rPr>
          <w:rFonts w:ascii="Times New Roman;Times;Serif" w:hAnsi="Times New Roman;Times;Serif"/>
          <w:b w:val="false"/>
          <w:i/>
          <w:caps w:val="false"/>
          <w:smallCaps w:val="false"/>
          <w:sz w:val="20"/>
          <w:u w:val="single"/>
        </w:rPr>
        <w:t>Principles of consolidation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unaudited condensed consolidated financial statements and related notes have been prepared in accordance with accounting principles generally accepted in the United States of America (“U.S. GAAP”) and present the consolidated financial statements of the Company and its wholly owned subsidiary, Dragonfly Energy Corp. All significant intercompany transactions and balances are eliminated in consolidation.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u w:val="single"/>
        </w:rPr>
      </w:pPr>
      <w:bookmarkStart w:id="286" w:name="xdx_866_zgG4JGKUVOBk"/>
      <w:bookmarkStart w:id="287" w:name="xdx_846_eus-gaap--BasisOfAccountingPolic"/>
      <w:bookmarkEnd w:id="286"/>
      <w:bookmarkEnd w:id="287"/>
      <w:r>
        <w:rPr>
          <w:rFonts w:ascii="Times New Roman;Times;Serif" w:hAnsi="Times New Roman;Times;Serif"/>
          <w:b w:val="false"/>
          <w:i/>
          <w:caps w:val="false"/>
          <w:smallCaps w:val="false"/>
          <w:sz w:val="20"/>
          <w:u w:val="single"/>
        </w:rPr>
        <w:t>Basis of presentation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unaudited condensed consolidated financial statements and related notes have been prepared in accordance with U.S. GAAP for interim financial information, and with the rules and regulations of the United States Securities and Exchange Commission (the “SEC”) set forth in Article 8 of Regulation S-X. Accordingly, they do not include all of the information and footnotes required by U.S. GAAP for complete financial statements. The unaudited interim financial statements furnished reflect all adjustments (consisting of normal recurring accruals) which are, in the opinion of management, necessary for a fair statement of the results for the interim periods presented. Unaudited interim results are not necessarily indicative of the results for the full fiscal year. These condensed consolidated financial statements should be read along with the Annual Report on Form 10-K filed with the SEC on March 31, 2025 of the Company for the annual period ended December 31, 2024. The consolidated balance sheet as of December 31, 2024 was derived from the audited consolidated financial statements as of and for the year then ended.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u w:val="single"/>
        </w:rPr>
      </w:pPr>
      <w:bookmarkStart w:id="288" w:name="xdx_869_z7l4hHNULA43"/>
      <w:bookmarkStart w:id="289" w:name="xdx_846_ecustom--GoingConcernPolicyTextB"/>
      <w:bookmarkEnd w:id="288"/>
      <w:bookmarkEnd w:id="289"/>
      <w:r>
        <w:rPr>
          <w:rFonts w:ascii="Times New Roman;Times;Serif" w:hAnsi="Times New Roman;Times;Serif"/>
          <w:b w:val="false"/>
          <w:i/>
          <w:caps w:val="false"/>
          <w:smallCaps w:val="false"/>
          <w:sz w:val="20"/>
          <w:u w:val="single"/>
        </w:rPr>
        <w:t>Going Concern</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have been prepared on a going concern basis, which contemplates the realization of assets and the satisfaction of liabilities in the normal course of business. The condensed consolidated financial statements do not include any adjustments that might result from the outcome of this uncertainty.</w:t>
      </w:r>
    </w:p>
    <w:p>
      <w:pPr>
        <w:pStyle w:val="TextBody"/>
        <w:bidi w:val="0"/>
        <w:spacing w:before="0" w:after="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Notes to Consolidated Financial Statements</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jc w:val="center"/>
        <w:rPr>
          <w:caps/>
        </w:rPr>
      </w:pPr>
      <w:r>
        <w:rPr>
          <w:caps/>
        </w:rPr>
        <w:t> </w:t>
      </w:r>
    </w:p>
    <w:p>
      <w:pPr>
        <w:pStyle w:val="TextBody"/>
        <w:bidi w:val="0"/>
        <w:spacing w:before="0" w:after="0"/>
        <w:jc w:val="both"/>
        <w:rPr>
          <w:rFonts w:ascii="Times New Roman;Times;Serif" w:hAnsi="Times New Roman;Times;Serif"/>
          <w:b/>
          <w:i w:val="false"/>
          <w:caps/>
          <w:sz w:val="20"/>
        </w:rPr>
      </w:pPr>
      <w:r>
        <w:rPr>
          <w:rFonts w:ascii="Times New Roman;Times;Serif" w:hAnsi="Times New Roman;Times;Serif"/>
          <w:b/>
          <w:i w:val="false"/>
          <w:caps/>
          <w:sz w:val="20"/>
        </w:rPr>
        <w:t>Note 2 – Summary of Significant Accounting Policies (continued)</w:t>
      </w:r>
    </w:p>
    <w:p>
      <w:pPr>
        <w:pStyle w:val="TextBody"/>
        <w:bidi w:val="0"/>
        <w:spacing w:before="0" w:after="0"/>
        <w:jc w:val="both"/>
        <w:rPr>
          <w:caps/>
        </w:rPr>
      </w:pPr>
      <w:r>
        <w:rPr>
          <w:caps/>
        </w:rPr>
        <w:t> </w:t>
      </w:r>
    </w:p>
    <w:p>
      <w:pPr>
        <w:pStyle w:val="TextBody"/>
        <w:bidi w:val="0"/>
        <w:spacing w:before="0" w:after="0"/>
        <w:jc w:val="left"/>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Going Concern (Continued)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June 30, 2025 and 2024, the Company incurred losses from operations and had negative cash flow from operations. As of June 30, 2025, the Company had $</w:t>
      </w:r>
      <w:bookmarkStart w:id="290" w:name="xdx_90A_eus-gaap--CashAndCashEquivalents"/>
      <w:bookmarkEnd w:id="290"/>
      <w:r>
        <w:rPr>
          <w:rFonts w:ascii="Times New Roman;Times;Serif" w:hAnsi="Times New Roman;Times;Serif"/>
          <w:b w:val="false"/>
          <w:i w:val="false"/>
          <w:caps w:val="false"/>
          <w:smallCaps w:val="false"/>
          <w:sz w:val="20"/>
        </w:rPr>
        <w:t>2,733 in cash and cash equivalents and a working capital of $</w:t>
      </w:r>
      <w:bookmarkStart w:id="291" w:name="xdx_906_ecustom--WorkingCapital_pn3n3_c2"/>
      <w:bookmarkEnd w:id="291"/>
      <w:r>
        <w:rPr>
          <w:rFonts w:ascii="Times New Roman;Times;Serif" w:hAnsi="Times New Roman;Times;Serif"/>
          <w:b w:val="false"/>
          <w:i w:val="false"/>
          <w:caps w:val="false"/>
          <w:smallCaps w:val="false"/>
          <w:sz w:val="20"/>
        </w:rPr>
        <w:t>8,391. The Company’s ability to achieve profitability and positive cash flow depends on its ability to increase revenue, contain its expenses and maintain compliance with the financial covenants in its outstanding indebtedness agreements.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Company’s senior secured term loan facility in an aggregate principal amount of $</w:t>
      </w:r>
      <w:bookmarkStart w:id="292" w:name="xdx_90B_eus-gaap--DebtInstrumentFaceAmou"/>
      <w:bookmarkEnd w:id="292"/>
      <w:r>
        <w:rPr>
          <w:rFonts w:ascii="Times New Roman;Times;Serif" w:hAnsi="Times New Roman;Times;Serif"/>
          <w:b w:val="false"/>
          <w:i w:val="false"/>
          <w:caps w:val="false"/>
          <w:smallCaps w:val="false"/>
          <w:sz w:val="20"/>
        </w:rPr>
        <w:t xml:space="preserve">75,000 (as amended, the “Term Loan”), the Company is obligated to comply with certain financial covenants, which include maintaining a maximum senior leverage ratio, minimum liquidity, a springing fixed charge coverage ratio, and maximum capital expenditures </w:t>
      </w:r>
      <w:r>
        <w:rPr>
          <w:rFonts w:ascii="Times New Roman;Times;Serif" w:hAnsi="Times New Roman;Times;Serif"/>
          <w:b/>
          <w:i w:val="false"/>
          <w:caps w:val="false"/>
          <w:smallCaps w:val="false"/>
          <w:sz w:val="20"/>
        </w:rPr>
        <w:t>(See Note 6).</w:t>
      </w:r>
      <w:r>
        <w:rPr>
          <w:rFonts w:ascii="Times New Roman;Times;Serif" w:hAnsi="Times New Roman;Times;Serif"/>
          <w:b w:val="false"/>
          <w:i w:val="false"/>
          <w:caps w:val="false"/>
          <w:smallCaps w:val="false"/>
          <w:sz w:val="20"/>
        </w:rPr>
        <w:t xml:space="preserve"> Between March 2024 and February 2025, the Company obtained multiple waivers from the Term Loan administrative agent and lenders, or the Term Loan Lenders, for noncompliance with the liquidity requirements under the Term Loan. As of February 2025, all financial covenants were removed through June 2026, except for the requirement to maintain cash and cash equivalents equal to or greater than $</w:t>
      </w:r>
      <w:bookmarkStart w:id="293" w:name="xdx_908_eus-gaap--CashAndCashEquivalents"/>
      <w:bookmarkEnd w:id="293"/>
      <w:r>
        <w:rPr>
          <w:rFonts w:ascii="Times New Roman;Times;Serif" w:hAnsi="Times New Roman;Times;Serif"/>
          <w:b w:val="false"/>
          <w:i w:val="false"/>
          <w:caps w:val="false"/>
          <w:smallCaps w:val="false"/>
          <w:sz w:val="20"/>
        </w:rPr>
        <w:t>2,500 on a monthly basis.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26, 2025, the Company entered into a Securities Purchase agreement (“Purchase Agreement”). The Purchase Agreement calls for the Company to authorize a new series of convertible preferred stock of the Company designated as the Series A Convertible Preferred Stock, which shall be convertible into shares of the Company’s common stock, and sell to each Buyer an aggregate number of shares of Series A Preferred Stock and 20 warrants, to each buyer, that are convertible to common stock.</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June 30, 2025, we received proceeds of $</w:t>
      </w:r>
      <w:bookmarkStart w:id="294" w:name="xdx_90D_ecustom--ProceedsFromWorkingCapi"/>
      <w:bookmarkEnd w:id="294"/>
      <w:r>
        <w:rPr>
          <w:rFonts w:ascii="Times New Roman;Times;Serif" w:hAnsi="Times New Roman;Times;Serif"/>
          <w:b w:val="false"/>
          <w:i w:val="false"/>
          <w:caps w:val="false"/>
          <w:smallCaps w:val="false"/>
          <w:sz w:val="20"/>
        </w:rPr>
        <w:t>8,000 less $</w:t>
      </w:r>
      <w:bookmarkStart w:id="295" w:name="xdx_906_ecustom--CostforWorkingCapital_p"/>
      <w:bookmarkEnd w:id="295"/>
      <w:r>
        <w:rPr>
          <w:rFonts w:ascii="Times New Roman;Times;Serif" w:hAnsi="Times New Roman;Times;Serif"/>
          <w:b w:val="false"/>
          <w:i w:val="false"/>
          <w:caps w:val="false"/>
          <w:smallCaps w:val="false"/>
          <w:sz w:val="20"/>
        </w:rPr>
        <w:t xml:space="preserve">670 in costs, which the Company has been using for working capital and general corporate purposes. In addition, investors received warrants to purchase up to </w:t>
      </w:r>
      <w:bookmarkStart w:id="296" w:name="xdx_90F_eus-gaap--ClassOfWarrantOrRightO"/>
      <w:bookmarkEnd w:id="296"/>
      <w:r>
        <w:rPr>
          <w:rFonts w:ascii="Times New Roman;Times;Serif" w:hAnsi="Times New Roman;Times;Serif"/>
          <w:b w:val="false"/>
          <w:i w:val="false"/>
          <w:caps w:val="false"/>
          <w:smallCaps w:val="false"/>
          <w:sz w:val="20"/>
        </w:rPr>
        <w:t>4,000 shares of Series A Preferred Stock at $</w:t>
      </w:r>
      <w:bookmarkStart w:id="297" w:name="xdx_90A_eus-gaap--ClassOfWarrantOrRightE"/>
      <w:bookmarkEnd w:id="297"/>
      <w:r>
        <w:rPr>
          <w:rFonts w:ascii="Times New Roman;Times;Serif" w:hAnsi="Times New Roman;Times;Serif"/>
          <w:b w:val="false"/>
          <w:i w:val="false"/>
          <w:caps w:val="false"/>
          <w:smallCaps w:val="false"/>
          <w:sz w:val="20"/>
        </w:rPr>
        <w:t>10,000 per share, potentially providing up to $</w:t>
      </w:r>
      <w:bookmarkStart w:id="298" w:name="xdx_90F_eus-gaap--WarrantsAndRightsOutst"/>
      <w:bookmarkEnd w:id="298"/>
      <w:r>
        <w:rPr>
          <w:rFonts w:ascii="Times New Roman;Times;Serif" w:hAnsi="Times New Roman;Times;Serif"/>
          <w:b w:val="false"/>
          <w:i w:val="false"/>
          <w:caps w:val="false"/>
          <w:smallCaps w:val="false"/>
          <w:sz w:val="20"/>
        </w:rPr>
        <w:t>40 million in future capital. Such warrants were cancelled on June 23, 2025 and are no longer outstanding.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June 30, 2025, on July 31, 2025, the Company received proceeds of $</w:t>
      </w:r>
      <w:bookmarkStart w:id="299" w:name="xdx_90F_ecustom--ProceedsFromWorkingCapi"/>
      <w:bookmarkEnd w:id="299"/>
      <w:r>
        <w:rPr>
          <w:rFonts w:ascii="Times New Roman;Times;Serif" w:hAnsi="Times New Roman;Times;Serif"/>
          <w:b w:val="false"/>
          <w:i w:val="false"/>
          <w:caps w:val="false"/>
          <w:smallCaps w:val="false"/>
          <w:sz w:val="20"/>
        </w:rPr>
        <w:t>5,495 less $</w:t>
      </w:r>
      <w:bookmarkStart w:id="300" w:name="xdx_906_ecustom--CostforWorkingCapital_p"/>
      <w:bookmarkEnd w:id="300"/>
      <w:r>
        <w:rPr>
          <w:rFonts w:ascii="Times New Roman;Times;Serif" w:hAnsi="Times New Roman;Times;Serif"/>
          <w:b w:val="false"/>
          <w:i w:val="false"/>
          <w:caps w:val="false"/>
          <w:smallCaps w:val="false"/>
          <w:sz w:val="20"/>
        </w:rPr>
        <w:t xml:space="preserve">460 in costs, which the Company will use for working capital and other general corporate purposes, including the repayment of indebtedness in the ordinary course. Investors received an aggregate of </w:t>
      </w:r>
      <w:bookmarkStart w:id="301" w:name="xdx_90C_eus-gaap--StockIssuedDuringPerio"/>
      <w:bookmarkEnd w:id="301"/>
      <w:r>
        <w:rPr>
          <w:rFonts w:ascii="Times New Roman;Times;Serif" w:hAnsi="Times New Roman;Times;Serif"/>
          <w:b w:val="false"/>
          <w:i w:val="false"/>
          <w:caps w:val="false"/>
          <w:smallCaps w:val="false"/>
          <w:sz w:val="20"/>
        </w:rPr>
        <w:t>21,980,000 shares of common stock.</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Purchase Agreement, the Term Loan was amended to (i) extend the maturity date by one (1) year to October 2027, (ii) defer all principal and interest payments to April 2026 and (iii) remove any applicable financial covenants (except for a financial covenant requiring the Company to maintain cash and cash equivalents equal to or greater than $</w:t>
      </w:r>
      <w:bookmarkStart w:id="302" w:name="xdx_90D_eus-gaap--Cash_iI_pn3n3_c2025063"/>
      <w:bookmarkEnd w:id="302"/>
      <w:r>
        <w:rPr>
          <w:rFonts w:ascii="Times New Roman;Times;Serif" w:hAnsi="Times New Roman;Times;Serif"/>
          <w:b w:val="false"/>
          <w:i w:val="false"/>
          <w:caps w:val="false"/>
          <w:smallCaps w:val="false"/>
          <w:sz w:val="20"/>
        </w:rPr>
        <w:t>2,500) through June 30, 2026.</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presented above, strategic initiatives were executed in order to alleviate the substantial doubt, such as the Company’s ability to raise funds through the Purchase Agreement, the maturity extension of the Term Loan, and the absence of any covenants, other than a $</w:t>
      </w:r>
      <w:bookmarkStart w:id="303" w:name="xdx_900_eus-gaap--Cash_iI_pn3n3_c2025063"/>
      <w:bookmarkEnd w:id="303"/>
      <w:r>
        <w:rPr>
          <w:rFonts w:ascii="Times New Roman;Times;Serif" w:hAnsi="Times New Roman;Times;Serif"/>
          <w:b w:val="false"/>
          <w:i w:val="false"/>
          <w:caps w:val="false"/>
          <w:smallCaps w:val="false"/>
          <w:sz w:val="20"/>
        </w:rPr>
        <w:t>2,500 minimum cash requirement, for at least one year from the financial statement issuance date. While these initiatives were enough support to move the Company’s debt to a long term classification, the initiatives were not enough support to completely alleviate the Company’s going concern. Due to no other concessions being made by the lenders in terms of future debt and interest due, except for extending payments into 2026 and the maturity date by one year, and due to the inherent uncertainty surrounding the realization of projected revenues from new markets, management concluded that there is significant doubt about the Company’s ability to continue as a going concern.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Company may need to raise additional debt and/or equity financings to fund its operations, strategic plans, meet its financial covenants under the Term Loan and repay its outstanding indebtedness under the Term Loan. The Company has historically been able to raise additional capital through issuance of equity and/or debt financings and the Company intends to raise additional capital as needed. However, the Company cannot guarantee that it will be able to raise additional equity, contain expenses, or increase revenue, and comply with the financial covenants under the Term Loan. If the Company is unable to obtain additional funding to support its current or proposed activities and operations and its outstanding indebtedness, it may not be able to continue its operations as currently anticipated, which may require it to suspend or terminate any ongoing development activities, modify its business plan, curtail various aspects of its operations, cease operations, or seek relief under applicable bankruptcy laws. In such event, the Company’s stockholders may lose a substantial portion or even all of their investment</w:t>
      </w:r>
    </w:p>
    <w:p>
      <w:pPr>
        <w:pStyle w:val="TextBody"/>
        <w:bidi w:val="0"/>
        <w:spacing w:before="0" w:after="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Notes to Consolidated Financial Statements</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jc w:val="center"/>
        <w:rPr>
          <w:caps/>
        </w:rPr>
      </w:pPr>
      <w:r>
        <w:rPr>
          <w:caps/>
        </w:rPr>
        <w:t> </w:t>
      </w:r>
    </w:p>
    <w:p>
      <w:pPr>
        <w:pStyle w:val="TextBody"/>
        <w:bidi w:val="0"/>
        <w:spacing w:before="0" w:after="0"/>
        <w:jc w:val="both"/>
        <w:rPr>
          <w:rFonts w:ascii="Times New Roman;Times;Serif" w:hAnsi="Times New Roman;Times;Serif"/>
          <w:b/>
          <w:i w:val="false"/>
          <w:caps/>
          <w:sz w:val="20"/>
        </w:rPr>
      </w:pPr>
      <w:r>
        <w:rPr>
          <w:rFonts w:ascii="Times New Roman;Times;Serif" w:hAnsi="Times New Roman;Times;Serif"/>
          <w:b/>
          <w:i w:val="false"/>
          <w:caps/>
          <w:sz w:val="20"/>
        </w:rPr>
        <w:t>Note 2 – Summary of Significant Accounting Policies (continued)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u w:val="single"/>
        </w:rPr>
      </w:pPr>
      <w:bookmarkStart w:id="304" w:name="xdx_869_zAEvKMDVKqKa"/>
      <w:bookmarkStart w:id="305" w:name="xdx_84B_eus-gaap--CashAndCashEquivalents"/>
      <w:bookmarkEnd w:id="304"/>
      <w:bookmarkEnd w:id="305"/>
      <w:r>
        <w:rPr>
          <w:rFonts w:ascii="Times New Roman;Times;Serif" w:hAnsi="Times New Roman;Times;Serif"/>
          <w:b w:val="false"/>
          <w:i/>
          <w:caps w:val="false"/>
          <w:smallCaps w:val="false"/>
          <w:sz w:val="20"/>
          <w:u w:val="single"/>
        </w:rPr>
        <w:t>Cash and Cash Equivalents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considers all short-term debt securities with a maturity of three months or less when purchased to be cash equivalents. As of June 30, 2025 and December 31, 2024, the Company held </w:t>
      </w:r>
      <w:bookmarkStart w:id="306" w:name="xdx_906_eus-gaap--CashEquivalentsAtCarry"/>
      <w:bookmarkStart w:id="307" w:name="xdx_90F_eus-gaap--CashEquivalentsAtCarry"/>
      <w:bookmarkEnd w:id="306"/>
      <w:bookmarkEnd w:id="307"/>
      <w:r>
        <w:rPr>
          <w:rFonts w:ascii="Times New Roman;Times;Serif" w:hAnsi="Times New Roman;Times;Serif"/>
          <w:b w:val="false"/>
          <w:i w:val="false"/>
          <w:caps w:val="false"/>
          <w:smallCaps w:val="false"/>
          <w:sz w:val="20"/>
        </w:rPr>
        <w:t>no Cash Equivalents.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Company has amounts on deposit with financial institutions that exceed federally insured limits. The Company has not experienced any significant losses in such accounts.</w:t>
      </w:r>
    </w:p>
    <w:p>
      <w:pPr>
        <w:pStyle w:val="TextBody"/>
        <w:bidi w:val="0"/>
        <w:spacing w:before="0" w:after="0"/>
        <w:jc w:val="both"/>
        <w:rPr>
          <w:caps/>
        </w:rPr>
      </w:pPr>
      <w:r>
        <w:rPr>
          <w:caps/>
        </w:rPr>
        <w:t> </w:t>
      </w:r>
    </w:p>
    <w:p>
      <w:pPr>
        <w:pStyle w:val="TextBody"/>
        <w:bidi w:val="0"/>
        <w:spacing w:before="0" w:after="0"/>
        <w:jc w:val="both"/>
        <w:rPr>
          <w:rFonts w:ascii="Times New Roman;Times;Serif" w:hAnsi="Times New Roman;Times;Serif"/>
          <w:b w:val="false"/>
          <w:i/>
          <w:caps w:val="false"/>
          <w:smallCaps w:val="false"/>
          <w:sz w:val="20"/>
          <w:u w:val="single"/>
        </w:rPr>
      </w:pPr>
      <w:bookmarkStart w:id="308" w:name="xdx_867_zL7vBRlYOa6a"/>
      <w:bookmarkStart w:id="309" w:name="xdx_848_eus-gaap--TradeAndOtherAccountsR"/>
      <w:bookmarkEnd w:id="308"/>
      <w:bookmarkEnd w:id="309"/>
      <w:r>
        <w:rPr>
          <w:rFonts w:ascii="Times New Roman;Times;Serif" w:hAnsi="Times New Roman;Times;Serif"/>
          <w:b w:val="false"/>
          <w:i/>
          <w:caps w:val="false"/>
          <w:smallCaps w:val="false"/>
          <w:sz w:val="20"/>
          <w:u w:val="single"/>
        </w:rPr>
        <w:t>Accounts Receivable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trade receivables are recorded when billed and represent claims against third parties that will be settled in cash. Generally, payment is due from customers within 30-90 days of the invoice date and the contracts do not have significant financing components. Trade accounts receivables are recorded gross and are net of any applicable allowance. The allowance for credit losses as of June 30, 2025 and December 31, 2024 were not material.</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u w:val="single"/>
        </w:rPr>
      </w:pPr>
      <w:bookmarkStart w:id="310" w:name="xdx_869_zahEuKlj37Kl"/>
      <w:bookmarkStart w:id="311" w:name="xdx_846_eus-gaap--InventoryPolicyTextBlo"/>
      <w:bookmarkEnd w:id="310"/>
      <w:bookmarkEnd w:id="311"/>
      <w:r>
        <w:rPr>
          <w:rFonts w:ascii="Times New Roman;Times;Serif" w:hAnsi="Times New Roman;Times;Serif"/>
          <w:b w:val="false"/>
          <w:i/>
          <w:caps w:val="false"/>
          <w:smallCaps w:val="false"/>
          <w:sz w:val="20"/>
          <w:u w:val="single"/>
        </w:rPr>
        <w:t>Inventory</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Inventories </w:t>
      </w:r>
      <w:r>
        <w:rPr>
          <w:rFonts w:ascii="Times New Roman;Times;Serif" w:hAnsi="Times New Roman;Times;Serif"/>
          <w:b/>
          <w:i w:val="false"/>
          <w:caps w:val="false"/>
          <w:smallCaps w:val="false"/>
          <w:sz w:val="20"/>
        </w:rPr>
        <w:t>(Note 4),</w:t>
      </w:r>
      <w:r>
        <w:rPr>
          <w:rFonts w:ascii="Times New Roman;Times;Serif" w:hAnsi="Times New Roman;Times;Serif"/>
          <w:b w:val="false"/>
          <w:i w:val="false"/>
          <w:caps w:val="false"/>
          <w:smallCaps w:val="false"/>
          <w:sz w:val="20"/>
        </w:rPr>
        <w:t xml:space="preserve"> which consist of raw materials and finished goods, are stated at the lower of cost (first in, first out) or net realizable value, net of reserves for obsolete inventory. The Company continually analyzes its slow moving and excess inventories. Based on historical and projected sales volumes and anticipated selling prices, the Company established reserves. Inventory that is in excess of current and projected use is reduced by an allowance to a level that approximates its estimate of future demand. Products that are determined to be obsolete are written down to net realizable value. The Company had a reserve of $</w:t>
      </w:r>
      <w:bookmarkStart w:id="312" w:name="xdx_906_eus-gaap--InventoryValuationRese"/>
      <w:bookmarkEnd w:id="312"/>
      <w:r>
        <w:rPr>
          <w:rFonts w:ascii="Times New Roman;Times;Serif" w:hAnsi="Times New Roman;Times;Serif"/>
          <w:b w:val="false"/>
          <w:i w:val="false"/>
          <w:caps w:val="false"/>
          <w:smallCaps w:val="false"/>
          <w:sz w:val="20"/>
        </w:rPr>
        <w:t>300 and $</w:t>
      </w:r>
      <w:bookmarkStart w:id="313" w:name="xdx_900_eus-gaap--InventoryValuationRese"/>
      <w:bookmarkEnd w:id="313"/>
      <w:r>
        <w:rPr>
          <w:rFonts w:ascii="Times New Roman;Times;Serif" w:hAnsi="Times New Roman;Times;Serif"/>
          <w:b w:val="false"/>
          <w:i w:val="false"/>
          <w:caps w:val="false"/>
          <w:smallCaps w:val="false"/>
          <w:sz w:val="20"/>
        </w:rPr>
        <w:t>188 as of June 30, 2025 and December 31, 2024, respectively.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u w:val="single"/>
        </w:rPr>
      </w:pPr>
      <w:bookmarkStart w:id="314" w:name="xdx_867_zqt5EyZ33t7g"/>
      <w:bookmarkStart w:id="315" w:name="xdx_846_ecustom--AssetsHeldForSalePolicy"/>
      <w:bookmarkEnd w:id="314"/>
      <w:bookmarkEnd w:id="315"/>
      <w:r>
        <w:rPr>
          <w:rFonts w:ascii="Times New Roman;Times;Serif" w:hAnsi="Times New Roman;Times;Serif"/>
          <w:b w:val="false"/>
          <w:i/>
          <w:caps w:val="false"/>
          <w:smallCaps w:val="false"/>
          <w:sz w:val="20"/>
          <w:u w:val="single"/>
        </w:rPr>
        <w:t>Assets Held for Sale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Assets held for sale are valued at the lower of the carrying amount or the net realizable value estimated at June 30, 2025. Impairment to carrying amounts are recognized to non-operating expenses in the year ending December 31, 2024. The Assets held for sale, or the disposal group, consists of two research and development pieces of equipment that were not in use yet. Due to the nature of the disposal group being long-lived assets, the disposal group qualifies for the held for sale classification, as defined in ASC 360. Due to the Company shifting its focus from research and development efforts to product development, these assets would be put into service at an undeterminable time in the future and therefore, a search for a potential buyer was conducted. The sale was expected to be completed in the quarter ended June 30, 2025, but unforeseen circumstances forced the buyer to back out. Due to not being able to locate another buyer, the assets held for sale were reclassified as Property and Equipment as of June 30, 2025.</w:t>
      </w:r>
    </w:p>
    <w:p>
      <w:pPr>
        <w:pStyle w:val="TextBody"/>
        <w:bidi w:val="0"/>
        <w:spacing w:before="0" w:after="0"/>
        <w:jc w:val="both"/>
        <w:rPr>
          <w:caps/>
        </w:rPr>
      </w:pPr>
      <w:r>
        <w:rPr>
          <w:caps/>
        </w:rPr>
        <w:t> </w:t>
      </w:r>
    </w:p>
    <w:p>
      <w:pPr>
        <w:pStyle w:val="TextBody"/>
        <w:bidi w:val="0"/>
        <w:spacing w:before="0" w:after="0"/>
        <w:jc w:val="left"/>
        <w:rPr>
          <w:rFonts w:ascii="Times New Roman;Times;Serif" w:hAnsi="Times New Roman;Times;Serif"/>
          <w:b w:val="false"/>
          <w:i/>
          <w:caps w:val="false"/>
          <w:smallCaps w:val="false"/>
          <w:sz w:val="20"/>
          <w:u w:val="single"/>
        </w:rPr>
      </w:pPr>
      <w:bookmarkStart w:id="316" w:name="xdx_860_zUMpRcjlNW3e"/>
      <w:bookmarkStart w:id="317" w:name="xdx_841_eus-gaap--UseOfEstimates_zbgxLSY"/>
      <w:bookmarkEnd w:id="316"/>
      <w:bookmarkEnd w:id="317"/>
      <w:r>
        <w:rPr>
          <w:rFonts w:ascii="Times New Roman;Times;Serif" w:hAnsi="Times New Roman;Times;Serif"/>
          <w:b w:val="false"/>
          <w:i/>
          <w:caps w:val="false"/>
          <w:smallCaps w:val="false"/>
          <w:sz w:val="20"/>
          <w:u w:val="single"/>
        </w:rPr>
        <w:t>Use of Estimates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The Company utilizes the use of estimates in its calculations for the reserve for obsolete or slow moving inventory, going concern, right of use asset, warrant liability, equity based compensation, income taxes, leases and license arrangement.</w:t>
      </w:r>
    </w:p>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Notes to Consolidated Financial Statements</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jc w:val="center"/>
        <w:rPr>
          <w:caps/>
        </w:rPr>
      </w:pPr>
      <w:r>
        <w:rPr>
          <w:caps/>
        </w:rPr>
        <w:t> </w:t>
      </w:r>
    </w:p>
    <w:p>
      <w:pPr>
        <w:pStyle w:val="TextBody"/>
        <w:bidi w:val="0"/>
        <w:spacing w:before="0" w:after="0"/>
        <w:jc w:val="both"/>
        <w:rPr>
          <w:rFonts w:ascii="Times New Roman;Times;Serif" w:hAnsi="Times New Roman;Times;Serif"/>
          <w:b/>
          <w:i w:val="false"/>
          <w:caps/>
          <w:sz w:val="20"/>
        </w:rPr>
      </w:pPr>
      <w:r>
        <w:rPr>
          <w:rFonts w:ascii="Times New Roman;Times;Serif" w:hAnsi="Times New Roman;Times;Serif"/>
          <w:b/>
          <w:i w:val="false"/>
          <w:caps/>
          <w:sz w:val="20"/>
        </w:rPr>
        <w:t>Note 2 – Summary of Significant Accounting Policies (continued)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u w:val="single"/>
        </w:rPr>
      </w:pPr>
      <w:bookmarkStart w:id="318" w:name="xdx_861_zbgJBCCNJS2"/>
      <w:bookmarkStart w:id="319" w:name="xdx_84F_eus-gaap--RevenueFromContractWit"/>
      <w:bookmarkEnd w:id="318"/>
      <w:bookmarkEnd w:id="319"/>
      <w:r>
        <w:rPr>
          <w:rFonts w:ascii="Times New Roman;Times;Serif" w:hAnsi="Times New Roman;Times;Serif"/>
          <w:b w:val="false"/>
          <w:i/>
          <w:caps w:val="false"/>
          <w:smallCaps w:val="false"/>
          <w:sz w:val="20"/>
          <w:u w:val="single"/>
        </w:rPr>
        <w:t>Revenue Recognition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Topic 606, an entity recognizes revenue when its customer obtains control of promised goods or services, in an amount that reflects the consideration that the entity expects to receive in exchange for those goods or services. To determine revenue recognition for arrangements that an entity determines are within the scope of Topic 606,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five-step model to contracts when it is probable the entity will collect the consideration it is entitled to in exchange for the goods or services it transfers to the customer.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recognized when control of the promised goods is transferred to the customer or reseller, in an amount that reflects the consideration the Company expects to be entitled to in exchange for those goods and services. Revenue associated with products holding rights of return are recognized when the Company concludes there is not a risk of significant revenue reversal in the future periods for the expected consideration in the transaction. There are no material instances including discounts and refunds where variable consideration is constrained and not recorded at the initial time of sale. Generally, the Company’s revenue is recognized at a point in time for standard promised goods at the time of shipment when title and risk of loss pass to the customer.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revenue from right-to-access license agreements upon the transfer of control to the customer. Upfront fees are deferred and recognized over the estimated period of benefit. Royalties are recognized as revenue when the customer’s underlying sales occur. The transaction price and timing of revenue recognition are adjusted as necessary to reflect changes in expectations.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may receive payments at the onset of the contract before delivery of goods for customers in the retail channel. Payment terms for distributors and original equipment manufacturers (“OEMs”) are typically due within </w:t>
      </w:r>
      <w:bookmarkStart w:id="320" w:name="xdx_901_ecustom--PaymentTermForDistribut"/>
      <w:bookmarkEnd w:id="320"/>
      <w:r>
        <w:rPr>
          <w:rFonts w:ascii="Times New Roman;Times;Serif" w:hAnsi="Times New Roman;Times;Serif"/>
          <w:b w:val="false"/>
          <w:i w:val="false"/>
          <w:caps w:val="false"/>
          <w:smallCaps w:val="false"/>
          <w:sz w:val="20"/>
        </w:rPr>
        <w:t>30-</w:t>
      </w:r>
      <w:bookmarkStart w:id="321" w:name="xdx_906_ecustom--PaymentTermForDistribut"/>
      <w:bookmarkEnd w:id="321"/>
      <w:r>
        <w:rPr>
          <w:rFonts w:ascii="Times New Roman;Times;Serif" w:hAnsi="Times New Roman;Times;Serif"/>
          <w:b w:val="false"/>
          <w:i w:val="false"/>
          <w:caps w:val="false"/>
          <w:smallCaps w:val="false"/>
          <w:sz w:val="20"/>
        </w:rPr>
        <w:t>90 days after shipment. In such instances, the Company records a customer deposit liability. The Company recognizes these contract liabilities as sales after the revenue criteria are met. As of June 30, 2025 and December 31, 2024, the contract liability related to the Company’s customer deposits were approximately $</w:t>
      </w:r>
      <w:bookmarkStart w:id="322" w:name="xdx_90D_eus-gaap--ContractWithCustomerLi"/>
      <w:bookmarkEnd w:id="322"/>
      <w:r>
        <w:rPr>
          <w:rFonts w:ascii="Times New Roman;Times;Serif" w:hAnsi="Times New Roman;Times;Serif"/>
          <w:b w:val="false"/>
          <w:i w:val="false"/>
          <w:caps w:val="false"/>
          <w:smallCaps w:val="false"/>
          <w:sz w:val="20"/>
        </w:rPr>
        <w:t>166 and $</w:t>
      </w:r>
      <w:bookmarkStart w:id="323" w:name="xdx_90D_eus-gaap--ContractWithCustomerLi"/>
      <w:bookmarkEnd w:id="323"/>
      <w:r>
        <w:rPr>
          <w:rFonts w:ascii="Times New Roman;Times;Serif" w:hAnsi="Times New Roman;Times;Serif"/>
          <w:b w:val="false"/>
          <w:i w:val="false"/>
          <w:caps w:val="false"/>
          <w:smallCaps w:val="false"/>
          <w:sz w:val="20"/>
        </w:rPr>
        <w:t>317, respectively.</w:t>
      </w:r>
    </w:p>
    <w:p>
      <w:pPr>
        <w:pStyle w:val="TextBody"/>
        <w:bidi w:val="0"/>
        <w:spacing w:before="0" w:after="0"/>
        <w:jc w:val="both"/>
        <w:rPr>
          <w:caps/>
        </w:rPr>
      </w:pPr>
      <w:r>
        <w:rPr>
          <w:caps/>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recognized $</w:t>
      </w:r>
      <w:bookmarkStart w:id="324" w:name="xdx_90B_eus-gaap--ContractWithCustomerLi"/>
      <w:bookmarkEnd w:id="324"/>
      <w:r>
        <w:rPr>
          <w:rFonts w:ascii="Times New Roman;Times;Serif" w:hAnsi="Times New Roman;Times;Serif"/>
          <w:b w:val="false"/>
          <w:i w:val="false"/>
          <w:caps w:val="false"/>
          <w:smallCaps w:val="false"/>
          <w:sz w:val="20"/>
        </w:rPr>
        <w:t>314 of the contract liability as of December 31, 2024 during the six months ended June 30, 2025. During the six months ended June 30, 2024, the Company recognized $</w:t>
      </w:r>
      <w:bookmarkStart w:id="325" w:name="xdx_90F_eus-gaap--ContractWithCustomerLi"/>
      <w:bookmarkEnd w:id="325"/>
      <w:r>
        <w:rPr>
          <w:rFonts w:ascii="Times New Roman;Times;Serif" w:hAnsi="Times New Roman;Times;Serif"/>
          <w:b w:val="false"/>
          <w:i w:val="false"/>
          <w:caps w:val="false"/>
          <w:smallCaps w:val="false"/>
          <w:sz w:val="20"/>
        </w:rPr>
        <w:t>153 of the contract liability that was recorded as a January 1, 2024 beginning balance.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29, 2024, Dragonfly Energy Corp. (“Legacy Dragonfly”), a wholly-owned subsidiary of the Company, and Battle Born Battery Products, LLC (“Battle Born LLC”), a wholly-owned subsidiary of Legacy Dragonfly, entered into a License Agreement (the “License Agreement”) with Stryten Energy LLC (“Stryten”) (</w:t>
      </w:r>
      <w:r>
        <w:rPr>
          <w:rFonts w:ascii="Times New Roman;Times;Serif" w:hAnsi="Times New Roman;Times;Serif"/>
          <w:b/>
          <w:i w:val="false"/>
          <w:caps w:val="false"/>
          <w:smallCaps w:val="false"/>
          <w:sz w:val="20"/>
        </w:rPr>
        <w:t>Note 7</w:t>
      </w:r>
      <w:r>
        <w:rPr>
          <w:rFonts w:ascii="Times New Roman;Times;Serif" w:hAnsi="Times New Roman;Times;Serif"/>
          <w:b w:val="false"/>
          <w:i w:val="false"/>
          <w:caps w:val="false"/>
          <w:smallCaps w:val="false"/>
          <w:sz w:val="20"/>
        </w:rPr>
        <w:t>). The $</w:t>
      </w:r>
      <w:bookmarkStart w:id="326" w:name="xdx_900_ecustom--LicensingFee_pn3n3_c202"/>
      <w:bookmarkEnd w:id="326"/>
      <w:r>
        <w:rPr>
          <w:rFonts w:ascii="Times New Roman;Times;Serif" w:hAnsi="Times New Roman;Times;Serif"/>
          <w:b w:val="false"/>
          <w:i w:val="false"/>
          <w:caps w:val="false"/>
          <w:smallCaps w:val="false"/>
          <w:sz w:val="20"/>
        </w:rPr>
        <w:t xml:space="preserve">5,000 initial licensing fee is being recognized as revenue on a straight-line basis over five </w:t>
      </w:r>
      <w:bookmarkStart w:id="327" w:name="xdx_900_eus-gaap--FiniteLivedIntangibleA"/>
      <w:bookmarkEnd w:id="327"/>
      <w:r>
        <w:rPr>
          <w:rFonts w:ascii="Times New Roman;Times;Serif" w:hAnsi="Times New Roman;Times;Serif"/>
          <w:b w:val="false"/>
          <w:i w:val="false"/>
          <w:caps w:val="false"/>
          <w:smallCaps w:val="false"/>
          <w:sz w:val="20"/>
        </w:rPr>
        <w:t>5 years. The Company has recorded $</w:t>
      </w:r>
      <w:bookmarkStart w:id="328" w:name="xdx_908_eus-gaap--RevenueFromContractWit"/>
      <w:bookmarkEnd w:id="328"/>
      <w:r>
        <w:rPr>
          <w:rFonts w:ascii="Times New Roman;Times;Serif" w:hAnsi="Times New Roman;Times;Serif"/>
          <w:b w:val="false"/>
          <w:i w:val="false"/>
          <w:caps w:val="false"/>
          <w:smallCaps w:val="false"/>
          <w:sz w:val="20"/>
        </w:rPr>
        <w:t>250 and $</w:t>
      </w:r>
      <w:bookmarkStart w:id="329" w:name="xdx_90A_eus-gaap--RevenueFromContractWit"/>
      <w:bookmarkEnd w:id="329"/>
      <w:r>
        <w:rPr>
          <w:rFonts w:ascii="Times New Roman;Times;Serif" w:hAnsi="Times New Roman;Times;Serif"/>
          <w:b w:val="false"/>
          <w:i w:val="false"/>
          <w:caps w:val="false"/>
          <w:smallCaps w:val="false"/>
          <w:sz w:val="20"/>
        </w:rPr>
        <w:t>500 in revenue related to the license agreement for the three and six months ended June 30, 2025, respectively. As of June 30, 2025 and December 31, 2024, the contract liability related to the Company’s deferred revenue were approximately $</w:t>
      </w:r>
      <w:bookmarkStart w:id="330" w:name="xdx_908_eus-gaap--DeferredRevenue_iI_pn3"/>
      <w:bookmarkEnd w:id="330"/>
      <w:r>
        <w:rPr>
          <w:rFonts w:ascii="Times New Roman;Times;Serif" w:hAnsi="Times New Roman;Times;Serif"/>
          <w:b w:val="false"/>
          <w:i w:val="false"/>
          <w:caps w:val="false"/>
          <w:smallCaps w:val="false"/>
          <w:sz w:val="20"/>
        </w:rPr>
        <w:t>4,083 and $</w:t>
      </w:r>
      <w:bookmarkStart w:id="331" w:name="xdx_90A_eus-gaap--DeferredRevenue_iI_pn3"/>
      <w:bookmarkEnd w:id="331"/>
      <w:r>
        <w:rPr>
          <w:rFonts w:ascii="Times New Roman;Times;Serif" w:hAnsi="Times New Roman;Times;Serif"/>
          <w:b w:val="false"/>
          <w:i w:val="false"/>
          <w:caps w:val="false"/>
          <w:smallCaps w:val="false"/>
          <w:sz w:val="20"/>
        </w:rPr>
        <w:t>4,583, respectively. As of June 30, 2025, the Company had $</w:t>
      </w:r>
      <w:bookmarkStart w:id="332" w:name="xdx_901_eus-gaap--DeferredIncomeCurrent_"/>
      <w:bookmarkEnd w:id="332"/>
      <w:r>
        <w:rPr>
          <w:rFonts w:ascii="Times New Roman;Times;Serif" w:hAnsi="Times New Roman;Times;Serif"/>
          <w:b w:val="false"/>
          <w:i w:val="false"/>
          <w:caps w:val="false"/>
          <w:smallCaps w:val="false"/>
          <w:sz w:val="20"/>
        </w:rPr>
        <w:t>1,000 in short term deferred revenue and $</w:t>
      </w:r>
      <w:bookmarkStart w:id="333" w:name="xdx_902_eus-gaap--DeferredIncomeNoncurre"/>
      <w:bookmarkEnd w:id="333"/>
      <w:r>
        <w:rPr>
          <w:rFonts w:ascii="Times New Roman;Times;Serif" w:hAnsi="Times New Roman;Times;Serif"/>
          <w:b w:val="false"/>
          <w:i w:val="false"/>
          <w:caps w:val="false"/>
          <w:smallCaps w:val="false"/>
          <w:sz w:val="20"/>
        </w:rPr>
        <w:t>3,083 in long-term deferred revenue related to the License Agreement.</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Notes to Consolidated Financial Statements</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jc w:val="center"/>
        <w:rPr>
          <w:caps/>
        </w:rPr>
      </w:pPr>
      <w:r>
        <w:rPr>
          <w:caps/>
        </w:rPr>
        <w:t> </w:t>
      </w:r>
    </w:p>
    <w:p>
      <w:pPr>
        <w:pStyle w:val="TextBody"/>
        <w:bidi w:val="0"/>
        <w:spacing w:before="0" w:after="0"/>
        <w:jc w:val="both"/>
        <w:rPr>
          <w:rFonts w:ascii="Times New Roman;Times;Serif" w:hAnsi="Times New Roman;Times;Serif"/>
          <w:b/>
          <w:i w:val="false"/>
          <w:caps/>
          <w:sz w:val="20"/>
        </w:rPr>
      </w:pPr>
      <w:r>
        <w:rPr>
          <w:rFonts w:ascii="Times New Roman;Times;Serif" w:hAnsi="Times New Roman;Times;Serif"/>
          <w:b/>
          <w:i w:val="false"/>
          <w:caps/>
          <w:sz w:val="20"/>
        </w:rPr>
        <w:t>Note 2 – Summary of Significant Accounting Policies (continued)</w:t>
      </w:r>
    </w:p>
    <w:p>
      <w:pPr>
        <w:pStyle w:val="TextBody"/>
        <w:bidi w:val="0"/>
        <w:spacing w:before="0" w:after="0"/>
        <w:jc w:val="both"/>
        <w:rPr>
          <w:caps/>
        </w:rPr>
      </w:pPr>
      <w:r>
        <w:rPr>
          <w:caps/>
        </w:rPr>
        <w:t> </w:t>
      </w:r>
    </w:p>
    <w:p>
      <w:pPr>
        <w:pStyle w:val="TextBody"/>
        <w:bidi w:val="0"/>
        <w:spacing w:before="0" w:after="0"/>
        <w:jc w:val="both"/>
        <w:rPr>
          <w:rFonts w:ascii="Times New Roman;Times;Serif" w:hAnsi="Times New Roman;Times;Serif"/>
          <w:b w:val="false"/>
          <w:i/>
          <w:caps w:val="false"/>
          <w:smallCaps w:val="false"/>
          <w:sz w:val="20"/>
          <w:u w:val="single"/>
        </w:rPr>
      </w:pPr>
      <w:bookmarkStart w:id="334" w:name="xdx_868_ztO79DmFm0yf"/>
      <w:bookmarkStart w:id="335" w:name="xdx_84E_ecustom--DisaggregationOfRevenue"/>
      <w:bookmarkEnd w:id="334"/>
      <w:bookmarkEnd w:id="335"/>
      <w:r>
        <w:rPr>
          <w:rFonts w:ascii="Times New Roman;Times;Serif" w:hAnsi="Times New Roman;Times;Serif"/>
          <w:b w:val="false"/>
          <w:i/>
          <w:caps w:val="false"/>
          <w:smallCaps w:val="false"/>
          <w:sz w:val="20"/>
          <w:u w:val="single"/>
        </w:rPr>
        <w:t>Disaggregation of Revenue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bookmarkStart w:id="336" w:name="xdx_896_eus-gaap--DisaggregationOfRevenu"/>
      <w:bookmarkEnd w:id="336"/>
      <w:r>
        <w:rPr>
          <w:rFonts w:ascii="Times New Roman;Times;Serif" w:hAnsi="Times New Roman;Times;Serif"/>
          <w:b w:val="false"/>
          <w:i w:val="false"/>
          <w:caps w:val="false"/>
          <w:smallCaps w:val="false"/>
          <w:sz w:val="20"/>
        </w:rPr>
        <w:t>The following table presents the Company’s disaggregated revenues by distribution channel:</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bookmarkStart w:id="337" w:name="xdx_8B0_zjwtF3Eex3G7"/>
      <w:bookmarkEnd w:id="337"/>
      <w:r>
        <w:rPr>
          <w:rFonts w:ascii="Times New Roman;Times;Serif" w:hAnsi="Times New Roman;Times;Serif"/>
          <w:b w:val="false"/>
          <w:i w:val="false"/>
          <w:caps w:val="false"/>
          <w:smallCaps w:val="false"/>
          <w:sz w:val="20"/>
        </w:rPr>
        <w:t>SCHEDULE OF DISAGGREGATED REVENUES BY DISTRIBUTION CHANNEL </w:t>
      </w:r>
    </w:p>
    <w:tbl>
      <w:tblPr>
        <w:tblW w:w="8634" w:type="dxa"/>
        <w:jc w:val="left"/>
        <w:tblInd w:w="0" w:type="dxa"/>
        <w:tblLayout w:type="fixed"/>
        <w:tblCellMar>
          <w:top w:w="0" w:type="dxa"/>
          <w:left w:w="0" w:type="dxa"/>
          <w:bottom w:w="0" w:type="dxa"/>
          <w:right w:w="0" w:type="dxa"/>
        </w:tblCellMar>
      </w:tblPr>
      <w:tblGrid>
        <w:gridCol w:w="3095"/>
        <w:gridCol w:w="60"/>
        <w:gridCol w:w="219"/>
        <w:gridCol w:w="1068"/>
        <w:gridCol w:w="94"/>
        <w:gridCol w:w="94"/>
        <w:gridCol w:w="219"/>
        <w:gridCol w:w="1068"/>
        <w:gridCol w:w="60"/>
        <w:gridCol w:w="60"/>
        <w:gridCol w:w="200"/>
        <w:gridCol w:w="975"/>
        <w:gridCol w:w="86"/>
        <w:gridCol w:w="86"/>
        <w:gridCol w:w="200"/>
        <w:gridCol w:w="975"/>
        <w:gridCol w:w="75"/>
      </w:tblGrid>
      <w:tr>
        <w:trPr/>
        <w:tc>
          <w:tcPr>
            <w:tcW w:w="30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Sales</w:t>
            </w:r>
          </w:p>
        </w:tc>
        <w:tc>
          <w:tcPr>
            <w:tcW w:w="60" w:type="dxa"/>
            <w:tcBorders/>
            <w:vAlign w:val="center"/>
          </w:tcPr>
          <w:p>
            <w:pPr>
              <w:pStyle w:val="TableContents"/>
              <w:bidi w:val="0"/>
              <w:spacing w:before="0" w:after="283"/>
              <w:jc w:val="left"/>
              <w:rPr/>
            </w:pPr>
            <w:r>
              <w:rPr/>
              <w:t> </w:t>
            </w:r>
            <w:bookmarkStart w:id="338" w:name="xdx_49A_20250401__20250630_zUiHhIcWuhxb"/>
            <w:bookmarkEnd w:id="338"/>
          </w:p>
        </w:tc>
        <w:tc>
          <w:tcPr>
            <w:tcW w:w="128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2025</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bookmarkStart w:id="339" w:name="xdx_493_20240401__20240630_zlVaOOM1aHHj"/>
            <w:bookmarkEnd w:id="339"/>
          </w:p>
        </w:tc>
        <w:tc>
          <w:tcPr>
            <w:tcW w:w="128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40" w:name="xdx_497_20250101__20250630_zrLiyPlpLpa7"/>
            <w:bookmarkEnd w:id="340"/>
          </w:p>
        </w:tc>
        <w:tc>
          <w:tcPr>
            <w:tcW w:w="11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2025</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bookmarkStart w:id="341" w:name="xdx_493_20240101__20240630_z94DfY9NTYP"/>
            <w:bookmarkEnd w:id="341"/>
          </w:p>
        </w:tc>
        <w:tc>
          <w:tcPr>
            <w:tcW w:w="11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2024</w:t>
            </w:r>
          </w:p>
        </w:tc>
        <w:tc>
          <w:tcPr>
            <w:tcW w:w="75" w:type="dxa"/>
            <w:tcBorders/>
            <w:vAlign w:val="center"/>
          </w:tcPr>
          <w:p>
            <w:pPr>
              <w:pStyle w:val="TableContents"/>
              <w:bidi w:val="0"/>
              <w:spacing w:before="0" w:after="283"/>
              <w:jc w:val="left"/>
              <w:rPr/>
            </w:pPr>
            <w:r>
              <w:rPr/>
              <w:t> </w:t>
            </w:r>
          </w:p>
        </w:tc>
      </w:tr>
      <w:tr>
        <w:trPr/>
        <w:tc>
          <w:tcPr>
            <w:tcW w:w="30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62" w:type="dxa"/>
            <w:gridSpan w:val="6"/>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For the Three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22" w:type="dxa"/>
            <w:gridSpan w:val="6"/>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For the Six Months Ended</w:t>
            </w:r>
          </w:p>
        </w:tc>
        <w:tc>
          <w:tcPr>
            <w:tcW w:w="75" w:type="dxa"/>
            <w:tcBorders/>
            <w:vAlign w:val="center"/>
          </w:tcPr>
          <w:p>
            <w:pPr>
              <w:pStyle w:val="TableContents"/>
              <w:bidi w:val="0"/>
              <w:spacing w:before="0" w:after="283"/>
              <w:jc w:val="left"/>
              <w:rPr/>
            </w:pPr>
            <w:r>
              <w:rPr/>
              <w:t> </w:t>
            </w:r>
          </w:p>
        </w:tc>
      </w:tr>
      <w:tr>
        <w:trPr/>
        <w:tc>
          <w:tcPr>
            <w:tcW w:w="30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62"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22"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June 30,</w:t>
            </w:r>
          </w:p>
        </w:tc>
        <w:tc>
          <w:tcPr>
            <w:tcW w:w="75" w:type="dxa"/>
            <w:tcBorders/>
            <w:vAlign w:val="center"/>
          </w:tcPr>
          <w:p>
            <w:pPr>
              <w:pStyle w:val="TableContents"/>
              <w:bidi w:val="0"/>
              <w:spacing w:before="0" w:after="283"/>
              <w:jc w:val="left"/>
              <w:rPr/>
            </w:pPr>
            <w:r>
              <w:rPr/>
              <w:t> </w:t>
            </w:r>
          </w:p>
        </w:tc>
      </w:tr>
      <w:tr>
        <w:trPr/>
        <w:tc>
          <w:tcPr>
            <w:tcW w:w="30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Sales</w:t>
            </w:r>
          </w:p>
        </w:tc>
        <w:tc>
          <w:tcPr>
            <w:tcW w:w="60" w:type="dxa"/>
            <w:tcBorders/>
            <w:vAlign w:val="center"/>
          </w:tcPr>
          <w:p>
            <w:pPr>
              <w:pStyle w:val="TableContents"/>
              <w:bidi w:val="0"/>
              <w:spacing w:before="0" w:after="283"/>
              <w:jc w:val="left"/>
              <w:rPr/>
            </w:pPr>
            <w:r>
              <w:rPr/>
              <w:t> </w:t>
            </w:r>
          </w:p>
        </w:tc>
        <w:tc>
          <w:tcPr>
            <w:tcW w:w="128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2025</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28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2025</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2024</w:t>
            </w:r>
          </w:p>
        </w:tc>
        <w:tc>
          <w:tcPr>
            <w:tcW w:w="75" w:type="dxa"/>
            <w:tcBorders/>
            <w:vAlign w:val="center"/>
          </w:tcPr>
          <w:p>
            <w:pPr>
              <w:pStyle w:val="TableContents"/>
              <w:bidi w:val="0"/>
              <w:spacing w:before="0" w:after="283"/>
              <w:jc w:val="left"/>
              <w:rPr/>
            </w:pPr>
            <w:r>
              <w:rPr/>
              <w:t> </w:t>
            </w:r>
            <w:bookmarkStart w:id="342" w:name="xdx_404_eus-gaap--RevenueFromContractWit"/>
            <w:bookmarkEnd w:id="342"/>
          </w:p>
        </w:tc>
      </w:tr>
      <w:tr>
        <w:trPr/>
        <w:tc>
          <w:tcPr>
            <w:tcW w:w="30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Direct to customer</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06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5,948</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106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10,963</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11,737</w:t>
            </w:r>
          </w:p>
        </w:tc>
        <w:tc>
          <w:tcPr>
            <w:tcW w:w="75" w:type="dxa"/>
            <w:tcBorders/>
            <w:shd w:fill="CCEEFF" w:val="clear"/>
            <w:vAlign w:val="center"/>
          </w:tcPr>
          <w:p>
            <w:pPr>
              <w:pStyle w:val="TableContents"/>
              <w:bidi w:val="0"/>
              <w:spacing w:before="0" w:after="283"/>
              <w:jc w:val="left"/>
              <w:rPr/>
            </w:pPr>
            <w:r>
              <w:rPr/>
              <w:t> </w:t>
            </w:r>
            <w:bookmarkStart w:id="343" w:name="xdx_404_eus-gaap--RevenueFromContractWit"/>
            <w:bookmarkEnd w:id="343"/>
          </w:p>
        </w:tc>
      </w:tr>
      <w:tr>
        <w:trPr/>
        <w:tc>
          <w:tcPr>
            <w:tcW w:w="30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Original equipment manufacture</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106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10,050</w:t>
            </w:r>
          </w:p>
        </w:tc>
        <w:tc>
          <w:tcPr>
            <w:tcW w:w="94"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106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18,141</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13,976</w:t>
            </w:r>
          </w:p>
        </w:tc>
        <w:tc>
          <w:tcPr>
            <w:tcW w:w="75" w:type="dxa"/>
            <w:tcBorders/>
            <w:shd w:fill="FFFFFF" w:val="clear"/>
            <w:vAlign w:val="center"/>
          </w:tcPr>
          <w:p>
            <w:pPr>
              <w:pStyle w:val="TableContents"/>
              <w:bidi w:val="0"/>
              <w:spacing w:before="0" w:after="283"/>
              <w:jc w:val="left"/>
              <w:rPr/>
            </w:pPr>
            <w:r>
              <w:rPr/>
              <w:t> </w:t>
            </w:r>
            <w:bookmarkStart w:id="344" w:name="xdx_40B_eus-gaap--RevenueFromContractWit"/>
            <w:bookmarkEnd w:id="344"/>
          </w:p>
        </w:tc>
      </w:tr>
      <w:tr>
        <w:trPr/>
        <w:tc>
          <w:tcPr>
            <w:tcW w:w="30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License fee revenue</w:t>
            </w:r>
          </w:p>
        </w:tc>
        <w:tc>
          <w:tcPr>
            <w:tcW w:w="60" w:type="dxa"/>
            <w:tcBorders/>
            <w:shd w:fill="CCEEFF" w:val="clear"/>
            <w:vAlign w:val="center"/>
          </w:tcPr>
          <w:p>
            <w:pPr>
              <w:pStyle w:val="TableContents"/>
              <w:bidi w:val="0"/>
              <w:spacing w:before="0" w:after="283"/>
              <w:jc w:val="left"/>
              <w:rPr/>
            </w:pPr>
            <w:r>
              <w:rPr/>
              <w:t> </w:t>
            </w:r>
          </w:p>
        </w:tc>
        <w:tc>
          <w:tcPr>
            <w:tcW w:w="21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6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250</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21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6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20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CCEEFF" w:val="clear"/>
            <w:vAlign w:val="center"/>
          </w:tcPr>
          <w:p>
            <w:pPr>
              <w:pStyle w:val="TableContents"/>
              <w:bidi w:val="0"/>
              <w:spacing w:before="0" w:after="283"/>
              <w:jc w:val="left"/>
              <w:rPr/>
            </w:pPr>
            <w:r>
              <w:rPr/>
              <w:t> </w:t>
            </w:r>
            <w:bookmarkStart w:id="345" w:name="xdx_40C_eus-gaap--RevenueFromContractWit"/>
            <w:bookmarkEnd w:id="345"/>
          </w:p>
        </w:tc>
      </w:tr>
      <w:tr>
        <w:trPr/>
        <w:tc>
          <w:tcPr>
            <w:tcW w:w="30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FFFFFF" w:val="cle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6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16,248</w:t>
            </w:r>
          </w:p>
        </w:tc>
        <w:tc>
          <w:tcPr>
            <w:tcW w:w="94"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6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13,208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7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29,604</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20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7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25,713</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bookmarkStart w:id="346" w:name="xdx_8A3_zcDAgKf12kt5"/>
      <w:bookmarkEnd w:id="346"/>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u w:val="single"/>
        </w:rPr>
      </w:pPr>
      <w:bookmarkStart w:id="347" w:name="xdx_866_zusNFNEfk4ol"/>
      <w:bookmarkStart w:id="348" w:name="xdx_84E_eus-gaap--StandardProductWarrant"/>
      <w:bookmarkEnd w:id="347"/>
      <w:bookmarkEnd w:id="348"/>
      <w:r>
        <w:rPr>
          <w:rFonts w:ascii="Times New Roman;Times;Serif" w:hAnsi="Times New Roman;Times;Serif"/>
          <w:b w:val="false"/>
          <w:i/>
          <w:caps w:val="false"/>
          <w:smallCaps w:val="false"/>
          <w:sz w:val="20"/>
          <w:u w:val="single"/>
        </w:rPr>
        <w:t>Product Warranty</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offers assurance type warranties from </w:t>
      </w:r>
      <w:bookmarkStart w:id="349" w:name="xdx_902_ecustom--ProductWarrantyTermProv"/>
      <w:bookmarkEnd w:id="349"/>
      <w:r>
        <w:rPr>
          <w:rFonts w:ascii="Times New Roman;Times;Serif" w:hAnsi="Times New Roman;Times;Serif"/>
          <w:b w:val="false"/>
          <w:i w:val="false"/>
          <w:caps w:val="false"/>
          <w:smallCaps w:val="false"/>
          <w:sz w:val="20"/>
        </w:rPr>
        <w:t xml:space="preserve">5 to </w:t>
      </w:r>
      <w:bookmarkStart w:id="350" w:name="xdx_902_ecustom--ProductWarrantyTermProv"/>
      <w:bookmarkEnd w:id="350"/>
      <w:r>
        <w:rPr>
          <w:rFonts w:ascii="Times New Roman;Times;Serif" w:hAnsi="Times New Roman;Times;Serif"/>
          <w:b w:val="false"/>
          <w:i w:val="false"/>
          <w:caps w:val="false"/>
          <w:smallCaps w:val="false"/>
          <w:sz w:val="20"/>
        </w:rPr>
        <w:t>10 years on its products. The Company estimates the costs associated with the warranty obligation using historical data of warranty claims and costs incurred to satisfy those claims. The Company estimates, based upon a review of historical warranty claim experience, the costs that may be incurred under its warranties and record a liability in the amount of such estimate at the time a product is sold. Factors that affect the Company’s warranty liability include the number of units sold, historical and anticipated rates of warranty claims, and cost per claim. The Company periodically assesses the adequacy of its recorded warranty liability and adjust the accrual as claims data and historical experience warrants. The Company has assessed the costs of fulfilling its existing assurance type warranties and has determined that the estimated outstanding warranty obligation at June 30, 2025 and December 31, 2024 to be $</w:t>
      </w:r>
      <w:bookmarkStart w:id="351" w:name="xdx_908_eus-gaap--ProductWarrantyAccrual"/>
      <w:bookmarkEnd w:id="351"/>
      <w:r>
        <w:rPr>
          <w:rFonts w:ascii="Times New Roman;Times;Serif" w:hAnsi="Times New Roman;Times;Serif"/>
          <w:b w:val="false"/>
          <w:i w:val="false"/>
          <w:caps w:val="false"/>
          <w:smallCaps w:val="false"/>
          <w:sz w:val="20"/>
        </w:rPr>
        <w:t>695 and $</w:t>
      </w:r>
      <w:bookmarkStart w:id="352" w:name="xdx_907_eus-gaap--ProductWarrantyAccrual"/>
      <w:bookmarkEnd w:id="352"/>
      <w:r>
        <w:rPr>
          <w:rFonts w:ascii="Times New Roman;Times;Serif" w:hAnsi="Times New Roman;Times;Serif"/>
          <w:b w:val="false"/>
          <w:i w:val="false"/>
          <w:caps w:val="false"/>
          <w:smallCaps w:val="false"/>
          <w:sz w:val="20"/>
        </w:rPr>
        <w:t>514, respectively. The Company incurred warranty expense of $</w:t>
      </w:r>
      <w:bookmarkStart w:id="353" w:name="xdx_90A_eus-gaap--ProductWarrantyAccrual"/>
      <w:bookmarkEnd w:id="353"/>
      <w:r>
        <w:rPr>
          <w:rFonts w:ascii="Times New Roman;Times;Serif" w:hAnsi="Times New Roman;Times;Serif"/>
          <w:b w:val="false"/>
          <w:i w:val="false"/>
          <w:caps w:val="false"/>
          <w:smallCaps w:val="false"/>
          <w:sz w:val="20"/>
        </w:rPr>
        <w:t>148 and $</w:t>
      </w:r>
      <w:bookmarkStart w:id="354" w:name="xdx_902_eus-gaap--ProductWarrantyAccrual"/>
      <w:bookmarkEnd w:id="354"/>
      <w:r>
        <w:rPr>
          <w:rFonts w:ascii="Times New Roman;Times;Serif" w:hAnsi="Times New Roman;Times;Serif"/>
          <w:b w:val="false"/>
          <w:i w:val="false"/>
          <w:caps w:val="false"/>
          <w:smallCaps w:val="false"/>
          <w:sz w:val="20"/>
        </w:rPr>
        <w:t>271 for the three and six months ended June 30, 2025, respectively, and incurred warranty expense of $</w:t>
      </w:r>
      <w:bookmarkStart w:id="355" w:name="xdx_90C_eus-gaap--ProductWarrantyAccrual"/>
      <w:bookmarkEnd w:id="355"/>
      <w:r>
        <w:rPr>
          <w:rFonts w:ascii="Times New Roman;Times;Serif" w:hAnsi="Times New Roman;Times;Serif"/>
          <w:b w:val="false"/>
          <w:i w:val="false"/>
          <w:caps w:val="false"/>
          <w:smallCaps w:val="false"/>
          <w:sz w:val="20"/>
        </w:rPr>
        <w:t>99 and $</w:t>
      </w:r>
      <w:bookmarkStart w:id="356" w:name="xdx_906_eus-gaap--ProductWarrantyAccrual"/>
      <w:bookmarkEnd w:id="356"/>
      <w:r>
        <w:rPr>
          <w:rFonts w:ascii="Times New Roman;Times;Serif" w:hAnsi="Times New Roman;Times;Serif"/>
          <w:b w:val="false"/>
          <w:i w:val="false"/>
          <w:caps w:val="false"/>
          <w:smallCaps w:val="false"/>
          <w:sz w:val="20"/>
        </w:rPr>
        <w:t>301 for the three and six months ended June 30, 2024, respectively.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bookmarkStart w:id="357" w:name="xdx_8B2_zNWdm07ugb1f"/>
      <w:bookmarkStart w:id="358" w:name="xdx_893_eus-gaap--ScheduleOfProductWarra"/>
      <w:bookmarkEnd w:id="357"/>
      <w:bookmarkEnd w:id="358"/>
      <w:r>
        <w:rPr>
          <w:rFonts w:ascii="Times New Roman;Times;Serif" w:hAnsi="Times New Roman;Times;Serif"/>
          <w:b w:val="false"/>
          <w:i w:val="false"/>
          <w:caps w:val="false"/>
          <w:smallCaps w:val="false"/>
          <w:sz w:val="20"/>
        </w:rPr>
        <w:t>SCHEDULE OF WARRANTY OBLIGATION</w:t>
      </w:r>
    </w:p>
    <w:tbl>
      <w:tblPr>
        <w:tblW w:w="3914" w:type="dxa"/>
        <w:jc w:val="left"/>
        <w:tblInd w:w="0" w:type="dxa"/>
        <w:tblLayout w:type="fixed"/>
        <w:tblCellMar>
          <w:top w:w="0" w:type="dxa"/>
          <w:left w:w="0" w:type="dxa"/>
          <w:bottom w:w="0" w:type="dxa"/>
          <w:right w:w="0" w:type="dxa"/>
        </w:tblCellMar>
      </w:tblPr>
      <w:tblGrid>
        <w:gridCol w:w="2930"/>
        <w:gridCol w:w="60"/>
        <w:gridCol w:w="219"/>
        <w:gridCol w:w="595"/>
        <w:gridCol w:w="110"/>
      </w:tblGrid>
      <w:tr>
        <w:trPr/>
        <w:tc>
          <w:tcPr>
            <w:tcW w:w="29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59" w:name="xdx_49E_20250101__20250630_zofEMBx2uEG1"/>
            <w:bookmarkEnd w:id="359"/>
          </w:p>
        </w:tc>
        <w:tc>
          <w:tcPr>
            <w:tcW w:w="814" w:type="dxa"/>
            <w:gridSpan w:val="2"/>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June 30,</w:t>
            </w:r>
          </w:p>
        </w:tc>
        <w:tc>
          <w:tcPr>
            <w:tcW w:w="110" w:type="dxa"/>
            <w:tcBorders/>
            <w:vAlign w:val="center"/>
          </w:tcPr>
          <w:p>
            <w:pPr>
              <w:pStyle w:val="TableContents"/>
              <w:bidi w:val="0"/>
              <w:spacing w:before="0" w:after="283"/>
              <w:jc w:val="left"/>
              <w:rPr/>
            </w:pPr>
            <w:r>
              <w:rPr/>
              <w:t> </w:t>
            </w:r>
          </w:p>
        </w:tc>
      </w:tr>
      <w:tr>
        <w:trPr/>
        <w:tc>
          <w:tcPr>
            <w:tcW w:w="29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2025</w:t>
            </w:r>
          </w:p>
        </w:tc>
        <w:tc>
          <w:tcPr>
            <w:tcW w:w="110" w:type="dxa"/>
            <w:tcBorders/>
            <w:vAlign w:val="center"/>
          </w:tcPr>
          <w:p>
            <w:pPr>
              <w:pStyle w:val="TableContents"/>
              <w:bidi w:val="0"/>
              <w:spacing w:before="0" w:after="283"/>
              <w:jc w:val="left"/>
              <w:rPr/>
            </w:pPr>
            <w:r>
              <w:rPr/>
              <w:t> </w:t>
            </w:r>
            <w:bookmarkStart w:id="360" w:name="xdx_409_eus-gaap--ProductWarrantyAccrual"/>
            <w:bookmarkEnd w:id="360"/>
          </w:p>
        </w:tc>
      </w:tr>
      <w:tr>
        <w:trPr/>
        <w:tc>
          <w:tcPr>
            <w:tcW w:w="29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Beginning warranty obligation</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5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514</w:t>
            </w:r>
          </w:p>
        </w:tc>
        <w:tc>
          <w:tcPr>
            <w:tcW w:w="110" w:type="dxa"/>
            <w:tcBorders/>
            <w:shd w:fill="CCEEFF" w:val="clear"/>
            <w:vAlign w:val="center"/>
          </w:tcPr>
          <w:p>
            <w:pPr>
              <w:pStyle w:val="TableContents"/>
              <w:bidi w:val="0"/>
              <w:spacing w:before="0" w:after="283"/>
              <w:jc w:val="left"/>
              <w:rPr/>
            </w:pPr>
            <w:r>
              <w:rPr/>
              <w:t> </w:t>
            </w:r>
            <w:bookmarkStart w:id="361" w:name="xdx_40A_eus-gaap--ProductWarrantyAccrual"/>
            <w:bookmarkEnd w:id="361"/>
          </w:p>
        </w:tc>
      </w:tr>
      <w:tr>
        <w:trPr/>
        <w:tc>
          <w:tcPr>
            <w:tcW w:w="29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Provision of warranty expense</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5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271</w:t>
            </w:r>
          </w:p>
        </w:tc>
        <w:tc>
          <w:tcPr>
            <w:tcW w:w="110" w:type="dxa"/>
            <w:tcBorders/>
            <w:shd w:fill="FFFFFF" w:val="clear"/>
            <w:vAlign w:val="center"/>
          </w:tcPr>
          <w:p>
            <w:pPr>
              <w:pStyle w:val="TableContents"/>
              <w:bidi w:val="0"/>
              <w:spacing w:before="0" w:after="283"/>
              <w:jc w:val="left"/>
              <w:rPr/>
            </w:pPr>
            <w:r>
              <w:rPr/>
              <w:t> </w:t>
            </w:r>
            <w:bookmarkStart w:id="362" w:name="xdx_409_eus-gaap--ProductWarrantyAccrual"/>
            <w:bookmarkEnd w:id="362"/>
          </w:p>
        </w:tc>
      </w:tr>
      <w:tr>
        <w:trPr/>
        <w:tc>
          <w:tcPr>
            <w:tcW w:w="29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Settlement of warranty claims</w:t>
            </w:r>
          </w:p>
        </w:tc>
        <w:tc>
          <w:tcPr>
            <w:tcW w:w="60" w:type="dxa"/>
            <w:tcBorders/>
            <w:shd w:fill="CCEEFF" w:val="clear"/>
            <w:vAlign w:val="center"/>
          </w:tcPr>
          <w:p>
            <w:pPr>
              <w:pStyle w:val="TableContents"/>
              <w:bidi w:val="0"/>
              <w:spacing w:before="0" w:after="283"/>
              <w:jc w:val="left"/>
              <w:rPr/>
            </w:pPr>
            <w:r>
              <w:rPr/>
              <w:t> </w:t>
            </w:r>
          </w:p>
        </w:tc>
        <w:tc>
          <w:tcPr>
            <w:tcW w:w="21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63" w:name="xdx_401_eus-gaap--ProductWarrantyAccrual"/>
            <w:bookmarkEnd w:id="363"/>
          </w:p>
        </w:tc>
      </w:tr>
      <w:tr>
        <w:trPr/>
        <w:tc>
          <w:tcPr>
            <w:tcW w:w="29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Ending warranty obligation</w:t>
            </w:r>
          </w:p>
        </w:tc>
        <w:tc>
          <w:tcPr>
            <w:tcW w:w="60" w:type="dxa"/>
            <w:tcBorders/>
            <w:shd w:fill="FFFFFF" w:val="cle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695</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bookmarkStart w:id="364" w:name="xdx_8AD_zJon0nM8zGd6"/>
      <w:bookmarkEnd w:id="364"/>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u w:val="single"/>
        </w:rPr>
      </w:pPr>
      <w:bookmarkStart w:id="365" w:name="xdx_868_zN2afUKMG8Kj"/>
      <w:bookmarkStart w:id="366" w:name="xdx_84D_eus-gaap--ConcentrationRiskCredi"/>
      <w:bookmarkEnd w:id="365"/>
      <w:bookmarkEnd w:id="366"/>
      <w:r>
        <w:rPr>
          <w:rFonts w:ascii="Times New Roman;Times;Serif" w:hAnsi="Times New Roman;Times;Serif"/>
          <w:b w:val="false"/>
          <w:i/>
          <w:caps w:val="false"/>
          <w:smallCaps w:val="false"/>
          <w:sz w:val="20"/>
          <w:u w:val="single"/>
        </w:rPr>
        <w:t>Concentrations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2025, receivables from Customer A, Customer B, and Customer C comprised approximately </w:t>
      </w:r>
      <w:bookmarkStart w:id="367" w:name="xdx_903_eus-gaap--ConcentrationRiskPerce"/>
      <w:bookmarkEnd w:id="367"/>
      <w:r>
        <w:rPr>
          <w:rFonts w:ascii="Times New Roman;Times;Serif" w:hAnsi="Times New Roman;Times;Serif"/>
          <w:b w:val="false"/>
          <w:i w:val="false"/>
          <w:caps w:val="false"/>
          <w:smallCaps w:val="false"/>
          <w:sz w:val="20"/>
        </w:rPr>
        <w:t xml:space="preserve">27%, </w:t>
      </w:r>
      <w:bookmarkStart w:id="368" w:name="xdx_904_eus-gaap--ConcentrationRiskPerce"/>
      <w:bookmarkEnd w:id="368"/>
      <w:r>
        <w:rPr>
          <w:rFonts w:ascii="Times New Roman;Times;Serif" w:hAnsi="Times New Roman;Times;Serif"/>
          <w:b w:val="false"/>
          <w:i w:val="false"/>
          <w:caps w:val="false"/>
          <w:smallCaps w:val="false"/>
          <w:sz w:val="20"/>
        </w:rPr>
        <w:t xml:space="preserve">10%, and </w:t>
      </w:r>
      <w:bookmarkStart w:id="369" w:name="xdx_90A_eus-gaap--ConcentrationRiskPerce"/>
      <w:bookmarkEnd w:id="369"/>
      <w:r>
        <w:rPr>
          <w:rFonts w:ascii="Times New Roman;Times;Serif" w:hAnsi="Times New Roman;Times;Serif"/>
          <w:b w:val="false"/>
          <w:i w:val="false"/>
          <w:caps w:val="false"/>
          <w:smallCaps w:val="false"/>
          <w:sz w:val="20"/>
        </w:rPr>
        <w:t xml:space="preserve">10%, respectively, of accounts receivable. As of December 31, 2024, receivables from Customer A and B comprised approximately </w:t>
      </w:r>
      <w:bookmarkStart w:id="370" w:name="xdx_901_eus-gaap--ConcentrationRiskPerce"/>
      <w:bookmarkEnd w:id="370"/>
      <w:r>
        <w:rPr>
          <w:rFonts w:ascii="Times New Roman;Times;Serif" w:hAnsi="Times New Roman;Times;Serif"/>
          <w:b w:val="false"/>
          <w:i w:val="false"/>
          <w:caps w:val="false"/>
          <w:smallCaps w:val="false"/>
          <w:sz w:val="20"/>
        </w:rPr>
        <w:t xml:space="preserve">15% and </w:t>
      </w:r>
      <w:bookmarkStart w:id="371" w:name="xdx_901_eus-gaap--ConcentrationRiskPerce"/>
      <w:bookmarkEnd w:id="371"/>
      <w:r>
        <w:rPr>
          <w:rFonts w:ascii="Times New Roman;Times;Serif" w:hAnsi="Times New Roman;Times;Serif"/>
          <w:b w:val="false"/>
          <w:i w:val="false"/>
          <w:caps w:val="false"/>
          <w:smallCaps w:val="false"/>
          <w:sz w:val="20"/>
        </w:rPr>
        <w:t>21%, respectively, of accounts receivable. There are no other significant accounts receivable concentration.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six months ended June 30, 2025, sales from Customer A comprised approximately </w:t>
      </w:r>
      <w:bookmarkStart w:id="372" w:name="xdx_90A_eus-gaap--ConcentrationRiskPerce"/>
      <w:bookmarkEnd w:id="372"/>
      <w:r>
        <w:rPr>
          <w:rFonts w:ascii="Times New Roman;Times;Serif" w:hAnsi="Times New Roman;Times;Serif"/>
          <w:b w:val="false"/>
          <w:i w:val="false"/>
          <w:caps w:val="false"/>
          <w:smallCaps w:val="false"/>
          <w:sz w:val="20"/>
        </w:rPr>
        <w:t xml:space="preserve">26% of the Company’s total revenue. For the six months ended June 30, 2024, sales from Customer A comprised approximately </w:t>
      </w:r>
      <w:bookmarkStart w:id="373" w:name="xdx_909_eus-gaap--ConcentrationRiskPerce"/>
      <w:bookmarkEnd w:id="373"/>
      <w:r>
        <w:rPr>
          <w:rFonts w:ascii="Times New Roman;Times;Serif" w:hAnsi="Times New Roman;Times;Serif"/>
          <w:b w:val="false"/>
          <w:i w:val="false"/>
          <w:caps w:val="false"/>
          <w:smallCaps w:val="false"/>
          <w:sz w:val="20"/>
        </w:rPr>
        <w:t xml:space="preserve">14% of the Company’s total revenue. For the three months ended June 30, 2025, sales from Customer A comprised approximately </w:t>
      </w:r>
      <w:bookmarkStart w:id="374" w:name="xdx_900_eus-gaap--ConcentrationRiskPerce"/>
      <w:bookmarkEnd w:id="374"/>
      <w:r>
        <w:rPr>
          <w:rFonts w:ascii="Times New Roman;Times;Serif" w:hAnsi="Times New Roman;Times;Serif"/>
          <w:b w:val="false"/>
          <w:i w:val="false"/>
          <w:caps w:val="false"/>
          <w:smallCaps w:val="false"/>
          <w:sz w:val="20"/>
        </w:rPr>
        <w:t xml:space="preserve">32% of the Company’s total revenue. For the three months ended June 30, 2024, sales from Customer A comprised approximately </w:t>
      </w:r>
      <w:bookmarkStart w:id="375" w:name="xdx_90C_eus-gaap--ConcentrationRiskPerce"/>
      <w:bookmarkEnd w:id="375"/>
      <w:r>
        <w:rPr>
          <w:rFonts w:ascii="Times New Roman;Times;Serif" w:hAnsi="Times New Roman;Times;Serif"/>
          <w:b w:val="false"/>
          <w:i w:val="false"/>
          <w:caps w:val="false"/>
          <w:smallCaps w:val="false"/>
          <w:sz w:val="20"/>
        </w:rPr>
        <w:t>12% of the Company’s total revenue.</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Notes to Consolidated Financial Statements</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jc w:val="center"/>
        <w:rPr>
          <w:caps/>
        </w:rPr>
      </w:pPr>
      <w:r>
        <w:rPr>
          <w:caps/>
        </w:rPr>
        <w:t> </w:t>
      </w:r>
    </w:p>
    <w:p>
      <w:pPr>
        <w:pStyle w:val="TextBody"/>
        <w:bidi w:val="0"/>
        <w:spacing w:before="0" w:after="0"/>
        <w:jc w:val="both"/>
        <w:rPr>
          <w:rFonts w:ascii="Times New Roman;Times;Serif" w:hAnsi="Times New Roman;Times;Serif"/>
          <w:b/>
          <w:i w:val="false"/>
          <w:caps/>
          <w:sz w:val="20"/>
        </w:rPr>
      </w:pPr>
      <w:r>
        <w:rPr>
          <w:rFonts w:ascii="Times New Roman;Times;Serif" w:hAnsi="Times New Roman;Times;Serif"/>
          <w:b/>
          <w:i w:val="false"/>
          <w:caps/>
          <w:sz w:val="20"/>
        </w:rPr>
        <w:t>Note 2 – Summary of Significant Accounting Policies (continued)</w:t>
      </w:r>
    </w:p>
    <w:p>
      <w:pPr>
        <w:pStyle w:val="TextBody"/>
        <w:bidi w:val="0"/>
        <w:spacing w:before="0" w:after="0"/>
        <w:jc w:val="both"/>
        <w:rPr>
          <w:caps/>
        </w:rPr>
      </w:pPr>
      <w:r>
        <w:rPr>
          <w:caps/>
        </w:rPr>
        <w:t> </w:t>
      </w:r>
    </w:p>
    <w:p>
      <w:pPr>
        <w:pStyle w:val="TextBody"/>
        <w:bidi w:val="0"/>
        <w:spacing w:before="0" w:after="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Concentrations (Continued)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2025, payables to Vendor A, Vendor B, and Vendor C comprised approximately </w:t>
      </w:r>
      <w:bookmarkStart w:id="376" w:name="xdx_908_eus-gaap--ConcentrationRiskPerce"/>
      <w:bookmarkEnd w:id="376"/>
      <w:r>
        <w:rPr>
          <w:rFonts w:ascii="Times New Roman;Times;Serif" w:hAnsi="Times New Roman;Times;Serif"/>
          <w:b w:val="false"/>
          <w:i w:val="false"/>
          <w:caps w:val="false"/>
          <w:smallCaps w:val="false"/>
          <w:sz w:val="20"/>
        </w:rPr>
        <w:t xml:space="preserve">28%, </w:t>
      </w:r>
      <w:bookmarkStart w:id="377" w:name="xdx_90A_eus-gaap--ConcentrationRiskPerce"/>
      <w:bookmarkEnd w:id="377"/>
      <w:r>
        <w:rPr>
          <w:rFonts w:ascii="Times New Roman;Times;Serif" w:hAnsi="Times New Roman;Times;Serif"/>
          <w:b w:val="false"/>
          <w:i w:val="false"/>
          <w:caps w:val="false"/>
          <w:smallCaps w:val="false"/>
          <w:sz w:val="20"/>
        </w:rPr>
        <w:t xml:space="preserve">20%, and </w:t>
      </w:r>
      <w:bookmarkStart w:id="378" w:name="xdx_90E_eus-gaap--ConcentrationRiskPerce"/>
      <w:bookmarkEnd w:id="378"/>
      <w:r>
        <w:rPr>
          <w:rFonts w:ascii="Times New Roman;Times;Serif" w:hAnsi="Times New Roman;Times;Serif"/>
          <w:b w:val="false"/>
          <w:i w:val="false"/>
          <w:caps w:val="false"/>
          <w:smallCaps w:val="false"/>
          <w:sz w:val="20"/>
        </w:rPr>
        <w:t xml:space="preserve">10%, respectively, of accounts payables. As of December 31, 2024, payables to Vendor A, Vendor C, and Vendor D comprised approximately </w:t>
      </w:r>
      <w:bookmarkStart w:id="379" w:name="xdx_905_eus-gaap--ConcentrationRiskPerce"/>
      <w:bookmarkEnd w:id="379"/>
      <w:r>
        <w:rPr>
          <w:rFonts w:ascii="Times New Roman;Times;Serif" w:hAnsi="Times New Roman;Times;Serif"/>
          <w:b w:val="false"/>
          <w:i w:val="false"/>
          <w:caps w:val="false"/>
          <w:smallCaps w:val="false"/>
          <w:sz w:val="20"/>
        </w:rPr>
        <w:t xml:space="preserve">33%, </w:t>
      </w:r>
      <w:bookmarkStart w:id="380" w:name="xdx_90A_eus-gaap--ConcentrationRiskPerce"/>
      <w:bookmarkEnd w:id="380"/>
      <w:r>
        <w:rPr>
          <w:rFonts w:ascii="Times New Roman;Times;Serif" w:hAnsi="Times New Roman;Times;Serif"/>
          <w:b w:val="false"/>
          <w:i w:val="false"/>
          <w:caps w:val="false"/>
          <w:smallCaps w:val="false"/>
          <w:sz w:val="20"/>
        </w:rPr>
        <w:t xml:space="preserve">11%, and </w:t>
      </w:r>
      <w:bookmarkStart w:id="381" w:name="xdx_90B_eus-gaap--ConcentrationRiskPerce"/>
      <w:bookmarkEnd w:id="381"/>
      <w:r>
        <w:rPr>
          <w:rFonts w:ascii="Times New Roman;Times;Serif" w:hAnsi="Times New Roman;Times;Serif"/>
          <w:b w:val="false"/>
          <w:i w:val="false"/>
          <w:caps w:val="false"/>
          <w:smallCaps w:val="false"/>
          <w:sz w:val="20"/>
        </w:rPr>
        <w:t>12%, respectively, of accounts payables.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six months ended June 30, 2025, Vendor A accounted for approximately </w:t>
      </w:r>
      <w:bookmarkStart w:id="382" w:name="xdx_90A_eus-gaap--ConcentrationRiskPerce"/>
      <w:bookmarkEnd w:id="382"/>
      <w:r>
        <w:rPr>
          <w:rFonts w:ascii="Times New Roman;Times;Serif" w:hAnsi="Times New Roman;Times;Serif"/>
          <w:b w:val="false"/>
          <w:i w:val="false"/>
          <w:caps w:val="false"/>
          <w:smallCaps w:val="false"/>
          <w:sz w:val="20"/>
        </w:rPr>
        <w:t xml:space="preserve">16% of the Company’s total purchases. For the six months ended June 30, 2024, there were no purchase concentrations present. For the three months ended June 30, 2025, Vendor A and Vendor B accounted for approximately </w:t>
      </w:r>
      <w:bookmarkStart w:id="383" w:name="xdx_902_eus-gaap--ConcentrationRiskPerce"/>
      <w:bookmarkEnd w:id="383"/>
      <w:r>
        <w:rPr>
          <w:rFonts w:ascii="Times New Roman;Times;Serif" w:hAnsi="Times New Roman;Times;Serif"/>
          <w:b w:val="false"/>
          <w:i w:val="false"/>
          <w:caps w:val="false"/>
          <w:smallCaps w:val="false"/>
          <w:sz w:val="20"/>
        </w:rPr>
        <w:t xml:space="preserve">11% and </w:t>
      </w:r>
      <w:bookmarkStart w:id="384" w:name="xdx_90E_eus-gaap--ConcentrationRiskPerce"/>
      <w:bookmarkEnd w:id="384"/>
      <w:r>
        <w:rPr>
          <w:rFonts w:ascii="Times New Roman;Times;Serif" w:hAnsi="Times New Roman;Times;Serif"/>
          <w:b w:val="false"/>
          <w:i w:val="false"/>
          <w:caps w:val="false"/>
          <w:smallCaps w:val="false"/>
          <w:sz w:val="20"/>
        </w:rPr>
        <w:t xml:space="preserve">14% of the Company’s total purchases. For the three months ended June 30, 2024, Vendor C accounted for approximately </w:t>
      </w:r>
      <w:bookmarkStart w:id="385" w:name="xdx_905_eus-gaap--ConcentrationRiskPerce"/>
      <w:bookmarkEnd w:id="385"/>
      <w:r>
        <w:rPr>
          <w:rFonts w:ascii="Times New Roman;Times;Serif" w:hAnsi="Times New Roman;Times;Serif"/>
          <w:b w:val="false"/>
          <w:i w:val="false"/>
          <w:caps w:val="false"/>
          <w:smallCaps w:val="false"/>
          <w:sz w:val="20"/>
        </w:rPr>
        <w:t>15% of the Company’s total purchases.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u w:val="single"/>
        </w:rPr>
      </w:pPr>
      <w:bookmarkStart w:id="386" w:name="xdx_86F_zUZuPtDfLIi"/>
      <w:bookmarkStart w:id="387" w:name="xdx_844_eus-gaap--ShareBasedCompensation"/>
      <w:bookmarkEnd w:id="386"/>
      <w:bookmarkEnd w:id="387"/>
      <w:r>
        <w:rPr>
          <w:rFonts w:ascii="Times New Roman;Times;Serif" w:hAnsi="Times New Roman;Times;Serif"/>
          <w:b w:val="false"/>
          <w:i/>
          <w:caps w:val="false"/>
          <w:smallCaps w:val="false"/>
          <w:sz w:val="20"/>
          <w:u w:val="single"/>
        </w:rPr>
        <w:t>Stock-Based Compensation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stock based compensation arrangements with employees and non-employee consultants using a fair value method which requires the recognition of compensation expense for costs related to all stock based payments, including stock options (</w:t>
      </w:r>
      <w:r>
        <w:rPr>
          <w:rFonts w:ascii="Times New Roman;Times;Serif" w:hAnsi="Times New Roman;Times;Serif"/>
          <w:b/>
          <w:i w:val="false"/>
          <w:caps w:val="false"/>
          <w:smallCaps w:val="false"/>
          <w:sz w:val="20"/>
        </w:rPr>
        <w:t>Note 12</w:t>
      </w:r>
      <w:r>
        <w:rPr>
          <w:rFonts w:ascii="Times New Roman;Times;Serif" w:hAnsi="Times New Roman;Times;Serif"/>
          <w:b w:val="false"/>
          <w:i w:val="false"/>
          <w:caps w:val="false"/>
          <w:smallCaps w:val="false"/>
          <w:sz w:val="20"/>
        </w:rPr>
        <w:t>). The fair value method requires the Company to estimate the fair value of stock based payment awards to employees and non-employees on the date of grant using an option pricing model. Stock based compensation costs are based on the fair value of the underlying option calculated using the Black Scholes option pricing model and recognized as expense on a straight line basis over the requisite service period, which is the vesting period. Restricted stock unit awards are valued based on the closing trading value of the Company’s common stock on the date of grant and then amortized on a straight-line basis over the requisite service period of the award. The Company measures equity-based compensation awards granted to non-employees at fair value as the awards vest and recognizes the resulting value as compensation expense at each financial reporting period.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Determining the appropriate fair value model and related assumptions requires judgment, including estimating stock price volatility, expected dividend yield, expected term, risk free rate of return, and the estimated fair value of the underlying common stock. Due to the lack of company specific historical and implied volatility data, the Company has based its estimate of expected volatility on the historical volatility of a group of similar companies that are publicly traded. The historical volatility is calculated based on a period of time commensurate with the expected term assumption. The group of representative companies have characteristics similar to the Company, including stage of product development and focus on the lithium ion battery industry. The Company uses the simplified method, which is the average of the final vesting tranche date and the contractual term, to calculate the expected term for options granted to employees as it does not have sufficient historical exercise data to provide a reasonable basis upon which to estimate the expected term. The risk free interest rate is based on a treasury instrument whose term is consistent with the expected term of the stock options. The Company uses an assumed dividend yield of zero as the Company has never paid dividends and has no current plans to pay any dividends on its common stock. The Company accounts for forfeitures as they occur.</w:t>
      </w:r>
    </w:p>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Notes to Consolidated Financial Statements</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jc w:val="center"/>
        <w:rPr>
          <w:caps/>
        </w:rPr>
      </w:pPr>
      <w:r>
        <w:rPr>
          <w:caps/>
        </w:rPr>
        <w:t> </w:t>
      </w:r>
    </w:p>
    <w:p>
      <w:pPr>
        <w:pStyle w:val="TextBody"/>
        <w:bidi w:val="0"/>
        <w:spacing w:before="0" w:after="0"/>
        <w:jc w:val="both"/>
        <w:rPr>
          <w:rFonts w:ascii="Times New Roman;Times;Serif" w:hAnsi="Times New Roman;Times;Serif"/>
          <w:b/>
          <w:i w:val="false"/>
          <w:caps/>
          <w:sz w:val="20"/>
        </w:rPr>
      </w:pPr>
      <w:r>
        <w:rPr>
          <w:rFonts w:ascii="Times New Roman;Times;Serif" w:hAnsi="Times New Roman;Times;Serif"/>
          <w:b/>
          <w:i w:val="false"/>
          <w:caps/>
          <w:sz w:val="20"/>
        </w:rPr>
        <w:t>Note 2 – Summary of Significant Accounting Policies (continued)</w:t>
      </w:r>
    </w:p>
    <w:p>
      <w:pPr>
        <w:pStyle w:val="TextBody"/>
        <w:bidi w:val="0"/>
        <w:spacing w:before="0" w:after="0"/>
        <w:jc w:val="both"/>
        <w:rPr>
          <w:caps/>
        </w:rPr>
      </w:pPr>
      <w:r>
        <w:rPr>
          <w:caps/>
        </w:rPr>
        <w:t> </w:t>
      </w:r>
    </w:p>
    <w:p>
      <w:pPr>
        <w:pStyle w:val="TextBody"/>
        <w:bidi w:val="0"/>
        <w:spacing w:before="0" w:after="0"/>
        <w:jc w:val="both"/>
        <w:rPr>
          <w:rFonts w:ascii="Times New Roman;Times;Serif" w:hAnsi="Times New Roman;Times;Serif"/>
          <w:b w:val="false"/>
          <w:i/>
          <w:caps w:val="false"/>
          <w:smallCaps w:val="false"/>
          <w:sz w:val="20"/>
          <w:u w:val="single"/>
        </w:rPr>
      </w:pPr>
      <w:bookmarkStart w:id="388" w:name="xdx_86D_z4s3kHt6MBJl"/>
      <w:bookmarkStart w:id="389" w:name="xdx_84E_eus-gaap--IncomeTaxPolicyTextBlo"/>
      <w:bookmarkEnd w:id="388"/>
      <w:bookmarkEnd w:id="389"/>
      <w:r>
        <w:rPr>
          <w:rFonts w:ascii="Times New Roman;Times;Serif" w:hAnsi="Times New Roman;Times;Serif"/>
          <w:b w:val="false"/>
          <w:i/>
          <w:caps w:val="false"/>
          <w:smallCaps w:val="false"/>
          <w:sz w:val="20"/>
          <w:u w:val="single"/>
        </w:rPr>
        <w:t>Income Taxes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income tax assets and liabilities are determined based on the estimated future tax effects of net operating loss, credit carryforwards and temporary differences between the tax basis of assets and liabilities and their respective financial reporting amounts measured at the current enacted tax rates.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a tax benefit for an uncertain tax position only if it is more likely than not that the tax position will be sustained on examination by taxing authorities, based on the technical merits of the position. The Company had a liability of $</w:t>
      </w:r>
      <w:bookmarkStart w:id="390" w:name="xdx_90A_eus-gaap--UnrecognizedTaxBenefit"/>
      <w:bookmarkEnd w:id="390"/>
      <w:r>
        <w:rPr>
          <w:rFonts w:ascii="Times New Roman;Times;Serif" w:hAnsi="Times New Roman;Times;Serif"/>
          <w:b w:val="false"/>
          <w:i w:val="false"/>
          <w:caps w:val="false"/>
          <w:smallCaps w:val="false"/>
          <w:sz w:val="20"/>
        </w:rPr>
        <w:t>55 and $</w:t>
      </w:r>
      <w:bookmarkStart w:id="391" w:name="xdx_906_eus-gaap--UnrecognizedTaxBenefit"/>
      <w:bookmarkEnd w:id="391"/>
      <w:r>
        <w:rPr>
          <w:rFonts w:ascii="Times New Roman;Times;Serif" w:hAnsi="Times New Roman;Times;Serif"/>
          <w:b w:val="false"/>
          <w:i w:val="false"/>
          <w:caps w:val="false"/>
          <w:smallCaps w:val="false"/>
          <w:sz w:val="20"/>
        </w:rPr>
        <w:t>55 as of June 30, 2025 and December 31, 2024, respectively, of uncertain tax positions.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accounting policy is to include penalties and interest related to income taxes if any, in selling, general and administrative expenses. The Company regularly assesses the need to record a valuation allowance against net deferred tax assets if, based upon the available evidence, it is more likely than not that some or all of the deferred tax assets will not be realized.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u w:val="single"/>
        </w:rPr>
      </w:pPr>
      <w:bookmarkStart w:id="392" w:name="xdx_866_zpxpBc9bsE7"/>
      <w:bookmarkStart w:id="393" w:name="xdx_842_eus-gaap--EarningsPerSharePolicy"/>
      <w:bookmarkEnd w:id="392"/>
      <w:bookmarkEnd w:id="393"/>
      <w:r>
        <w:rPr>
          <w:rFonts w:ascii="Times New Roman;Times;Serif" w:hAnsi="Times New Roman;Times;Serif"/>
          <w:b w:val="false"/>
          <w:i/>
          <w:caps w:val="false"/>
          <w:smallCaps w:val="false"/>
          <w:sz w:val="20"/>
          <w:u w:val="single"/>
        </w:rPr>
        <w:t>Net Loss per Common Share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net loss per share is calculated by dividing net loss by the weighted-average number of common shares outstanding during the period. Diluted net loss earnings per share is calculated using the weighted-average number of common shares outstanding during the period and, if dilutive, the weighted-average number of potential shares of common stock.</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weighted-average number of common shares included in the computation of diluted net loss gives effect to all potentially dilutive common equivalent shares, including outstanding stock options and warrants.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equivalent shares are excluded from the computation of diluted net loss per share if their effect is antidilutive. In periods in which the Company reports a net loss, diluted net loss per share is generally the same as basic net loss per share since dilutive common shares are not assumed to have been issued if their effect is anti-dilutive.</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bookmarkStart w:id="394" w:name="xdx_89D_eus-gaap--ScheduleOfAntidilutive"/>
      <w:bookmarkEnd w:id="394"/>
      <w:r>
        <w:rPr>
          <w:rFonts w:ascii="Times New Roman;Times;Serif" w:hAnsi="Times New Roman;Times;Serif"/>
          <w:b w:val="false"/>
          <w:i w:val="false"/>
          <w:caps w:val="false"/>
          <w:smallCaps w:val="false"/>
          <w:sz w:val="20"/>
        </w:rPr>
        <w:t>The following table sets forth the number of potential shares of common stock that have been excluded from diluted net loss per share because their effect was anti-dilutive: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bookmarkStart w:id="395" w:name="xdx_8B2_zmK5Um7P50Y6"/>
      <w:bookmarkEnd w:id="395"/>
      <w:r>
        <w:rPr>
          <w:rFonts w:ascii="Times New Roman;Times;Serif" w:hAnsi="Times New Roman;Times;Serif"/>
          <w:b w:val="false"/>
          <w:i w:val="false"/>
          <w:caps w:val="false"/>
          <w:smallCaps w:val="false"/>
          <w:sz w:val="20"/>
        </w:rPr>
        <w:t>SCHEDULE OF POTENTIAL SHARES OF COMMON STOCK EXCLUDED FROM DILUTED NET LOSS PER SHARE </w:t>
      </w:r>
    </w:p>
    <w:tbl>
      <w:tblPr>
        <w:tblW w:w="7200" w:type="dxa"/>
        <w:jc w:val="left"/>
        <w:tblInd w:w="0" w:type="dxa"/>
        <w:tblLayout w:type="fixed"/>
        <w:tblCellMar>
          <w:top w:w="0" w:type="dxa"/>
          <w:left w:w="0" w:type="dxa"/>
          <w:bottom w:w="0" w:type="dxa"/>
          <w:right w:w="0" w:type="dxa"/>
        </w:tblCellMar>
      </w:tblPr>
      <w:tblGrid>
        <w:gridCol w:w="4865"/>
        <w:gridCol w:w="60"/>
        <w:gridCol w:w="60"/>
        <w:gridCol w:w="980"/>
        <w:gridCol w:w="60"/>
        <w:gridCol w:w="60"/>
        <w:gridCol w:w="60"/>
        <w:gridCol w:w="980"/>
        <w:gridCol w:w="75"/>
      </w:tblGrid>
      <w:tr>
        <w:trPr/>
        <w:tc>
          <w:tcPr>
            <w:tcW w:w="48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96" w:name="xdx_491_20250101__20250630_zJFAqTgTSAVb"/>
            <w:bookmarkEnd w:id="396"/>
          </w:p>
        </w:tc>
        <w:tc>
          <w:tcPr>
            <w:tcW w:w="10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97" w:name="xdx_49E_20240101__20240630_z6Z1PqMn4lE4"/>
            <w:bookmarkEnd w:id="397"/>
          </w:p>
        </w:tc>
        <w:tc>
          <w:tcPr>
            <w:tcW w:w="10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2024</w:t>
            </w:r>
          </w:p>
        </w:tc>
        <w:tc>
          <w:tcPr>
            <w:tcW w:w="75" w:type="dxa"/>
            <w:tcBorders/>
            <w:vAlign w:val="center"/>
          </w:tcPr>
          <w:p>
            <w:pPr>
              <w:pStyle w:val="TableContents"/>
              <w:bidi w:val="0"/>
              <w:spacing w:before="0" w:after="283"/>
              <w:jc w:val="left"/>
              <w:rPr/>
            </w:pPr>
            <w:r>
              <w:rPr/>
              <w:t> </w:t>
            </w:r>
          </w:p>
        </w:tc>
      </w:tr>
      <w:tr>
        <w:trPr/>
        <w:tc>
          <w:tcPr>
            <w:tcW w:w="48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June 30,</w:t>
            </w:r>
          </w:p>
        </w:tc>
        <w:tc>
          <w:tcPr>
            <w:tcW w:w="75" w:type="dxa"/>
            <w:tcBorders/>
            <w:vAlign w:val="center"/>
          </w:tcPr>
          <w:p>
            <w:pPr>
              <w:pStyle w:val="TableContents"/>
              <w:bidi w:val="0"/>
              <w:spacing w:before="0" w:after="283"/>
              <w:jc w:val="left"/>
              <w:rPr/>
            </w:pPr>
            <w:r>
              <w:rPr/>
              <w:t> </w:t>
            </w:r>
          </w:p>
        </w:tc>
      </w:tr>
      <w:tr>
        <w:trPr/>
        <w:tc>
          <w:tcPr>
            <w:tcW w:w="48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2024</w:t>
            </w:r>
          </w:p>
        </w:tc>
        <w:tc>
          <w:tcPr>
            <w:tcW w:w="75" w:type="dxa"/>
            <w:tcBorders/>
            <w:vAlign w:val="center"/>
          </w:tcPr>
          <w:p>
            <w:pPr>
              <w:pStyle w:val="TableContents"/>
              <w:bidi w:val="0"/>
              <w:spacing w:before="0" w:after="283"/>
              <w:jc w:val="left"/>
              <w:rPr/>
            </w:pPr>
            <w:r>
              <w:rPr/>
              <w:t> </w:t>
            </w:r>
            <w:bookmarkStart w:id="398" w:name="xdx_401_eus-gaap--AntidilutiveSecurities"/>
            <w:bookmarkEnd w:id="398"/>
          </w:p>
        </w:tc>
      </w:tr>
      <w:tr>
        <w:trPr/>
        <w:tc>
          <w:tcPr>
            <w:tcW w:w="48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4,256,156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3,240,917</w:t>
            </w:r>
          </w:p>
        </w:tc>
        <w:tc>
          <w:tcPr>
            <w:tcW w:w="75" w:type="dxa"/>
            <w:tcBorders/>
            <w:shd w:fill="CCEEFF" w:val="clear"/>
            <w:vAlign w:val="center"/>
          </w:tcPr>
          <w:p>
            <w:pPr>
              <w:pStyle w:val="TableContents"/>
              <w:bidi w:val="0"/>
              <w:spacing w:before="0" w:after="283"/>
              <w:jc w:val="left"/>
              <w:rPr/>
            </w:pPr>
            <w:r>
              <w:rPr/>
              <w:t> </w:t>
            </w:r>
            <w:bookmarkStart w:id="399" w:name="xdx_401_eus-gaap--AntidilutiveSecurities"/>
            <w:bookmarkEnd w:id="399"/>
          </w:p>
        </w:tc>
      </w:tr>
      <w:tr>
        <w:trPr/>
        <w:tc>
          <w:tcPr>
            <w:tcW w:w="48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Restricted stock units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195,878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11,778</w:t>
            </w:r>
          </w:p>
        </w:tc>
        <w:tc>
          <w:tcPr>
            <w:tcW w:w="75" w:type="dxa"/>
            <w:tcBorders/>
            <w:shd w:fill="FFFFFF" w:val="clear"/>
            <w:vAlign w:val="center"/>
          </w:tcPr>
          <w:p>
            <w:pPr>
              <w:pStyle w:val="TableContents"/>
              <w:bidi w:val="0"/>
              <w:spacing w:before="0" w:after="283"/>
              <w:jc w:val="left"/>
              <w:rPr/>
            </w:pPr>
            <w:r>
              <w:rPr/>
              <w:t> </w:t>
            </w:r>
            <w:bookmarkStart w:id="400" w:name="xdx_403_eus-gaap--AntidilutiveSecurities"/>
            <w:bookmarkEnd w:id="400"/>
          </w:p>
        </w:tc>
      </w:tr>
      <w:tr>
        <w:trPr/>
        <w:tc>
          <w:tcPr>
            <w:tcW w:w="48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Preferred Shares Conversion</w:t>
            </w:r>
            <w:bookmarkStart w:id="401" w:name="xdx_F45_zVK6M47iP9Ne"/>
            <w:bookmarkEnd w:id="401"/>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2,317,840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CCEEFF" w:val="clear"/>
            <w:vAlign w:val="center"/>
          </w:tcPr>
          <w:p>
            <w:pPr>
              <w:pStyle w:val="TableContents"/>
              <w:bidi w:val="0"/>
              <w:spacing w:before="0" w:after="283"/>
              <w:jc w:val="left"/>
              <w:rPr/>
            </w:pPr>
            <w:r>
              <w:rPr/>
              <w:t> </w:t>
            </w:r>
            <w:bookmarkStart w:id="402" w:name="xdx_403_eus-gaap--AntidilutiveSecurities"/>
            <w:bookmarkEnd w:id="402"/>
          </w:p>
        </w:tc>
      </w:tr>
      <w:tr>
        <w:trPr/>
        <w:tc>
          <w:tcPr>
            <w:tcW w:w="48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Options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158,247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212,091</w:t>
            </w:r>
          </w:p>
        </w:tc>
        <w:tc>
          <w:tcPr>
            <w:tcW w:w="75" w:type="dxa"/>
            <w:tcBorders/>
            <w:shd w:fill="FFFFFF" w:val="clear"/>
            <w:vAlign w:val="center"/>
          </w:tcPr>
          <w:p>
            <w:pPr>
              <w:pStyle w:val="TableContents"/>
              <w:bidi w:val="0"/>
              <w:spacing w:before="0" w:after="283"/>
              <w:jc w:val="left"/>
              <w:rPr/>
            </w:pPr>
            <w:r>
              <w:rPr/>
              <w:t> </w:t>
            </w:r>
            <w:bookmarkStart w:id="403" w:name="xdx_40A_eus-gaap--AntidilutiveSecurities"/>
            <w:bookmarkEnd w:id="403"/>
          </w:p>
        </w:tc>
      </w:tr>
      <w:tr>
        <w:trPr/>
        <w:tc>
          <w:tcPr>
            <w:tcW w:w="48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Weighted average number of common shares-basic</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6,928,121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3,464,786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tbl>
      <w:tblPr>
        <w:tblW w:w="3168" w:type="dxa"/>
        <w:jc w:val="left"/>
        <w:tblInd w:w="0" w:type="dxa"/>
        <w:tblLayout w:type="fixed"/>
        <w:tblCellMar>
          <w:top w:w="0" w:type="dxa"/>
          <w:left w:w="0" w:type="dxa"/>
          <w:bottom w:w="0" w:type="dxa"/>
          <w:right w:w="0" w:type="dxa"/>
        </w:tblCellMar>
      </w:tblPr>
      <w:tblGrid>
        <w:gridCol w:w="350"/>
        <w:gridCol w:w="23"/>
        <w:gridCol w:w="2795"/>
      </w:tblGrid>
      <w:tr>
        <w:trPr/>
        <w:tc>
          <w:tcPr>
            <w:tcW w:w="350" w:type="dxa"/>
            <w:tcBorders/>
            <w:vAlign w:val="center"/>
          </w:tcPr>
          <w:p>
            <w:pPr>
              <w:pStyle w:val="TableContents"/>
              <w:bidi w:val="0"/>
              <w:spacing w:before="0" w:after="283"/>
              <w:jc w:val="right"/>
              <w:rPr>
                <w:rFonts w:ascii="Times New Roman;Times;Serif" w:hAnsi="Times New Roman;Times;Serif"/>
                <w:sz w:val="20"/>
              </w:rPr>
            </w:pPr>
            <w:bookmarkStart w:id="404" w:name="xdx_F00_zet6o085zwb7"/>
            <w:bookmarkEnd w:id="404"/>
            <w:r>
              <w:rPr>
                <w:rFonts w:ascii="Times New Roman;Times;Serif" w:hAnsi="Times New Roman;Times;Serif"/>
                <w:sz w:val="20"/>
              </w:rPr>
              <w:t>***</w:t>
            </w:r>
          </w:p>
        </w:tc>
        <w:tc>
          <w:tcPr>
            <w:tcW w:w="23" w:type="dxa"/>
            <w:tcBorders/>
            <w:vAlign w:val="center"/>
          </w:tcPr>
          <w:p>
            <w:pPr>
              <w:pStyle w:val="TableContents"/>
              <w:bidi w:val="0"/>
              <w:spacing w:before="0" w:after="283"/>
              <w:jc w:val="left"/>
              <w:rPr>
                <w:sz w:val="4"/>
                <w:szCs w:val="4"/>
              </w:rPr>
            </w:pPr>
            <w:r>
              <w:rPr>
                <w:sz w:val="4"/>
                <w:szCs w:val="4"/>
              </w:rPr>
            </w:r>
          </w:p>
        </w:tc>
        <w:tc>
          <w:tcPr>
            <w:tcW w:w="2795" w:type="dxa"/>
            <w:tcBorders/>
            <w:vAlign w:val="center"/>
          </w:tcPr>
          <w:p>
            <w:pPr>
              <w:pStyle w:val="TableContents"/>
              <w:bidi w:val="0"/>
              <w:spacing w:before="0" w:after="283"/>
              <w:jc w:val="both"/>
              <w:rPr>
                <w:rFonts w:ascii="Times New Roman;Times;Serif" w:hAnsi="Times New Roman;Times;Serif"/>
                <w:sz w:val="20"/>
              </w:rPr>
            </w:pPr>
            <w:bookmarkStart w:id="405" w:name="xdx_F17_znZzr5LB6xxj"/>
            <w:bookmarkEnd w:id="405"/>
            <w:r>
              <w:rPr>
                <w:rFonts w:ascii="Times New Roman;Times;Serif" w:hAnsi="Times New Roman;Times;Serif"/>
                <w:sz w:val="20"/>
              </w:rPr>
              <w:t>See footnote 10 for further details.</w:t>
            </w:r>
          </w:p>
        </w:tc>
      </w:tr>
    </w:tbl>
    <w:p>
      <w:pPr>
        <w:pStyle w:val="TextBody"/>
        <w:bidi w:val="0"/>
        <w:spacing w:before="0" w:after="0"/>
        <w:jc w:val="both"/>
        <w:rPr>
          <w:caps w:val="false"/>
          <w:smallCaps w:val="false"/>
        </w:rPr>
      </w:pPr>
      <w:bookmarkStart w:id="406" w:name="xdx_8A8_zpRcwGtNQ1Gi"/>
      <w:bookmarkEnd w:id="406"/>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u w:val="single"/>
        </w:rPr>
      </w:pPr>
      <w:bookmarkStart w:id="407" w:name="xdx_860_z8rjqmFJe4Gi"/>
      <w:bookmarkStart w:id="408" w:name="xdx_846_eus-gaap--LesseeLeasesPolicyText"/>
      <w:bookmarkEnd w:id="407"/>
      <w:bookmarkEnd w:id="408"/>
      <w:r>
        <w:rPr>
          <w:rFonts w:ascii="Times New Roman;Times;Serif" w:hAnsi="Times New Roman;Times;Serif"/>
          <w:b w:val="false"/>
          <w:i/>
          <w:caps w:val="false"/>
          <w:smallCaps w:val="false"/>
          <w:sz w:val="20"/>
          <w:u w:val="single"/>
        </w:rPr>
        <w:t>Leases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inception of an arrangement, the Company determines whether the arrangement is or contains a lease based on the unique facts and circumstances present in the arrangement including the use of an identified asset(s) and the Company’s control over the use of that identified asset. The Company elected, as allowed under FASB ASU 2016-02, Leases (“ASC 842”), to not recognize leases with a lease term of one year or less on its balance sheet. Leases with a term greater than one year are recognized on the balance sheet as right-of-use (“ROU”) assets and current and non-current lease liabilities, as applicable.</w:t>
      </w:r>
    </w:p>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Notes to Consolidated Financial Statements</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jc w:val="center"/>
        <w:rPr>
          <w:caps/>
        </w:rPr>
      </w:pPr>
      <w:r>
        <w:rPr>
          <w:caps/>
        </w:rPr>
        <w:t> </w:t>
      </w:r>
    </w:p>
    <w:p>
      <w:pPr>
        <w:pStyle w:val="TextBody"/>
        <w:bidi w:val="0"/>
        <w:spacing w:before="0" w:after="0"/>
        <w:jc w:val="both"/>
        <w:rPr>
          <w:rFonts w:ascii="Times New Roman;Times;Serif" w:hAnsi="Times New Roman;Times;Serif"/>
          <w:b/>
          <w:i w:val="false"/>
          <w:caps/>
          <w:sz w:val="20"/>
        </w:rPr>
      </w:pPr>
      <w:r>
        <w:rPr>
          <w:rFonts w:ascii="Times New Roman;Times;Serif" w:hAnsi="Times New Roman;Times;Serif"/>
          <w:b/>
          <w:i w:val="false"/>
          <w:caps/>
          <w:sz w:val="20"/>
        </w:rPr>
        <w:t>Note 2 – Summary of Significant Accounting Policies (continued)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u w:val="single"/>
        </w:rPr>
      </w:pPr>
      <w:bookmarkStart w:id="409" w:name="xdx_86B_zPgn089or5Rf"/>
      <w:bookmarkStart w:id="410" w:name="xdx_847_eus-gaap--SegmentReportingPolicy"/>
      <w:bookmarkEnd w:id="409"/>
      <w:bookmarkEnd w:id="410"/>
      <w:r>
        <w:rPr>
          <w:rFonts w:ascii="Times New Roman;Times;Serif" w:hAnsi="Times New Roman;Times;Serif"/>
          <w:b w:val="false"/>
          <w:i/>
          <w:caps w:val="false"/>
          <w:smallCaps w:val="false"/>
          <w:sz w:val="20"/>
          <w:u w:val="single"/>
        </w:rPr>
        <w:t>Segment Reporting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segments are identified (</w:t>
      </w:r>
      <w:r>
        <w:rPr>
          <w:rFonts w:ascii="Times New Roman;Times;Serif" w:hAnsi="Times New Roman;Times;Serif"/>
          <w:b/>
          <w:i w:val="false"/>
          <w:caps w:val="false"/>
          <w:smallCaps w:val="false"/>
          <w:sz w:val="20"/>
        </w:rPr>
        <w:t>Note 14</w:t>
      </w:r>
      <w:r>
        <w:rPr>
          <w:rFonts w:ascii="Times New Roman;Times;Serif" w:hAnsi="Times New Roman;Times;Serif"/>
          <w:b w:val="false"/>
          <w:i w:val="false"/>
          <w:caps w:val="false"/>
          <w:smallCaps w:val="false"/>
          <w:sz w:val="20"/>
        </w:rPr>
        <w:t>) as components of an enterprise for which separate discrete financial information is available for evaluation by the Company’s Chief Executive Officer to make decisions with respect to resource allocation and assessment of performance. Previously, the Company recognized one operating segment. Historically, the Company reported a single operating and reportable segment, as management evaluated the business on a consolidated basis. During the fourth quarter of 2024, the Company reassessed its internal reporting structure and how management monitors operations and makes decisions. As a result of this reassessment, the Company determined that it now manages its business through two distinct operating segments. This change was driven by the development of the Company’s operations and internal decision-making processes, including the introduction of separate performance metrics and discrete financial information for each segment.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bookmarkStart w:id="411" w:name="xdx_86D_zk2uERxN9ce3"/>
      <w:bookmarkStart w:id="412" w:name="xdx_84B_eus-gaap--NewAccountingPronounce"/>
      <w:bookmarkEnd w:id="411"/>
      <w:bookmarkEnd w:id="412"/>
      <w:r>
        <w:rPr>
          <w:rFonts w:ascii="Times New Roman;Times;Serif" w:hAnsi="Times New Roman;Times;Serif"/>
          <w:b w:val="false"/>
          <w:i/>
          <w:caps w:val="false"/>
          <w:smallCaps w:val="false"/>
          <w:sz w:val="20"/>
          <w:u w:val="single"/>
        </w:rPr>
        <w:t>Recently issued accounting pronouncements</w:t>
      </w:r>
      <w:r>
        <w:rPr>
          <w:rFonts w:ascii="Times New Roman;Times;Serif" w:hAnsi="Times New Roman;Times;Serif"/>
          <w:b w:val="false"/>
          <w:i/>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2023, the FASB issued ASU 2023-09, Income Taxes (Topic 740): Improvements to Income Tax Disclosures (“ASU 2023-09”). ASU 2023-09 requires enhanced annual disclosures regarding the rate reconciliation and income taxes paid information. ASU 2023-09 is effective for fiscal years beginning after December 15, 2024, and may be adopted on a prospective or retrospective basis. The Company adopted ASU 2023-09 as of January 1, 2025.</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ASU 2024-03, Income Statement - Reporting Comprehensive Income - Expense Disaggregation Disclosures (Subtopic 220-40): Disaggregation of Income Statement Expenses, which requires a public entity to disclose additional information about specific expense categories in the notes to the financial statements on an annual and interim basis. It is effective for fiscal years beginning after December 15, 2026, and interim periods within fiscal years beginning after December 15, 2027. In January 2025, the FASB issued ASU 2025-01 to clarify that all public entities, including non-calendar year-end entities, should adopt the disclosure requirements of ASU 2024-03. The Company is currently evaluating the impact.</w:t>
      </w:r>
    </w:p>
    <w:p>
      <w:pPr>
        <w:pStyle w:val="TextBody"/>
        <w:bidi w:val="0"/>
        <w:spacing w:before="0" w:after="0"/>
        <w:jc w:val="both"/>
        <w:rPr>
          <w:caps w:val="false"/>
          <w:smallCaps w:val="false"/>
        </w:rPr>
      </w:pPr>
      <w:bookmarkStart w:id="413" w:name="xdx_85E_zbCSJev5hlFj"/>
      <w:bookmarkEnd w:id="413"/>
      <w:r>
        <w:rPr>
          <w:caps w:val="false"/>
          <w:smallCaps w:val="false"/>
        </w:rPr>
        <w:t> </w:t>
      </w:r>
    </w:p>
    <w:p>
      <w:pPr>
        <w:pStyle w:val="TextBody"/>
        <w:bidi w:val="0"/>
        <w:spacing w:before="0" w:after="0"/>
        <w:jc w:val="both"/>
        <w:rPr>
          <w:rFonts w:ascii="Times New Roman;Times;Serif" w:hAnsi="Times New Roman;Times;Serif"/>
          <w:b/>
          <w:i w:val="false"/>
          <w:caps/>
          <w:sz w:val="20"/>
        </w:rPr>
      </w:pPr>
      <w:bookmarkStart w:id="414" w:name="xdx_806_eus-gaap--FairValueDisclosuresTe"/>
      <w:bookmarkEnd w:id="414"/>
      <w:r>
        <w:rPr>
          <w:rFonts w:ascii="Times New Roman;Times;Serif" w:hAnsi="Times New Roman;Times;Serif"/>
          <w:b/>
          <w:i w:val="false"/>
          <w:caps/>
          <w:sz w:val="20"/>
        </w:rPr>
        <w:t xml:space="preserve">Note 3 - </w:t>
      </w:r>
      <w:bookmarkStart w:id="415" w:name="xdx_82A_z32J5JtIG2Ge"/>
      <w:bookmarkEnd w:id="415"/>
      <w:r>
        <w:rPr>
          <w:rFonts w:ascii="Times New Roman;Times;Serif" w:hAnsi="Times New Roman;Times;Serif"/>
          <w:b/>
          <w:i w:val="false"/>
          <w:caps/>
          <w:sz w:val="20"/>
        </w:rPr>
        <w:t>Fair Value Measurements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820, Fair Value Measurements and Disclosures (“ASC 820”), establishes a fair value hierarchy for instruments measured at fair value that distinguishes between assumptions based on market data (observable inputs) and the Company’s own assumptions (unobservable inputs). 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820 identifies fair value as the exchange price, or exit price, representing the amount that would be received to sell an asset or paid to transfer a liability in an orderly transaction between market participants. As a basis for considering market participant assumptions in fair value measurements, ASC 820 establishes a three-tier fair value hierarchy that distinguishes between the following:</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ind w:left="0" w:right="0" w:hanging="0"/>
              <w:jc w:val="both"/>
              <w:rPr/>
            </w:pPr>
            <w:r>
              <w:rPr/>
              <w:t>●</w:t>
            </w:r>
          </w:p>
        </w:tc>
        <w:tc>
          <w:tcPr>
            <w:tcW w:w="10035"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Level 1 inputs are quoted prices (unadjusted) in active markets for identical assets or liabilities.</w:t>
            </w:r>
          </w:p>
        </w:tc>
      </w:tr>
      <w:tr>
        <w:trPr/>
        <w:tc>
          <w:tcPr>
            <w:tcW w:w="170" w:type="dxa"/>
            <w:tcBorders/>
            <w:vAlign w:val="center"/>
          </w:tcPr>
          <w:p>
            <w:pPr>
              <w:pStyle w:val="TableContents"/>
              <w:bidi w:val="0"/>
              <w:spacing w:before="0" w:after="283"/>
              <w:ind w:left="0" w:right="0" w:hanging="0"/>
              <w:jc w:val="both"/>
              <w:rPr/>
            </w:pPr>
            <w:r>
              <w:rPr/>
              <w:t>●</w:t>
            </w:r>
          </w:p>
        </w:tc>
        <w:tc>
          <w:tcPr>
            <w:tcW w:w="10035"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Level 2 inputs are inputs other than quoted prices included within Level 1 that are observable for a similar asset or liability, either directly or indirectly.</w:t>
            </w:r>
          </w:p>
        </w:tc>
      </w:tr>
      <w:tr>
        <w:trPr/>
        <w:tc>
          <w:tcPr>
            <w:tcW w:w="170" w:type="dxa"/>
            <w:tcBorders/>
            <w:vAlign w:val="center"/>
          </w:tcPr>
          <w:p>
            <w:pPr>
              <w:pStyle w:val="TableContents"/>
              <w:bidi w:val="0"/>
              <w:spacing w:before="0" w:after="283"/>
              <w:ind w:left="0" w:right="0" w:hanging="0"/>
              <w:jc w:val="both"/>
              <w:rPr/>
            </w:pPr>
            <w:r>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Level 3 inputs are unobservable inputs that reflect the Company’s own assumptions about the inputs that market participants would use in pricing the asset or liability.</w:t>
            </w:r>
          </w:p>
        </w:tc>
      </w:tr>
    </w:tbl>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Notes to Consolidated Financial Statements</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jc w:val="center"/>
        <w:rPr>
          <w:caps/>
        </w:rPr>
      </w:pPr>
      <w:r>
        <w:rPr>
          <w:caps/>
        </w:rPr>
        <w:t> </w:t>
      </w:r>
    </w:p>
    <w:p>
      <w:pPr>
        <w:pStyle w:val="TextBody"/>
        <w:bidi w:val="0"/>
        <w:spacing w:before="0" w:after="0"/>
        <w:jc w:val="both"/>
        <w:rPr>
          <w:rFonts w:ascii="Times New Roman;Times;Serif" w:hAnsi="Times New Roman;Times;Serif"/>
          <w:b/>
          <w:i w:val="false"/>
          <w:caps/>
          <w:sz w:val="20"/>
        </w:rPr>
      </w:pPr>
      <w:r>
        <w:rPr>
          <w:rFonts w:ascii="Times New Roman;Times;Serif" w:hAnsi="Times New Roman;Times;Serif"/>
          <w:b/>
          <w:i w:val="false"/>
          <w:caps/>
          <w:sz w:val="20"/>
        </w:rPr>
        <w:t>Note 3 - Fair Value Measurements (continued)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assets and liabilities are classified in their entirety based on the lowest level of input that is significant to the fair value measurement. 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bookmarkStart w:id="416" w:name="xdx_893_eus-gaap--ScheduleOfFairValueAss"/>
      <w:bookmarkEnd w:id="416"/>
      <w:r>
        <w:rPr>
          <w:rFonts w:ascii="Times New Roman;Times;Serif" w:hAnsi="Times New Roman;Times;Serif"/>
          <w:b w:val="false"/>
          <w:i w:val="false"/>
          <w:caps w:val="false"/>
          <w:smallCaps w:val="false"/>
          <w:sz w:val="20"/>
        </w:rPr>
        <w:t>The following table presents assets and liabilities that were measured at fair value in the Consolidated Balance Sheets on a recurring basis as of June 30, 2025: </w:t>
      </w:r>
    </w:p>
    <w:p>
      <w:pPr>
        <w:pStyle w:val="TextBody"/>
        <w:bidi w:val="0"/>
        <w:spacing w:before="0" w:after="0"/>
        <w:jc w:val="left"/>
        <w:rPr>
          <w:caps w:val="false"/>
          <w:smallCaps w:val="false"/>
        </w:rPr>
      </w:pPr>
      <w:r>
        <w:rPr>
          <w:caps w:val="false"/>
          <w:smallCaps w:val="false"/>
        </w:rPr>
        <w:t> </w:t>
      </w:r>
      <w:bookmarkStart w:id="417" w:name="xdx_8BF_z8IBB1SXxnyf"/>
      <w:bookmarkEnd w:id="417"/>
      <w:r>
        <w:rPr>
          <w:rFonts w:ascii="Times New Roman;Times;Serif" w:hAnsi="Times New Roman;Times;Serif"/>
          <w:b w:val="false"/>
          <w:i w:val="false"/>
          <w:caps w:val="false"/>
          <w:smallCaps w:val="false"/>
          <w:sz w:val="20"/>
        </w:rPr>
        <w:t>SCHEDULE OF FAIR VALUE OF ASSETS AND LIABILITIES   </w:t>
      </w:r>
    </w:p>
    <w:tbl>
      <w:tblPr>
        <w:tblW w:w="9025" w:type="dxa"/>
        <w:jc w:val="left"/>
        <w:tblInd w:w="0" w:type="dxa"/>
        <w:tblLayout w:type="fixed"/>
        <w:tblCellMar>
          <w:top w:w="0" w:type="dxa"/>
          <w:left w:w="0" w:type="dxa"/>
          <w:bottom w:w="0" w:type="dxa"/>
          <w:right w:w="0" w:type="dxa"/>
        </w:tblCellMar>
      </w:tblPr>
      <w:tblGrid>
        <w:gridCol w:w="3665"/>
        <w:gridCol w:w="60"/>
        <w:gridCol w:w="388"/>
        <w:gridCol w:w="1056"/>
        <w:gridCol w:w="60"/>
        <w:gridCol w:w="60"/>
        <w:gridCol w:w="243"/>
        <w:gridCol w:w="661"/>
        <w:gridCol w:w="60"/>
        <w:gridCol w:w="60"/>
        <w:gridCol w:w="475"/>
        <w:gridCol w:w="324"/>
        <w:gridCol w:w="60"/>
        <w:gridCol w:w="60"/>
        <w:gridCol w:w="214"/>
        <w:gridCol w:w="585"/>
        <w:gridCol w:w="60"/>
        <w:gridCol w:w="60"/>
        <w:gridCol w:w="475"/>
        <w:gridCol w:w="324"/>
        <w:gridCol w:w="75"/>
      </w:tblGrid>
      <w:tr>
        <w:trPr/>
        <w:tc>
          <w:tcPr>
            <w:tcW w:w="36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4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Carrying Amount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04" w:type="dxa"/>
            <w:gridSpan w:val="2"/>
            <w:tcBorders>
              <w:bottom w:val="single" w:sz="8" w:space="0" w:color="000000"/>
            </w:tcBorders>
            <w:tcMar>
              <w:bottom w:w="28" w:type="dxa"/>
            </w:tcMar>
            <w:vAlign w:val="center"/>
          </w:tcPr>
          <w:p>
            <w:pPr>
              <w:pStyle w:val="TableContents"/>
              <w:bidi w:val="0"/>
              <w:spacing w:before="0" w:after="0"/>
              <w:jc w:val="center"/>
              <w:rPr>
                <w:caps w:val="false"/>
                <w:smallCaps w:val="false"/>
              </w:rPr>
            </w:pPr>
            <w:r>
              <w:rPr>
                <w:caps w:val="false"/>
                <w:smallCaps w:val="false"/>
              </w:rPr>
              <w:t> </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Fair Value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99" w:type="dxa"/>
            <w:gridSpan w:val="2"/>
            <w:tcBorders>
              <w:bottom w:val="single" w:sz="8" w:space="0" w:color="000000"/>
            </w:tcBorders>
            <w:tcMar>
              <w:bottom w:w="28" w:type="dxa"/>
            </w:tcMar>
            <w:vAlign w:val="center"/>
          </w:tcPr>
          <w:p>
            <w:pPr>
              <w:pStyle w:val="TableContents"/>
              <w:bidi w:val="0"/>
              <w:spacing w:before="0" w:after="0"/>
              <w:jc w:val="center"/>
              <w:rPr>
                <w:caps w:val="false"/>
                <w:smallCaps w:val="false"/>
              </w:rPr>
            </w:pPr>
            <w:r>
              <w:rPr>
                <w:caps w:val="false"/>
                <w:smallCaps w:val="false"/>
              </w:rPr>
              <w:t> </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(Level 1)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99" w:type="dxa"/>
            <w:gridSpan w:val="2"/>
            <w:tcBorders>
              <w:bottom w:val="single" w:sz="8" w:space="0" w:color="000000"/>
            </w:tcBorders>
            <w:tcMar>
              <w:bottom w:w="28" w:type="dxa"/>
            </w:tcMar>
            <w:vAlign w:val="center"/>
          </w:tcPr>
          <w:p>
            <w:pPr>
              <w:pStyle w:val="TableContents"/>
              <w:bidi w:val="0"/>
              <w:spacing w:before="0" w:after="0"/>
              <w:jc w:val="center"/>
              <w:rPr>
                <w:caps w:val="false"/>
                <w:smallCaps w:val="false"/>
              </w:rPr>
            </w:pPr>
            <w:r>
              <w:rPr>
                <w:caps w:val="false"/>
                <w:smallCaps w:val="false"/>
              </w:rPr>
              <w:t> </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(Level 2)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99" w:type="dxa"/>
            <w:gridSpan w:val="2"/>
            <w:tcBorders>
              <w:bottom w:val="single" w:sz="8" w:space="0" w:color="000000"/>
            </w:tcBorders>
            <w:tcMar>
              <w:bottom w:w="28" w:type="dxa"/>
            </w:tcMar>
            <w:vAlign w:val="center"/>
          </w:tcPr>
          <w:p>
            <w:pPr>
              <w:pStyle w:val="TableContents"/>
              <w:bidi w:val="0"/>
              <w:spacing w:before="0" w:after="0"/>
              <w:jc w:val="center"/>
              <w:rPr>
                <w:caps w:val="false"/>
                <w:smallCaps w:val="false"/>
              </w:rPr>
            </w:pPr>
            <w:r>
              <w:rPr>
                <w:caps w:val="false"/>
                <w:smallCaps w:val="false"/>
              </w:rPr>
              <w:t> </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(Level 3) </w:t>
            </w:r>
          </w:p>
        </w:tc>
        <w:tc>
          <w:tcPr>
            <w:tcW w:w="75" w:type="dxa"/>
            <w:tcBorders/>
            <w:vAlign w:val="center"/>
          </w:tcPr>
          <w:p>
            <w:pPr>
              <w:pStyle w:val="TableContents"/>
              <w:bidi w:val="0"/>
              <w:spacing w:before="0" w:after="283"/>
              <w:jc w:val="center"/>
              <w:rPr/>
            </w:pPr>
            <w:r>
              <w:rPr/>
              <w:t> </w:t>
            </w:r>
          </w:p>
        </w:tc>
      </w:tr>
      <w:tr>
        <w:trPr/>
        <w:tc>
          <w:tcPr>
            <w:tcW w:w="3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25" w:type="dxa"/>
            <w:gridSpan w:val="18"/>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As of June 30, 2025</w:t>
            </w:r>
          </w:p>
        </w:tc>
        <w:tc>
          <w:tcPr>
            <w:tcW w:w="75" w:type="dxa"/>
            <w:tcBorders/>
            <w:vAlign w:val="center"/>
          </w:tcPr>
          <w:p>
            <w:pPr>
              <w:pStyle w:val="TableContents"/>
              <w:bidi w:val="0"/>
              <w:spacing w:before="0" w:after="283"/>
              <w:jc w:val="left"/>
              <w:rPr/>
            </w:pPr>
            <w:r>
              <w:rPr/>
              <w:t> </w:t>
            </w:r>
          </w:p>
        </w:tc>
      </w:tr>
      <w:tr>
        <w:trPr/>
        <w:tc>
          <w:tcPr>
            <w:tcW w:w="366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Liabilities</w:t>
            </w:r>
          </w:p>
        </w:tc>
        <w:tc>
          <w:tcPr>
            <w:tcW w:w="6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Warrant liability- Term Loan</w:t>
            </w:r>
          </w:p>
        </w:tc>
        <w:tc>
          <w:tcPr>
            <w:tcW w:w="60" w:type="dxa"/>
            <w:tcBorders/>
            <w:shd w:fill="CCEEFF" w:val="clear"/>
            <w:vAlign w:val="center"/>
          </w:tcPr>
          <w:p>
            <w:pPr>
              <w:pStyle w:val="TableContents"/>
              <w:bidi w:val="0"/>
              <w:spacing w:before="0" w:after="283"/>
              <w:jc w:val="left"/>
              <w:rPr/>
            </w:pPr>
            <w:r>
              <w:rPr/>
              <w:t> </w:t>
            </w:r>
          </w:p>
        </w:tc>
        <w:tc>
          <w:tcPr>
            <w:tcW w:w="38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18" w:name="xdx_989_eus-gaap--DerivativeLiabilitiesN"/>
            <w:bookmarkEnd w:id="418"/>
          </w:p>
        </w:tc>
        <w:tc>
          <w:tcPr>
            <w:tcW w:w="105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19" w:name="xdx_98C_eus-gaap--LiabilitiesFairValueDi"/>
            <w:bookmarkEnd w:id="419"/>
          </w:p>
        </w:tc>
        <w:tc>
          <w:tcPr>
            <w:tcW w:w="66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20" w:name="xdx_980_eus-gaap--LiabilitiesFairValueDi"/>
            <w:bookmarkEnd w:id="420"/>
          </w:p>
        </w:tc>
        <w:tc>
          <w:tcPr>
            <w:tcW w:w="32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21" w:name="xdx_98B_eus-gaap--LiabilitiesFairValueDi"/>
            <w:bookmarkEnd w:id="421"/>
          </w:p>
        </w:tc>
        <w:tc>
          <w:tcPr>
            <w:tcW w:w="5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22" w:name="xdx_988_eus-gaap--LiabilitiesFairValueDi"/>
            <w:bookmarkEnd w:id="422"/>
          </w:p>
        </w:tc>
        <w:tc>
          <w:tcPr>
            <w:tcW w:w="32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CCEEFF" w:val="clear"/>
            <w:vAlign w:val="center"/>
          </w:tcPr>
          <w:p>
            <w:pPr>
              <w:pStyle w:val="TableContents"/>
              <w:bidi w:val="0"/>
              <w:spacing w:before="0" w:after="283"/>
              <w:jc w:val="left"/>
              <w:rPr/>
            </w:pPr>
            <w:r>
              <w:rPr/>
              <w:t> </w:t>
            </w:r>
          </w:p>
        </w:tc>
      </w:tr>
      <w:tr>
        <w:trPr/>
        <w:tc>
          <w:tcPr>
            <w:tcW w:w="36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Warrant liability- June Public Offering</w:t>
            </w:r>
          </w:p>
        </w:tc>
        <w:tc>
          <w:tcPr>
            <w:tcW w:w="60" w:type="dxa"/>
            <w:tcBorders/>
            <w:shd w:fill="FFFFFF" w:val="clear"/>
            <w:vAlign w:val="center"/>
          </w:tcPr>
          <w:p>
            <w:pPr>
              <w:pStyle w:val="TableContents"/>
              <w:bidi w:val="0"/>
              <w:spacing w:before="0" w:after="283"/>
              <w:jc w:val="left"/>
              <w:rPr/>
            </w:pPr>
            <w:r>
              <w:rPr/>
              <w:t> </w:t>
            </w:r>
          </w:p>
        </w:tc>
        <w:tc>
          <w:tcPr>
            <w:tcW w:w="388" w:type="dxa"/>
            <w:tcBorders/>
            <w:shd w:fill="FFFFFF" w:val="clear"/>
            <w:vAlign w:val="center"/>
          </w:tcPr>
          <w:p>
            <w:pPr>
              <w:pStyle w:val="TableContents"/>
              <w:bidi w:val="0"/>
              <w:spacing w:before="0" w:after="283"/>
              <w:jc w:val="left"/>
              <w:rPr/>
            </w:pPr>
            <w:r>
              <w:rPr/>
              <w:t> </w:t>
            </w:r>
            <w:bookmarkStart w:id="423" w:name="xdx_987_eus-gaap--DerivativeLiabilitiesN"/>
            <w:bookmarkEnd w:id="423"/>
          </w:p>
        </w:tc>
        <w:tc>
          <w:tcPr>
            <w:tcW w:w="105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bookmarkStart w:id="424" w:name="xdx_981_eus-gaap--LiabilitiesFairValueDi"/>
            <w:bookmarkEnd w:id="424"/>
          </w:p>
        </w:tc>
        <w:tc>
          <w:tcPr>
            <w:tcW w:w="66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5" w:type="dxa"/>
            <w:tcBorders/>
            <w:shd w:fill="FFFFFF" w:val="clear"/>
            <w:vAlign w:val="center"/>
          </w:tcPr>
          <w:p>
            <w:pPr>
              <w:pStyle w:val="TableContents"/>
              <w:bidi w:val="0"/>
              <w:spacing w:before="0" w:after="283"/>
              <w:jc w:val="left"/>
              <w:rPr/>
            </w:pPr>
            <w:r>
              <w:rPr/>
              <w:t> </w:t>
            </w:r>
            <w:bookmarkStart w:id="425" w:name="xdx_98E_eus-gaap--LiabilitiesFairValueDi"/>
            <w:bookmarkEnd w:id="425"/>
          </w:p>
        </w:tc>
        <w:tc>
          <w:tcPr>
            <w:tcW w:w="32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bookmarkStart w:id="426" w:name="xdx_98A_eus-gaap--LiabilitiesFairValueDi"/>
            <w:bookmarkEnd w:id="426"/>
          </w:p>
        </w:tc>
        <w:tc>
          <w:tcPr>
            <w:tcW w:w="58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5" w:type="dxa"/>
            <w:tcBorders/>
            <w:shd w:fill="FFFFFF" w:val="clear"/>
            <w:vAlign w:val="center"/>
          </w:tcPr>
          <w:p>
            <w:pPr>
              <w:pStyle w:val="TableContents"/>
              <w:bidi w:val="0"/>
              <w:spacing w:before="0" w:after="283"/>
              <w:jc w:val="left"/>
              <w:rPr/>
            </w:pPr>
            <w:r>
              <w:rPr/>
              <w:t> </w:t>
            </w:r>
            <w:bookmarkStart w:id="427" w:name="xdx_987_eus-gaap--LiabilitiesFairValueDi"/>
            <w:bookmarkEnd w:id="427"/>
          </w:p>
        </w:tc>
        <w:tc>
          <w:tcPr>
            <w:tcW w:w="32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FFFFFF" w:val="clear"/>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liabilities</w:t>
            </w:r>
          </w:p>
        </w:tc>
        <w:tc>
          <w:tcPr>
            <w:tcW w:w="60" w:type="dxa"/>
            <w:tcBorders/>
            <w:shd w:fill="CCEEFF" w:val="clear"/>
            <w:vAlign w:val="center"/>
          </w:tcPr>
          <w:p>
            <w:pPr>
              <w:pStyle w:val="TableContents"/>
              <w:bidi w:val="0"/>
              <w:spacing w:before="0" w:after="283"/>
              <w:jc w:val="left"/>
              <w:rPr/>
            </w:pPr>
            <w:r>
              <w:rPr/>
              <w:t> </w:t>
            </w:r>
          </w:p>
        </w:tc>
        <w:tc>
          <w:tcPr>
            <w:tcW w:w="38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28" w:name="xdx_986_eus-gaap--DerivativeLiabilitiesN"/>
            <w:bookmarkEnd w:id="428"/>
          </w:p>
        </w:tc>
        <w:tc>
          <w:tcPr>
            <w:tcW w:w="105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29" w:name="xdx_98E_eus-gaap--LiabilitiesFairValueDi"/>
            <w:bookmarkEnd w:id="429"/>
          </w:p>
        </w:tc>
        <w:tc>
          <w:tcPr>
            <w:tcW w:w="66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30" w:name="xdx_98E_eus-gaap--LiabilitiesFairValueDi"/>
            <w:bookmarkEnd w:id="430"/>
          </w:p>
        </w:tc>
        <w:tc>
          <w:tcPr>
            <w:tcW w:w="32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31" w:name="xdx_98D_eus-gaap--LiabilitiesFairValueDi"/>
            <w:bookmarkEnd w:id="431"/>
          </w:p>
        </w:tc>
        <w:tc>
          <w:tcPr>
            <w:tcW w:w="58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32" w:name="xdx_983_eus-gaap--LiabilitiesFairValueDi"/>
            <w:bookmarkEnd w:id="432"/>
          </w:p>
        </w:tc>
        <w:tc>
          <w:tcPr>
            <w:tcW w:w="32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assets and liabilities that were measured at fair value in the Consolidated Balance Sheets on a recurring basis as of December 31, 2024:</w:t>
      </w:r>
    </w:p>
    <w:p>
      <w:pPr>
        <w:pStyle w:val="TextBody"/>
        <w:bidi w:val="0"/>
        <w:spacing w:before="0" w:after="0"/>
        <w:jc w:val="both"/>
        <w:rPr>
          <w:caps w:val="false"/>
          <w:smallCaps w:val="false"/>
        </w:rPr>
      </w:pPr>
      <w:r>
        <w:rPr>
          <w:caps w:val="false"/>
          <w:smallCaps w:val="false"/>
        </w:rPr>
        <w:t> </w:t>
      </w:r>
    </w:p>
    <w:tbl>
      <w:tblPr>
        <w:tblW w:w="9028" w:type="dxa"/>
        <w:jc w:val="left"/>
        <w:tblInd w:w="0" w:type="dxa"/>
        <w:tblLayout w:type="fixed"/>
        <w:tblCellMar>
          <w:top w:w="0" w:type="dxa"/>
          <w:left w:w="0" w:type="dxa"/>
          <w:bottom w:w="0" w:type="dxa"/>
          <w:right w:w="0" w:type="dxa"/>
        </w:tblCellMar>
      </w:tblPr>
      <w:tblGrid>
        <w:gridCol w:w="3665"/>
        <w:gridCol w:w="60"/>
        <w:gridCol w:w="289"/>
        <w:gridCol w:w="1156"/>
        <w:gridCol w:w="60"/>
        <w:gridCol w:w="60"/>
        <w:gridCol w:w="181"/>
        <w:gridCol w:w="724"/>
        <w:gridCol w:w="60"/>
        <w:gridCol w:w="60"/>
        <w:gridCol w:w="475"/>
        <w:gridCol w:w="324"/>
        <w:gridCol w:w="60"/>
        <w:gridCol w:w="60"/>
        <w:gridCol w:w="160"/>
        <w:gridCol w:w="640"/>
        <w:gridCol w:w="60"/>
        <w:gridCol w:w="60"/>
        <w:gridCol w:w="475"/>
        <w:gridCol w:w="324"/>
        <w:gridCol w:w="75"/>
      </w:tblGrid>
      <w:tr>
        <w:trPr/>
        <w:tc>
          <w:tcPr>
            <w:tcW w:w="3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Carrying 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bottom w:val="single" w:sz="8" w:space="0" w:color="000000"/>
            </w:tcBorders>
            <w:tcMar>
              <w:bottom w:w="28" w:type="dxa"/>
            </w:tcMar>
            <w:vAlign w:val="center"/>
          </w:tcPr>
          <w:p>
            <w:pPr>
              <w:pStyle w:val="TableContents"/>
              <w:bidi w:val="0"/>
              <w:spacing w:before="0" w:after="0"/>
              <w:jc w:val="left"/>
              <w:rPr>
                <w:caps w:val="false"/>
                <w:smallCaps w:val="false"/>
              </w:rPr>
            </w:pPr>
            <w:r>
              <w:rPr>
                <w:caps w:val="false"/>
                <w:smallCaps w:val="false"/>
              </w:rPr>
              <w:t> </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Fair Value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9" w:type="dxa"/>
            <w:gridSpan w:val="2"/>
            <w:tcBorders>
              <w:bottom w:val="single" w:sz="8" w:space="0" w:color="000000"/>
            </w:tcBorders>
            <w:tcMar>
              <w:bottom w:w="28" w:type="dxa"/>
            </w:tcMar>
            <w:vAlign w:val="center"/>
          </w:tcPr>
          <w:p>
            <w:pPr>
              <w:pStyle w:val="TableContents"/>
              <w:bidi w:val="0"/>
              <w:spacing w:before="0" w:after="0"/>
              <w:jc w:val="center"/>
              <w:rPr>
                <w:caps w:val="false"/>
                <w:smallCaps w:val="false"/>
              </w:rPr>
            </w:pPr>
            <w:r>
              <w:rPr>
                <w:caps w:val="false"/>
                <w:smallCaps w:val="false"/>
              </w:rPr>
              <w:t> </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(Level 1)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center"/>
          </w:tcPr>
          <w:p>
            <w:pPr>
              <w:pStyle w:val="TableContents"/>
              <w:bidi w:val="0"/>
              <w:spacing w:before="0" w:after="0"/>
              <w:jc w:val="center"/>
              <w:rPr>
                <w:caps w:val="false"/>
                <w:smallCaps w:val="false"/>
              </w:rPr>
            </w:pPr>
            <w:r>
              <w:rPr>
                <w:caps w:val="false"/>
                <w:smallCaps w:val="false"/>
              </w:rPr>
              <w:t> </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(Level 2)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9" w:type="dxa"/>
            <w:gridSpan w:val="2"/>
            <w:tcBorders>
              <w:bottom w:val="single" w:sz="8" w:space="0" w:color="000000"/>
            </w:tcBorders>
            <w:tcMar>
              <w:bottom w:w="28" w:type="dxa"/>
            </w:tcMar>
            <w:vAlign w:val="center"/>
          </w:tcPr>
          <w:p>
            <w:pPr>
              <w:pStyle w:val="TableContents"/>
              <w:bidi w:val="0"/>
              <w:spacing w:before="0" w:after="0"/>
              <w:jc w:val="center"/>
              <w:rPr>
                <w:caps w:val="false"/>
                <w:smallCaps w:val="false"/>
              </w:rPr>
            </w:pPr>
            <w:r>
              <w:rPr>
                <w:caps w:val="false"/>
                <w:smallCaps w:val="false"/>
              </w:rPr>
              <w:t> </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(Level 3) </w:t>
            </w:r>
          </w:p>
        </w:tc>
        <w:tc>
          <w:tcPr>
            <w:tcW w:w="75" w:type="dxa"/>
            <w:tcBorders/>
            <w:vAlign w:val="center"/>
          </w:tcPr>
          <w:p>
            <w:pPr>
              <w:pStyle w:val="TableContents"/>
              <w:bidi w:val="0"/>
              <w:spacing w:before="0" w:after="283"/>
              <w:jc w:val="left"/>
              <w:rPr/>
            </w:pPr>
            <w:r>
              <w:rPr/>
              <w:t> </w:t>
            </w:r>
          </w:p>
        </w:tc>
      </w:tr>
      <w:tr>
        <w:trPr/>
        <w:tc>
          <w:tcPr>
            <w:tcW w:w="3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28" w:type="dxa"/>
            <w:gridSpan w:val="18"/>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As of December 31, 2024</w:t>
            </w:r>
          </w:p>
        </w:tc>
        <w:tc>
          <w:tcPr>
            <w:tcW w:w="75" w:type="dxa"/>
            <w:tcBorders/>
            <w:vAlign w:val="center"/>
          </w:tcPr>
          <w:p>
            <w:pPr>
              <w:pStyle w:val="TableContents"/>
              <w:bidi w:val="0"/>
              <w:spacing w:before="0" w:after="283"/>
              <w:jc w:val="left"/>
              <w:rPr/>
            </w:pPr>
            <w:r>
              <w:rPr/>
              <w:t> </w:t>
            </w:r>
          </w:p>
        </w:tc>
      </w:tr>
      <w:tr>
        <w:trPr/>
        <w:tc>
          <w:tcPr>
            <w:tcW w:w="366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Liabilities</w:t>
            </w:r>
          </w:p>
        </w:tc>
        <w:tc>
          <w:tcPr>
            <w:tcW w:w="60" w:type="dxa"/>
            <w:tcBorders/>
            <w:vAlign w:val="center"/>
          </w:tcPr>
          <w:p>
            <w:pPr>
              <w:pStyle w:val="TableContents"/>
              <w:bidi w:val="0"/>
              <w:spacing w:before="0" w:after="283"/>
              <w:jc w:val="left"/>
              <w:rPr/>
            </w:pPr>
            <w:r>
              <w:rPr/>
              <w:t> </w:t>
            </w:r>
          </w:p>
        </w:tc>
        <w:tc>
          <w:tcPr>
            <w:tcW w:w="144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Warrant liability- Term Loan</w:t>
            </w:r>
          </w:p>
        </w:tc>
        <w:tc>
          <w:tcPr>
            <w:tcW w:w="6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33" w:name="xdx_98E_eus-gaap--DerivativeLiabilitiesN"/>
            <w:bookmarkEnd w:id="433"/>
          </w:p>
        </w:tc>
        <w:tc>
          <w:tcPr>
            <w:tcW w:w="115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34" w:name="xdx_98E_eus-gaap--LiabilitiesFairValueDi"/>
            <w:bookmarkEnd w:id="434"/>
          </w:p>
        </w:tc>
        <w:tc>
          <w:tcPr>
            <w:tcW w:w="72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35" w:name="xdx_986_eus-gaap--LiabilitiesFairValueDi"/>
            <w:bookmarkEnd w:id="435"/>
          </w:p>
        </w:tc>
        <w:tc>
          <w:tcPr>
            <w:tcW w:w="32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36" w:name="xdx_98F_eus-gaap--LiabilitiesFairValueDi"/>
            <w:bookmarkEnd w:id="436"/>
          </w:p>
        </w:tc>
        <w:tc>
          <w:tcPr>
            <w:tcW w:w="64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37" w:name="xdx_985_eus-gaap--LiabilitiesFairValueDi"/>
            <w:bookmarkEnd w:id="437"/>
          </w:p>
        </w:tc>
        <w:tc>
          <w:tcPr>
            <w:tcW w:w="32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CCEEFF" w:val="clear"/>
            <w:vAlign w:val="center"/>
          </w:tcPr>
          <w:p>
            <w:pPr>
              <w:pStyle w:val="TableContents"/>
              <w:bidi w:val="0"/>
              <w:spacing w:before="0" w:after="283"/>
              <w:jc w:val="left"/>
              <w:rPr/>
            </w:pPr>
            <w:r>
              <w:rPr/>
              <w:t> </w:t>
            </w:r>
          </w:p>
        </w:tc>
      </w:tr>
      <w:tr>
        <w:trPr/>
        <w:tc>
          <w:tcPr>
            <w:tcW w:w="36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Warrant liability- June Public Offering</w:t>
            </w:r>
          </w:p>
        </w:tc>
        <w:tc>
          <w:tcPr>
            <w:tcW w:w="60" w:type="dxa"/>
            <w:tcBorders/>
            <w:shd w:fill="FFFFFF" w:val="clear"/>
            <w:vAlign w:val="center"/>
          </w:tcPr>
          <w:p>
            <w:pPr>
              <w:pStyle w:val="TableContents"/>
              <w:bidi w:val="0"/>
              <w:spacing w:before="0" w:after="283"/>
              <w:jc w:val="left"/>
              <w:rPr/>
            </w:pPr>
            <w:r>
              <w:rPr/>
              <w:t> </w:t>
            </w:r>
          </w:p>
        </w:tc>
        <w:tc>
          <w:tcPr>
            <w:tcW w:w="289" w:type="dxa"/>
            <w:tcBorders/>
            <w:shd w:fill="FFFFFF" w:val="clear"/>
            <w:vAlign w:val="center"/>
          </w:tcPr>
          <w:p>
            <w:pPr>
              <w:pStyle w:val="TableContents"/>
              <w:bidi w:val="0"/>
              <w:spacing w:before="0" w:after="283"/>
              <w:jc w:val="left"/>
              <w:rPr/>
            </w:pPr>
            <w:r>
              <w:rPr/>
              <w:t> </w:t>
            </w:r>
            <w:bookmarkStart w:id="438" w:name="xdx_986_eus-gaap--DerivativeLiabilitiesN"/>
            <w:bookmarkEnd w:id="438"/>
          </w:p>
        </w:tc>
        <w:tc>
          <w:tcPr>
            <w:tcW w:w="115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bookmarkStart w:id="439" w:name="xdx_983_eus-gaap--LiabilitiesFairValueDi"/>
            <w:bookmarkEnd w:id="439"/>
          </w:p>
        </w:tc>
        <w:tc>
          <w:tcPr>
            <w:tcW w:w="72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5" w:type="dxa"/>
            <w:tcBorders/>
            <w:shd w:fill="FFFFFF" w:val="clear"/>
            <w:vAlign w:val="center"/>
          </w:tcPr>
          <w:p>
            <w:pPr>
              <w:pStyle w:val="TableContents"/>
              <w:bidi w:val="0"/>
              <w:spacing w:before="0" w:after="283"/>
              <w:jc w:val="left"/>
              <w:rPr/>
            </w:pPr>
            <w:r>
              <w:rPr/>
              <w:t> </w:t>
            </w:r>
            <w:bookmarkStart w:id="440" w:name="xdx_98A_eus-gaap--LiabilitiesFairValueDi"/>
            <w:bookmarkEnd w:id="440"/>
          </w:p>
        </w:tc>
        <w:tc>
          <w:tcPr>
            <w:tcW w:w="32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bookmarkStart w:id="441" w:name="xdx_980_eus-gaap--LiabilitiesFairValueDi"/>
            <w:bookmarkEnd w:id="441"/>
          </w:p>
        </w:tc>
        <w:tc>
          <w:tcPr>
            <w:tcW w:w="64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75" w:type="dxa"/>
            <w:tcBorders/>
            <w:shd w:fill="FFFFFF" w:val="clear"/>
            <w:vAlign w:val="center"/>
          </w:tcPr>
          <w:p>
            <w:pPr>
              <w:pStyle w:val="TableContents"/>
              <w:bidi w:val="0"/>
              <w:spacing w:before="0" w:after="283"/>
              <w:jc w:val="left"/>
              <w:rPr/>
            </w:pPr>
            <w:r>
              <w:rPr/>
              <w:t> </w:t>
            </w:r>
            <w:bookmarkStart w:id="442" w:name="xdx_98E_eus-gaap--LiabilitiesFairValueDi"/>
            <w:bookmarkEnd w:id="442"/>
          </w:p>
        </w:tc>
        <w:tc>
          <w:tcPr>
            <w:tcW w:w="32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FFFFFF" w:val="clear"/>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liabilities</w:t>
            </w:r>
          </w:p>
        </w:tc>
        <w:tc>
          <w:tcPr>
            <w:tcW w:w="60" w:type="dxa"/>
            <w:tcBorders/>
            <w:shd w:fill="CCEEFF" w:val="clear"/>
            <w:vAlign w:val="center"/>
          </w:tcPr>
          <w:p>
            <w:pPr>
              <w:pStyle w:val="TableContents"/>
              <w:bidi w:val="0"/>
              <w:spacing w:before="0" w:after="283"/>
              <w:jc w:val="left"/>
              <w:rPr/>
            </w:pPr>
            <w:r>
              <w:rPr/>
              <w:t> </w:t>
            </w:r>
          </w:p>
        </w:tc>
        <w:tc>
          <w:tcPr>
            <w:tcW w:w="28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43" w:name="xdx_985_eus-gaap--DerivativeLiabilitiesN"/>
            <w:bookmarkEnd w:id="443"/>
          </w:p>
        </w:tc>
        <w:tc>
          <w:tcPr>
            <w:tcW w:w="115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44" w:name="xdx_989_eus-gaap--LiabilitiesFairValueDi"/>
            <w:bookmarkEnd w:id="444"/>
          </w:p>
        </w:tc>
        <w:tc>
          <w:tcPr>
            <w:tcW w:w="72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45" w:name="xdx_98E_eus-gaap--LiabilitiesFairValueDi"/>
            <w:bookmarkEnd w:id="445"/>
          </w:p>
        </w:tc>
        <w:tc>
          <w:tcPr>
            <w:tcW w:w="32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46" w:name="xdx_98E_eus-gaap--LiabilitiesFairValueDi"/>
            <w:bookmarkEnd w:id="446"/>
          </w:p>
        </w:tc>
        <w:tc>
          <w:tcPr>
            <w:tcW w:w="64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7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47" w:name="xdx_984_eus-gaap--LiabilitiesFairValueDi"/>
            <w:bookmarkEnd w:id="447"/>
          </w:p>
        </w:tc>
        <w:tc>
          <w:tcPr>
            <w:tcW w:w="32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caps/>
        </w:rPr>
      </w:pPr>
      <w:bookmarkStart w:id="448" w:name="xdx_8A7_zAbKStjkNFLh"/>
      <w:bookmarkEnd w:id="448"/>
      <w:r>
        <w:rPr>
          <w:caps/>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Black Scholes calculation being utilized on all fair value measurement of warrant liabilities as of June 30, 2025 and December 31, 2024, the fair value warrant liabilities were transferred from Level 3 to Level 2 as of December 31, 2024. This is due to the observable inputs (such as the Company’s stock price and comparable company volatility calculations) included in the Black Scholes calculation, which makes the fair value measurement of the warrant liabilities more closely aligned with Level 2.</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amounts of accounts receivable and accounts payable are considered Level 1 and approximate fair value as of June 30, 2025 and December 31, 2024 because of the relatively short maturity of these instruments.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value of the term loan as of June 30, 2025 and December 31, 2024 approximates fair value as the interest rate does not differ significantly from the current market rates available to the Company for similar debt and is considered Level 2.</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Notes to Consolidated Financial Statements</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jc w:val="center"/>
        <w:rPr>
          <w:caps/>
        </w:rPr>
      </w:pPr>
      <w:r>
        <w:rPr>
          <w:caps/>
        </w:rPr>
        <w:t> </w:t>
      </w:r>
    </w:p>
    <w:p>
      <w:pPr>
        <w:pStyle w:val="TextBody"/>
        <w:bidi w:val="0"/>
        <w:spacing w:before="0" w:after="0"/>
        <w:jc w:val="both"/>
        <w:rPr>
          <w:rFonts w:ascii="Times New Roman;Times;Serif" w:hAnsi="Times New Roman;Times;Serif"/>
          <w:b/>
          <w:i w:val="false"/>
          <w:caps/>
          <w:sz w:val="20"/>
        </w:rPr>
      </w:pPr>
      <w:r>
        <w:rPr>
          <w:rFonts w:ascii="Times New Roman;Times;Serif" w:hAnsi="Times New Roman;Times;Serif"/>
          <w:b/>
          <w:i w:val="false"/>
          <w:caps/>
          <w:sz w:val="20"/>
        </w:rPr>
        <w:t>Note 3 - Fair Value Measurements (continued)</w:t>
      </w:r>
    </w:p>
    <w:p>
      <w:pPr>
        <w:pStyle w:val="TextBody"/>
        <w:bidi w:val="0"/>
        <w:spacing w:before="0" w:after="0"/>
        <w:jc w:val="both"/>
        <w:rPr>
          <w:caps/>
        </w:rPr>
      </w:pPr>
      <w:r>
        <w:rPr>
          <w:caps/>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Level 3 Roll forward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measurements categorized within Level 3 are sensitive to changes in assumptions or methodology used to determine fair value, and such changes could result in a significant increase or decrease in the fair value.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changes for Level 3 items measured at fair value on recurring basis using significant unobservable inputs are as follows: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bookmarkStart w:id="449" w:name="xdx_89C_eus-gaap--FairValueLiabilitiesMe"/>
      <w:bookmarkEnd w:id="449"/>
      <w:r>
        <w:rPr>
          <w:rFonts w:ascii="Times New Roman;Times;Serif" w:hAnsi="Times New Roman;Times;Serif"/>
          <w:b w:val="false"/>
          <w:i w:val="false"/>
          <w:caps w:val="false"/>
          <w:smallCaps w:val="false"/>
          <w:sz w:val="20"/>
        </w:rPr>
        <w:t>There was no Level 3 activity for the three and six months ended June 30, 2025.</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bookmarkStart w:id="450" w:name="xdx_8BD_zNGyR6CJ9vH8"/>
      <w:bookmarkEnd w:id="450"/>
      <w:r>
        <w:rPr>
          <w:rFonts w:ascii="Times New Roman;Times;Serif" w:hAnsi="Times New Roman;Times;Serif"/>
          <w:b w:val="false"/>
          <w:i w:val="false"/>
          <w:caps w:val="false"/>
          <w:smallCaps w:val="false"/>
          <w:sz w:val="20"/>
        </w:rPr>
        <w:t>SCHEDULE OF FAIR VALUE ON RECURRING BASIS USING SIGNIFICANT UNOBSERVABLE INPUTS  </w:t>
      </w:r>
    </w:p>
    <w:tbl>
      <w:tblPr>
        <w:tblW w:w="10205" w:type="dxa"/>
        <w:jc w:val="left"/>
        <w:tblInd w:w="0" w:type="dxa"/>
        <w:tblLayout w:type="fixed"/>
        <w:tblCellMar>
          <w:top w:w="0" w:type="dxa"/>
          <w:left w:w="0" w:type="dxa"/>
          <w:bottom w:w="0" w:type="dxa"/>
          <w:right w:w="0" w:type="dxa"/>
        </w:tblCellMar>
      </w:tblPr>
      <w:tblGrid>
        <w:gridCol w:w="3728"/>
        <w:gridCol w:w="60"/>
        <w:gridCol w:w="546"/>
        <w:gridCol w:w="2184"/>
        <w:gridCol w:w="95"/>
        <w:gridCol w:w="60"/>
        <w:gridCol w:w="684"/>
        <w:gridCol w:w="2736"/>
        <w:gridCol w:w="112"/>
      </w:tblGrid>
      <w:tr>
        <w:trPr/>
        <w:tc>
          <w:tcPr>
            <w:tcW w:w="372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51" w:name="xdx_4BB_us-gaap--FinancialInstrumentAxis"/>
            <w:bookmarkEnd w:id="451"/>
          </w:p>
        </w:tc>
        <w:tc>
          <w:tcPr>
            <w:tcW w:w="27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Warrant Liability - Term Loan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52" w:name="xdx_4BA_us-gaap--FinancialInstrumentAxis"/>
            <w:bookmarkEnd w:id="452"/>
          </w:p>
        </w:tc>
        <w:tc>
          <w:tcPr>
            <w:tcW w:w="34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Warrant liability- June Public Offering</w:t>
            </w:r>
          </w:p>
        </w:tc>
        <w:tc>
          <w:tcPr>
            <w:tcW w:w="112" w:type="dxa"/>
            <w:tcBorders/>
            <w:vAlign w:val="center"/>
          </w:tcPr>
          <w:p>
            <w:pPr>
              <w:pStyle w:val="TableContents"/>
              <w:bidi w:val="0"/>
              <w:spacing w:before="0" w:after="283"/>
              <w:jc w:val="left"/>
              <w:rPr/>
            </w:pPr>
            <w:r>
              <w:rPr/>
              <w:t> </w:t>
            </w:r>
            <w:bookmarkStart w:id="453" w:name="xdx_434_c20250101__20250331_eus-gaap--Fa"/>
            <w:bookmarkEnd w:id="453"/>
          </w:p>
        </w:tc>
      </w:tr>
      <w:tr>
        <w:trPr/>
        <w:tc>
          <w:tcPr>
            <w:tcW w:w="3728"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Fair value as of January 1, 2024</w:t>
            </w:r>
          </w:p>
        </w:tc>
        <w:tc>
          <w:tcPr>
            <w:tcW w:w="60" w:type="dxa"/>
            <w:tcBorders/>
            <w:shd w:fill="CCEEFF" w:val="clear"/>
            <w:vAlign w:val="center"/>
          </w:tcPr>
          <w:p>
            <w:pPr>
              <w:pStyle w:val="TableContents"/>
              <w:bidi w:val="0"/>
              <w:spacing w:before="0" w:after="283"/>
              <w:jc w:val="left"/>
              <w:rPr/>
            </w:pPr>
            <w:r>
              <w:rPr/>
              <w:t> </w:t>
            </w:r>
          </w:p>
        </w:tc>
        <w:tc>
          <w:tcPr>
            <w:tcW w:w="54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18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73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3,434</w:t>
            </w:r>
          </w:p>
        </w:tc>
        <w:tc>
          <w:tcPr>
            <w:tcW w:w="112" w:type="dxa"/>
            <w:tcBorders/>
            <w:shd w:fill="CCEEFF" w:val="clear"/>
            <w:vAlign w:val="center"/>
          </w:tcPr>
          <w:p>
            <w:pPr>
              <w:pStyle w:val="TableContents"/>
              <w:bidi w:val="0"/>
              <w:spacing w:before="0" w:after="283"/>
              <w:jc w:val="left"/>
              <w:rPr/>
            </w:pPr>
            <w:r>
              <w:rPr/>
              <w:t> </w:t>
            </w:r>
            <w:bookmarkStart w:id="454" w:name="xdx_409_eus-gaap--FairValueMeasurementWi"/>
            <w:bookmarkEnd w:id="454"/>
          </w:p>
        </w:tc>
      </w:tr>
      <w:tr>
        <w:trPr/>
        <w:tc>
          <w:tcPr>
            <w:tcW w:w="372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Change in fair value, gain included in net loss</w:t>
            </w:r>
            <w:bookmarkStart w:id="455" w:name="xdx_F4B_zrggNq9v3zz"/>
            <w:bookmarkEnd w:id="455"/>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54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18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8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73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(220</w:t>
            </w:r>
          </w:p>
        </w:tc>
        <w:tc>
          <w:tcPr>
            <w:tcW w:w="11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56" w:name="xdx_43F_c20250401__20250630_eus-gaap--Fa"/>
            <w:bookmarkEnd w:id="456"/>
          </w:p>
        </w:tc>
      </w:tr>
      <w:tr>
        <w:trPr/>
        <w:tc>
          <w:tcPr>
            <w:tcW w:w="3728"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Fair value as of March 31, 2024</w:t>
            </w:r>
          </w:p>
        </w:tc>
        <w:tc>
          <w:tcPr>
            <w:tcW w:w="60" w:type="dxa"/>
            <w:tcBorders/>
            <w:shd w:fill="CCEEFF" w:val="clear"/>
            <w:vAlign w:val="center"/>
          </w:tcPr>
          <w:p>
            <w:pPr>
              <w:pStyle w:val="TableContents"/>
              <w:bidi w:val="0"/>
              <w:spacing w:before="0" w:after="283"/>
              <w:jc w:val="left"/>
              <w:rPr/>
            </w:pPr>
            <w:r>
              <w:rPr/>
              <w:t> </w:t>
            </w:r>
          </w:p>
        </w:tc>
        <w:tc>
          <w:tcPr>
            <w:tcW w:w="546" w:type="dxa"/>
            <w:tcBorders/>
            <w:shd w:fill="CCEEFF" w:val="clear"/>
            <w:vAlign w:val="center"/>
          </w:tcPr>
          <w:p>
            <w:pPr>
              <w:pStyle w:val="TableContents"/>
              <w:bidi w:val="0"/>
              <w:spacing w:before="0" w:after="283"/>
              <w:jc w:val="left"/>
              <w:rPr/>
            </w:pPr>
            <w:r>
              <w:rPr/>
              <w:t> </w:t>
            </w:r>
          </w:p>
        </w:tc>
        <w:tc>
          <w:tcPr>
            <w:tcW w:w="218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4" w:type="dxa"/>
            <w:tcBorders/>
            <w:shd w:fill="CCEEFF" w:val="clear"/>
            <w:vAlign w:val="center"/>
          </w:tcPr>
          <w:p>
            <w:pPr>
              <w:pStyle w:val="TableContents"/>
              <w:bidi w:val="0"/>
              <w:spacing w:before="0" w:after="283"/>
              <w:jc w:val="left"/>
              <w:rPr/>
            </w:pPr>
            <w:r>
              <w:rPr/>
              <w:t> </w:t>
            </w:r>
          </w:p>
        </w:tc>
        <w:tc>
          <w:tcPr>
            <w:tcW w:w="273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3,214</w:t>
            </w:r>
          </w:p>
        </w:tc>
        <w:tc>
          <w:tcPr>
            <w:tcW w:w="112" w:type="dxa"/>
            <w:tcBorders/>
            <w:shd w:fill="CCEEFF" w:val="clear"/>
            <w:vAlign w:val="center"/>
          </w:tcPr>
          <w:p>
            <w:pPr>
              <w:pStyle w:val="TableContents"/>
              <w:bidi w:val="0"/>
              <w:spacing w:before="0" w:after="283"/>
              <w:jc w:val="left"/>
              <w:rPr/>
            </w:pPr>
            <w:r>
              <w:rPr/>
              <w:t> </w:t>
            </w:r>
            <w:bookmarkStart w:id="457" w:name="xdx_435_c20250401__20250630_eus-gaap--Fa"/>
            <w:bookmarkEnd w:id="457"/>
          </w:p>
        </w:tc>
      </w:tr>
      <w:tr>
        <w:trPr/>
        <w:tc>
          <w:tcPr>
            <w:tcW w:w="3728"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Fair value, beginning balance</w:t>
            </w:r>
          </w:p>
        </w:tc>
        <w:tc>
          <w:tcPr>
            <w:tcW w:w="60" w:type="dxa"/>
            <w:tcBorders/>
            <w:shd w:fill="CCEEFF" w:val="clear"/>
            <w:vAlign w:val="center"/>
          </w:tcPr>
          <w:p>
            <w:pPr>
              <w:pStyle w:val="TableContents"/>
              <w:bidi w:val="0"/>
              <w:spacing w:before="0" w:after="283"/>
              <w:jc w:val="left"/>
              <w:rPr/>
            </w:pPr>
            <w:r>
              <w:rPr/>
              <w:t> </w:t>
            </w:r>
          </w:p>
        </w:tc>
        <w:tc>
          <w:tcPr>
            <w:tcW w:w="546" w:type="dxa"/>
            <w:tcBorders/>
            <w:shd w:fill="CCEEFF" w:val="clear"/>
            <w:vAlign w:val="center"/>
          </w:tcPr>
          <w:p>
            <w:pPr>
              <w:pStyle w:val="TableContents"/>
              <w:bidi w:val="0"/>
              <w:spacing w:before="0" w:after="283"/>
              <w:jc w:val="left"/>
              <w:rPr/>
            </w:pPr>
            <w:r>
              <w:rPr/>
              <w:t> </w:t>
            </w:r>
          </w:p>
        </w:tc>
        <w:tc>
          <w:tcPr>
            <w:tcW w:w="218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4" w:type="dxa"/>
            <w:tcBorders/>
            <w:shd w:fill="CCEEFF" w:val="clear"/>
            <w:vAlign w:val="center"/>
          </w:tcPr>
          <w:p>
            <w:pPr>
              <w:pStyle w:val="TableContents"/>
              <w:bidi w:val="0"/>
              <w:spacing w:before="0" w:after="283"/>
              <w:jc w:val="left"/>
              <w:rPr/>
            </w:pPr>
            <w:r>
              <w:rPr/>
              <w:t> </w:t>
            </w:r>
          </w:p>
        </w:tc>
        <w:tc>
          <w:tcPr>
            <w:tcW w:w="273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3,214</w:t>
            </w:r>
          </w:p>
        </w:tc>
        <w:tc>
          <w:tcPr>
            <w:tcW w:w="112" w:type="dxa"/>
            <w:tcBorders/>
            <w:shd w:fill="CCEEFF" w:val="clear"/>
            <w:vAlign w:val="center"/>
          </w:tcPr>
          <w:p>
            <w:pPr>
              <w:pStyle w:val="TableContents"/>
              <w:bidi w:val="0"/>
              <w:spacing w:before="0" w:after="283"/>
              <w:jc w:val="left"/>
              <w:rPr/>
            </w:pPr>
            <w:r>
              <w:rPr/>
              <w:t> </w:t>
            </w:r>
            <w:bookmarkStart w:id="458" w:name="xdx_40A_eus-gaap--FairValueMeasurementWi"/>
            <w:bookmarkEnd w:id="458"/>
          </w:p>
        </w:tc>
      </w:tr>
      <w:tr>
        <w:trPr/>
        <w:tc>
          <w:tcPr>
            <w:tcW w:w="372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Warrants Issued</w:t>
            </w:r>
          </w:p>
        </w:tc>
        <w:tc>
          <w:tcPr>
            <w:tcW w:w="60" w:type="dxa"/>
            <w:tcBorders/>
            <w:shd w:fill="FFFFFF" w:val="clear"/>
            <w:vAlign w:val="center"/>
          </w:tcPr>
          <w:p>
            <w:pPr>
              <w:pStyle w:val="TableContents"/>
              <w:bidi w:val="0"/>
              <w:spacing w:before="0" w:after="283"/>
              <w:jc w:val="left"/>
              <w:rPr/>
            </w:pPr>
            <w:r>
              <w:rPr/>
              <w:t> </w:t>
            </w:r>
          </w:p>
        </w:tc>
        <w:tc>
          <w:tcPr>
            <w:tcW w:w="546" w:type="dxa"/>
            <w:tcBorders/>
            <w:shd w:fill="FFFFFF" w:val="clear"/>
            <w:vAlign w:val="center"/>
          </w:tcPr>
          <w:p>
            <w:pPr>
              <w:pStyle w:val="TableContents"/>
              <w:bidi w:val="0"/>
              <w:spacing w:before="0" w:after="283"/>
              <w:jc w:val="left"/>
              <w:rPr/>
            </w:pPr>
            <w:r>
              <w:rPr/>
              <w:t> </w:t>
            </w:r>
          </w:p>
        </w:tc>
        <w:tc>
          <w:tcPr>
            <w:tcW w:w="218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4" w:type="dxa"/>
            <w:tcBorders/>
            <w:shd w:fill="FFFFFF" w:val="clear"/>
            <w:vAlign w:val="center"/>
          </w:tcPr>
          <w:p>
            <w:pPr>
              <w:pStyle w:val="TableContents"/>
              <w:bidi w:val="0"/>
              <w:spacing w:before="0" w:after="283"/>
              <w:jc w:val="left"/>
              <w:rPr/>
            </w:pPr>
            <w:r>
              <w:rPr/>
              <w:t> </w:t>
            </w:r>
          </w:p>
        </w:tc>
        <w:tc>
          <w:tcPr>
            <w:tcW w:w="273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2" w:type="dxa"/>
            <w:tcBorders/>
            <w:shd w:fill="FFFFFF" w:val="clear"/>
            <w:vAlign w:val="center"/>
          </w:tcPr>
          <w:p>
            <w:pPr>
              <w:pStyle w:val="TableContents"/>
              <w:bidi w:val="0"/>
              <w:spacing w:before="0" w:after="283"/>
              <w:jc w:val="left"/>
              <w:rPr/>
            </w:pPr>
            <w:r>
              <w:rPr/>
              <w:t> </w:t>
            </w:r>
            <w:bookmarkStart w:id="459" w:name="xdx_409_eus-gaap--FairValueMeasurementWi"/>
            <w:bookmarkEnd w:id="459"/>
          </w:p>
        </w:tc>
      </w:tr>
      <w:tr>
        <w:trPr/>
        <w:tc>
          <w:tcPr>
            <w:tcW w:w="372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Change in fair value, gain included in net loss</w:t>
            </w:r>
            <w:bookmarkStart w:id="460" w:name="xdx_F47_zYUbTdmEHB16"/>
            <w:bookmarkEnd w:id="460"/>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54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18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(304</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8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73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2,277</w:t>
            </w:r>
          </w:p>
        </w:tc>
        <w:tc>
          <w:tcPr>
            <w:tcW w:w="112" w:type="dxa"/>
            <w:tcBorders/>
            <w:shd w:fill="CCEEFF" w:val="clear"/>
            <w:vAlign w:val="center"/>
          </w:tcPr>
          <w:p>
            <w:pPr>
              <w:pStyle w:val="TableContents"/>
              <w:bidi w:val="0"/>
              <w:spacing w:before="0" w:after="283"/>
              <w:jc w:val="left"/>
              <w:rPr/>
            </w:pPr>
            <w:r>
              <w:rPr/>
              <w:t> </w:t>
            </w:r>
            <w:bookmarkStart w:id="461" w:name="xdx_43B_c20250401__20250630_eus-gaap--Fa"/>
            <w:bookmarkEnd w:id="461"/>
          </w:p>
        </w:tc>
      </w:tr>
      <w:tr>
        <w:trPr/>
        <w:tc>
          <w:tcPr>
            <w:tcW w:w="3728"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Fair value as of June 30, 2024</w:t>
            </w:r>
          </w:p>
        </w:tc>
        <w:tc>
          <w:tcPr>
            <w:tcW w:w="60" w:type="dxa"/>
            <w:tcBorders/>
            <w:shd w:fill="FFFFFF" w:val="clear"/>
            <w:vAlign w:val="center"/>
          </w:tcPr>
          <w:p>
            <w:pPr>
              <w:pStyle w:val="TableContents"/>
              <w:bidi w:val="0"/>
              <w:spacing w:before="0" w:after="283"/>
              <w:jc w:val="left"/>
              <w:rPr/>
            </w:pPr>
            <w:r>
              <w:rPr/>
              <w:t> </w:t>
            </w:r>
          </w:p>
        </w:tc>
        <w:tc>
          <w:tcPr>
            <w:tcW w:w="54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18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73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5,491</w:t>
            </w:r>
          </w:p>
        </w:tc>
        <w:tc>
          <w:tcPr>
            <w:tcW w:w="112" w:type="dxa"/>
            <w:tcBorders/>
            <w:shd w:fill="FFFFFF" w:val="clear"/>
            <w:vAlign w:val="center"/>
          </w:tcPr>
          <w:p>
            <w:pPr>
              <w:pStyle w:val="TableContents"/>
              <w:bidi w:val="0"/>
              <w:spacing w:before="0" w:after="283"/>
              <w:jc w:val="left"/>
              <w:rPr/>
            </w:pPr>
            <w:r>
              <w:rPr/>
              <w:t> </w:t>
            </w:r>
            <w:bookmarkStart w:id="462" w:name="xdx_43E_c20250401__20250630_eus-gaap--Fa"/>
            <w:bookmarkEnd w:id="462"/>
          </w:p>
        </w:tc>
      </w:tr>
      <w:tr>
        <w:trPr/>
        <w:tc>
          <w:tcPr>
            <w:tcW w:w="3728"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Fair value, ending balance</w:t>
            </w:r>
          </w:p>
        </w:tc>
        <w:tc>
          <w:tcPr>
            <w:tcW w:w="60" w:type="dxa"/>
            <w:tcBorders/>
            <w:shd w:fill="FFFFFF" w:val="clear"/>
            <w:vAlign w:val="center"/>
          </w:tcPr>
          <w:p>
            <w:pPr>
              <w:pStyle w:val="TableContents"/>
              <w:bidi w:val="0"/>
              <w:spacing w:before="0" w:after="283"/>
              <w:jc w:val="left"/>
              <w:rPr/>
            </w:pPr>
            <w:r>
              <w:rPr/>
              <w:t> </w:t>
            </w:r>
          </w:p>
        </w:tc>
        <w:tc>
          <w:tcPr>
            <w:tcW w:w="54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18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73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5,491</w:t>
            </w:r>
          </w:p>
        </w:tc>
        <w:tc>
          <w:tcPr>
            <w:tcW w:w="112" w:type="dxa"/>
            <w:tcBorders/>
            <w:shd w:fill="FFFFFF" w:val="cle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tbl>
      <w:tblPr>
        <w:tblW w:w="9633" w:type="dxa"/>
        <w:jc w:val="left"/>
        <w:tblInd w:w="0" w:type="dxa"/>
        <w:tblLayout w:type="fixed"/>
        <w:tblCellMar>
          <w:top w:w="0" w:type="dxa"/>
          <w:left w:w="0" w:type="dxa"/>
          <w:bottom w:w="0" w:type="dxa"/>
          <w:right w:w="0" w:type="dxa"/>
        </w:tblCellMar>
      </w:tblPr>
      <w:tblGrid>
        <w:gridCol w:w="260"/>
        <w:gridCol w:w="23"/>
        <w:gridCol w:w="9350"/>
      </w:tblGrid>
      <w:tr>
        <w:trPr/>
        <w:tc>
          <w:tcPr>
            <w:tcW w:w="260" w:type="dxa"/>
            <w:tcBorders/>
            <w:vAlign w:val="center"/>
          </w:tcPr>
          <w:p>
            <w:pPr>
              <w:pStyle w:val="TableContents"/>
              <w:bidi w:val="0"/>
              <w:spacing w:before="0" w:after="283"/>
              <w:jc w:val="right"/>
              <w:rPr>
                <w:rFonts w:ascii="Times New Roman;Times;Serif" w:hAnsi="Times New Roman;Times;Serif"/>
                <w:sz w:val="20"/>
              </w:rPr>
            </w:pPr>
            <w:bookmarkStart w:id="463" w:name="xdx_F00_zjl0BpL6GAe4"/>
            <w:bookmarkEnd w:id="463"/>
            <w:r>
              <w:rPr>
                <w:rFonts w:ascii="Times New Roman;Times;Serif" w:hAnsi="Times New Roman;Times;Serif"/>
                <w:sz w:val="20"/>
              </w:rPr>
              <w:t>(1)</w:t>
            </w:r>
          </w:p>
        </w:tc>
        <w:tc>
          <w:tcPr>
            <w:tcW w:w="23" w:type="dxa"/>
            <w:tcBorders/>
            <w:vAlign w:val="center"/>
          </w:tcPr>
          <w:p>
            <w:pPr>
              <w:pStyle w:val="TableContents"/>
              <w:bidi w:val="0"/>
              <w:spacing w:before="0" w:after="283"/>
              <w:jc w:val="left"/>
              <w:rPr>
                <w:sz w:val="4"/>
                <w:szCs w:val="4"/>
              </w:rPr>
            </w:pPr>
            <w:r>
              <w:rPr>
                <w:sz w:val="4"/>
                <w:szCs w:val="4"/>
              </w:rPr>
            </w:r>
          </w:p>
        </w:tc>
        <w:tc>
          <w:tcPr>
            <w:tcW w:w="9350" w:type="dxa"/>
            <w:tcBorders/>
            <w:vAlign w:val="center"/>
          </w:tcPr>
          <w:p>
            <w:pPr>
              <w:pStyle w:val="TableContents"/>
              <w:bidi w:val="0"/>
              <w:spacing w:before="0" w:after="283"/>
              <w:jc w:val="both"/>
              <w:rPr>
                <w:rFonts w:ascii="Times New Roman;Times;Serif" w:hAnsi="Times New Roman;Times;Serif"/>
                <w:i/>
                <w:sz w:val="20"/>
              </w:rPr>
            </w:pPr>
            <w:bookmarkStart w:id="464" w:name="xdx_F19_zrPISDaPCXj5"/>
            <w:bookmarkEnd w:id="464"/>
            <w:r>
              <w:rPr>
                <w:rFonts w:ascii="Times New Roman;Times;Serif" w:hAnsi="Times New Roman;Times;Serif"/>
                <w:i/>
                <w:sz w:val="20"/>
              </w:rPr>
              <w:t>Changes in fair value of warrant liabilities are disclosed separately in the Consolidated Statements of Operations</w:t>
            </w:r>
          </w:p>
        </w:tc>
      </w:tr>
    </w:tbl>
    <w:p>
      <w:pPr>
        <w:pStyle w:val="TextBody"/>
        <w:bidi w:val="0"/>
        <w:spacing w:before="0" w:after="0"/>
        <w:jc w:val="both"/>
        <w:rPr>
          <w:caps/>
        </w:rPr>
      </w:pPr>
      <w:bookmarkStart w:id="465" w:name="xdx_8A1_z0DncJyboyO"/>
      <w:bookmarkEnd w:id="465"/>
      <w:r>
        <w:rPr>
          <w:caps/>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bidi w:val="0"/>
        <w:spacing w:before="0" w:after="0"/>
        <w:jc w:val="left"/>
        <w:rPr>
          <w:caps/>
        </w:rPr>
      </w:pPr>
      <w:r>
        <w:rPr>
          <w:caps/>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Notes to Consolidated Financial Statements</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sz w:val="20"/>
        </w:rPr>
      </w:pPr>
      <w:bookmarkStart w:id="466" w:name="xdx_803_eus-gaap--InventoryDisclosureTex"/>
      <w:bookmarkEnd w:id="466"/>
      <w:r>
        <w:rPr>
          <w:rFonts w:ascii="Times New Roman;Times;Serif" w:hAnsi="Times New Roman;Times;Serif"/>
          <w:b/>
          <w:i w:val="false"/>
          <w:caps/>
          <w:sz w:val="20"/>
        </w:rPr>
        <w:t xml:space="preserve">Note 4 - </w:t>
      </w:r>
      <w:bookmarkStart w:id="467" w:name="xdx_829_zXlZfMUx4TYh"/>
      <w:bookmarkEnd w:id="467"/>
      <w:r>
        <w:rPr>
          <w:rFonts w:ascii="Times New Roman;Times;Serif" w:hAnsi="Times New Roman;Times;Serif"/>
          <w:b/>
          <w:i w:val="false"/>
          <w:caps/>
          <w:sz w:val="20"/>
        </w:rPr>
        <w:t>Inventory</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bookmarkStart w:id="468" w:name="xdx_89F_eus-gaap--ScheduleOfInventoryCur"/>
      <w:bookmarkEnd w:id="468"/>
      <w:r>
        <w:rPr>
          <w:rFonts w:ascii="Times New Roman;Times;Serif" w:hAnsi="Times New Roman;Times;Serif"/>
          <w:b w:val="false"/>
          <w:i w:val="false"/>
          <w:caps w:val="false"/>
          <w:smallCaps w:val="false"/>
          <w:sz w:val="20"/>
        </w:rPr>
        <w:t>Inventory consists of the following:</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bookmarkStart w:id="469" w:name="xdx_8B5_zJTEeHkmmCdd"/>
      <w:bookmarkEnd w:id="469"/>
      <w:r>
        <w:rPr>
          <w:rFonts w:ascii="Times New Roman;Times;Serif" w:hAnsi="Times New Roman;Times;Serif"/>
          <w:b w:val="false"/>
          <w:i w:val="false"/>
          <w:caps w:val="false"/>
          <w:smallCaps w:val="false"/>
          <w:sz w:val="20"/>
        </w:rPr>
        <w:t>SCHEDULE OF INVENTORY   </w:t>
      </w:r>
    </w:p>
    <w:tbl>
      <w:tblPr>
        <w:tblW w:w="4993" w:type="dxa"/>
        <w:jc w:val="left"/>
        <w:tblInd w:w="0" w:type="dxa"/>
        <w:tblLayout w:type="fixed"/>
        <w:tblCellMar>
          <w:top w:w="0" w:type="dxa"/>
          <w:left w:w="0" w:type="dxa"/>
          <w:bottom w:w="0" w:type="dxa"/>
          <w:right w:w="0" w:type="dxa"/>
        </w:tblCellMar>
      </w:tblPr>
      <w:tblGrid>
        <w:gridCol w:w="1490"/>
        <w:gridCol w:w="60"/>
        <w:gridCol w:w="231"/>
        <w:gridCol w:w="1123"/>
        <w:gridCol w:w="60"/>
        <w:gridCol w:w="60"/>
        <w:gridCol w:w="321"/>
        <w:gridCol w:w="1573"/>
        <w:gridCol w:w="75"/>
      </w:tblGrid>
      <w:tr>
        <w:trPr/>
        <w:tc>
          <w:tcPr>
            <w:tcW w:w="14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70" w:name="xdx_499_20250630_z6qt7fZJrL67"/>
            <w:bookmarkEnd w:id="470"/>
          </w:p>
        </w:tc>
        <w:tc>
          <w:tcPr>
            <w:tcW w:w="13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June 30, 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71" w:name="xdx_493_20241231_zBdKerF0fqW5"/>
            <w:bookmarkEnd w:id="471"/>
          </w:p>
        </w:tc>
        <w:tc>
          <w:tcPr>
            <w:tcW w:w="189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December 31, 2024</w:t>
            </w:r>
          </w:p>
        </w:tc>
        <w:tc>
          <w:tcPr>
            <w:tcW w:w="75" w:type="dxa"/>
            <w:tcBorders/>
            <w:vAlign w:val="center"/>
          </w:tcPr>
          <w:p>
            <w:pPr>
              <w:pStyle w:val="TableContents"/>
              <w:bidi w:val="0"/>
              <w:spacing w:before="0" w:after="283"/>
              <w:jc w:val="left"/>
              <w:rPr/>
            </w:pPr>
            <w:r>
              <w:rPr/>
              <w:t> </w:t>
            </w:r>
            <w:bookmarkStart w:id="472" w:name="xdx_40C_eus-gaap--InventoryRawMaterials_"/>
            <w:bookmarkEnd w:id="472"/>
          </w:p>
        </w:tc>
      </w:tr>
      <w:tr>
        <w:trPr/>
        <w:tc>
          <w:tcPr>
            <w:tcW w:w="14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Raw material</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2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18,298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57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18,776</w:t>
            </w:r>
          </w:p>
        </w:tc>
        <w:tc>
          <w:tcPr>
            <w:tcW w:w="75" w:type="dxa"/>
            <w:tcBorders/>
            <w:shd w:fill="CCEEFF" w:val="clear"/>
            <w:vAlign w:val="center"/>
          </w:tcPr>
          <w:p>
            <w:pPr>
              <w:pStyle w:val="TableContents"/>
              <w:bidi w:val="0"/>
              <w:spacing w:before="0" w:after="283"/>
              <w:jc w:val="left"/>
              <w:rPr/>
            </w:pPr>
            <w:r>
              <w:rPr/>
              <w:t> </w:t>
            </w:r>
            <w:bookmarkStart w:id="473" w:name="xdx_40A_eus-gaap--InventoryFinishedGoods"/>
            <w:bookmarkEnd w:id="473"/>
          </w:p>
        </w:tc>
      </w:tr>
      <w:tr>
        <w:trPr/>
        <w:tc>
          <w:tcPr>
            <w:tcW w:w="14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Finished goods</w:t>
            </w:r>
          </w:p>
        </w:tc>
        <w:tc>
          <w:tcPr>
            <w:tcW w:w="60" w:type="dxa"/>
            <w:tcBorders/>
            <w:shd w:fill="FFFFFF" w:val="clear"/>
            <w:vAlign w:val="center"/>
          </w:tcPr>
          <w:p>
            <w:pPr>
              <w:pStyle w:val="TableContents"/>
              <w:bidi w:val="0"/>
              <w:spacing w:before="0" w:after="283"/>
              <w:jc w:val="left"/>
              <w:rPr/>
            </w:pPr>
            <w:r>
              <w:rPr/>
              <w:t> </w:t>
            </w:r>
          </w:p>
        </w:tc>
        <w:tc>
          <w:tcPr>
            <w:tcW w:w="23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7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2,940</w:t>
            </w:r>
          </w:p>
        </w:tc>
        <w:tc>
          <w:tcPr>
            <w:tcW w:w="75" w:type="dxa"/>
            <w:tcBorders/>
            <w:shd w:fill="FFFFFF" w:val="clear"/>
            <w:vAlign w:val="center"/>
          </w:tcPr>
          <w:p>
            <w:pPr>
              <w:pStyle w:val="TableContents"/>
              <w:bidi w:val="0"/>
              <w:spacing w:before="0" w:after="283"/>
              <w:jc w:val="left"/>
              <w:rPr/>
            </w:pPr>
            <w:r>
              <w:rPr/>
              <w:t> </w:t>
            </w:r>
            <w:bookmarkStart w:id="474" w:name="xdx_400_eus-gaap--InventoryNet_iTI_pn3n3"/>
            <w:bookmarkEnd w:id="474"/>
          </w:p>
        </w:tc>
      </w:tr>
      <w:tr>
        <w:trPr/>
        <w:tc>
          <w:tcPr>
            <w:tcW w:w="14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inventory</w:t>
            </w:r>
          </w:p>
        </w:tc>
        <w:tc>
          <w:tcPr>
            <w:tcW w:w="60" w:type="dxa"/>
            <w:tcBorders/>
            <w:shd w:fill="CCEEFF" w:val="clear"/>
            <w:vAlign w:val="center"/>
          </w:tcPr>
          <w:p>
            <w:pPr>
              <w:pStyle w:val="TableContents"/>
              <w:bidi w:val="0"/>
              <w:spacing w:before="0" w:after="283"/>
              <w:jc w:val="left"/>
              <w:rPr/>
            </w:pPr>
            <w:r>
              <w:rPr/>
              <w:t> </w:t>
            </w:r>
          </w:p>
        </w:tc>
        <w:tc>
          <w:tcPr>
            <w:tcW w:w="23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2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21,053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57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21,716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bookmarkStart w:id="475" w:name="xdx_8AB_zNC0k2rh9wJh"/>
      <w:bookmarkEnd w:id="475"/>
      <w:r>
        <w:rPr>
          <w:caps w:val="false"/>
          <w:smallCaps w:val="false"/>
        </w:rPr>
        <w:t> </w:t>
      </w:r>
    </w:p>
    <w:p>
      <w:pPr>
        <w:pStyle w:val="TextBody"/>
        <w:bidi w:val="0"/>
        <w:spacing w:before="0" w:after="0"/>
        <w:jc w:val="left"/>
        <w:rPr>
          <w:rFonts w:ascii="Times New Roman;Times;Serif" w:hAnsi="Times New Roman;Times;Serif"/>
          <w:b/>
          <w:i w:val="false"/>
          <w:caps/>
          <w:sz w:val="20"/>
        </w:rPr>
      </w:pPr>
      <w:bookmarkStart w:id="476" w:name="xdx_804_eus-gaap--CommitmentsAndContinge"/>
      <w:bookmarkEnd w:id="476"/>
      <w:r>
        <w:rPr>
          <w:rFonts w:ascii="Times New Roman;Times;Serif" w:hAnsi="Times New Roman;Times;Serif"/>
          <w:b/>
          <w:i w:val="false"/>
          <w:caps/>
          <w:sz w:val="20"/>
        </w:rPr>
        <w:t xml:space="preserve">Note 5 - </w:t>
      </w:r>
      <w:bookmarkStart w:id="477" w:name="xdx_820_zsBDUGVlbY5j"/>
      <w:bookmarkEnd w:id="477"/>
      <w:r>
        <w:rPr>
          <w:rFonts w:ascii="Times New Roman;Times;Serif" w:hAnsi="Times New Roman;Times;Serif"/>
          <w:b/>
          <w:i w:val="false"/>
          <w:caps/>
          <w:sz w:val="20"/>
        </w:rPr>
        <w:t>Commitments and Contingencies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Litigation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Company may be named in claims arising in the ordinary course of business. Currently, no legal proceedings, governmental actions, administrative actions, investigations or claims are pending against the Company or involve the Company that, in the opinion of the Company’s management, could reasonably be expected to have a material adverse effect on the Company’s business and financial condition.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Operating Leases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leases related to the main office, warehouse space, research and development lab, engineering office, and sales office, all located in Reno, Nevada. The leases require annual escalating monthly payments ranging from $</w:t>
      </w:r>
      <w:bookmarkStart w:id="478" w:name="xdx_904_eus-gaap--OperatingLeasePayments"/>
      <w:bookmarkEnd w:id="478"/>
      <w:r>
        <w:rPr>
          <w:rFonts w:ascii="Times New Roman;Times;Serif" w:hAnsi="Times New Roman;Times;Serif"/>
          <w:b w:val="false"/>
          <w:i w:val="false"/>
          <w:caps w:val="false"/>
          <w:smallCaps w:val="false"/>
          <w:sz w:val="20"/>
        </w:rPr>
        <w:t>111 to $</w:t>
      </w:r>
      <w:bookmarkStart w:id="479" w:name="xdx_902_eus-gaap--OperatingLeasePayments"/>
      <w:bookmarkEnd w:id="479"/>
      <w:r>
        <w:rPr>
          <w:rFonts w:ascii="Times New Roman;Times;Serif" w:hAnsi="Times New Roman;Times;Serif"/>
          <w:b w:val="false"/>
          <w:i w:val="false"/>
          <w:caps w:val="false"/>
          <w:smallCaps w:val="false"/>
          <w:sz w:val="20"/>
        </w:rPr>
        <w:t>309. On February 2, 2022, the Company entered into a 124-month lease agreement in Reno, Nevada. The lease calls for monthly base rent of $</w:t>
      </w:r>
      <w:bookmarkStart w:id="480" w:name="xdx_905_ecustom--LesseeOperatingLeaseMon"/>
      <w:bookmarkEnd w:id="480"/>
      <w:r>
        <w:rPr>
          <w:rFonts w:ascii="Times New Roman;Times;Serif" w:hAnsi="Times New Roman;Times;Serif"/>
          <w:b w:val="false"/>
          <w:i w:val="false"/>
          <w:caps w:val="false"/>
          <w:smallCaps w:val="false"/>
          <w:sz w:val="20"/>
        </w:rPr>
        <w:t>230, $</w:t>
      </w:r>
      <w:bookmarkStart w:id="481" w:name="xdx_904_eus-gaap--OperatingLeaseCost_pn3"/>
      <w:bookmarkEnd w:id="481"/>
      <w:r>
        <w:rPr>
          <w:rFonts w:ascii="Times New Roman;Times;Serif" w:hAnsi="Times New Roman;Times;Serif"/>
          <w:b w:val="false"/>
          <w:i w:val="false"/>
          <w:caps w:val="false"/>
          <w:smallCaps w:val="false"/>
          <w:sz w:val="20"/>
        </w:rPr>
        <w:t>23 of fixed operating expense costs, and estimated monthly property taxes of $</w:t>
      </w:r>
      <w:bookmarkStart w:id="482" w:name="xdx_903_ecustom--LesseeOperatingLeaseEst"/>
      <w:bookmarkEnd w:id="482"/>
      <w:r>
        <w:rPr>
          <w:rFonts w:ascii="Times New Roman;Times;Serif" w:hAnsi="Times New Roman;Times;Serif"/>
          <w:b w:val="false"/>
          <w:i w:val="false"/>
          <w:caps w:val="false"/>
          <w:smallCaps w:val="false"/>
          <w:sz w:val="20"/>
        </w:rPr>
        <w:t xml:space="preserve">21. The monthly base rent and fixed operating expense costs are subject to escalation of </w:t>
      </w:r>
      <w:bookmarkStart w:id="483" w:name="xdx_90D_ecustom--LesseeOperatingLeasePer"/>
      <w:bookmarkEnd w:id="483"/>
      <w:r>
        <w:rPr>
          <w:rFonts w:ascii="Times New Roman;Times;Serif" w:hAnsi="Times New Roman;Times;Serif"/>
          <w:b w:val="false"/>
          <w:i w:val="false"/>
          <w:caps w:val="false"/>
          <w:smallCaps w:val="false"/>
          <w:sz w:val="20"/>
        </w:rPr>
        <w:t xml:space="preserve">3% and </w:t>
      </w:r>
      <w:bookmarkStart w:id="484" w:name="xdx_90F_ecustom--LesseeOperatingLeasePer"/>
      <w:bookmarkEnd w:id="484"/>
      <w:r>
        <w:rPr>
          <w:rFonts w:ascii="Times New Roman;Times;Serif" w:hAnsi="Times New Roman;Times;Serif"/>
          <w:b w:val="false"/>
          <w:i w:val="false"/>
          <w:caps w:val="false"/>
          <w:smallCaps w:val="false"/>
          <w:sz w:val="20"/>
        </w:rPr>
        <w:t>2.4%, respectively, on an annual basis. A certificate of substantial completion has been issued and the lease commencement date was March 25, 2024. The Company began paying monthly rent under the lease on July 24, 2024.</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April 12, 2024 the Company entered into a lease agreement, pursuant to which the Company agreed to lease an approximately </w:t>
      </w:r>
      <w:bookmarkStart w:id="485" w:name="xdx_90B_eus-gaap--AreaOfLand_iI_usqft_c2"/>
      <w:bookmarkEnd w:id="485"/>
      <w:r>
        <w:rPr>
          <w:rFonts w:ascii="Times New Roman;Times;Serif" w:hAnsi="Times New Roman;Times;Serif"/>
          <w:b w:val="false"/>
          <w:i w:val="false"/>
          <w:caps w:val="false"/>
          <w:smallCaps w:val="false"/>
          <w:sz w:val="20"/>
        </w:rPr>
        <w:t>64,000 square foot facility (the “Premises”) located in Fernley, Nevada, to be used for general, warehousing, assembly/light manufacturing, painting of products, storage fulfillment, distribution of the Company’s products, and other uses as permitted under the Fernley Lease Agreement (the “Fernley Lease Agreement”). The effective date of the lease is April 1, 2024 (the “Lease Commencement Date”). However, the initial term of the Fernley Lease Agreement (the “Term”) is for a period of sixty (60) months, effective June 1, 2024 (the “Rent Commencement Date”). The base rent for the Premises, payable monthly, was $</w:t>
      </w:r>
      <w:bookmarkStart w:id="486" w:name="xdx_90B_eus-gaap--PaymentsForRent_pn3n3_"/>
      <w:bookmarkEnd w:id="486"/>
      <w:r>
        <w:rPr>
          <w:rFonts w:ascii="Times New Roman;Times;Serif" w:hAnsi="Times New Roman;Times;Serif"/>
          <w:b w:val="false"/>
          <w:i w:val="false"/>
          <w:caps w:val="false"/>
          <w:smallCaps w:val="false"/>
          <w:sz w:val="20"/>
        </w:rPr>
        <w:t>45 for the first ten months, starting June 1, 2024, and is subject to a three percent (</w:t>
      </w:r>
      <w:bookmarkStart w:id="487" w:name="xdx_909_ecustom--LeaseTermPercentage_pid"/>
      <w:bookmarkEnd w:id="487"/>
      <w:r>
        <w:rPr>
          <w:rFonts w:ascii="Times New Roman;Times;Serif" w:hAnsi="Times New Roman;Times;Serif"/>
          <w:b w:val="false"/>
          <w:i w:val="false"/>
          <w:caps w:val="false"/>
          <w:smallCaps w:val="false"/>
          <w:sz w:val="20"/>
        </w:rPr>
        <w:t>3.0%) increase on the anniversary of the Lease Commencement Date each year. The Company also will be responsible for twenty-five percent (</w:t>
      </w:r>
      <w:bookmarkStart w:id="488" w:name="xdx_904_ecustom--OperatingExpensesTaxesA"/>
      <w:bookmarkEnd w:id="488"/>
      <w:r>
        <w:rPr>
          <w:rFonts w:ascii="Times New Roman;Times;Serif" w:hAnsi="Times New Roman;Times;Serif"/>
          <w:b w:val="false"/>
          <w:i w:val="false"/>
          <w:caps w:val="false"/>
          <w:smallCaps w:val="false"/>
          <w:sz w:val="20"/>
        </w:rPr>
        <w:t>25%) of any operating expenses, taxes and insurance expenses incurred by the Landlord in connection with the building in which the Premises are located (the “Expenses”) as well as utility expenses. The Expenses are subject to recalculation and increase upon the completion of the Initial Improvements (as defined in the Fernley Lease Agreement). The Landlord is responsible for completing the Initial Improvements. The Fernley Lease Agreement also contains customary default provisions allowing the Landlord to terminate the Fernley Lease Agreement if the Company fails to cure certain breaches of its obligations under the Fernley Lease Agreement within a specified period of time upon written notice to the Company. Concurrent with the execution of the Fernley Lease Agreement, the Company paid the Landlord a security deposit of $</w:t>
      </w:r>
      <w:bookmarkStart w:id="489" w:name="xdx_90D_eus-gaap--SecurityDeposit_iI_pn3"/>
      <w:bookmarkEnd w:id="489"/>
      <w:r>
        <w:rPr>
          <w:rFonts w:ascii="Times New Roman;Times;Serif" w:hAnsi="Times New Roman;Times;Serif"/>
          <w:b w:val="false"/>
          <w:i w:val="false"/>
          <w:caps w:val="false"/>
          <w:smallCaps w:val="false"/>
          <w:sz w:val="20"/>
        </w:rPr>
        <w:t>50.</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8, 2025, the Company entered into a sixth lease amendment with its landlord to extend the lease term for an additional sixty-four (64) month period for the research and development lab and engineering office in Reno, Nevada. Under the terms of the amended lease, the base rent due shall be fully abated for the four (4) month period commencing on August 1, 2025, and ending on November 30, 2025. The lease is set to expire on November 30, 2030.</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Notes to Consolidated Financial Statements</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jc w:val="center"/>
        <w:rPr>
          <w:caps/>
        </w:rPr>
      </w:pPr>
      <w:r>
        <w:rPr>
          <w:caps/>
        </w:rPr>
        <w:t> </w:t>
      </w:r>
    </w:p>
    <w:p>
      <w:pPr>
        <w:pStyle w:val="TextBody"/>
        <w:bidi w:val="0"/>
        <w:spacing w:before="0" w:after="0"/>
        <w:jc w:val="left"/>
        <w:rPr>
          <w:rFonts w:ascii="Times New Roman;Times;Serif" w:hAnsi="Times New Roman;Times;Serif"/>
          <w:b/>
          <w:i w:val="false"/>
          <w:caps/>
          <w:sz w:val="20"/>
        </w:rPr>
      </w:pPr>
      <w:r>
        <w:rPr>
          <w:rFonts w:ascii="Times New Roman;Times;Serif" w:hAnsi="Times New Roman;Times;Serif"/>
          <w:b/>
          <w:i w:val="false"/>
          <w:caps/>
          <w:sz w:val="20"/>
        </w:rPr>
        <w:t>Note 5 - Commitments and Contingencies (continued)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bookmarkStart w:id="490" w:name="xdx_89C_ecustom--ScheduleOfBreakoutOfOpe"/>
      <w:bookmarkEnd w:id="490"/>
      <w:r>
        <w:rPr>
          <w:rFonts w:ascii="Times New Roman;Times;Serif" w:hAnsi="Times New Roman;Times;Serif"/>
          <w:b w:val="false"/>
          <w:i w:val="false"/>
          <w:caps w:val="false"/>
          <w:smallCaps w:val="false"/>
          <w:sz w:val="20"/>
        </w:rPr>
        <w:t>The following table presents the breakout of the operating leases as of:</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bookmarkStart w:id="491" w:name="xdx_8BB_zCU48Y1E9cql"/>
      <w:bookmarkEnd w:id="491"/>
      <w:r>
        <w:rPr>
          <w:rFonts w:ascii="Times New Roman;Times;Serif" w:hAnsi="Times New Roman;Times;Serif"/>
          <w:b w:val="false"/>
          <w:i w:val="false"/>
          <w:caps w:val="false"/>
          <w:smallCaps w:val="false"/>
          <w:sz w:val="20"/>
        </w:rPr>
        <w:t>SCHEDULE OF BREAKOUT OF OPERATING LEASES   </w:t>
      </w:r>
    </w:p>
    <w:tbl>
      <w:tblPr>
        <w:tblW w:w="7568" w:type="dxa"/>
        <w:jc w:val="left"/>
        <w:tblInd w:w="0" w:type="dxa"/>
        <w:tblLayout w:type="fixed"/>
        <w:tblCellMar>
          <w:top w:w="0" w:type="dxa"/>
          <w:left w:w="0" w:type="dxa"/>
          <w:bottom w:w="0" w:type="dxa"/>
          <w:right w:w="0" w:type="dxa"/>
        </w:tblCellMar>
      </w:tblPr>
      <w:tblGrid>
        <w:gridCol w:w="3755"/>
        <w:gridCol w:w="60"/>
        <w:gridCol w:w="192"/>
        <w:gridCol w:w="1162"/>
        <w:gridCol w:w="215"/>
        <w:gridCol w:w="60"/>
        <w:gridCol w:w="315"/>
        <w:gridCol w:w="1579"/>
        <w:gridCol w:w="230"/>
      </w:tblGrid>
      <w:tr>
        <w:trPr/>
        <w:tc>
          <w:tcPr>
            <w:tcW w:w="37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492" w:name="xdx_499_20250630_zs38AimYGFh"/>
            <w:bookmarkEnd w:id="492"/>
          </w:p>
        </w:tc>
        <w:tc>
          <w:tcPr>
            <w:tcW w:w="13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June 30, 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93" w:name="xdx_49C_20241231_zsXgC1kEZHf9"/>
            <w:bookmarkEnd w:id="493"/>
          </w:p>
        </w:tc>
        <w:tc>
          <w:tcPr>
            <w:tcW w:w="189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December 31, 2024</w:t>
            </w:r>
          </w:p>
        </w:tc>
        <w:tc>
          <w:tcPr>
            <w:tcW w:w="230" w:type="dxa"/>
            <w:tcBorders/>
            <w:vAlign w:val="center"/>
          </w:tcPr>
          <w:p>
            <w:pPr>
              <w:pStyle w:val="TableContents"/>
              <w:bidi w:val="0"/>
              <w:spacing w:before="0" w:after="283"/>
              <w:jc w:val="left"/>
              <w:rPr/>
            </w:pPr>
            <w:r>
              <w:rPr/>
              <w:t> </w:t>
            </w:r>
            <w:bookmarkStart w:id="494" w:name="xdx_40B_eus-gaap--OperatingLeaseRightOfU"/>
            <w:bookmarkEnd w:id="494"/>
          </w:p>
        </w:tc>
      </w:tr>
      <w:tr>
        <w:trPr/>
        <w:tc>
          <w:tcPr>
            <w:tcW w:w="37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right-of-use assets</w:t>
            </w:r>
          </w:p>
        </w:tc>
        <w:tc>
          <w:tcPr>
            <w:tcW w:w="60" w:type="dxa"/>
            <w:tcBorders/>
            <w:shd w:fill="CCEEFF" w:val="clear"/>
            <w:vAlign w:val="center"/>
          </w:tcPr>
          <w:p>
            <w:pPr>
              <w:pStyle w:val="TableContents"/>
              <w:bidi w:val="0"/>
              <w:spacing w:before="0" w:after="283"/>
              <w:jc w:val="left"/>
              <w:rPr/>
            </w:pPr>
            <w:r>
              <w:rPr/>
              <w:t> </w:t>
            </w:r>
          </w:p>
        </w:tc>
        <w:tc>
          <w:tcPr>
            <w:tcW w:w="192"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6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19,055</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57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19,737</w:t>
            </w:r>
          </w:p>
        </w:tc>
        <w:tc>
          <w:tcPr>
            <w:tcW w:w="230" w:type="dxa"/>
            <w:tcBorders/>
            <w:shd w:fill="CCEEFF" w:val="clear"/>
            <w:vAlign w:val="center"/>
          </w:tcPr>
          <w:p>
            <w:pPr>
              <w:pStyle w:val="TableContents"/>
              <w:bidi w:val="0"/>
              <w:spacing w:before="0" w:after="283"/>
              <w:jc w:val="left"/>
              <w:rPr/>
            </w:pPr>
            <w:r>
              <w:rPr/>
              <w:t> </w:t>
            </w:r>
            <w:bookmarkStart w:id="495" w:name="xdx_40B_eus-gaap--OperatingLeaseLiabilit"/>
            <w:bookmarkEnd w:id="495"/>
          </w:p>
        </w:tc>
      </w:tr>
      <w:tr>
        <w:trPr/>
        <w:tc>
          <w:tcPr>
            <w:tcW w:w="37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Short-term operating lease liabilities</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116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2,949</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pPr>
            <w:r>
              <w:rPr/>
              <w:t> </w:t>
            </w:r>
          </w:p>
        </w:tc>
        <w:tc>
          <w:tcPr>
            <w:tcW w:w="157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2,926</w:t>
            </w:r>
          </w:p>
        </w:tc>
        <w:tc>
          <w:tcPr>
            <w:tcW w:w="230" w:type="dxa"/>
            <w:tcBorders/>
            <w:shd w:fill="FFFFFF" w:val="clear"/>
            <w:vAlign w:val="center"/>
          </w:tcPr>
          <w:p>
            <w:pPr>
              <w:pStyle w:val="TableContents"/>
              <w:bidi w:val="0"/>
              <w:spacing w:before="0" w:after="283"/>
              <w:jc w:val="left"/>
              <w:rPr/>
            </w:pPr>
            <w:r>
              <w:rPr/>
              <w:t> </w:t>
            </w:r>
            <w:bookmarkStart w:id="496" w:name="xdx_400_eus-gaap--OperatingLeaseLiabilit"/>
            <w:bookmarkEnd w:id="496"/>
          </w:p>
        </w:tc>
      </w:tr>
      <w:tr>
        <w:trPr/>
        <w:tc>
          <w:tcPr>
            <w:tcW w:w="37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Long-term operating lease liabilities</w:t>
            </w:r>
          </w:p>
        </w:tc>
        <w:tc>
          <w:tcPr>
            <w:tcW w:w="60" w:type="dxa"/>
            <w:tcBorders/>
            <w:shd w:fill="CCEEFF" w:val="clear"/>
            <w:vAlign w:val="center"/>
          </w:tcPr>
          <w:p>
            <w:pPr>
              <w:pStyle w:val="TableContents"/>
              <w:bidi w:val="0"/>
              <w:spacing w:before="0" w:after="283"/>
              <w:jc w:val="left"/>
              <w:rPr/>
            </w:pPr>
            <w:r>
              <w:rPr/>
              <w:t> </w:t>
            </w:r>
          </w:p>
        </w:tc>
        <w:tc>
          <w:tcPr>
            <w:tcW w:w="19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21,771</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7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22,588</w:t>
            </w:r>
          </w:p>
        </w:tc>
        <w:tc>
          <w:tcPr>
            <w:tcW w:w="230" w:type="dxa"/>
            <w:tcBorders/>
            <w:shd w:fill="CCEEFF" w:val="clear"/>
            <w:vAlign w:val="center"/>
          </w:tcPr>
          <w:p>
            <w:pPr>
              <w:pStyle w:val="TableContents"/>
              <w:bidi w:val="0"/>
              <w:spacing w:before="0" w:after="283"/>
              <w:jc w:val="left"/>
              <w:rPr/>
            </w:pPr>
            <w:r>
              <w:rPr/>
              <w:t> </w:t>
            </w:r>
            <w:bookmarkStart w:id="497" w:name="xdx_402_eus-gaap--OperatingLeaseLiabilit"/>
            <w:bookmarkEnd w:id="497"/>
          </w:p>
        </w:tc>
      </w:tr>
      <w:tr>
        <w:trPr/>
        <w:tc>
          <w:tcPr>
            <w:tcW w:w="37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operating lease liabilities</w:t>
            </w:r>
          </w:p>
        </w:tc>
        <w:tc>
          <w:tcPr>
            <w:tcW w:w="60" w:type="dxa"/>
            <w:tcBorders/>
            <w:shd w:fill="FFFFFF" w:val="clear"/>
            <w:vAlign w:val="center"/>
          </w:tcPr>
          <w:p>
            <w:pPr>
              <w:pStyle w:val="TableContents"/>
              <w:bidi w:val="0"/>
              <w:spacing w:before="0" w:after="283"/>
              <w:jc w:val="left"/>
              <w:rPr/>
            </w:pPr>
            <w:r>
              <w:rPr/>
              <w:t> </w:t>
            </w:r>
          </w:p>
        </w:tc>
        <w:tc>
          <w:tcPr>
            <w:tcW w:w="19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6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24,720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57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25,514</w:t>
            </w:r>
          </w:p>
        </w:tc>
        <w:tc>
          <w:tcPr>
            <w:tcW w:w="230" w:type="dxa"/>
            <w:tcBorders/>
            <w:shd w:fill="FFFFFF" w:val="clear"/>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Weighted average remaining lease term</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162" w:type="dxa"/>
            <w:tcBorders/>
            <w:shd w:fill="CCEEFF" w:val="clear"/>
            <w:vAlign w:val="center"/>
          </w:tcPr>
          <w:p>
            <w:pPr>
              <w:pStyle w:val="TableContents"/>
              <w:bidi w:val="0"/>
              <w:spacing w:before="0" w:after="283"/>
              <w:jc w:val="right"/>
              <w:rPr>
                <w:rFonts w:ascii="Times New Roman;Times;Serif" w:hAnsi="Times New Roman;Times;Serif"/>
                <w:sz w:val="20"/>
              </w:rPr>
            </w:pPr>
            <w:bookmarkStart w:id="498" w:name="xdx_908_eus-gaap--OperatingLeaseWeighted"/>
            <w:bookmarkEnd w:id="498"/>
            <w:r>
              <w:rPr>
                <w:rFonts w:ascii="Times New Roman;Times;Serif" w:hAnsi="Times New Roman;Times;Serif"/>
                <w:sz w:val="20"/>
              </w:rPr>
              <w:t>8.09 years</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 </w:t>
            </w:r>
          </w:p>
        </w:tc>
        <w:tc>
          <w:tcPr>
            <w:tcW w:w="1579" w:type="dxa"/>
            <w:tcBorders/>
            <w:shd w:fill="CCEEFF" w:val="clear"/>
            <w:vAlign w:val="center"/>
          </w:tcPr>
          <w:p>
            <w:pPr>
              <w:pStyle w:val="TableContents"/>
              <w:bidi w:val="0"/>
              <w:spacing w:before="0" w:after="283"/>
              <w:jc w:val="right"/>
              <w:rPr>
                <w:rFonts w:ascii="Times New Roman;Times;Serif" w:hAnsi="Times New Roman;Times;Serif"/>
                <w:sz w:val="20"/>
              </w:rPr>
            </w:pPr>
            <w:bookmarkStart w:id="499" w:name="xdx_90E_eus-gaap--OperatingLeaseWeighted"/>
            <w:bookmarkEnd w:id="499"/>
            <w:r>
              <w:rPr>
                <w:rFonts w:ascii="Times New Roman;Times;Serif" w:hAnsi="Times New Roman;Times;Serif"/>
                <w:sz w:val="20"/>
              </w:rPr>
              <w:t>8.46 years</w:t>
            </w:r>
          </w:p>
        </w:tc>
        <w:tc>
          <w:tcPr>
            <w:tcW w:w="230" w:type="dxa"/>
            <w:tcBorders/>
            <w:shd w:fill="CCEEFF" w:val="clear"/>
            <w:vAlign w:val="center"/>
          </w:tcPr>
          <w:p>
            <w:pPr>
              <w:pStyle w:val="TableContents"/>
              <w:bidi w:val="0"/>
              <w:spacing w:before="0" w:after="283"/>
              <w:jc w:val="left"/>
              <w:rPr/>
            </w:pPr>
            <w:r>
              <w:rPr/>
              <w:t> </w:t>
            </w:r>
          </w:p>
        </w:tc>
      </w:tr>
      <w:tr>
        <w:trPr/>
        <w:tc>
          <w:tcPr>
            <w:tcW w:w="37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Weighted average discount rate</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1162" w:type="dxa"/>
            <w:tcBorders/>
            <w:shd w:fill="FFFFFF" w:val="clear"/>
            <w:vAlign w:val="center"/>
          </w:tcPr>
          <w:p>
            <w:pPr>
              <w:pStyle w:val="TableContents"/>
              <w:bidi w:val="0"/>
              <w:spacing w:before="0" w:after="283"/>
              <w:jc w:val="right"/>
              <w:rPr>
                <w:rFonts w:ascii="Times New Roman;Times;Serif" w:hAnsi="Times New Roman;Times;Serif"/>
              </w:rPr>
            </w:pPr>
            <w:bookmarkStart w:id="500" w:name="xdx_90C_eus-gaap--OperatingLeaseWeighted"/>
            <w:bookmarkEnd w:id="500"/>
            <w:r>
              <w:rPr>
                <w:rFonts w:ascii="Times New Roman;Times;Serif" w:hAnsi="Times New Roman;Times;Serif"/>
              </w:rPr>
              <w:t>7.91</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pPr>
            <w:r>
              <w:rPr/>
              <w:t> </w:t>
            </w:r>
          </w:p>
        </w:tc>
        <w:tc>
          <w:tcPr>
            <w:tcW w:w="1579" w:type="dxa"/>
            <w:tcBorders/>
            <w:shd w:fill="FFFFFF" w:val="clear"/>
            <w:vAlign w:val="center"/>
          </w:tcPr>
          <w:p>
            <w:pPr>
              <w:pStyle w:val="TableContents"/>
              <w:bidi w:val="0"/>
              <w:spacing w:before="0" w:after="283"/>
              <w:jc w:val="right"/>
              <w:rPr>
                <w:rFonts w:ascii="Times New Roman;Times;Serif" w:hAnsi="Times New Roman;Times;Serif"/>
              </w:rPr>
            </w:pPr>
            <w:bookmarkStart w:id="501" w:name="xdx_90C_eus-gaap--OperatingLeaseWeighted"/>
            <w:bookmarkEnd w:id="501"/>
            <w:r>
              <w:rPr>
                <w:rFonts w:ascii="Times New Roman;Times;Serif" w:hAnsi="Times New Roman;Times;Serif"/>
              </w:rPr>
              <w:t>7.86</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jc w:val="left"/>
        <w:rPr>
          <w:caps w:val="false"/>
          <w:smallCaps w:val="false"/>
        </w:rPr>
      </w:pPr>
      <w:bookmarkStart w:id="502" w:name="xdx_8AA_ztIdW1rm4Ll8"/>
      <w:bookmarkEnd w:id="502"/>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Assumptions used in determining the Company’s incremental borrowing rate include its implied credit rating and an estimate of secured borrowing rates based on comparable market data.</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bookmarkStart w:id="503" w:name="xdx_898_eus-gaap--LesseeOperatingLeaseLi"/>
      <w:bookmarkEnd w:id="503"/>
      <w:r>
        <w:rPr>
          <w:rFonts w:ascii="Times New Roman;Times;Serif" w:hAnsi="Times New Roman;Times;Serif"/>
          <w:b w:val="false"/>
          <w:i w:val="false"/>
          <w:caps w:val="false"/>
          <w:smallCaps w:val="false"/>
          <w:sz w:val="20"/>
        </w:rPr>
        <w:t>At June 30, 2025, the future minimum lease payments under these operating leases are as follows: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bookmarkStart w:id="504" w:name="xdx_8B9_zulmUGx9CJv9"/>
      <w:bookmarkEnd w:id="504"/>
      <w:r>
        <w:rPr>
          <w:rFonts w:ascii="Times New Roman;Times;Serif" w:hAnsi="Times New Roman;Times;Serif"/>
          <w:b w:val="false"/>
          <w:i w:val="false"/>
          <w:caps w:val="false"/>
          <w:smallCaps w:val="false"/>
          <w:sz w:val="20"/>
        </w:rPr>
        <w:t>SCHEDULE OF FUTURE MINIMUM LEASE PAYMENTS UNDER OPERATING LEASES   </w:t>
      </w:r>
    </w:p>
    <w:tbl>
      <w:tblPr>
        <w:tblW w:w="3855" w:type="dxa"/>
        <w:jc w:val="left"/>
        <w:tblInd w:w="0" w:type="dxa"/>
        <w:tblLayout w:type="fixed"/>
        <w:tblCellMar>
          <w:top w:w="0" w:type="dxa"/>
          <w:left w:w="0" w:type="dxa"/>
          <w:bottom w:w="0" w:type="dxa"/>
          <w:right w:w="0" w:type="dxa"/>
        </w:tblCellMar>
      </w:tblPr>
      <w:tblGrid>
        <w:gridCol w:w="2900"/>
        <w:gridCol w:w="60"/>
        <w:gridCol w:w="140"/>
        <w:gridCol w:w="680"/>
        <w:gridCol w:w="75"/>
      </w:tblGrid>
      <w:tr>
        <w:trPr/>
        <w:tc>
          <w:tcPr>
            <w:tcW w:w="29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Fiscal Years Ending</w:t>
            </w:r>
          </w:p>
        </w:tc>
        <w:tc>
          <w:tcPr>
            <w:tcW w:w="60" w:type="dxa"/>
            <w:tcBorders/>
            <w:vAlign w:val="center"/>
          </w:tcPr>
          <w:p>
            <w:pPr>
              <w:pStyle w:val="TableContents"/>
              <w:bidi w:val="0"/>
              <w:spacing w:before="0" w:after="283"/>
              <w:jc w:val="left"/>
              <w:rPr/>
            </w:pPr>
            <w:r>
              <w:rPr/>
              <w:t> </w:t>
            </w:r>
            <w:bookmarkStart w:id="505" w:name="xdx_49F_20250630_z7qvNAcU9tud"/>
            <w:bookmarkEnd w:id="505"/>
          </w:p>
        </w:tc>
        <w:tc>
          <w:tcPr>
            <w:tcW w:w="82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bookmarkStart w:id="506" w:name="xdx_400_eus-gaap--LesseeOperatingLeaseLi"/>
            <w:bookmarkEnd w:id="506"/>
          </w:p>
        </w:tc>
      </w:tr>
      <w:tr>
        <w:trPr/>
        <w:tc>
          <w:tcPr>
            <w:tcW w:w="29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December 31, 2025</w:t>
            </w:r>
            <w:bookmarkStart w:id="507" w:name="xdx_F46_zkUE2EDpAaD2"/>
            <w:bookmarkEnd w:id="507"/>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2,412</w:t>
            </w:r>
          </w:p>
        </w:tc>
        <w:tc>
          <w:tcPr>
            <w:tcW w:w="75" w:type="dxa"/>
            <w:tcBorders/>
            <w:shd w:fill="CCEEFF" w:val="clear"/>
            <w:vAlign w:val="center"/>
          </w:tcPr>
          <w:p>
            <w:pPr>
              <w:pStyle w:val="TableContents"/>
              <w:bidi w:val="0"/>
              <w:spacing w:before="0" w:after="283"/>
              <w:jc w:val="left"/>
              <w:rPr/>
            </w:pPr>
            <w:r>
              <w:rPr/>
              <w:t> </w:t>
            </w:r>
            <w:bookmarkStart w:id="508" w:name="xdx_402_eus-gaap--LesseeOperatingLeaseLi"/>
            <w:bookmarkEnd w:id="508"/>
          </w:p>
        </w:tc>
      </w:tr>
      <w:tr>
        <w:trPr/>
        <w:tc>
          <w:tcPr>
            <w:tcW w:w="29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December 31, 2026</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4,528</w:t>
            </w:r>
          </w:p>
        </w:tc>
        <w:tc>
          <w:tcPr>
            <w:tcW w:w="75" w:type="dxa"/>
            <w:tcBorders/>
            <w:shd w:fill="FFFFFF" w:val="clear"/>
            <w:vAlign w:val="center"/>
          </w:tcPr>
          <w:p>
            <w:pPr>
              <w:pStyle w:val="TableContents"/>
              <w:bidi w:val="0"/>
              <w:spacing w:before="0" w:after="283"/>
              <w:jc w:val="left"/>
              <w:rPr/>
            </w:pPr>
            <w:r>
              <w:rPr/>
              <w:t> </w:t>
            </w:r>
            <w:bookmarkStart w:id="509" w:name="xdx_405_eus-gaap--LesseeOperatingLeaseLi"/>
            <w:bookmarkEnd w:id="509"/>
          </w:p>
        </w:tc>
      </w:tr>
      <w:tr>
        <w:trPr/>
        <w:tc>
          <w:tcPr>
            <w:tcW w:w="29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December 31, 2027</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3,746</w:t>
            </w:r>
          </w:p>
        </w:tc>
        <w:tc>
          <w:tcPr>
            <w:tcW w:w="75" w:type="dxa"/>
            <w:tcBorders/>
            <w:shd w:fill="CCEEFF" w:val="clear"/>
            <w:vAlign w:val="center"/>
          </w:tcPr>
          <w:p>
            <w:pPr>
              <w:pStyle w:val="TableContents"/>
              <w:bidi w:val="0"/>
              <w:spacing w:before="0" w:after="283"/>
              <w:jc w:val="left"/>
              <w:rPr/>
            </w:pPr>
            <w:r>
              <w:rPr/>
              <w:t> </w:t>
            </w:r>
            <w:bookmarkStart w:id="510" w:name="xdx_407_eus-gaap--LesseeOperatingLeaseLi"/>
            <w:bookmarkEnd w:id="510"/>
          </w:p>
        </w:tc>
      </w:tr>
      <w:tr>
        <w:trPr/>
        <w:tc>
          <w:tcPr>
            <w:tcW w:w="29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December 31, 2028</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3,860</w:t>
            </w:r>
          </w:p>
        </w:tc>
        <w:tc>
          <w:tcPr>
            <w:tcW w:w="75" w:type="dxa"/>
            <w:tcBorders/>
            <w:shd w:fill="FFFFFF" w:val="clear"/>
            <w:vAlign w:val="center"/>
          </w:tcPr>
          <w:p>
            <w:pPr>
              <w:pStyle w:val="TableContents"/>
              <w:bidi w:val="0"/>
              <w:spacing w:before="0" w:after="283"/>
              <w:jc w:val="left"/>
              <w:rPr/>
            </w:pPr>
            <w:r>
              <w:rPr/>
              <w:t> </w:t>
            </w:r>
            <w:bookmarkStart w:id="511" w:name="xdx_40D_eus-gaap--LesseeOperatingLeaseLi"/>
            <w:bookmarkEnd w:id="511"/>
          </w:p>
        </w:tc>
      </w:tr>
      <w:tr>
        <w:trPr/>
        <w:tc>
          <w:tcPr>
            <w:tcW w:w="29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December 31, 2029</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3,614</w:t>
            </w:r>
          </w:p>
        </w:tc>
        <w:tc>
          <w:tcPr>
            <w:tcW w:w="75" w:type="dxa"/>
            <w:tcBorders/>
            <w:shd w:fill="CCEEFF" w:val="clear"/>
            <w:vAlign w:val="center"/>
          </w:tcPr>
          <w:p>
            <w:pPr>
              <w:pStyle w:val="TableContents"/>
              <w:bidi w:val="0"/>
              <w:spacing w:before="0" w:after="283"/>
              <w:jc w:val="left"/>
              <w:rPr/>
            </w:pPr>
            <w:r>
              <w:rPr/>
              <w:t> </w:t>
            </w:r>
            <w:bookmarkStart w:id="512" w:name="xdx_408_ecustom--LesseeOperatingLeaseLia"/>
            <w:bookmarkEnd w:id="512"/>
          </w:p>
        </w:tc>
      </w:tr>
      <w:tr>
        <w:trPr/>
        <w:tc>
          <w:tcPr>
            <w:tcW w:w="29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Thereafter</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16,046</w:t>
            </w:r>
          </w:p>
        </w:tc>
        <w:tc>
          <w:tcPr>
            <w:tcW w:w="75" w:type="dxa"/>
            <w:tcBorders/>
            <w:shd w:fill="FFFFFF" w:val="clear"/>
            <w:vAlign w:val="center"/>
          </w:tcPr>
          <w:p>
            <w:pPr>
              <w:pStyle w:val="TableContents"/>
              <w:bidi w:val="0"/>
              <w:spacing w:before="0" w:after="283"/>
              <w:jc w:val="left"/>
              <w:rPr/>
            </w:pPr>
            <w:r>
              <w:rPr/>
              <w:t> </w:t>
            </w:r>
            <w:bookmarkStart w:id="513" w:name="xdx_40F_eus-gaap--LesseeOperatingLeaseLi"/>
            <w:bookmarkEnd w:id="513"/>
          </w:p>
        </w:tc>
      </w:tr>
      <w:tr>
        <w:trPr/>
        <w:tc>
          <w:tcPr>
            <w:tcW w:w="29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lease payments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34,206</w:t>
            </w:r>
          </w:p>
        </w:tc>
        <w:tc>
          <w:tcPr>
            <w:tcW w:w="75" w:type="dxa"/>
            <w:tcBorders/>
            <w:shd w:fill="CCEEFF" w:val="clear"/>
            <w:vAlign w:val="center"/>
          </w:tcPr>
          <w:p>
            <w:pPr>
              <w:pStyle w:val="TableContents"/>
              <w:bidi w:val="0"/>
              <w:spacing w:before="0" w:after="283"/>
              <w:jc w:val="left"/>
              <w:rPr/>
            </w:pPr>
            <w:r>
              <w:rPr/>
              <w:t> </w:t>
            </w:r>
            <w:bookmarkStart w:id="514" w:name="xdx_400_eus-gaap--LesseeOperatingLeaseLi"/>
            <w:bookmarkEnd w:id="514"/>
          </w:p>
        </w:tc>
      </w:tr>
      <w:tr>
        <w:trPr/>
        <w:tc>
          <w:tcPr>
            <w:tcW w:w="29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imputed interest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9,486</w:t>
            </w:r>
          </w:p>
        </w:tc>
        <w:tc>
          <w:tcPr>
            <w:tcW w:w="75" w:type="dxa"/>
            <w:tcBorders/>
            <w:shd w:fill="FFFFFF" w:val="clear"/>
            <w:vAlign w:val="center"/>
          </w:tcPr>
          <w:p>
            <w:pPr>
              <w:pStyle w:val="TableContents"/>
              <w:bidi w:val="0"/>
              <w:spacing w:before="0" w:after="283"/>
              <w:jc w:val="left"/>
              <w:rPr/>
            </w:pPr>
            <w:r>
              <w:rPr/>
              <w:t> </w:t>
            </w:r>
            <w:bookmarkStart w:id="515" w:name="xdx_40A_eus-gaap--OperatingLeaseLiabilit"/>
            <w:bookmarkEnd w:id="515"/>
          </w:p>
        </w:tc>
      </w:tr>
      <w:tr>
        <w:trPr/>
        <w:tc>
          <w:tcPr>
            <w:tcW w:w="29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operating lease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24,720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tbl>
      <w:tblPr>
        <w:tblW w:w="8058" w:type="dxa"/>
        <w:jc w:val="left"/>
        <w:tblInd w:w="0" w:type="dxa"/>
        <w:tblLayout w:type="fixed"/>
        <w:tblCellMar>
          <w:top w:w="0" w:type="dxa"/>
          <w:left w:w="0" w:type="dxa"/>
          <w:bottom w:w="0" w:type="dxa"/>
          <w:right w:w="0" w:type="dxa"/>
        </w:tblCellMar>
      </w:tblPr>
      <w:tblGrid>
        <w:gridCol w:w="260"/>
        <w:gridCol w:w="23"/>
        <w:gridCol w:w="7775"/>
      </w:tblGrid>
      <w:tr>
        <w:trPr/>
        <w:tc>
          <w:tcPr>
            <w:tcW w:w="260" w:type="dxa"/>
            <w:tcBorders/>
            <w:vAlign w:val="center"/>
          </w:tcPr>
          <w:p>
            <w:pPr>
              <w:pStyle w:val="TableContents"/>
              <w:bidi w:val="0"/>
              <w:spacing w:before="0" w:after="283"/>
              <w:jc w:val="right"/>
              <w:rPr>
                <w:rFonts w:ascii="Times New Roman;Times;Serif" w:hAnsi="Times New Roman;Times;Serif"/>
                <w:sz w:val="20"/>
              </w:rPr>
            </w:pPr>
            <w:bookmarkStart w:id="516" w:name="xdx_F0A_zmqawWUbWnv7"/>
            <w:bookmarkEnd w:id="516"/>
            <w:r>
              <w:rPr>
                <w:rFonts w:ascii="Times New Roman;Times;Serif" w:hAnsi="Times New Roman;Times;Serif"/>
                <w:sz w:val="20"/>
              </w:rPr>
              <w:t>(1)</w:t>
            </w:r>
          </w:p>
        </w:tc>
        <w:tc>
          <w:tcPr>
            <w:tcW w:w="23" w:type="dxa"/>
            <w:tcBorders/>
            <w:vAlign w:val="center"/>
          </w:tcPr>
          <w:p>
            <w:pPr>
              <w:pStyle w:val="TableContents"/>
              <w:bidi w:val="0"/>
              <w:spacing w:before="0" w:after="283"/>
              <w:jc w:val="left"/>
              <w:rPr>
                <w:sz w:val="4"/>
                <w:szCs w:val="4"/>
              </w:rPr>
            </w:pPr>
            <w:r>
              <w:rPr>
                <w:sz w:val="4"/>
                <w:szCs w:val="4"/>
              </w:rPr>
            </w:r>
          </w:p>
        </w:tc>
        <w:tc>
          <w:tcPr>
            <w:tcW w:w="7775" w:type="dxa"/>
            <w:tcBorders/>
            <w:vAlign w:val="center"/>
          </w:tcPr>
          <w:p>
            <w:pPr>
              <w:pStyle w:val="TableContents"/>
              <w:bidi w:val="0"/>
              <w:spacing w:before="0" w:after="283"/>
              <w:jc w:val="both"/>
              <w:rPr>
                <w:rFonts w:ascii="Times New Roman;Times;Serif" w:hAnsi="Times New Roman;Times;Serif"/>
                <w:sz w:val="20"/>
              </w:rPr>
            </w:pPr>
            <w:bookmarkStart w:id="517" w:name="xdx_F14_zqzrLW98wOzh"/>
            <w:bookmarkEnd w:id="517"/>
            <w:r>
              <w:rPr>
                <w:rFonts w:ascii="Times New Roman;Times;Serif" w:hAnsi="Times New Roman;Times;Serif"/>
                <w:sz w:val="20"/>
              </w:rPr>
              <w:t>Represents scheduled payments for the remaining six-month period ending December 31, 2025.</w:t>
            </w:r>
          </w:p>
        </w:tc>
      </w:tr>
    </w:tbl>
    <w:p>
      <w:pPr>
        <w:pStyle w:val="TextBody"/>
        <w:bidi w:val="0"/>
        <w:spacing w:before="0" w:after="0"/>
        <w:jc w:val="left"/>
        <w:rPr>
          <w:caps w:val="false"/>
          <w:smallCaps w:val="false"/>
        </w:rPr>
      </w:pPr>
      <w:bookmarkStart w:id="518" w:name="xdx_8AB_zN89Qr1MLgYc"/>
      <w:bookmarkEnd w:id="518"/>
      <w:r>
        <w:rPr>
          <w:caps w:val="false"/>
          <w:smallCaps w:val="false"/>
        </w:rPr>
        <w:t> </w:t>
      </w:r>
    </w:p>
    <w:p>
      <w:pPr>
        <w:pStyle w:val="TextBody"/>
        <w:bidi w:val="0"/>
        <w:spacing w:before="0" w:after="0"/>
        <w:jc w:val="left"/>
        <w:rPr>
          <w:caps w:val="false"/>
          <w:smallCaps w:val="false"/>
        </w:rPr>
      </w:pPr>
      <w:bookmarkStart w:id="519" w:name="xdx_899_eus-gaap--LeaseCostTableTextBloc"/>
      <w:bookmarkEnd w:id="519"/>
      <w:r>
        <w:rPr>
          <w:caps w:val="false"/>
          <w:smallCaps w:val="false"/>
        </w:rPr>
        <w:t> </w:t>
      </w:r>
      <w:bookmarkStart w:id="520" w:name="xdx_8B8_zoxsOROFby2f"/>
      <w:bookmarkEnd w:id="520"/>
      <w:r>
        <w:rPr>
          <w:rFonts w:ascii="Times New Roman;Times;Serif" w:hAnsi="Times New Roman;Times;Serif"/>
          <w:b w:val="false"/>
          <w:i w:val="false"/>
          <w:caps w:val="false"/>
          <w:smallCaps w:val="false"/>
          <w:sz w:val="20"/>
        </w:rPr>
        <w:t>SCHEDULE OF LEASE COST</w:t>
      </w:r>
    </w:p>
    <w:tbl>
      <w:tblPr>
        <w:tblW w:w="8939" w:type="dxa"/>
        <w:jc w:val="left"/>
        <w:tblInd w:w="0" w:type="dxa"/>
        <w:tblLayout w:type="fixed"/>
        <w:tblCellMar>
          <w:top w:w="0" w:type="dxa"/>
          <w:left w:w="0" w:type="dxa"/>
          <w:bottom w:w="28" w:type="dxa"/>
          <w:right w:w="0" w:type="dxa"/>
        </w:tblCellMar>
      </w:tblPr>
      <w:tblGrid>
        <w:gridCol w:w="1940"/>
        <w:gridCol w:w="60"/>
        <w:gridCol w:w="2570"/>
        <w:gridCol w:w="60"/>
        <w:gridCol w:w="200"/>
        <w:gridCol w:w="803"/>
        <w:gridCol w:w="86"/>
        <w:gridCol w:w="86"/>
        <w:gridCol w:w="200"/>
        <w:gridCol w:w="803"/>
        <w:gridCol w:w="60"/>
        <w:gridCol w:w="60"/>
        <w:gridCol w:w="178"/>
        <w:gridCol w:w="714"/>
        <w:gridCol w:w="76"/>
        <w:gridCol w:w="76"/>
        <w:gridCol w:w="178"/>
        <w:gridCol w:w="714"/>
        <w:gridCol w:w="75"/>
      </w:tblGrid>
      <w:tr>
        <w:trPr/>
        <w:tc>
          <w:tcPr>
            <w:tcW w:w="1940"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Lease cost</w:t>
            </w:r>
          </w:p>
        </w:tc>
        <w:tc>
          <w:tcPr>
            <w:tcW w:w="60" w:type="dxa"/>
            <w:tcBorders/>
            <w:tcMar>
              <w:bottom w:w="0" w:type="dxa"/>
            </w:tcMar>
            <w:vAlign w:val="center"/>
          </w:tcPr>
          <w:p>
            <w:pPr>
              <w:pStyle w:val="TableContents"/>
              <w:bidi w:val="0"/>
              <w:spacing w:before="0" w:after="283"/>
              <w:jc w:val="left"/>
              <w:rPr/>
            </w:pPr>
            <w:r>
              <w:rPr/>
              <w:t> </w:t>
            </w:r>
          </w:p>
        </w:tc>
        <w:tc>
          <w:tcPr>
            <w:tcW w:w="2570"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Classification</w:t>
            </w:r>
          </w:p>
        </w:tc>
        <w:tc>
          <w:tcPr>
            <w:tcW w:w="60" w:type="dxa"/>
            <w:tcBorders/>
            <w:tcMar>
              <w:bottom w:w="0" w:type="dxa"/>
            </w:tcMar>
            <w:vAlign w:val="center"/>
          </w:tcPr>
          <w:p>
            <w:pPr>
              <w:pStyle w:val="TableContents"/>
              <w:bidi w:val="0"/>
              <w:spacing w:before="0" w:after="283"/>
              <w:jc w:val="left"/>
              <w:rPr/>
            </w:pPr>
            <w:r>
              <w:rPr/>
              <w:t> </w:t>
            </w:r>
          </w:p>
        </w:tc>
        <w:tc>
          <w:tcPr>
            <w:tcW w:w="1003"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2025</w:t>
            </w:r>
          </w:p>
        </w:tc>
        <w:tc>
          <w:tcPr>
            <w:tcW w:w="86" w:type="dxa"/>
            <w:tcBorders/>
            <w:tcMar>
              <w:bottom w:w="0" w:type="dxa"/>
            </w:tcMar>
            <w:vAlign w:val="center"/>
          </w:tcPr>
          <w:p>
            <w:pPr>
              <w:pStyle w:val="TableContents"/>
              <w:bidi w:val="0"/>
              <w:spacing w:before="0" w:after="283"/>
              <w:jc w:val="left"/>
              <w:rPr/>
            </w:pPr>
            <w:r>
              <w:rPr/>
              <w:t> </w:t>
            </w:r>
          </w:p>
        </w:tc>
        <w:tc>
          <w:tcPr>
            <w:tcW w:w="86" w:type="dxa"/>
            <w:tcBorders/>
            <w:tcMar>
              <w:bottom w:w="0" w:type="dxa"/>
            </w:tcMar>
            <w:vAlign w:val="center"/>
          </w:tcPr>
          <w:p>
            <w:pPr>
              <w:pStyle w:val="TableContents"/>
              <w:bidi w:val="0"/>
              <w:spacing w:before="0" w:after="283"/>
              <w:jc w:val="left"/>
              <w:rPr/>
            </w:pPr>
            <w:r>
              <w:rPr/>
              <w:t> </w:t>
            </w:r>
          </w:p>
        </w:tc>
        <w:tc>
          <w:tcPr>
            <w:tcW w:w="1003"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2024</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92"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2025</w:t>
            </w:r>
          </w:p>
        </w:tc>
        <w:tc>
          <w:tcPr>
            <w:tcW w:w="76" w:type="dxa"/>
            <w:tcBorders/>
            <w:tcMar>
              <w:bottom w:w="0" w:type="dxa"/>
            </w:tcMar>
            <w:vAlign w:val="center"/>
          </w:tcPr>
          <w:p>
            <w:pPr>
              <w:pStyle w:val="TableContents"/>
              <w:bidi w:val="0"/>
              <w:spacing w:before="0" w:after="283"/>
              <w:jc w:val="left"/>
              <w:rPr/>
            </w:pPr>
            <w:r>
              <w:rPr/>
              <w:t> </w:t>
            </w:r>
          </w:p>
        </w:tc>
        <w:tc>
          <w:tcPr>
            <w:tcW w:w="76" w:type="dxa"/>
            <w:tcBorders/>
            <w:tcMar>
              <w:bottom w:w="0" w:type="dxa"/>
            </w:tcMar>
            <w:vAlign w:val="center"/>
          </w:tcPr>
          <w:p>
            <w:pPr>
              <w:pStyle w:val="TableContents"/>
              <w:bidi w:val="0"/>
              <w:spacing w:before="0" w:after="283"/>
              <w:jc w:val="left"/>
              <w:rPr/>
            </w:pPr>
            <w:r>
              <w:rPr/>
              <w:t> </w:t>
            </w:r>
          </w:p>
        </w:tc>
        <w:tc>
          <w:tcPr>
            <w:tcW w:w="892"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2024</w:t>
            </w:r>
          </w:p>
        </w:tc>
        <w:tc>
          <w:tcPr>
            <w:tcW w:w="75" w:type="dxa"/>
            <w:tcBorders/>
            <w:tcMar>
              <w:bottom w:w="0" w:type="dxa"/>
            </w:tcMar>
            <w:vAlign w:val="center"/>
          </w:tcPr>
          <w:p>
            <w:pPr>
              <w:pStyle w:val="TableContents"/>
              <w:bidi w:val="0"/>
              <w:spacing w:before="0" w:after="283"/>
              <w:jc w:val="left"/>
              <w:rPr/>
            </w:pPr>
            <w:r>
              <w:rPr/>
              <w:t> </w:t>
            </w:r>
          </w:p>
        </w:tc>
      </w:tr>
      <w:tr>
        <w:trPr/>
        <w:tc>
          <w:tcPr>
            <w:tcW w:w="19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57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178" w:type="dxa"/>
            <w:gridSpan w:val="6"/>
            <w:tcBorders>
              <w:bottom w:val="single" w:sz="8" w:space="0" w:color="000000"/>
            </w:tcBorders>
            <w:vAlign w:val="center"/>
          </w:tcPr>
          <w:p>
            <w:pPr>
              <w:pStyle w:val="TableContents"/>
              <w:bidi w:val="0"/>
              <w:jc w:val="center"/>
              <w:rPr>
                <w:rFonts w:ascii="Times New Roman;Times;Serif" w:hAnsi="Times New Roman;Times;Serif"/>
              </w:rPr>
            </w:pPr>
            <w:r>
              <w:rPr>
                <w:rFonts w:ascii="Times New Roman;Times;Serif" w:hAnsi="Times New Roman;Times;Serif"/>
              </w:rPr>
              <w:t>For The Three Months</w:t>
            </w:r>
          </w:p>
          <w:p>
            <w:pPr>
              <w:pStyle w:val="TableContents"/>
              <w:bidi w:val="0"/>
              <w:spacing w:before="0" w:after="283"/>
              <w:jc w:val="center"/>
              <w:rPr>
                <w:rFonts w:ascii="Times New Roman;Times;Serif" w:hAnsi="Times New Roman;Times;Serif"/>
              </w:rPr>
            </w:pPr>
            <w:r>
              <w:rPr>
                <w:rFonts w:ascii="Times New Roman;Times;Serif" w:hAnsi="Times New Roman;Times;Serif"/>
              </w:rPr>
              <w:t>Ended June 30,</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936" w:type="dxa"/>
            <w:gridSpan w:val="6"/>
            <w:tcBorders>
              <w:bottom w:val="single" w:sz="8" w:space="0" w:color="000000"/>
            </w:tcBorders>
            <w:vAlign w:val="center"/>
          </w:tcPr>
          <w:p>
            <w:pPr>
              <w:pStyle w:val="TableContents"/>
              <w:bidi w:val="0"/>
              <w:jc w:val="center"/>
              <w:rPr>
                <w:rFonts w:ascii="Times New Roman;Times;Serif" w:hAnsi="Times New Roman;Times;Serif"/>
              </w:rPr>
            </w:pPr>
            <w:r>
              <w:rPr>
                <w:rFonts w:ascii="Times New Roman;Times;Serif" w:hAnsi="Times New Roman;Times;Serif"/>
              </w:rPr>
              <w:t>For The Six Months</w:t>
            </w:r>
          </w:p>
          <w:p>
            <w:pPr>
              <w:pStyle w:val="TableContents"/>
              <w:bidi w:val="0"/>
              <w:spacing w:before="0" w:after="283"/>
              <w:jc w:val="center"/>
              <w:rPr>
                <w:rFonts w:ascii="Times New Roman;Times;Serif" w:hAnsi="Times New Roman;Times;Serif"/>
              </w:rPr>
            </w:pPr>
            <w:r>
              <w:rPr>
                <w:rFonts w:ascii="Times New Roman;Times;Serif" w:hAnsi="Times New Roman;Times;Serif"/>
              </w:rPr>
              <w:t>Ended June 30,</w:t>
            </w:r>
          </w:p>
        </w:tc>
        <w:tc>
          <w:tcPr>
            <w:tcW w:w="75" w:type="dxa"/>
            <w:tcBorders/>
            <w:tcMar>
              <w:bottom w:w="0" w:type="dxa"/>
            </w:tcMar>
            <w:vAlign w:val="center"/>
          </w:tcPr>
          <w:p>
            <w:pPr>
              <w:pStyle w:val="TableContents"/>
              <w:bidi w:val="0"/>
              <w:spacing w:before="0" w:after="283"/>
              <w:jc w:val="left"/>
              <w:rPr/>
            </w:pPr>
            <w:r>
              <w:rPr/>
              <w:t> </w:t>
            </w:r>
          </w:p>
        </w:tc>
      </w:tr>
      <w:tr>
        <w:trPr/>
        <w:tc>
          <w:tcPr>
            <w:tcW w:w="1940" w:type="dxa"/>
            <w:tcBorders>
              <w:bottom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Lease cost</w:t>
            </w:r>
          </w:p>
        </w:tc>
        <w:tc>
          <w:tcPr>
            <w:tcW w:w="60" w:type="dxa"/>
            <w:tcBorders/>
            <w:tcMar>
              <w:bottom w:w="0" w:type="dxa"/>
            </w:tcMar>
            <w:vAlign w:val="center"/>
          </w:tcPr>
          <w:p>
            <w:pPr>
              <w:pStyle w:val="TableContents"/>
              <w:bidi w:val="0"/>
              <w:spacing w:before="0" w:after="283"/>
              <w:jc w:val="left"/>
              <w:rPr/>
            </w:pPr>
            <w:r>
              <w:rPr/>
              <w:t> </w:t>
            </w:r>
          </w:p>
        </w:tc>
        <w:tc>
          <w:tcPr>
            <w:tcW w:w="2570" w:type="dxa"/>
            <w:tcBorders>
              <w:bottom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Classification</w:t>
            </w:r>
          </w:p>
        </w:tc>
        <w:tc>
          <w:tcPr>
            <w:tcW w:w="60" w:type="dxa"/>
            <w:tcBorders/>
            <w:tcMar>
              <w:bottom w:w="0" w:type="dxa"/>
            </w:tcMar>
            <w:vAlign w:val="center"/>
          </w:tcPr>
          <w:p>
            <w:pPr>
              <w:pStyle w:val="TableContents"/>
              <w:bidi w:val="0"/>
              <w:spacing w:before="0" w:after="283"/>
              <w:jc w:val="left"/>
              <w:rPr/>
            </w:pPr>
            <w:r>
              <w:rPr/>
              <w:t> </w:t>
            </w:r>
          </w:p>
        </w:tc>
        <w:tc>
          <w:tcPr>
            <w:tcW w:w="1003"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2025</w:t>
            </w:r>
          </w:p>
        </w:tc>
        <w:tc>
          <w:tcPr>
            <w:tcW w:w="86" w:type="dxa"/>
            <w:tcBorders/>
            <w:tcMar>
              <w:bottom w:w="0" w:type="dxa"/>
            </w:tcMar>
            <w:vAlign w:val="center"/>
          </w:tcPr>
          <w:p>
            <w:pPr>
              <w:pStyle w:val="TableContents"/>
              <w:bidi w:val="0"/>
              <w:spacing w:before="0" w:after="283"/>
              <w:jc w:val="left"/>
              <w:rPr/>
            </w:pPr>
            <w:r>
              <w:rPr/>
              <w:t> </w:t>
            </w:r>
          </w:p>
        </w:tc>
        <w:tc>
          <w:tcPr>
            <w:tcW w:w="86" w:type="dxa"/>
            <w:tcBorders/>
            <w:tcMar>
              <w:bottom w:w="0" w:type="dxa"/>
            </w:tcMar>
            <w:vAlign w:val="center"/>
          </w:tcPr>
          <w:p>
            <w:pPr>
              <w:pStyle w:val="TableContents"/>
              <w:bidi w:val="0"/>
              <w:spacing w:before="0" w:after="283"/>
              <w:jc w:val="left"/>
              <w:rPr/>
            </w:pPr>
            <w:r>
              <w:rPr/>
              <w:t> </w:t>
            </w:r>
          </w:p>
        </w:tc>
        <w:tc>
          <w:tcPr>
            <w:tcW w:w="1003"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2024</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92"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2025</w:t>
            </w:r>
          </w:p>
        </w:tc>
        <w:tc>
          <w:tcPr>
            <w:tcW w:w="76" w:type="dxa"/>
            <w:tcBorders/>
            <w:tcMar>
              <w:bottom w:w="0" w:type="dxa"/>
            </w:tcMar>
            <w:vAlign w:val="center"/>
          </w:tcPr>
          <w:p>
            <w:pPr>
              <w:pStyle w:val="TableContents"/>
              <w:bidi w:val="0"/>
              <w:spacing w:before="0" w:after="283"/>
              <w:jc w:val="left"/>
              <w:rPr/>
            </w:pPr>
            <w:r>
              <w:rPr/>
              <w:t> </w:t>
            </w:r>
          </w:p>
        </w:tc>
        <w:tc>
          <w:tcPr>
            <w:tcW w:w="76" w:type="dxa"/>
            <w:tcBorders/>
            <w:tcMar>
              <w:bottom w:w="0" w:type="dxa"/>
            </w:tcMar>
            <w:vAlign w:val="center"/>
          </w:tcPr>
          <w:p>
            <w:pPr>
              <w:pStyle w:val="TableContents"/>
              <w:bidi w:val="0"/>
              <w:spacing w:before="0" w:after="283"/>
              <w:jc w:val="left"/>
              <w:rPr/>
            </w:pPr>
            <w:r>
              <w:rPr/>
              <w:t> </w:t>
            </w:r>
          </w:p>
        </w:tc>
        <w:tc>
          <w:tcPr>
            <w:tcW w:w="892"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2024</w:t>
            </w:r>
          </w:p>
        </w:tc>
        <w:tc>
          <w:tcPr>
            <w:tcW w:w="75" w:type="dxa"/>
            <w:tcBorders/>
            <w:tcMar>
              <w:bottom w:w="0" w:type="dxa"/>
            </w:tcMar>
            <w:vAlign w:val="center"/>
          </w:tcPr>
          <w:p>
            <w:pPr>
              <w:pStyle w:val="TableContents"/>
              <w:bidi w:val="0"/>
              <w:spacing w:before="0" w:after="283"/>
              <w:jc w:val="left"/>
              <w:rPr/>
            </w:pPr>
            <w:r>
              <w:rPr/>
              <w:t> </w:t>
            </w:r>
          </w:p>
        </w:tc>
      </w:tr>
      <w:tr>
        <w:trPr/>
        <w:tc>
          <w:tcPr>
            <w:tcW w:w="19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cost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7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Cost of goods sold</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521" w:name="xdx_988_eus-gaap--OperatingLeaseCost_pn3"/>
            <w:bookmarkEnd w:id="521"/>
          </w:p>
        </w:tc>
        <w:tc>
          <w:tcPr>
            <w:tcW w:w="803"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610</w:t>
            </w:r>
          </w:p>
        </w:tc>
        <w:tc>
          <w:tcPr>
            <w:tcW w:w="86"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522" w:name="xdx_98D_eus-gaap--OperatingLeaseCost_pn3"/>
            <w:bookmarkEnd w:id="522"/>
          </w:p>
        </w:tc>
        <w:tc>
          <w:tcPr>
            <w:tcW w:w="803"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8"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523" w:name="xdx_984_eus-gaap--OperatingLeaseCost_pn3"/>
            <w:bookmarkEnd w:id="523"/>
          </w:p>
        </w:tc>
        <w:tc>
          <w:tcPr>
            <w:tcW w:w="71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1,237</w:t>
            </w:r>
          </w:p>
        </w:tc>
        <w:tc>
          <w:tcPr>
            <w:tcW w:w="76" w:type="dxa"/>
            <w:tcBorders/>
            <w:shd w:fill="CCEEFF" w:val="clear"/>
            <w:tcMar>
              <w:bottom w:w="0" w:type="dxa"/>
            </w:tcMar>
            <w:vAlign w:val="center"/>
          </w:tcPr>
          <w:p>
            <w:pPr>
              <w:pStyle w:val="TableContents"/>
              <w:bidi w:val="0"/>
              <w:spacing w:before="0" w:after="283"/>
              <w:jc w:val="left"/>
              <w:rPr/>
            </w:pPr>
            <w:r>
              <w:rPr/>
              <w:t> </w:t>
            </w:r>
          </w:p>
        </w:tc>
        <w:tc>
          <w:tcPr>
            <w:tcW w:w="76" w:type="dxa"/>
            <w:tcBorders/>
            <w:shd w:fill="CCEEFF" w:val="clear"/>
            <w:tcMar>
              <w:bottom w:w="0" w:type="dxa"/>
            </w:tcMar>
            <w:vAlign w:val="center"/>
          </w:tcPr>
          <w:p>
            <w:pPr>
              <w:pStyle w:val="TableContents"/>
              <w:bidi w:val="0"/>
              <w:spacing w:before="0" w:after="283"/>
              <w:jc w:val="left"/>
              <w:rPr/>
            </w:pPr>
            <w:r>
              <w:rPr/>
              <w:t> </w:t>
            </w:r>
          </w:p>
        </w:tc>
        <w:tc>
          <w:tcPr>
            <w:tcW w:w="178"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524" w:name="xdx_986_eus-gaap--OperatingLeaseCost_pn3"/>
            <w:bookmarkEnd w:id="524"/>
          </w:p>
        </w:tc>
        <w:tc>
          <w:tcPr>
            <w:tcW w:w="71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691</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94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cost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7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Research and development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0" w:type="dxa"/>
            <w:tcBorders/>
            <w:shd w:fill="FFFFFF" w:val="clear"/>
            <w:tcMar>
              <w:bottom w:w="0" w:type="dxa"/>
            </w:tcMar>
            <w:vAlign w:val="center"/>
          </w:tcPr>
          <w:p>
            <w:pPr>
              <w:pStyle w:val="TableContents"/>
              <w:bidi w:val="0"/>
              <w:spacing w:before="0" w:after="283"/>
              <w:jc w:val="left"/>
              <w:rPr/>
            </w:pPr>
            <w:r>
              <w:rPr/>
              <w:t> </w:t>
            </w:r>
            <w:bookmarkStart w:id="525" w:name="xdx_98A_eus-gaap--OperatingLeaseCost_pn3"/>
            <w:bookmarkEnd w:id="525"/>
          </w:p>
        </w:tc>
        <w:tc>
          <w:tcPr>
            <w:tcW w:w="803"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w:t>
            </w:r>
          </w:p>
        </w:tc>
        <w:tc>
          <w:tcPr>
            <w:tcW w:w="86"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jc w:val="left"/>
              <w:rPr/>
            </w:pPr>
            <w:r>
              <w:rPr/>
              <w:t> </w:t>
            </w:r>
          </w:p>
        </w:tc>
        <w:tc>
          <w:tcPr>
            <w:tcW w:w="200" w:type="dxa"/>
            <w:tcBorders/>
            <w:shd w:fill="FFFFFF" w:val="clear"/>
            <w:tcMar>
              <w:bottom w:w="0" w:type="dxa"/>
            </w:tcMar>
            <w:vAlign w:val="center"/>
          </w:tcPr>
          <w:p>
            <w:pPr>
              <w:pStyle w:val="TableContents"/>
              <w:bidi w:val="0"/>
              <w:spacing w:before="0" w:after="283"/>
              <w:jc w:val="left"/>
              <w:rPr/>
            </w:pPr>
            <w:r>
              <w:rPr/>
              <w:t> </w:t>
            </w:r>
            <w:bookmarkStart w:id="526" w:name="xdx_987_eus-gaap--OperatingLeaseCost_pn3"/>
            <w:bookmarkEnd w:id="526"/>
          </w:p>
        </w:tc>
        <w:tc>
          <w:tcPr>
            <w:tcW w:w="803"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8" w:type="dxa"/>
            <w:tcBorders/>
            <w:shd w:fill="FFFFFF" w:val="clear"/>
            <w:tcMar>
              <w:bottom w:w="0" w:type="dxa"/>
            </w:tcMar>
            <w:vAlign w:val="center"/>
          </w:tcPr>
          <w:p>
            <w:pPr>
              <w:pStyle w:val="TableContents"/>
              <w:bidi w:val="0"/>
              <w:spacing w:before="0" w:after="283"/>
              <w:jc w:val="left"/>
              <w:rPr/>
            </w:pPr>
            <w:r>
              <w:rPr/>
              <w:t> </w:t>
            </w:r>
            <w:bookmarkStart w:id="527" w:name="xdx_985_eus-gaap--OperatingLeaseCost_pn3"/>
            <w:bookmarkEnd w:id="527"/>
          </w:p>
        </w:tc>
        <w:tc>
          <w:tcPr>
            <w:tcW w:w="71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77</w:t>
            </w:r>
          </w:p>
        </w:tc>
        <w:tc>
          <w:tcPr>
            <w:tcW w:w="76" w:type="dxa"/>
            <w:tcBorders/>
            <w:shd w:fill="FFFFFF" w:val="clear"/>
            <w:tcMar>
              <w:bottom w:w="0" w:type="dxa"/>
            </w:tcMar>
            <w:vAlign w:val="center"/>
          </w:tcPr>
          <w:p>
            <w:pPr>
              <w:pStyle w:val="TableContents"/>
              <w:bidi w:val="0"/>
              <w:spacing w:before="0" w:after="283"/>
              <w:jc w:val="left"/>
              <w:rPr/>
            </w:pPr>
            <w:r>
              <w:rPr/>
              <w:t> </w:t>
            </w:r>
          </w:p>
        </w:tc>
        <w:tc>
          <w:tcPr>
            <w:tcW w:w="76" w:type="dxa"/>
            <w:tcBorders/>
            <w:shd w:fill="FFFFFF" w:val="clear"/>
            <w:tcMar>
              <w:bottom w:w="0" w:type="dxa"/>
            </w:tcMar>
            <w:vAlign w:val="center"/>
          </w:tcPr>
          <w:p>
            <w:pPr>
              <w:pStyle w:val="TableContents"/>
              <w:bidi w:val="0"/>
              <w:spacing w:before="0" w:after="283"/>
              <w:jc w:val="left"/>
              <w:rPr/>
            </w:pPr>
            <w:r>
              <w:rPr/>
              <w:t> </w:t>
            </w:r>
          </w:p>
        </w:tc>
        <w:tc>
          <w:tcPr>
            <w:tcW w:w="178" w:type="dxa"/>
            <w:tcBorders/>
            <w:shd w:fill="FFFFFF" w:val="clear"/>
            <w:tcMar>
              <w:bottom w:w="0" w:type="dxa"/>
            </w:tcMar>
            <w:vAlign w:val="center"/>
          </w:tcPr>
          <w:p>
            <w:pPr>
              <w:pStyle w:val="TableContents"/>
              <w:bidi w:val="0"/>
              <w:spacing w:before="0" w:after="283"/>
              <w:jc w:val="left"/>
              <w:rPr/>
            </w:pPr>
            <w:r>
              <w:rPr/>
              <w:t> </w:t>
            </w:r>
            <w:bookmarkStart w:id="528" w:name="xdx_98E_eus-gaap--OperatingLeaseCost_pn3"/>
            <w:bookmarkEnd w:id="528"/>
          </w:p>
        </w:tc>
        <w:tc>
          <w:tcPr>
            <w:tcW w:w="71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153</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9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cost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7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General and administration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jc w:val="left"/>
              <w:rPr/>
            </w:pPr>
            <w:r>
              <w:rPr/>
              <w:t> </w:t>
            </w:r>
            <w:bookmarkStart w:id="529" w:name="xdx_98D_eus-gaap--OperatingLeaseCost_pn3"/>
            <w:bookmarkEnd w:id="529"/>
          </w:p>
        </w:tc>
        <w:tc>
          <w:tcPr>
            <w:tcW w:w="803"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724</w:t>
            </w:r>
          </w:p>
        </w:tc>
        <w:tc>
          <w:tcPr>
            <w:tcW w:w="86"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jc w:val="left"/>
              <w:rPr/>
            </w:pPr>
            <w:r>
              <w:rPr/>
              <w:t> </w:t>
            </w:r>
            <w:bookmarkStart w:id="530" w:name="xdx_98F_eus-gaap--OperatingLeaseCost_pn3"/>
            <w:bookmarkEnd w:id="530"/>
          </w:p>
        </w:tc>
        <w:tc>
          <w:tcPr>
            <w:tcW w:w="803"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762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8" w:type="dxa"/>
            <w:tcBorders/>
            <w:shd w:fill="CCEEFF" w:val="clear"/>
            <w:tcMar>
              <w:bottom w:w="0" w:type="dxa"/>
            </w:tcMar>
            <w:vAlign w:val="center"/>
          </w:tcPr>
          <w:p>
            <w:pPr>
              <w:pStyle w:val="TableContents"/>
              <w:bidi w:val="0"/>
              <w:spacing w:before="0" w:after="283"/>
              <w:jc w:val="left"/>
              <w:rPr/>
            </w:pPr>
            <w:r>
              <w:rPr/>
              <w:t> </w:t>
            </w:r>
            <w:bookmarkStart w:id="531" w:name="xdx_981_eus-gaap--OperatingLeaseCost_pn3"/>
            <w:bookmarkEnd w:id="531"/>
          </w:p>
        </w:tc>
        <w:tc>
          <w:tcPr>
            <w:tcW w:w="71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1,541</w:t>
            </w:r>
          </w:p>
        </w:tc>
        <w:tc>
          <w:tcPr>
            <w:tcW w:w="76" w:type="dxa"/>
            <w:tcBorders/>
            <w:shd w:fill="CCEEFF" w:val="clear"/>
            <w:tcMar>
              <w:bottom w:w="0" w:type="dxa"/>
            </w:tcMar>
            <w:vAlign w:val="center"/>
          </w:tcPr>
          <w:p>
            <w:pPr>
              <w:pStyle w:val="TableContents"/>
              <w:bidi w:val="0"/>
              <w:spacing w:before="0" w:after="283"/>
              <w:jc w:val="left"/>
              <w:rPr/>
            </w:pPr>
            <w:r>
              <w:rPr/>
              <w:t> </w:t>
            </w:r>
          </w:p>
        </w:tc>
        <w:tc>
          <w:tcPr>
            <w:tcW w:w="76" w:type="dxa"/>
            <w:tcBorders/>
            <w:shd w:fill="CCEEFF" w:val="clear"/>
            <w:tcMar>
              <w:bottom w:w="0" w:type="dxa"/>
            </w:tcMar>
            <w:vAlign w:val="center"/>
          </w:tcPr>
          <w:p>
            <w:pPr>
              <w:pStyle w:val="TableContents"/>
              <w:bidi w:val="0"/>
              <w:spacing w:before="0" w:after="283"/>
              <w:jc w:val="left"/>
              <w:rPr/>
            </w:pPr>
            <w:r>
              <w:rPr/>
              <w:t> </w:t>
            </w:r>
          </w:p>
        </w:tc>
        <w:tc>
          <w:tcPr>
            <w:tcW w:w="178" w:type="dxa"/>
            <w:tcBorders/>
            <w:shd w:fill="CCEEFF" w:val="clear"/>
            <w:tcMar>
              <w:bottom w:w="0" w:type="dxa"/>
            </w:tcMar>
            <w:vAlign w:val="center"/>
          </w:tcPr>
          <w:p>
            <w:pPr>
              <w:pStyle w:val="TableContents"/>
              <w:bidi w:val="0"/>
              <w:spacing w:before="0" w:after="283"/>
              <w:jc w:val="left"/>
              <w:rPr/>
            </w:pPr>
            <w:r>
              <w:rPr/>
              <w:t> </w:t>
            </w:r>
            <w:bookmarkStart w:id="532" w:name="xdx_98D_eus-gaap--OperatingLeaseCost_pn3"/>
            <w:bookmarkEnd w:id="532"/>
          </w:p>
        </w:tc>
        <w:tc>
          <w:tcPr>
            <w:tcW w:w="71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1,032</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94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cost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7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Selling and marketing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0" w:type="dxa"/>
            <w:tcBorders>
              <w:bottom w:val="double" w:sz="6" w:space="0" w:color="000000"/>
            </w:tcBorders>
            <w:shd w:fill="FFFFFF" w:val="clear"/>
            <w:vAlign w:val="center"/>
          </w:tcPr>
          <w:p>
            <w:pPr>
              <w:pStyle w:val="TableContents"/>
              <w:bidi w:val="0"/>
              <w:spacing w:before="0" w:after="283"/>
              <w:jc w:val="left"/>
              <w:rPr/>
            </w:pPr>
            <w:r>
              <w:rPr/>
              <w:t> </w:t>
            </w:r>
            <w:bookmarkStart w:id="533" w:name="xdx_98E_eus-gaap--OperatingLeaseCost_pn3"/>
            <w:bookmarkEnd w:id="533"/>
          </w:p>
        </w:tc>
        <w:tc>
          <w:tcPr>
            <w:tcW w:w="803"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w:t>
            </w:r>
          </w:p>
        </w:tc>
        <w:tc>
          <w:tcPr>
            <w:tcW w:w="86"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jc w:val="left"/>
              <w:rPr/>
            </w:pPr>
            <w:r>
              <w:rPr/>
              <w:t> </w:t>
            </w:r>
          </w:p>
        </w:tc>
        <w:tc>
          <w:tcPr>
            <w:tcW w:w="200" w:type="dxa"/>
            <w:tcBorders>
              <w:bottom w:val="double" w:sz="6" w:space="0" w:color="000000"/>
            </w:tcBorders>
            <w:shd w:fill="FFFFFF" w:val="clear"/>
            <w:vAlign w:val="center"/>
          </w:tcPr>
          <w:p>
            <w:pPr>
              <w:pStyle w:val="TableContents"/>
              <w:bidi w:val="0"/>
              <w:spacing w:before="0" w:after="283"/>
              <w:jc w:val="left"/>
              <w:rPr/>
            </w:pPr>
            <w:r>
              <w:rPr/>
              <w:t> </w:t>
            </w:r>
            <w:bookmarkStart w:id="534" w:name="xdx_98C_eus-gaap--OperatingLeaseCost_pn3"/>
            <w:bookmarkEnd w:id="534"/>
          </w:p>
        </w:tc>
        <w:tc>
          <w:tcPr>
            <w:tcW w:w="803"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8" w:type="dxa"/>
            <w:tcBorders>
              <w:bottom w:val="double" w:sz="6" w:space="0" w:color="000000"/>
            </w:tcBorders>
            <w:shd w:fill="FFFFFF" w:val="clear"/>
            <w:vAlign w:val="center"/>
          </w:tcPr>
          <w:p>
            <w:pPr>
              <w:pStyle w:val="TableContents"/>
              <w:bidi w:val="0"/>
              <w:spacing w:before="0" w:after="283"/>
              <w:jc w:val="left"/>
              <w:rPr/>
            </w:pPr>
            <w:r>
              <w:rPr/>
              <w:t> </w:t>
            </w:r>
            <w:bookmarkStart w:id="535" w:name="xdx_981_eus-gaap--OperatingLeaseCost_pn3"/>
            <w:bookmarkEnd w:id="535"/>
          </w:p>
        </w:tc>
        <w:tc>
          <w:tcPr>
            <w:tcW w:w="714"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w:t>
            </w:r>
          </w:p>
        </w:tc>
        <w:tc>
          <w:tcPr>
            <w:tcW w:w="76" w:type="dxa"/>
            <w:tcBorders/>
            <w:shd w:fill="FFFFFF" w:val="clear"/>
            <w:tcMar>
              <w:bottom w:w="0" w:type="dxa"/>
            </w:tcMar>
            <w:vAlign w:val="center"/>
          </w:tcPr>
          <w:p>
            <w:pPr>
              <w:pStyle w:val="TableContents"/>
              <w:bidi w:val="0"/>
              <w:spacing w:before="0" w:after="283"/>
              <w:jc w:val="left"/>
              <w:rPr/>
            </w:pPr>
            <w:r>
              <w:rPr/>
              <w:t> </w:t>
            </w:r>
          </w:p>
        </w:tc>
        <w:tc>
          <w:tcPr>
            <w:tcW w:w="76" w:type="dxa"/>
            <w:tcBorders/>
            <w:shd w:fill="FFFFFF" w:val="clear"/>
            <w:tcMar>
              <w:bottom w:w="0" w:type="dxa"/>
            </w:tcMar>
            <w:vAlign w:val="center"/>
          </w:tcPr>
          <w:p>
            <w:pPr>
              <w:pStyle w:val="TableContents"/>
              <w:bidi w:val="0"/>
              <w:spacing w:before="0" w:after="283"/>
              <w:jc w:val="left"/>
              <w:rPr/>
            </w:pPr>
            <w:r>
              <w:rPr/>
              <w:t> </w:t>
            </w:r>
          </w:p>
        </w:tc>
        <w:tc>
          <w:tcPr>
            <w:tcW w:w="178" w:type="dxa"/>
            <w:tcBorders>
              <w:bottom w:val="double" w:sz="6" w:space="0" w:color="000000"/>
            </w:tcBorders>
            <w:shd w:fill="FFFFFF" w:val="clear"/>
            <w:vAlign w:val="center"/>
          </w:tcPr>
          <w:p>
            <w:pPr>
              <w:pStyle w:val="TableContents"/>
              <w:bidi w:val="0"/>
              <w:spacing w:before="0" w:after="283"/>
              <w:jc w:val="left"/>
              <w:rPr/>
            </w:pPr>
            <w:r>
              <w:rPr/>
              <w:t> </w:t>
            </w:r>
            <w:bookmarkStart w:id="536" w:name="xdx_983_eus-gaap--OperatingLeaseCost_pn3"/>
            <w:bookmarkEnd w:id="536"/>
          </w:p>
        </w:tc>
        <w:tc>
          <w:tcPr>
            <w:tcW w:w="714"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9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lease cost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7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0"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537" w:name="xdx_981_eus-gaap--OperatingLeaseCost_pn3"/>
            <w:bookmarkEnd w:id="537"/>
          </w:p>
        </w:tc>
        <w:tc>
          <w:tcPr>
            <w:tcW w:w="803"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1,384</w:t>
            </w:r>
          </w:p>
        </w:tc>
        <w:tc>
          <w:tcPr>
            <w:tcW w:w="86"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200"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538" w:name="xdx_982_eus-gaap--OperatingLeaseCost_pn3"/>
            <w:bookmarkEnd w:id="538"/>
          </w:p>
        </w:tc>
        <w:tc>
          <w:tcPr>
            <w:tcW w:w="803"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1,244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8"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539" w:name="xdx_98B_eus-gaap--OperatingLeaseCost_pn3"/>
            <w:bookmarkEnd w:id="539"/>
          </w:p>
        </w:tc>
        <w:tc>
          <w:tcPr>
            <w:tcW w:w="714"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2,881</w:t>
            </w:r>
          </w:p>
        </w:tc>
        <w:tc>
          <w:tcPr>
            <w:tcW w:w="76" w:type="dxa"/>
            <w:tcBorders/>
            <w:shd w:fill="CCEEFF" w:val="clear"/>
            <w:tcMar>
              <w:bottom w:w="0" w:type="dxa"/>
            </w:tcMar>
            <w:vAlign w:val="center"/>
          </w:tcPr>
          <w:p>
            <w:pPr>
              <w:pStyle w:val="TableContents"/>
              <w:bidi w:val="0"/>
              <w:spacing w:before="0" w:after="283"/>
              <w:jc w:val="left"/>
              <w:rPr/>
            </w:pPr>
            <w:r>
              <w:rPr/>
              <w:t> </w:t>
            </w:r>
          </w:p>
        </w:tc>
        <w:tc>
          <w:tcPr>
            <w:tcW w:w="76" w:type="dxa"/>
            <w:tcBorders/>
            <w:shd w:fill="CCEEFF" w:val="clear"/>
            <w:tcMar>
              <w:bottom w:w="0" w:type="dxa"/>
            </w:tcMar>
            <w:vAlign w:val="center"/>
          </w:tcPr>
          <w:p>
            <w:pPr>
              <w:pStyle w:val="TableContents"/>
              <w:bidi w:val="0"/>
              <w:spacing w:before="0" w:after="283"/>
              <w:jc w:val="left"/>
              <w:rPr/>
            </w:pPr>
            <w:r>
              <w:rPr/>
              <w:t> </w:t>
            </w:r>
          </w:p>
        </w:tc>
        <w:tc>
          <w:tcPr>
            <w:tcW w:w="178"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540" w:name="xdx_98F_eus-gaap--OperatingLeaseCost_pn3"/>
            <w:bookmarkEnd w:id="540"/>
          </w:p>
        </w:tc>
        <w:tc>
          <w:tcPr>
            <w:tcW w:w="714"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1,899</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bookmarkStart w:id="541" w:name="xdx_8A2_zEQx0TiiUcf"/>
      <w:bookmarkEnd w:id="541"/>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lease costs included in the schedule above are fixed.</w:t>
      </w:r>
    </w:p>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Notes to Consolidated Financial Statements</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jc w:val="center"/>
        <w:rPr>
          <w:caps/>
        </w:rPr>
      </w:pPr>
      <w:r>
        <w:rPr>
          <w:caps/>
        </w:rPr>
        <w:t> </w:t>
      </w:r>
    </w:p>
    <w:p>
      <w:pPr>
        <w:pStyle w:val="TextBody"/>
        <w:bidi w:val="0"/>
        <w:spacing w:before="0" w:after="0"/>
        <w:jc w:val="left"/>
        <w:rPr>
          <w:rFonts w:ascii="Times New Roman;Times;Serif" w:hAnsi="Times New Roman;Times;Serif"/>
          <w:b/>
          <w:i w:val="false"/>
          <w:caps/>
          <w:sz w:val="20"/>
        </w:rPr>
      </w:pPr>
      <w:r>
        <w:rPr>
          <w:rFonts w:ascii="Times New Roman;Times;Serif" w:hAnsi="Times New Roman;Times;Serif"/>
          <w:b/>
          <w:i w:val="false"/>
          <w:caps/>
          <w:sz w:val="20"/>
        </w:rPr>
        <w:t>Note 5 - Commitments and Contingencies (continued)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Financing Leases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entered into finance lease agreements for equipment to support the Company’s operations. Payments under the finance lease agreements are fixed for a term of </w:t>
      </w:r>
      <w:bookmarkStart w:id="542" w:name="xdx_904_eus-gaap--LesseeFinanceLeaseTerm"/>
      <w:bookmarkEnd w:id="542"/>
      <w:r>
        <w:rPr>
          <w:rFonts w:ascii="Times New Roman;Times;Serif" w:hAnsi="Times New Roman;Times;Serif"/>
          <w:b w:val="false"/>
          <w:i w:val="false"/>
          <w:caps w:val="false"/>
          <w:smallCaps w:val="false"/>
          <w:sz w:val="20"/>
        </w:rPr>
        <w:t>3-</w:t>
      </w:r>
      <w:bookmarkStart w:id="543" w:name="xdx_90E_eus-gaap--LesseeFinanceLeaseTerm"/>
      <w:bookmarkEnd w:id="543"/>
      <w:r>
        <w:rPr>
          <w:rFonts w:ascii="Times New Roman;Times;Serif" w:hAnsi="Times New Roman;Times;Serif"/>
          <w:b w:val="false"/>
          <w:i w:val="false"/>
          <w:caps w:val="false"/>
          <w:smallCaps w:val="false"/>
          <w:sz w:val="20"/>
        </w:rPr>
        <w:t>5 years. The leased assets are recognized in property plant &amp; equipment.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bookmarkStart w:id="544" w:name="xdx_89B_ecustom--ScheduleOfBreakoutOfFin"/>
      <w:bookmarkEnd w:id="544"/>
      <w:r>
        <w:rPr>
          <w:rFonts w:ascii="Times New Roman;Times;Serif" w:hAnsi="Times New Roman;Times;Serif"/>
          <w:b w:val="false"/>
          <w:i w:val="false"/>
          <w:caps w:val="false"/>
          <w:smallCaps w:val="false"/>
          <w:sz w:val="20"/>
        </w:rPr>
        <w:t>The following table presents the breakout of the financing leases as of:</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bookmarkStart w:id="545" w:name="xdx_8BF_zgvqr7IpIAg8"/>
      <w:bookmarkEnd w:id="545"/>
      <w:r>
        <w:rPr>
          <w:rFonts w:ascii="Times New Roman;Times;Serif" w:hAnsi="Times New Roman;Times;Serif"/>
          <w:b/>
          <w:i w:val="false"/>
          <w:caps w:val="false"/>
          <w:smallCaps w:val="false"/>
          <w:sz w:val="20"/>
        </w:rPr>
        <w:t>SCHEDULE OF BREAKOUT OF FINANCE LEASES</w:t>
      </w:r>
      <w:r>
        <w:rPr>
          <w:rFonts w:ascii="Times New Roman;Times;Serif" w:hAnsi="Times New Roman;Times;Serif"/>
          <w:b/>
          <w:i w:val="false"/>
          <w:caps w:val="false"/>
          <w:smallCaps w:val="false"/>
          <w:color w:val="000000"/>
          <w:sz w:val="20"/>
        </w:rPr>
        <w:t> </w:t>
      </w:r>
      <w:r>
        <w:rPr>
          <w:rFonts w:ascii="Times New Roman;Times;Serif" w:hAnsi="Times New Roman;Times;Serif"/>
          <w:b/>
          <w:i w:val="false"/>
          <w:caps w:val="false"/>
          <w:smallCaps w:val="false"/>
          <w:sz w:val="20"/>
        </w:rPr>
        <w:t>  </w:t>
      </w:r>
    </w:p>
    <w:tbl>
      <w:tblPr>
        <w:tblW w:w="7568" w:type="dxa"/>
        <w:jc w:val="left"/>
        <w:tblInd w:w="0" w:type="dxa"/>
        <w:tblLayout w:type="fixed"/>
        <w:tblCellMar>
          <w:top w:w="0" w:type="dxa"/>
          <w:left w:w="0" w:type="dxa"/>
          <w:bottom w:w="0" w:type="dxa"/>
          <w:right w:w="0" w:type="dxa"/>
        </w:tblCellMar>
      </w:tblPr>
      <w:tblGrid>
        <w:gridCol w:w="3755"/>
        <w:gridCol w:w="60"/>
        <w:gridCol w:w="192"/>
        <w:gridCol w:w="1162"/>
        <w:gridCol w:w="215"/>
        <w:gridCol w:w="60"/>
        <w:gridCol w:w="419"/>
        <w:gridCol w:w="1475"/>
        <w:gridCol w:w="230"/>
      </w:tblGrid>
      <w:tr>
        <w:trPr/>
        <w:tc>
          <w:tcPr>
            <w:tcW w:w="37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546" w:name="xdx_49D_20250630_zeFlObM7JJB4"/>
            <w:bookmarkEnd w:id="546"/>
          </w:p>
        </w:tc>
        <w:tc>
          <w:tcPr>
            <w:tcW w:w="13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June 30, 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47" w:name="xdx_497_20241231_zQIOY4kDF6xi"/>
            <w:bookmarkEnd w:id="547"/>
          </w:p>
        </w:tc>
        <w:tc>
          <w:tcPr>
            <w:tcW w:w="189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December 31, 2024</w:t>
            </w:r>
          </w:p>
        </w:tc>
        <w:tc>
          <w:tcPr>
            <w:tcW w:w="230" w:type="dxa"/>
            <w:tcBorders/>
            <w:vAlign w:val="center"/>
          </w:tcPr>
          <w:p>
            <w:pPr>
              <w:pStyle w:val="TableContents"/>
              <w:bidi w:val="0"/>
              <w:spacing w:before="0" w:after="283"/>
              <w:jc w:val="left"/>
              <w:rPr/>
            </w:pPr>
            <w:r>
              <w:rPr/>
              <w:t> </w:t>
            </w:r>
            <w:bookmarkStart w:id="548" w:name="xdx_40C_ecustom--FinanceLeaseRightOfUseA"/>
            <w:bookmarkEnd w:id="548"/>
          </w:p>
        </w:tc>
      </w:tr>
      <w:tr>
        <w:trPr/>
        <w:tc>
          <w:tcPr>
            <w:tcW w:w="37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Finance lease right-of-use assets</w:t>
            </w:r>
          </w:p>
        </w:tc>
        <w:tc>
          <w:tcPr>
            <w:tcW w:w="60" w:type="dxa"/>
            <w:tcBorders/>
            <w:shd w:fill="CCEEFF" w:val="clear"/>
            <w:vAlign w:val="center"/>
          </w:tcPr>
          <w:p>
            <w:pPr>
              <w:pStyle w:val="TableContents"/>
              <w:bidi w:val="0"/>
              <w:spacing w:before="0" w:after="283"/>
              <w:jc w:val="left"/>
              <w:rPr/>
            </w:pPr>
            <w:r>
              <w:rPr/>
              <w:t> </w:t>
            </w:r>
          </w:p>
        </w:tc>
        <w:tc>
          <w:tcPr>
            <w:tcW w:w="192"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6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103</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9"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121</w:t>
            </w:r>
          </w:p>
        </w:tc>
        <w:tc>
          <w:tcPr>
            <w:tcW w:w="230" w:type="dxa"/>
            <w:tcBorders/>
            <w:shd w:fill="CCEEFF" w:val="clear"/>
            <w:vAlign w:val="center"/>
          </w:tcPr>
          <w:p>
            <w:pPr>
              <w:pStyle w:val="TableContents"/>
              <w:bidi w:val="0"/>
              <w:spacing w:before="0" w:after="283"/>
              <w:jc w:val="left"/>
              <w:rPr/>
            </w:pPr>
            <w:r>
              <w:rPr/>
              <w:t> </w:t>
            </w:r>
            <w:bookmarkStart w:id="549" w:name="xdx_40A_eus-gaap--FinanceLeaseLiabilityC"/>
            <w:bookmarkEnd w:id="549"/>
          </w:p>
        </w:tc>
      </w:tr>
      <w:tr>
        <w:trPr/>
        <w:tc>
          <w:tcPr>
            <w:tcW w:w="37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Short-term finance lease liabilities</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116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9" w:type="dxa"/>
            <w:tcBorders/>
            <w:shd w:fill="FFFFFF" w:val="clear"/>
            <w:vAlign w:val="center"/>
          </w:tcPr>
          <w:p>
            <w:pPr>
              <w:pStyle w:val="TableContents"/>
              <w:bidi w:val="0"/>
              <w:spacing w:before="0" w:after="283"/>
              <w:jc w:val="left"/>
              <w:rPr/>
            </w:pPr>
            <w:r>
              <w:rPr/>
              <w:t> </w:t>
            </w:r>
          </w:p>
        </w:tc>
        <w:tc>
          <w:tcPr>
            <w:tcW w:w="14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w:t>
            </w:r>
          </w:p>
        </w:tc>
        <w:tc>
          <w:tcPr>
            <w:tcW w:w="230" w:type="dxa"/>
            <w:tcBorders/>
            <w:shd w:fill="FFFFFF" w:val="clear"/>
            <w:vAlign w:val="center"/>
          </w:tcPr>
          <w:p>
            <w:pPr>
              <w:pStyle w:val="TableContents"/>
              <w:bidi w:val="0"/>
              <w:spacing w:before="0" w:after="283"/>
              <w:jc w:val="left"/>
              <w:rPr/>
            </w:pPr>
            <w:r>
              <w:rPr/>
              <w:t> </w:t>
            </w:r>
            <w:bookmarkStart w:id="550" w:name="xdx_404_eus-gaap--FinanceLeaseLiabilityN"/>
            <w:bookmarkEnd w:id="550"/>
          </w:p>
        </w:tc>
      </w:tr>
      <w:tr>
        <w:trPr/>
        <w:tc>
          <w:tcPr>
            <w:tcW w:w="37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Long-term finance lease liabilities</w:t>
            </w:r>
          </w:p>
        </w:tc>
        <w:tc>
          <w:tcPr>
            <w:tcW w:w="60" w:type="dxa"/>
            <w:tcBorders/>
            <w:shd w:fill="CCEEFF" w:val="clear"/>
            <w:vAlign w:val="center"/>
          </w:tcPr>
          <w:p>
            <w:pPr>
              <w:pStyle w:val="TableContents"/>
              <w:bidi w:val="0"/>
              <w:spacing w:before="0" w:after="283"/>
              <w:jc w:val="left"/>
              <w:rPr/>
            </w:pPr>
            <w:r>
              <w:rPr/>
              <w:t> </w:t>
            </w:r>
          </w:p>
        </w:tc>
        <w:tc>
          <w:tcPr>
            <w:tcW w:w="19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w:t>
            </w:r>
          </w:p>
        </w:tc>
        <w:tc>
          <w:tcPr>
            <w:tcW w:w="230" w:type="dxa"/>
            <w:tcBorders/>
            <w:shd w:fill="CCEEFF" w:val="clear"/>
            <w:vAlign w:val="center"/>
          </w:tcPr>
          <w:p>
            <w:pPr>
              <w:pStyle w:val="TableContents"/>
              <w:bidi w:val="0"/>
              <w:spacing w:before="0" w:after="283"/>
              <w:jc w:val="left"/>
              <w:rPr/>
            </w:pPr>
            <w:r>
              <w:rPr/>
              <w:t> </w:t>
            </w:r>
            <w:bookmarkStart w:id="551" w:name="xdx_403_eus-gaap--FinanceLeaseLiability_"/>
            <w:bookmarkEnd w:id="551"/>
          </w:p>
        </w:tc>
      </w:tr>
      <w:tr>
        <w:trPr/>
        <w:tc>
          <w:tcPr>
            <w:tcW w:w="37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finance lease liabilities</w:t>
            </w:r>
          </w:p>
        </w:tc>
        <w:tc>
          <w:tcPr>
            <w:tcW w:w="60" w:type="dxa"/>
            <w:tcBorders/>
            <w:shd w:fill="FFFFFF" w:val="clear"/>
            <w:vAlign w:val="center"/>
          </w:tcPr>
          <w:p>
            <w:pPr>
              <w:pStyle w:val="TableContents"/>
              <w:bidi w:val="0"/>
              <w:spacing w:before="0" w:after="283"/>
              <w:jc w:val="left"/>
              <w:rPr/>
            </w:pPr>
            <w:r>
              <w:rPr/>
              <w:t> </w:t>
            </w:r>
          </w:p>
        </w:tc>
        <w:tc>
          <w:tcPr>
            <w:tcW w:w="19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6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7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110</w:t>
            </w:r>
          </w:p>
        </w:tc>
        <w:tc>
          <w:tcPr>
            <w:tcW w:w="230" w:type="dxa"/>
            <w:tcBorders/>
            <w:shd w:fill="FFFFFF" w:val="clear"/>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Weighted average remaining lease term</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162" w:type="dxa"/>
            <w:tcBorders/>
            <w:shd w:fill="CCEEFF" w:val="clear"/>
            <w:vAlign w:val="center"/>
          </w:tcPr>
          <w:p>
            <w:pPr>
              <w:pStyle w:val="TableContents"/>
              <w:bidi w:val="0"/>
              <w:spacing w:before="0" w:after="283"/>
              <w:jc w:val="right"/>
              <w:rPr>
                <w:rFonts w:ascii="Times New Roman;Times;Serif" w:hAnsi="Times New Roman;Times;Serif"/>
                <w:sz w:val="20"/>
              </w:rPr>
            </w:pPr>
            <w:bookmarkStart w:id="552" w:name="xdx_909_eus-gaap--FinanceLeaseWeightedAv"/>
            <w:bookmarkEnd w:id="552"/>
            <w:r>
              <w:rPr>
                <w:rFonts w:ascii="Times New Roman;Times;Serif" w:hAnsi="Times New Roman;Times;Serif"/>
                <w:sz w:val="20"/>
              </w:rPr>
              <w:t>2.41 years</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9" w:type="dxa"/>
            <w:tcBorders/>
            <w:shd w:fill="CCEEFF" w:val="clear"/>
            <w:vAlign w:val="center"/>
          </w:tcPr>
          <w:p>
            <w:pPr>
              <w:pStyle w:val="TableContents"/>
              <w:bidi w:val="0"/>
              <w:spacing w:before="0" w:after="283"/>
              <w:jc w:val="left"/>
              <w:rPr/>
            </w:pPr>
            <w:r>
              <w:rPr/>
              <w:t> </w:t>
            </w:r>
          </w:p>
        </w:tc>
        <w:tc>
          <w:tcPr>
            <w:tcW w:w="1475" w:type="dxa"/>
            <w:tcBorders/>
            <w:shd w:fill="CCEEFF" w:val="clear"/>
            <w:vAlign w:val="center"/>
          </w:tcPr>
          <w:p>
            <w:pPr>
              <w:pStyle w:val="TableContents"/>
              <w:bidi w:val="0"/>
              <w:spacing w:before="0" w:after="283"/>
              <w:jc w:val="right"/>
              <w:rPr>
                <w:rFonts w:ascii="Times New Roman;Times;Serif" w:hAnsi="Times New Roman;Times;Serif"/>
                <w:sz w:val="20"/>
              </w:rPr>
            </w:pPr>
            <w:bookmarkStart w:id="553" w:name="xdx_904_eus-gaap--FinanceLeaseWeightedAv"/>
            <w:bookmarkEnd w:id="553"/>
            <w:r>
              <w:rPr>
                <w:rFonts w:ascii="Times New Roman;Times;Serif" w:hAnsi="Times New Roman;Times;Serif"/>
                <w:sz w:val="20"/>
              </w:rPr>
              <w:t>2.78 years</w:t>
            </w:r>
          </w:p>
        </w:tc>
        <w:tc>
          <w:tcPr>
            <w:tcW w:w="230" w:type="dxa"/>
            <w:tcBorders/>
            <w:shd w:fill="CCEEFF" w:val="clear"/>
            <w:vAlign w:val="center"/>
          </w:tcPr>
          <w:p>
            <w:pPr>
              <w:pStyle w:val="TableContents"/>
              <w:bidi w:val="0"/>
              <w:spacing w:before="0" w:after="283"/>
              <w:jc w:val="left"/>
              <w:rPr/>
            </w:pPr>
            <w:r>
              <w:rPr/>
              <w:t> </w:t>
            </w:r>
          </w:p>
        </w:tc>
      </w:tr>
      <w:tr>
        <w:trPr/>
        <w:tc>
          <w:tcPr>
            <w:tcW w:w="37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Weighted average discount rate</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1162" w:type="dxa"/>
            <w:tcBorders/>
            <w:shd w:fill="FFFFFF" w:val="clear"/>
            <w:vAlign w:val="center"/>
          </w:tcPr>
          <w:p>
            <w:pPr>
              <w:pStyle w:val="TableContents"/>
              <w:bidi w:val="0"/>
              <w:spacing w:before="0" w:after="283"/>
              <w:jc w:val="right"/>
              <w:rPr>
                <w:rFonts w:ascii="Times New Roman;Times;Serif" w:hAnsi="Times New Roman;Times;Serif"/>
              </w:rPr>
            </w:pPr>
            <w:bookmarkStart w:id="554" w:name="xdx_903_eus-gaap--FinanceLeaseWeightedAv"/>
            <w:bookmarkEnd w:id="554"/>
            <w:r>
              <w:rPr>
                <w:rFonts w:ascii="Times New Roman;Times;Serif" w:hAnsi="Times New Roman;Times;Serif"/>
              </w:rPr>
              <w:t>5.2</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419" w:type="dxa"/>
            <w:tcBorders/>
            <w:shd w:fill="FFFFFF" w:val="clear"/>
            <w:vAlign w:val="center"/>
          </w:tcPr>
          <w:p>
            <w:pPr>
              <w:pStyle w:val="TableContents"/>
              <w:bidi w:val="0"/>
              <w:spacing w:before="0" w:after="283"/>
              <w:jc w:val="left"/>
              <w:rPr/>
            </w:pPr>
            <w:r>
              <w:rPr/>
              <w:t> </w:t>
            </w:r>
          </w:p>
        </w:tc>
        <w:tc>
          <w:tcPr>
            <w:tcW w:w="1475" w:type="dxa"/>
            <w:tcBorders/>
            <w:shd w:fill="FFFFFF" w:val="clear"/>
            <w:vAlign w:val="center"/>
          </w:tcPr>
          <w:p>
            <w:pPr>
              <w:pStyle w:val="TableContents"/>
              <w:bidi w:val="0"/>
              <w:spacing w:before="0" w:after="283"/>
              <w:jc w:val="right"/>
              <w:rPr>
                <w:rFonts w:ascii="Times New Roman;Times;Serif" w:hAnsi="Times New Roman;Times;Serif"/>
              </w:rPr>
            </w:pPr>
            <w:bookmarkStart w:id="555" w:name="xdx_904_eus-gaap--FinanceLeaseWeightedAv"/>
            <w:bookmarkEnd w:id="555"/>
            <w:r>
              <w:rPr>
                <w:rFonts w:ascii="Times New Roman;Times;Serif" w:hAnsi="Times New Roman;Times;Serif"/>
              </w:rPr>
              <w:t>5.2</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jc w:val="left"/>
        <w:rPr>
          <w:caps w:val="false"/>
          <w:smallCaps w:val="false"/>
        </w:rPr>
      </w:pPr>
      <w:bookmarkStart w:id="556" w:name="xdx_8A9_zoWv79mZvCNk"/>
      <w:bookmarkEnd w:id="556"/>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Assumptions used in determining the Company’s incremental borrowing rate include its implied credit rating and an estimate of secured borrowing rates based on comparable market data.</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bookmarkStart w:id="557" w:name="xdx_897_eus-gaap--FinanceLeaseLiabilityM"/>
      <w:bookmarkEnd w:id="557"/>
      <w:r>
        <w:rPr>
          <w:rFonts w:ascii="Times New Roman;Times;Serif" w:hAnsi="Times New Roman;Times;Serif"/>
          <w:b w:val="false"/>
          <w:i w:val="false"/>
          <w:caps w:val="false"/>
          <w:smallCaps w:val="false"/>
          <w:sz w:val="20"/>
        </w:rPr>
        <w:t>At June 30, 2025, the future minimum lease payments under these financing leases are as follows: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bookmarkStart w:id="558" w:name="xdx_8B8_zs6JBaTxyWHk"/>
      <w:bookmarkEnd w:id="558"/>
      <w:r>
        <w:rPr>
          <w:rFonts w:ascii="Times New Roman;Times;Serif" w:hAnsi="Times New Roman;Times;Serif"/>
          <w:b w:val="false"/>
          <w:i w:val="false"/>
          <w:caps w:val="false"/>
          <w:smallCaps w:val="false"/>
          <w:sz w:val="20"/>
        </w:rPr>
        <w:t>SCHEDULE OF FUTURE MINIMUM LEASE PAYMENTS UNDER FINANCE LEASES   </w:t>
      </w:r>
    </w:p>
    <w:tbl>
      <w:tblPr>
        <w:tblW w:w="3435" w:type="dxa"/>
        <w:jc w:val="left"/>
        <w:tblInd w:w="0" w:type="dxa"/>
        <w:tblLayout w:type="fixed"/>
        <w:tblCellMar>
          <w:top w:w="0" w:type="dxa"/>
          <w:left w:w="0" w:type="dxa"/>
          <w:bottom w:w="0" w:type="dxa"/>
          <w:right w:w="0" w:type="dxa"/>
        </w:tblCellMar>
      </w:tblPr>
      <w:tblGrid>
        <w:gridCol w:w="2900"/>
        <w:gridCol w:w="60"/>
        <w:gridCol w:w="140"/>
        <w:gridCol w:w="260"/>
        <w:gridCol w:w="75"/>
      </w:tblGrid>
      <w:tr>
        <w:trPr/>
        <w:tc>
          <w:tcPr>
            <w:tcW w:w="29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Fiscal Years Ending</w:t>
            </w:r>
          </w:p>
        </w:tc>
        <w:tc>
          <w:tcPr>
            <w:tcW w:w="60" w:type="dxa"/>
            <w:tcBorders/>
            <w:vAlign w:val="center"/>
          </w:tcPr>
          <w:p>
            <w:pPr>
              <w:pStyle w:val="TableContents"/>
              <w:bidi w:val="0"/>
              <w:spacing w:before="0" w:after="283"/>
              <w:jc w:val="left"/>
              <w:rPr/>
            </w:pPr>
            <w:r>
              <w:rPr/>
              <w:t> </w:t>
            </w:r>
            <w:bookmarkStart w:id="559" w:name="xdx_495_20250630_zP5VIeh2iJCb"/>
            <w:bookmarkEnd w:id="559"/>
          </w:p>
        </w:tc>
        <w:tc>
          <w:tcPr>
            <w:tcW w:w="40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bookmarkStart w:id="560" w:name="xdx_402_eus-gaap--FinanceLeaseLiabilityP"/>
            <w:bookmarkEnd w:id="560"/>
          </w:p>
        </w:tc>
      </w:tr>
      <w:tr>
        <w:trPr/>
        <w:tc>
          <w:tcPr>
            <w:tcW w:w="29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December 31, 2025</w:t>
            </w:r>
            <w:bookmarkStart w:id="561" w:name="xdx_F43_zUHRob56TVl5"/>
            <w:bookmarkEnd w:id="561"/>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w:t>
            </w:r>
          </w:p>
        </w:tc>
        <w:tc>
          <w:tcPr>
            <w:tcW w:w="75" w:type="dxa"/>
            <w:tcBorders/>
            <w:shd w:fill="CCEEFF" w:val="clear"/>
            <w:vAlign w:val="center"/>
          </w:tcPr>
          <w:p>
            <w:pPr>
              <w:pStyle w:val="TableContents"/>
              <w:bidi w:val="0"/>
              <w:spacing w:before="0" w:after="283"/>
              <w:jc w:val="left"/>
              <w:rPr/>
            </w:pPr>
            <w:r>
              <w:rPr/>
              <w:t> </w:t>
            </w:r>
            <w:bookmarkStart w:id="562" w:name="xdx_406_eus-gaap--FinanceLeaseLiabilityP"/>
            <w:bookmarkEnd w:id="562"/>
          </w:p>
        </w:tc>
      </w:tr>
      <w:tr>
        <w:trPr/>
        <w:tc>
          <w:tcPr>
            <w:tcW w:w="29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December 31, 2026</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w:t>
            </w:r>
          </w:p>
        </w:tc>
        <w:tc>
          <w:tcPr>
            <w:tcW w:w="75" w:type="dxa"/>
            <w:tcBorders/>
            <w:shd w:fill="FFFFFF" w:val="clear"/>
            <w:vAlign w:val="center"/>
          </w:tcPr>
          <w:p>
            <w:pPr>
              <w:pStyle w:val="TableContents"/>
              <w:bidi w:val="0"/>
              <w:spacing w:before="0" w:after="283"/>
              <w:jc w:val="left"/>
              <w:rPr/>
            </w:pPr>
            <w:r>
              <w:rPr/>
              <w:t> </w:t>
            </w:r>
            <w:bookmarkStart w:id="563" w:name="xdx_406_eus-gaap--FinanceLeaseLiabilityP"/>
            <w:bookmarkEnd w:id="563"/>
          </w:p>
        </w:tc>
      </w:tr>
      <w:tr>
        <w:trPr/>
        <w:tc>
          <w:tcPr>
            <w:tcW w:w="29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December 31, 2027</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w:t>
            </w:r>
          </w:p>
        </w:tc>
        <w:tc>
          <w:tcPr>
            <w:tcW w:w="75" w:type="dxa"/>
            <w:tcBorders/>
            <w:shd w:fill="CCEEFF" w:val="clear"/>
            <w:vAlign w:val="center"/>
          </w:tcPr>
          <w:p>
            <w:pPr>
              <w:pStyle w:val="TableContents"/>
              <w:bidi w:val="0"/>
              <w:spacing w:before="0" w:after="283"/>
              <w:jc w:val="left"/>
              <w:rPr/>
            </w:pPr>
            <w:r>
              <w:rPr/>
              <w:t> </w:t>
            </w:r>
            <w:bookmarkStart w:id="564" w:name="xdx_40F_eus-gaap--FinanceLeaseLiabilityP"/>
            <w:bookmarkEnd w:id="564"/>
          </w:p>
        </w:tc>
      </w:tr>
      <w:tr>
        <w:trPr/>
        <w:tc>
          <w:tcPr>
            <w:tcW w:w="29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December 31, 2028</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w:t>
            </w:r>
          </w:p>
        </w:tc>
        <w:tc>
          <w:tcPr>
            <w:tcW w:w="75" w:type="dxa"/>
            <w:tcBorders/>
            <w:shd w:fill="FFFFFF" w:val="clear"/>
            <w:vAlign w:val="center"/>
          </w:tcPr>
          <w:p>
            <w:pPr>
              <w:pStyle w:val="TableContents"/>
              <w:bidi w:val="0"/>
              <w:spacing w:before="0" w:after="283"/>
              <w:jc w:val="left"/>
              <w:rPr/>
            </w:pPr>
            <w:r>
              <w:rPr/>
              <w:t> </w:t>
            </w:r>
            <w:bookmarkStart w:id="565" w:name="xdx_40E_ecustom--FinanceLeaseLiabilityPa"/>
            <w:bookmarkEnd w:id="565"/>
          </w:p>
        </w:tc>
      </w:tr>
      <w:tr>
        <w:trPr/>
        <w:tc>
          <w:tcPr>
            <w:tcW w:w="29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December 31, 2029</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6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w:t>
            </w:r>
          </w:p>
        </w:tc>
        <w:tc>
          <w:tcPr>
            <w:tcW w:w="75" w:type="dxa"/>
            <w:tcBorders/>
            <w:shd w:fill="CCEEFF" w:val="clear"/>
            <w:vAlign w:val="center"/>
          </w:tcPr>
          <w:p>
            <w:pPr>
              <w:pStyle w:val="TableContents"/>
              <w:bidi w:val="0"/>
              <w:spacing w:before="0" w:after="283"/>
              <w:jc w:val="left"/>
              <w:rPr/>
            </w:pPr>
            <w:r>
              <w:rPr/>
              <w:t> </w:t>
            </w:r>
            <w:bookmarkStart w:id="566" w:name="xdx_40A_eus-gaap--FinanceLeaseLiabilityP"/>
            <w:bookmarkEnd w:id="566"/>
          </w:p>
        </w:tc>
      </w:tr>
      <w:tr>
        <w:trPr/>
        <w:tc>
          <w:tcPr>
            <w:tcW w:w="29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lease payments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92</w:t>
            </w:r>
          </w:p>
        </w:tc>
        <w:tc>
          <w:tcPr>
            <w:tcW w:w="75" w:type="dxa"/>
            <w:tcBorders/>
            <w:shd w:fill="FFFFFF" w:val="clear"/>
            <w:vAlign w:val="center"/>
          </w:tcPr>
          <w:p>
            <w:pPr>
              <w:pStyle w:val="TableContents"/>
              <w:bidi w:val="0"/>
              <w:spacing w:before="0" w:after="283"/>
              <w:jc w:val="left"/>
              <w:rPr/>
            </w:pPr>
            <w:r>
              <w:rPr/>
              <w:t> </w:t>
            </w:r>
            <w:bookmarkStart w:id="567" w:name="xdx_404_eus-gaap--FinanceLeaseLiabilityU"/>
            <w:bookmarkEnd w:id="567"/>
          </w:p>
        </w:tc>
      </w:tr>
      <w:tr>
        <w:trPr/>
        <w:tc>
          <w:tcPr>
            <w:tcW w:w="29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imputed interest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6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w:t>
            </w:r>
          </w:p>
        </w:tc>
        <w:tc>
          <w:tcPr>
            <w:tcW w:w="75" w:type="dxa"/>
            <w:tcBorders/>
            <w:shd w:fill="CCEEFF" w:val="clear"/>
            <w:vAlign w:val="center"/>
          </w:tcPr>
          <w:p>
            <w:pPr>
              <w:pStyle w:val="TableContents"/>
              <w:bidi w:val="0"/>
              <w:spacing w:before="0" w:after="283"/>
              <w:jc w:val="left"/>
              <w:rPr/>
            </w:pPr>
            <w:r>
              <w:rPr/>
              <w:t> </w:t>
            </w:r>
            <w:bookmarkStart w:id="568" w:name="xdx_405_eus-gaap--FinanceLeaseLiability_"/>
            <w:bookmarkEnd w:id="568"/>
          </w:p>
        </w:tc>
      </w:tr>
      <w:tr>
        <w:trPr/>
        <w:tc>
          <w:tcPr>
            <w:tcW w:w="29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financing lease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6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tbl>
      <w:tblPr>
        <w:tblW w:w="8058" w:type="dxa"/>
        <w:jc w:val="left"/>
        <w:tblInd w:w="0" w:type="dxa"/>
        <w:tblLayout w:type="fixed"/>
        <w:tblCellMar>
          <w:top w:w="0" w:type="dxa"/>
          <w:left w:w="0" w:type="dxa"/>
          <w:bottom w:w="0" w:type="dxa"/>
          <w:right w:w="0" w:type="dxa"/>
        </w:tblCellMar>
      </w:tblPr>
      <w:tblGrid>
        <w:gridCol w:w="260"/>
        <w:gridCol w:w="23"/>
        <w:gridCol w:w="7775"/>
      </w:tblGrid>
      <w:tr>
        <w:trPr/>
        <w:tc>
          <w:tcPr>
            <w:tcW w:w="260" w:type="dxa"/>
            <w:tcBorders/>
            <w:vAlign w:val="center"/>
          </w:tcPr>
          <w:p>
            <w:pPr>
              <w:pStyle w:val="TableContents"/>
              <w:bidi w:val="0"/>
              <w:spacing w:before="0" w:after="283"/>
              <w:jc w:val="right"/>
              <w:rPr>
                <w:rFonts w:ascii="Times New Roman;Times;Serif" w:hAnsi="Times New Roman;Times;Serif"/>
                <w:sz w:val="20"/>
              </w:rPr>
            </w:pPr>
            <w:bookmarkStart w:id="569" w:name="xdx_F09_znb58RkbjaD4"/>
            <w:bookmarkEnd w:id="569"/>
            <w:r>
              <w:rPr>
                <w:rFonts w:ascii="Times New Roman;Times;Serif" w:hAnsi="Times New Roman;Times;Serif"/>
                <w:sz w:val="20"/>
              </w:rPr>
              <w:t>(1)</w:t>
            </w:r>
          </w:p>
        </w:tc>
        <w:tc>
          <w:tcPr>
            <w:tcW w:w="23" w:type="dxa"/>
            <w:tcBorders/>
            <w:vAlign w:val="center"/>
          </w:tcPr>
          <w:p>
            <w:pPr>
              <w:pStyle w:val="TableContents"/>
              <w:bidi w:val="0"/>
              <w:spacing w:before="0" w:after="283"/>
              <w:jc w:val="left"/>
              <w:rPr>
                <w:sz w:val="4"/>
                <w:szCs w:val="4"/>
              </w:rPr>
            </w:pPr>
            <w:r>
              <w:rPr>
                <w:sz w:val="4"/>
                <w:szCs w:val="4"/>
              </w:rPr>
            </w:r>
          </w:p>
        </w:tc>
        <w:tc>
          <w:tcPr>
            <w:tcW w:w="7775" w:type="dxa"/>
            <w:tcBorders/>
            <w:vAlign w:val="center"/>
          </w:tcPr>
          <w:p>
            <w:pPr>
              <w:pStyle w:val="TableContents"/>
              <w:bidi w:val="0"/>
              <w:spacing w:before="0" w:after="283"/>
              <w:jc w:val="both"/>
              <w:rPr>
                <w:rFonts w:ascii="Times New Roman;Times;Serif" w:hAnsi="Times New Roman;Times;Serif"/>
                <w:sz w:val="20"/>
              </w:rPr>
            </w:pPr>
            <w:bookmarkStart w:id="570" w:name="xdx_F1D_z9lD7wYHtAgd"/>
            <w:bookmarkEnd w:id="570"/>
            <w:r>
              <w:rPr>
                <w:rFonts w:ascii="Times New Roman;Times;Serif" w:hAnsi="Times New Roman;Times;Serif"/>
                <w:sz w:val="20"/>
              </w:rPr>
              <w:t>Represents scheduled payments for the remaining six-month period ending December 31, 2025.</w:t>
            </w:r>
          </w:p>
        </w:tc>
      </w:tr>
    </w:tbl>
    <w:p>
      <w:pPr>
        <w:pStyle w:val="TextBody"/>
        <w:bidi w:val="0"/>
        <w:spacing w:before="0" w:after="0"/>
        <w:jc w:val="left"/>
        <w:rPr>
          <w:caps w:val="false"/>
          <w:smallCaps w:val="false"/>
        </w:rPr>
      </w:pPr>
      <w:bookmarkStart w:id="571" w:name="xdx_8A6_zHH0IZ5TC8Wi"/>
      <w:bookmarkEnd w:id="571"/>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Contingencies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2025, the Company agreed to pay LithiumHub a total of $</w:t>
      </w:r>
      <w:bookmarkStart w:id="572" w:name="xdx_90E_ecustom--IncreaseDecreaseInAccru"/>
      <w:bookmarkEnd w:id="572"/>
      <w:r>
        <w:rPr>
          <w:rFonts w:ascii="Times New Roman;Times;Serif" w:hAnsi="Times New Roman;Times;Serif"/>
          <w:b w:val="false"/>
          <w:i w:val="false"/>
          <w:caps w:val="false"/>
          <w:smallCaps w:val="false"/>
          <w:sz w:val="20"/>
        </w:rPr>
        <w:t>2.5 million, of which $</w:t>
      </w:r>
      <w:bookmarkStart w:id="573" w:name="xdx_905_ecustom--IncreaseDecreaseInAccru"/>
      <w:bookmarkEnd w:id="573"/>
      <w:r>
        <w:rPr>
          <w:rFonts w:ascii="Times New Roman;Times;Serif" w:hAnsi="Times New Roman;Times;Serif"/>
          <w:b w:val="false"/>
          <w:i w:val="false"/>
          <w:caps w:val="false"/>
          <w:smallCaps w:val="false"/>
          <w:sz w:val="20"/>
        </w:rPr>
        <w:t>0.6 million is payable in 2025 and approximately $</w:t>
      </w:r>
      <w:bookmarkStart w:id="574" w:name="xdx_90C_ecustom--IncreaseDecreaseInAccru"/>
      <w:bookmarkEnd w:id="574"/>
      <w:r>
        <w:rPr>
          <w:rFonts w:ascii="Times New Roman;Times;Serif" w:hAnsi="Times New Roman;Times;Serif"/>
          <w:b w:val="false"/>
          <w:i w:val="false"/>
          <w:caps w:val="false"/>
          <w:smallCaps w:val="false"/>
          <w:sz w:val="20"/>
        </w:rPr>
        <w:t>1.9 million is payable in 2026, in exchange for a non-exclusive license in LithiumHub Technologies, LLC’s patent rights related to the Patents-in-Suit. In accordance with the Settlement Agreement, the Company and LithiumHub terminated the ongoing patent litigation between them. The Settlement Agreement includes no admission of infringement by the Company. As of June 30, 2025, the balance of the accrued settlement liability is $</w:t>
      </w:r>
      <w:bookmarkStart w:id="575" w:name="xdx_903_ecustom--AccruedSettlementLiabil"/>
      <w:bookmarkEnd w:id="575"/>
      <w:r>
        <w:rPr>
          <w:rFonts w:ascii="Times New Roman;Times;Serif" w:hAnsi="Times New Roman;Times;Serif"/>
          <w:b w:val="false"/>
          <w:i w:val="false"/>
          <w:caps w:val="false"/>
          <w:smallCaps w:val="false"/>
          <w:sz w:val="20"/>
        </w:rPr>
        <w:t>2.3 million, of which $</w:t>
      </w:r>
      <w:bookmarkStart w:id="576" w:name="xdx_902_ecustom--AccruedSettlementLiabil"/>
      <w:bookmarkEnd w:id="576"/>
      <w:r>
        <w:rPr>
          <w:rFonts w:ascii="Times New Roman;Times;Serif" w:hAnsi="Times New Roman;Times;Serif"/>
          <w:b w:val="false"/>
          <w:i w:val="false"/>
          <w:caps w:val="false"/>
          <w:smallCaps w:val="false"/>
          <w:sz w:val="20"/>
        </w:rPr>
        <w:t>1.4 million is classified as current and $</w:t>
      </w:r>
      <w:bookmarkStart w:id="577" w:name="xdx_90E_ecustom--AccruedSettlementLiabil"/>
      <w:bookmarkEnd w:id="577"/>
      <w:r>
        <w:rPr>
          <w:rFonts w:ascii="Times New Roman;Times;Serif" w:hAnsi="Times New Roman;Times;Serif"/>
          <w:b w:val="false"/>
          <w:i w:val="false"/>
          <w:caps w:val="false"/>
          <w:smallCaps w:val="false"/>
          <w:sz w:val="20"/>
        </w:rPr>
        <w:t>0.9 million as non-current.</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Notes to Consolidated Financial Statements</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jc w:val="center"/>
        <w:rPr>
          <w:caps/>
        </w:rPr>
      </w:pPr>
      <w:r>
        <w:rPr>
          <w:caps/>
        </w:rPr>
        <w:t> </w:t>
      </w:r>
    </w:p>
    <w:p>
      <w:pPr>
        <w:pStyle w:val="TextBody"/>
        <w:bidi w:val="0"/>
        <w:spacing w:before="0" w:after="0"/>
        <w:jc w:val="both"/>
        <w:rPr>
          <w:rFonts w:ascii="Times New Roman;Times;Serif" w:hAnsi="Times New Roman;Times;Serif"/>
          <w:b/>
          <w:i w:val="false"/>
          <w:caps/>
          <w:sz w:val="20"/>
        </w:rPr>
      </w:pPr>
      <w:bookmarkStart w:id="578" w:name="xdx_805_eus-gaap--DebtDisclosureTextBloc"/>
      <w:bookmarkEnd w:id="578"/>
      <w:r>
        <w:rPr>
          <w:rFonts w:ascii="Times New Roman;Times;Serif" w:hAnsi="Times New Roman;Times;Serif"/>
          <w:b/>
          <w:i w:val="false"/>
          <w:caps/>
          <w:sz w:val="20"/>
        </w:rPr>
        <w:t xml:space="preserve">Note 6 - </w:t>
      </w:r>
      <w:bookmarkStart w:id="579" w:name="xdx_822_zc6iQ6t07S99"/>
      <w:bookmarkEnd w:id="579"/>
      <w:r>
        <w:rPr>
          <w:rFonts w:ascii="Times New Roman;Times;Serif" w:hAnsi="Times New Roman;Times;Serif"/>
          <w:b/>
          <w:i w:val="false"/>
          <w:caps/>
          <w:sz w:val="20"/>
        </w:rPr>
        <w:t>Long Term Debt</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Term Loan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2025, the Company had an outstanding term loan under a Term Loan, Guarantee and Security Agreement (the “Term Loan Agreement”), dated October 7, 2022, with EICF Agent LLC, as agent, and certain lenders. The Term Loan matures on October 7, 2027 and amortizes at a rate of </w:t>
      </w:r>
      <w:bookmarkStart w:id="580" w:name="xdx_901_ecustom--DebtInstrumentAmortizat"/>
      <w:bookmarkEnd w:id="580"/>
      <w:r>
        <w:rPr>
          <w:rFonts w:ascii="Times New Roman;Times;Serif" w:hAnsi="Times New Roman;Times;Serif"/>
          <w:b w:val="false"/>
          <w:i w:val="false"/>
          <w:caps w:val="false"/>
          <w:smallCaps w:val="false"/>
          <w:sz w:val="20"/>
        </w:rPr>
        <w:t>5% per annum beginning in October 2024.</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Prior to any amendments, the Term Loan accrues interest based on the Company’s senior leverage ratio. From inception through September 30, 2024, interest accrued at a per annum rate equal to adjusted SOFR (subject to a floor of 1.0%) plus </w:t>
      </w:r>
      <w:bookmarkStart w:id="581" w:name="xdx_907_ecustom--DebtInstrumentBasisSpre"/>
      <w:bookmarkEnd w:id="581"/>
      <w:r>
        <w:rPr>
          <w:rFonts w:ascii="Times New Roman;Times;Serif" w:hAnsi="Times New Roman;Times;Serif"/>
          <w:b w:val="false"/>
          <w:i w:val="false"/>
          <w:caps w:val="false"/>
          <w:smallCaps w:val="false"/>
          <w:sz w:val="20"/>
        </w:rPr>
        <w:t xml:space="preserve">7.0% payable in cash, plus an additional </w:t>
      </w:r>
      <w:bookmarkStart w:id="582" w:name="xdx_90B_ecustom--DebtInstrumentBasisSpre"/>
      <w:bookmarkEnd w:id="582"/>
      <w:r>
        <w:rPr>
          <w:rFonts w:ascii="Times New Roman;Times;Serif" w:hAnsi="Times New Roman;Times;Serif"/>
          <w:b w:val="false"/>
          <w:i w:val="false"/>
          <w:caps w:val="false"/>
          <w:smallCaps w:val="false"/>
          <w:sz w:val="20"/>
        </w:rPr>
        <w:t xml:space="preserve">4.5% to </w:t>
      </w:r>
      <w:bookmarkStart w:id="583" w:name="xdx_90E_ecustom--DebtInstrumentBasisSpre"/>
      <w:bookmarkEnd w:id="583"/>
      <w:r>
        <w:rPr>
          <w:rFonts w:ascii="Times New Roman;Times;Serif" w:hAnsi="Times New Roman;Times;Serif"/>
          <w:b w:val="false"/>
          <w:i w:val="false"/>
          <w:caps w:val="false"/>
          <w:smallCaps w:val="false"/>
          <w:sz w:val="20"/>
        </w:rPr>
        <w:t>6.5% payable in kind (“PIK”), depending on the Company’s senior leverage ratio. Effective April 1, 2024, interest payable to lenders subject to the regulations of the U.S. Small Business Administration (with $</w:t>
      </w:r>
      <w:bookmarkStart w:id="584" w:name="xdx_902_eus-gaap--DebtInstrumentFaceAmou"/>
      <w:bookmarkEnd w:id="584"/>
      <w:r>
        <w:rPr>
          <w:rFonts w:ascii="Times New Roman;Times;Serif" w:hAnsi="Times New Roman;Times;Serif"/>
          <w:b w:val="false"/>
          <w:i w:val="false"/>
          <w:caps w:val="false"/>
          <w:smallCaps w:val="false"/>
          <w:sz w:val="20"/>
        </w:rPr>
        <w:t xml:space="preserve">30,846 of principal outstanding as of that date) is limited to </w:t>
      </w:r>
      <w:bookmarkStart w:id="585" w:name="xdx_908_eus-gaap--DebtInstrumentInterest"/>
      <w:bookmarkEnd w:id="585"/>
      <w:r>
        <w:rPr>
          <w:rFonts w:ascii="Times New Roman;Times;Serif" w:hAnsi="Times New Roman;Times;Serif"/>
          <w:b w:val="false"/>
          <w:i w:val="false"/>
          <w:caps w:val="false"/>
          <w:smallCaps w:val="false"/>
          <w:sz w:val="20"/>
        </w:rPr>
        <w:t xml:space="preserve">14.0% per annum, excluding default interest permitted under applicable SBA regulations. From October 1, 2024 through March 31, 2025, interest on the non-SBA regulated portion continued to accrue at adjusted SOFR plus </w:t>
      </w:r>
      <w:bookmarkStart w:id="586" w:name="xdx_900_ecustom--DebtInstrumentBasisSpre"/>
      <w:bookmarkEnd w:id="586"/>
      <w:r>
        <w:rPr>
          <w:rFonts w:ascii="Times New Roman;Times;Serif" w:hAnsi="Times New Roman;Times;Serif"/>
          <w:b w:val="false"/>
          <w:i w:val="false"/>
          <w:caps w:val="false"/>
          <w:smallCaps w:val="false"/>
          <w:sz w:val="20"/>
        </w:rPr>
        <w:t xml:space="preserve">7.0% payable in cash, and </w:t>
      </w:r>
      <w:bookmarkStart w:id="587" w:name="xdx_901_ecustom--DebtInstrumentBasisSpre"/>
      <w:bookmarkEnd w:id="587"/>
      <w:r>
        <w:rPr>
          <w:rFonts w:ascii="Times New Roman;Times;Serif" w:hAnsi="Times New Roman;Times;Serif"/>
          <w:b w:val="false"/>
          <w:i w:val="false"/>
          <w:caps w:val="false"/>
          <w:smallCaps w:val="false"/>
          <w:sz w:val="20"/>
        </w:rPr>
        <w:t xml:space="preserve">4.5% to </w:t>
      </w:r>
      <w:bookmarkStart w:id="588" w:name="xdx_90E_ecustom--DebtInstrumentBasisSpre"/>
      <w:bookmarkEnd w:id="588"/>
      <w:r>
        <w:rPr>
          <w:rFonts w:ascii="Times New Roman;Times;Serif" w:hAnsi="Times New Roman;Times;Serif"/>
          <w:b w:val="false"/>
          <w:i w:val="false"/>
          <w:caps w:val="false"/>
          <w:smallCaps w:val="false"/>
          <w:sz w:val="20"/>
        </w:rPr>
        <w:t xml:space="preserve">6.5% payable in kind. Beginning April 1, 2025, interest on all outstanding balances will be payable entirely in cash, at a rate equal to adjusted SOFR plus a margin ranging from </w:t>
      </w:r>
      <w:bookmarkStart w:id="589" w:name="xdx_90D_ecustom--DebtInstrumentBasisSpre"/>
      <w:bookmarkEnd w:id="589"/>
      <w:r>
        <w:rPr>
          <w:rFonts w:ascii="Times New Roman;Times;Serif" w:hAnsi="Times New Roman;Times;Serif"/>
          <w:b w:val="false"/>
          <w:i w:val="false"/>
          <w:caps w:val="false"/>
          <w:smallCaps w:val="false"/>
          <w:sz w:val="20"/>
        </w:rPr>
        <w:t xml:space="preserve">11.5% to </w:t>
      </w:r>
      <w:bookmarkStart w:id="590" w:name="xdx_90C_ecustom--DebtInstrumentBasisSpre"/>
      <w:bookmarkEnd w:id="590"/>
      <w:r>
        <w:rPr>
          <w:rFonts w:ascii="Times New Roman;Times;Serif" w:hAnsi="Times New Roman;Times;Serif"/>
          <w:b w:val="false"/>
          <w:i w:val="false"/>
          <w:caps w:val="false"/>
          <w:smallCaps w:val="false"/>
          <w:sz w:val="20"/>
        </w:rPr>
        <w:t>13.5%, depending on the Company’s senior leverage ratio.</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June 30, 2025 and 2024, the Company recognized interest expense of $</w:t>
      </w:r>
      <w:bookmarkStart w:id="591" w:name="xdx_904_eus-gaap--InterestExpenseDebtExc"/>
      <w:bookmarkEnd w:id="591"/>
      <w:r>
        <w:rPr>
          <w:rFonts w:ascii="Times New Roman;Times;Serif" w:hAnsi="Times New Roman;Times;Serif"/>
          <w:b w:val="false"/>
          <w:i w:val="false"/>
          <w:caps w:val="false"/>
          <w:smallCaps w:val="false"/>
          <w:sz w:val="20"/>
        </w:rPr>
        <w:t>7,307 and $</w:t>
      </w:r>
      <w:bookmarkStart w:id="592" w:name="xdx_90E_eus-gaap--InterestExpenseDebtExc"/>
      <w:bookmarkEnd w:id="592"/>
      <w:r>
        <w:rPr>
          <w:rFonts w:ascii="Times New Roman;Times;Serif" w:hAnsi="Times New Roman;Times;Serif"/>
          <w:b w:val="false"/>
          <w:i w:val="false"/>
          <w:caps w:val="false"/>
          <w:smallCaps w:val="false"/>
          <w:sz w:val="20"/>
        </w:rPr>
        <w:t>7,022, respectively. During the three months ended June 30, 2025 and 2024, the Company recognized interest expense of $</w:t>
      </w:r>
      <w:bookmarkStart w:id="593" w:name="xdx_90C_eus-gaap--InterestExpenseDebtExc"/>
      <w:bookmarkEnd w:id="593"/>
      <w:r>
        <w:rPr>
          <w:rFonts w:ascii="Times New Roman;Times;Serif" w:hAnsi="Times New Roman;Times;Serif"/>
          <w:b w:val="false"/>
          <w:i w:val="false"/>
          <w:caps w:val="false"/>
          <w:smallCaps w:val="false"/>
          <w:sz w:val="20"/>
        </w:rPr>
        <w:t>3,728 and $</w:t>
      </w:r>
      <w:bookmarkStart w:id="594" w:name="xdx_90A_eus-gaap--InterestExpenseDebtExc"/>
      <w:bookmarkEnd w:id="594"/>
      <w:r>
        <w:rPr>
          <w:rFonts w:ascii="Times New Roman;Times;Serif" w:hAnsi="Times New Roman;Times;Serif"/>
          <w:b w:val="false"/>
          <w:i w:val="false"/>
          <w:caps w:val="false"/>
          <w:smallCaps w:val="false"/>
          <w:sz w:val="20"/>
        </w:rPr>
        <w:t>3,321, respectively. Amortization of the debt issuance costs amounted to $</w:t>
      </w:r>
      <w:bookmarkStart w:id="595" w:name="xdx_90D_eus-gaap--AmortizationOfFinancin"/>
      <w:bookmarkEnd w:id="595"/>
      <w:r>
        <w:rPr>
          <w:rFonts w:ascii="Times New Roman;Times;Serif" w:hAnsi="Times New Roman;Times;Serif"/>
          <w:b w:val="false"/>
          <w:i w:val="false"/>
          <w:caps w:val="false"/>
          <w:smallCaps w:val="false"/>
          <w:sz w:val="20"/>
        </w:rPr>
        <w:t>2,784 and $</w:t>
      </w:r>
      <w:bookmarkStart w:id="596" w:name="xdx_90D_eus-gaap--AmortizationOfFinancin"/>
      <w:bookmarkEnd w:id="596"/>
      <w:r>
        <w:rPr>
          <w:rFonts w:ascii="Times New Roman;Times;Serif" w:hAnsi="Times New Roman;Times;Serif"/>
          <w:b w:val="false"/>
          <w:i w:val="false"/>
          <w:caps w:val="false"/>
          <w:smallCaps w:val="false"/>
          <w:sz w:val="20"/>
        </w:rPr>
        <w:t>2,428, respectively, during the six months ended June 30, 2025 and 2024. Amortization of the debt issuance costs amounted to $</w:t>
      </w:r>
      <w:bookmarkStart w:id="597" w:name="xdx_90B_eus-gaap--AmortizationOfFinancin"/>
      <w:bookmarkEnd w:id="597"/>
      <w:r>
        <w:rPr>
          <w:rFonts w:ascii="Times New Roman;Times;Serif" w:hAnsi="Times New Roman;Times;Serif"/>
          <w:b w:val="false"/>
          <w:i w:val="false"/>
          <w:caps w:val="false"/>
          <w:smallCaps w:val="false"/>
          <w:sz w:val="20"/>
        </w:rPr>
        <w:t>1,689 and $</w:t>
      </w:r>
      <w:bookmarkStart w:id="598" w:name="xdx_90C_eus-gaap--AmortizationOfFinancin"/>
      <w:bookmarkEnd w:id="598"/>
      <w:r>
        <w:rPr>
          <w:rFonts w:ascii="Times New Roman;Times;Serif" w:hAnsi="Times New Roman;Times;Serif"/>
          <w:b w:val="false"/>
          <w:i w:val="false"/>
          <w:caps w:val="false"/>
          <w:smallCaps w:val="false"/>
          <w:sz w:val="20"/>
        </w:rPr>
        <w:t>1,534, respectively, during the three months ended June 30, 2025 and 2024. As of December 31, 2024, the carrying value was $</w:t>
      </w:r>
      <w:bookmarkStart w:id="599" w:name="xdx_904_eus-gaap--LongTermDebt_iI_pn3n3_"/>
      <w:bookmarkEnd w:id="599"/>
      <w:r>
        <w:rPr>
          <w:rFonts w:ascii="Times New Roman;Times;Serif" w:hAnsi="Times New Roman;Times;Serif"/>
          <w:b w:val="false"/>
          <w:i w:val="false"/>
          <w:caps w:val="false"/>
          <w:smallCaps w:val="false"/>
          <w:sz w:val="20"/>
        </w:rPr>
        <w:t>29,646, consisting of $</w:t>
      </w:r>
      <w:bookmarkStart w:id="600" w:name="xdx_907_eus-gaap--DebtInstrumentFaceAmou"/>
      <w:bookmarkEnd w:id="600"/>
      <w:r>
        <w:rPr>
          <w:rFonts w:ascii="Times New Roman;Times;Serif" w:hAnsi="Times New Roman;Times;Serif"/>
          <w:b w:val="false"/>
          <w:i w:val="false"/>
          <w:caps w:val="false"/>
          <w:smallCaps w:val="false"/>
          <w:sz w:val="20"/>
        </w:rPr>
        <w:t>69,974 in principal, plus $</w:t>
      </w:r>
      <w:bookmarkStart w:id="601" w:name="xdx_906_eus-gaap--PaidInKindInterest_pn3"/>
      <w:bookmarkEnd w:id="601"/>
      <w:r>
        <w:rPr>
          <w:rFonts w:ascii="Times New Roman;Times;Serif" w:hAnsi="Times New Roman;Times;Serif"/>
          <w:b w:val="false"/>
          <w:i w:val="false"/>
          <w:caps w:val="false"/>
          <w:smallCaps w:val="false"/>
          <w:sz w:val="20"/>
        </w:rPr>
        <w:t>15,938 in capitalized PIK interest, net of $</w:t>
      </w:r>
      <w:bookmarkStart w:id="602" w:name="xdx_901_eus-gaap--DeferredFinanceCostsNe"/>
      <w:bookmarkEnd w:id="602"/>
      <w:r>
        <w:rPr>
          <w:rFonts w:ascii="Times New Roman;Times;Serif" w:hAnsi="Times New Roman;Times;Serif"/>
          <w:b w:val="false"/>
          <w:i w:val="false"/>
          <w:caps w:val="false"/>
          <w:smallCaps w:val="false"/>
          <w:sz w:val="20"/>
        </w:rPr>
        <w:t>56,266 in unamortized debt discount.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obligations under the Term Loan Agreement are secured by a first-priority lien on substantially all of the Company’s assets, including certain mortgaged properties.</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Notes to Consolidated Financial Statements</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jc w:val="center"/>
        <w:rPr>
          <w:caps/>
        </w:rPr>
      </w:pPr>
      <w:r>
        <w:rPr>
          <w:caps/>
        </w:rPr>
        <w:t> </w:t>
      </w:r>
    </w:p>
    <w:p>
      <w:pPr>
        <w:pStyle w:val="TextBody"/>
        <w:bidi w:val="0"/>
        <w:spacing w:before="0" w:after="0"/>
        <w:jc w:val="left"/>
        <w:rPr>
          <w:rFonts w:ascii="Times New Roman;Times;Serif" w:hAnsi="Times New Roman;Times;Serif"/>
          <w:b/>
          <w:i w:val="false"/>
          <w:caps/>
          <w:sz w:val="20"/>
        </w:rPr>
      </w:pPr>
      <w:r>
        <w:rPr>
          <w:rFonts w:ascii="Times New Roman;Times;Serif" w:hAnsi="Times New Roman;Times;Serif"/>
          <w:b/>
          <w:i w:val="false"/>
          <w:caps/>
          <w:sz w:val="20"/>
        </w:rPr>
        <w:t>Note 6 - Long Term Debt (continued)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Financial Covenants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subject to restrictive financial covenants pertaining to Maximum Senior Leverage Ratio, Liquidity, Fixed Charge Coverage Ratio, and Capital Expenditures as defined in the Term Loan Agreement. As of December 31, 2024, the Company was not in compliance with its financial covenants pertaining to the fixed charge coverage ratio, liquidity, and the maximum senior leverage ratio. On March 31, 2024, April 29, 2024, May 30, 2024, June 28, 2024, July 31, 2024, August 30, 2024, September 30, 2024, October 31, 2024, November 30, 2024 and December 31, 2024 the Company obtained waivers from the Term Loan Lenders and administrative agent in regards to its failure to satisfy the liquidity requirement under the Term Loan for the quarters ended March 31, 2024, June 30, 2024, September 30, 2024, and December 31, 2024 and the fiscal months ended April 30, 2024, May 31, 2024, July 31, 2024, August 31, 2024, October 31, 2024 and November 30, 2024, as applicable.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2025, in connection with the Purchase Agreement, the Company entered into the Fifth Amendment to the Term Loan. This amendment extended the loan’s maturity date by one year to October 2027 and deferred all principal and interest payments until April 2026. Additionally, the amendment postponed certain covenant requirements, significantly reducing the likelihood of a breach and the lender’s ability to accelerate repayment based on prior noncompliance, thereby allowing the Company to reclassify the debt as long-term as of December 31, 2024.</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bookmarkStart w:id="603" w:name="xdx_891_eus-gaap--ScheduleOfMaturitiesOf"/>
      <w:bookmarkEnd w:id="603"/>
      <w:r>
        <w:rPr>
          <w:rFonts w:ascii="Times New Roman;Times;Serif" w:hAnsi="Times New Roman;Times;Serif"/>
          <w:b w:val="false"/>
          <w:i w:val="false"/>
          <w:caps w:val="false"/>
          <w:smallCaps w:val="false"/>
          <w:sz w:val="20"/>
        </w:rPr>
        <w:t>At June 30, 2025 the future debt maturities are as follows: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bookmarkStart w:id="604" w:name="xdx_8B6_zweQdM4dcnVh"/>
      <w:bookmarkEnd w:id="604"/>
      <w:r>
        <w:rPr>
          <w:rFonts w:ascii="Times New Roman;Times;Serif" w:hAnsi="Times New Roman;Times;Serif"/>
          <w:b w:val="false"/>
          <w:i w:val="false"/>
          <w:caps w:val="false"/>
          <w:smallCaps w:val="false"/>
          <w:sz w:val="20"/>
        </w:rPr>
        <w:t>SCHEDULE OF FUTURE DEBT MATURITIES </w:t>
      </w:r>
    </w:p>
    <w:tbl>
      <w:tblPr>
        <w:tblW w:w="4775" w:type="dxa"/>
        <w:jc w:val="left"/>
        <w:tblInd w:w="0" w:type="dxa"/>
        <w:tblLayout w:type="fixed"/>
        <w:tblCellMar>
          <w:top w:w="0" w:type="dxa"/>
          <w:left w:w="0" w:type="dxa"/>
          <w:bottom w:w="28" w:type="dxa"/>
          <w:right w:w="0" w:type="dxa"/>
        </w:tblCellMar>
      </w:tblPr>
      <w:tblGrid>
        <w:gridCol w:w="3665"/>
        <w:gridCol w:w="60"/>
        <w:gridCol w:w="140"/>
        <w:gridCol w:w="800"/>
        <w:gridCol w:w="110"/>
      </w:tblGrid>
      <w:tr>
        <w:trPr/>
        <w:tc>
          <w:tcPr>
            <w:tcW w:w="3665" w:type="dxa"/>
            <w:tcBorders>
              <w:bottom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For Year Ended December 31,</w:t>
            </w:r>
          </w:p>
        </w:tc>
        <w:tc>
          <w:tcPr>
            <w:tcW w:w="60" w:type="dxa"/>
            <w:tcBorders/>
            <w:tcMar>
              <w:bottom w:w="0" w:type="dxa"/>
            </w:tcMar>
            <w:vAlign w:val="center"/>
          </w:tcPr>
          <w:p>
            <w:pPr>
              <w:pStyle w:val="TableContents"/>
              <w:bidi w:val="0"/>
              <w:spacing w:before="0" w:after="283"/>
              <w:jc w:val="left"/>
              <w:rPr/>
            </w:pPr>
            <w:r>
              <w:rPr/>
              <w:t> </w:t>
            </w:r>
            <w:bookmarkStart w:id="605" w:name="xdx_492_20250630_zrTQkNSx87q7"/>
            <w:bookmarkEnd w:id="605"/>
          </w:p>
        </w:tc>
        <w:tc>
          <w:tcPr>
            <w:tcW w:w="940" w:type="dxa"/>
            <w:gridSpan w:val="2"/>
            <w:tcBorders/>
            <w:tcMar>
              <w:bottom w:w="0" w:type="dxa"/>
            </w:tcMar>
            <w:vAlign w:val="center"/>
          </w:tcPr>
          <w:p>
            <w:pPr>
              <w:pStyle w:val="TableContents"/>
              <w:bidi w:val="0"/>
              <w:spacing w:before="0" w:after="283"/>
              <w:jc w:val="left"/>
              <w:rPr/>
            </w:pPr>
            <w:r>
              <w:rPr/>
              <w:t> </w:t>
            </w:r>
          </w:p>
        </w:tc>
        <w:tc>
          <w:tcPr>
            <w:tcW w:w="110" w:type="dxa"/>
            <w:tcBorders/>
            <w:tcMar>
              <w:bottom w:w="0" w:type="dxa"/>
            </w:tcMar>
            <w:vAlign w:val="center"/>
          </w:tcPr>
          <w:p>
            <w:pPr>
              <w:pStyle w:val="TableContents"/>
              <w:bidi w:val="0"/>
              <w:spacing w:before="0" w:after="283"/>
              <w:jc w:val="left"/>
              <w:rPr/>
            </w:pPr>
            <w:r>
              <w:rPr/>
              <w:t> </w:t>
            </w:r>
            <w:bookmarkStart w:id="606" w:name="xdx_408_eus-gaap--LongTermDebtMaturities"/>
            <w:bookmarkEnd w:id="606"/>
          </w:p>
        </w:tc>
      </w:tr>
      <w:tr>
        <w:trPr/>
        <w:tc>
          <w:tcPr>
            <w:tcW w:w="366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tcMar>
              <w:bottom w:w="0" w:type="dxa"/>
            </w:tcMar>
            <w:vAlign w:val="center"/>
          </w:tcPr>
          <w:p>
            <w:pPr>
              <w:pStyle w:val="TableContents"/>
              <w:bidi w:val="0"/>
              <w:spacing w:before="0" w:after="283"/>
              <w:jc w:val="left"/>
              <w:rPr/>
            </w:pPr>
            <w:r>
              <w:rPr/>
              <w:t> </w:t>
            </w:r>
            <w:bookmarkStart w:id="607" w:name="xdx_40A_eus-gaap--LongTermDebtMaturities"/>
            <w:bookmarkEnd w:id="607"/>
          </w:p>
        </w:tc>
      </w:tr>
      <w:tr>
        <w:trPr/>
        <w:tc>
          <w:tcPr>
            <w:tcW w:w="366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2,813</w:t>
            </w:r>
          </w:p>
        </w:tc>
        <w:tc>
          <w:tcPr>
            <w:tcW w:w="110" w:type="dxa"/>
            <w:tcBorders/>
            <w:shd w:fill="FFFFFF" w:val="clear"/>
            <w:tcMar>
              <w:bottom w:w="0" w:type="dxa"/>
            </w:tcMar>
            <w:vAlign w:val="center"/>
          </w:tcPr>
          <w:p>
            <w:pPr>
              <w:pStyle w:val="TableContents"/>
              <w:bidi w:val="0"/>
              <w:spacing w:before="0" w:after="283"/>
              <w:jc w:val="left"/>
              <w:rPr/>
            </w:pPr>
            <w:r>
              <w:rPr/>
              <w:t> </w:t>
            </w:r>
            <w:bookmarkStart w:id="608" w:name="xdx_402_eus-gaap--LongTermDebtMaturities"/>
            <w:bookmarkEnd w:id="608"/>
          </w:p>
        </w:tc>
      </w:tr>
      <w:tr>
        <w:trPr/>
        <w:tc>
          <w:tcPr>
            <w:tcW w:w="366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80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98,429</w:t>
            </w:r>
          </w:p>
        </w:tc>
        <w:tc>
          <w:tcPr>
            <w:tcW w:w="110" w:type="dxa"/>
            <w:tcBorders/>
            <w:shd w:fill="CCEEFF" w:val="clear"/>
            <w:tcMar>
              <w:bottom w:w="0" w:type="dxa"/>
            </w:tcMar>
            <w:vAlign w:val="center"/>
          </w:tcPr>
          <w:p>
            <w:pPr>
              <w:pStyle w:val="TableContents"/>
              <w:bidi w:val="0"/>
              <w:spacing w:before="0" w:after="283"/>
              <w:jc w:val="left"/>
              <w:rPr/>
            </w:pPr>
            <w:r>
              <w:rPr/>
              <w:t> </w:t>
            </w:r>
            <w:bookmarkStart w:id="609" w:name="xdx_406_ecustom--LongTermDebtMaturitiesR"/>
            <w:bookmarkEnd w:id="609"/>
          </w:p>
        </w:tc>
      </w:tr>
      <w:tr>
        <w:trPr/>
        <w:tc>
          <w:tcPr>
            <w:tcW w:w="366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debt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101,242</w:t>
            </w:r>
          </w:p>
        </w:tc>
        <w:tc>
          <w:tcPr>
            <w:tcW w:w="110" w:type="dxa"/>
            <w:tcBorders/>
            <w:shd w:fill="FFFFFF" w:val="clear"/>
            <w:tcMar>
              <w:bottom w:w="0" w:type="dxa"/>
            </w:tcMar>
            <w:vAlign w:val="center"/>
          </w:tcPr>
          <w:p>
            <w:pPr>
              <w:pStyle w:val="TableContents"/>
              <w:bidi w:val="0"/>
              <w:spacing w:before="0" w:after="283"/>
              <w:jc w:val="left"/>
              <w:rPr/>
            </w:pPr>
            <w:r>
              <w:rPr/>
              <w:t> </w:t>
            </w:r>
            <w:bookmarkStart w:id="610" w:name="xdx_409_ecustom--EstimatedInterestPaidin"/>
            <w:bookmarkEnd w:id="610"/>
          </w:p>
        </w:tc>
      </w:tr>
      <w:tr>
        <w:trPr/>
        <w:tc>
          <w:tcPr>
            <w:tcW w:w="366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Estimated interest paid-in-kind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80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(8,023</w:t>
            </w:r>
          </w:p>
        </w:tc>
        <w:tc>
          <w:tcPr>
            <w:tcW w:w="11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611" w:name="xdx_403_eus-gaap--LongTermDebt_iTI_pn3n3"/>
            <w:bookmarkEnd w:id="611"/>
          </w:p>
        </w:tc>
      </w:tr>
      <w:tr>
        <w:trPr/>
        <w:tc>
          <w:tcPr>
            <w:tcW w:w="366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debt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80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93,219</w:t>
            </w:r>
          </w:p>
        </w:tc>
        <w:tc>
          <w:tcPr>
            <w:tcW w:w="110" w:type="dxa"/>
            <w:tcBorders/>
            <w:shd w:fill="FFFFFF" w:val="clear"/>
            <w:tcMar>
              <w:bottom w:w="0" w:type="dxa"/>
            </w:tcMar>
            <w:vAlign w:val="center"/>
          </w:tcPr>
          <w:p>
            <w:pPr>
              <w:pStyle w:val="TableContents"/>
              <w:bidi w:val="0"/>
              <w:spacing w:before="0" w:after="283"/>
              <w:jc w:val="left"/>
              <w:rPr/>
            </w:pPr>
            <w:r>
              <w:rPr/>
              <w:t> </w:t>
            </w:r>
            <w:bookmarkStart w:id="612" w:name="xdx_404_eus-gaap--DebtInstrumentUnamorti"/>
            <w:bookmarkEnd w:id="612"/>
          </w:p>
        </w:tc>
      </w:tr>
      <w:tr>
        <w:trPr/>
        <w:tc>
          <w:tcPr>
            <w:tcW w:w="366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Unamortized debt discount costs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(54,179</w:t>
            </w:r>
          </w:p>
        </w:tc>
        <w:tc>
          <w:tcPr>
            <w:tcW w:w="11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613" w:name="xdx_409_eus-gaap--DebtInstrumentCarrying"/>
            <w:bookmarkEnd w:id="613"/>
          </w:p>
        </w:tc>
      </w:tr>
      <w:tr>
        <w:trPr/>
        <w:tc>
          <w:tcPr>
            <w:tcW w:w="366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carrying amount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80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39,040</w:t>
            </w:r>
          </w:p>
        </w:tc>
        <w:tc>
          <w:tcPr>
            <w:tcW w:w="110" w:type="dxa"/>
            <w:tcBorders/>
            <w:shd w:fill="FFFFFF" w:val="clear"/>
            <w:tcMar>
              <w:bottom w:w="0" w:type="dxa"/>
            </w:tcMar>
            <w:vAlign w:val="center"/>
          </w:tcPr>
          <w:p>
            <w:pPr>
              <w:pStyle w:val="TableContents"/>
              <w:bidi w:val="0"/>
              <w:spacing w:before="0" w:after="283"/>
              <w:jc w:val="left"/>
              <w:rPr/>
            </w:pPr>
            <w:r>
              <w:rPr/>
              <w:t> </w:t>
            </w:r>
            <w:bookmarkStart w:id="614" w:name="xdx_406_eus-gaap--LongTermDebtCurrent_iN"/>
            <w:bookmarkEnd w:id="614"/>
          </w:p>
        </w:tc>
      </w:tr>
      <w:tr>
        <w:trPr/>
        <w:tc>
          <w:tcPr>
            <w:tcW w:w="366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Current portion of debt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80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(393</w:t>
            </w:r>
          </w:p>
        </w:tc>
        <w:tc>
          <w:tcPr>
            <w:tcW w:w="11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615" w:name="xdx_405_eus-gaap--LongTermDebtNoncurrent"/>
            <w:bookmarkEnd w:id="615"/>
          </w:p>
        </w:tc>
      </w:tr>
      <w:tr>
        <w:trPr/>
        <w:tc>
          <w:tcPr>
            <w:tcW w:w="366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long-term debt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38,647</w:t>
            </w:r>
          </w:p>
        </w:tc>
        <w:tc>
          <w:tcPr>
            <w:tcW w:w="11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bookmarkStart w:id="616" w:name="xdx_8A6_zZwCDr1xlDjf"/>
      <w:bookmarkEnd w:id="616"/>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Notes to Consolidated Financial Statements</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jc w:val="center"/>
        <w:rPr>
          <w:caps/>
        </w:rPr>
      </w:pPr>
      <w:r>
        <w:rPr>
          <w:caps/>
        </w:rPr>
        <w:t> </w:t>
      </w:r>
    </w:p>
    <w:p>
      <w:pPr>
        <w:pStyle w:val="TextBody"/>
        <w:bidi w:val="0"/>
        <w:spacing w:before="0" w:after="0"/>
        <w:jc w:val="both"/>
        <w:rPr>
          <w:rFonts w:ascii="Times New Roman;Times;Serif" w:hAnsi="Times New Roman;Times;Serif"/>
          <w:b/>
          <w:i w:val="false"/>
          <w:caps/>
          <w:sz w:val="20"/>
        </w:rPr>
      </w:pPr>
      <w:bookmarkStart w:id="617" w:name="xdx_809_ecustom--LicenseAgreementDisclos"/>
      <w:bookmarkEnd w:id="617"/>
      <w:r>
        <w:rPr>
          <w:rFonts w:ascii="Times New Roman;Times;Serif" w:hAnsi="Times New Roman;Times;Serif"/>
          <w:b/>
          <w:i w:val="false"/>
          <w:caps/>
          <w:sz w:val="20"/>
        </w:rPr>
        <w:t xml:space="preserve">Note 7 - </w:t>
      </w:r>
      <w:bookmarkStart w:id="618" w:name="xdx_821_zWUcd5ZqUFWi"/>
      <w:bookmarkEnd w:id="618"/>
      <w:r>
        <w:rPr>
          <w:rFonts w:ascii="Times New Roman;Times;Serif" w:hAnsi="Times New Roman;Times;Serif"/>
          <w:b/>
          <w:i w:val="false"/>
          <w:caps/>
          <w:sz w:val="20"/>
        </w:rPr>
        <w:t>License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29, 2024, Legacy Dragonfly and Battle Born LLC, a wholly-owned subsidiary of Legacy Dragonfly, entered into the License Agreement with Stryten. Under the terms of the License Agreement, Battle Born LLC granted Stryten an exclusive, worldwide license to use certain trademarks associated with the Company’s lithium-ion battery brand, Battle Born Batteries®, for business-to-business battery sales in specified markets. In exchange, Stryten paid an initial licensing fee of $</w:t>
      </w:r>
      <w:bookmarkStart w:id="619" w:name="xdx_90A_ecustom--LicensingFee_pn3n3_c202"/>
      <w:bookmarkEnd w:id="619"/>
      <w:r>
        <w:rPr>
          <w:rFonts w:ascii="Times New Roman;Times;Serif" w:hAnsi="Times New Roman;Times;Serif"/>
          <w:b w:val="false"/>
          <w:i w:val="false"/>
          <w:caps w:val="false"/>
          <w:smallCaps w:val="false"/>
          <w:sz w:val="20"/>
        </w:rPr>
        <w:t>5,000 and will make additional mid-single digit royalty payments to be paid based on net sales to be paid quarterly utilizing the licensed trademarks, with total royalties capped at $</w:t>
      </w:r>
      <w:bookmarkStart w:id="620" w:name="xdx_907_ecustom--PaymentOfQuarterlyLicen"/>
      <w:bookmarkEnd w:id="620"/>
      <w:r>
        <w:rPr>
          <w:rFonts w:ascii="Times New Roman;Times;Serif" w:hAnsi="Times New Roman;Times;Serif"/>
          <w:b w:val="false"/>
          <w:i w:val="false"/>
          <w:caps w:val="false"/>
          <w:smallCaps w:val="false"/>
          <w:sz w:val="20"/>
        </w:rPr>
        <w:t>25,000. Once the cap is reached, Stryten will be required to pay a nominal annual license fee. The License Agreement is perpetual unless terminated in accordance with its terms. Concurrently, the Company transferred all intellectual property rights related to the licensed trademarks to Battle Born LLC and retained a worldwide license outside of Stryten’s designated markets. The $</w:t>
      </w:r>
      <w:bookmarkStart w:id="621" w:name="xdx_90A_ecustom--LicensingFee_pn3n3_c202"/>
      <w:bookmarkEnd w:id="621"/>
      <w:r>
        <w:rPr>
          <w:rFonts w:ascii="Times New Roman;Times;Serif" w:hAnsi="Times New Roman;Times;Serif"/>
          <w:b w:val="false"/>
          <w:i w:val="false"/>
          <w:caps w:val="false"/>
          <w:smallCaps w:val="false"/>
          <w:sz w:val="20"/>
        </w:rPr>
        <w:t xml:space="preserve">5,000 initial licensing fee is being recognized as revenue on a </w:t>
      </w:r>
      <w:bookmarkStart w:id="622" w:name="xdx_909_ecustom--InitialLicensingFeeReco"/>
      <w:bookmarkEnd w:id="622"/>
      <w:r>
        <w:rPr>
          <w:rFonts w:ascii="Times New Roman;Times;Serif" w:hAnsi="Times New Roman;Times;Serif"/>
          <w:b w:val="false"/>
          <w:i w:val="false"/>
          <w:caps w:val="false"/>
          <w:smallCaps w:val="false"/>
          <w:sz w:val="20"/>
        </w:rPr>
        <w:t>straight-line basis over five years. For the three months and six ended June 30, 2025, the Company has recorded $</w:t>
      </w:r>
      <w:bookmarkStart w:id="623" w:name="xdx_90C_eus-gaap--RevenueFromContractWit"/>
      <w:bookmarkEnd w:id="623"/>
      <w:r>
        <w:rPr>
          <w:rFonts w:ascii="Times New Roman;Times;Serif" w:hAnsi="Times New Roman;Times;Serif"/>
          <w:b w:val="false"/>
          <w:i w:val="false"/>
          <w:caps w:val="false"/>
          <w:smallCaps w:val="false"/>
          <w:sz w:val="20"/>
        </w:rPr>
        <w:t>250 and $</w:t>
      </w:r>
      <w:bookmarkStart w:id="624" w:name="xdx_904_eus-gaap--RevenueFromContractWit"/>
      <w:bookmarkEnd w:id="624"/>
      <w:r>
        <w:rPr>
          <w:rFonts w:ascii="Times New Roman;Times;Serif" w:hAnsi="Times New Roman;Times;Serif"/>
          <w:b w:val="false"/>
          <w:i w:val="false"/>
          <w:caps w:val="false"/>
          <w:smallCaps w:val="false"/>
          <w:sz w:val="20"/>
        </w:rPr>
        <w:t>500 in revenue related to the amortization of the License Agreement and no royalty payments have been received or earned. As of June 30, 2025, the Company has recorded $</w:t>
      </w:r>
      <w:bookmarkStart w:id="625" w:name="xdx_90D_eus-gaap--DeferredRevenueCurrent"/>
      <w:bookmarkEnd w:id="625"/>
      <w:r>
        <w:rPr>
          <w:rFonts w:ascii="Times New Roman;Times;Serif" w:hAnsi="Times New Roman;Times;Serif"/>
          <w:b w:val="false"/>
          <w:i w:val="false"/>
          <w:caps w:val="false"/>
          <w:smallCaps w:val="false"/>
          <w:sz w:val="20"/>
        </w:rPr>
        <w:t>1,000 in short term deferred revenue and $</w:t>
      </w:r>
      <w:bookmarkStart w:id="626" w:name="xdx_90B_eus-gaap--DeferredRevenueNoncurr"/>
      <w:bookmarkEnd w:id="626"/>
      <w:r>
        <w:rPr>
          <w:rFonts w:ascii="Times New Roman;Times;Serif" w:hAnsi="Times New Roman;Times;Serif"/>
          <w:b w:val="false"/>
          <w:i w:val="false"/>
          <w:caps w:val="false"/>
          <w:smallCaps w:val="false"/>
          <w:sz w:val="20"/>
        </w:rPr>
        <w:t>3,083 in long-term deferred revenue related to the license agreement. As of December 31, 2024, the Company has recorded $</w:t>
      </w:r>
      <w:bookmarkStart w:id="627" w:name="xdx_903_eus-gaap--DeferredRevenueCurrent"/>
      <w:bookmarkEnd w:id="627"/>
      <w:r>
        <w:rPr>
          <w:rFonts w:ascii="Times New Roman;Times;Serif" w:hAnsi="Times New Roman;Times;Serif"/>
          <w:b w:val="false"/>
          <w:i w:val="false"/>
          <w:caps w:val="false"/>
          <w:smallCaps w:val="false"/>
          <w:sz w:val="20"/>
        </w:rPr>
        <w:t>1,000 in short term deferred revenue and $</w:t>
      </w:r>
      <w:bookmarkStart w:id="628" w:name="xdx_90F_eus-gaap--DeferredRevenueNoncurr"/>
      <w:bookmarkEnd w:id="628"/>
      <w:r>
        <w:rPr>
          <w:rFonts w:ascii="Times New Roman;Times;Serif" w:hAnsi="Times New Roman;Times;Serif"/>
          <w:b w:val="false"/>
          <w:i w:val="false"/>
          <w:caps w:val="false"/>
          <w:smallCaps w:val="false"/>
          <w:sz w:val="20"/>
        </w:rPr>
        <w:t>3,583 in long-term deferred revenue related to the license agreement.</w:t>
      </w:r>
    </w:p>
    <w:p>
      <w:pPr>
        <w:pStyle w:val="TextBody"/>
        <w:bidi w:val="0"/>
        <w:spacing w:before="0" w:after="0"/>
        <w:jc w:val="both"/>
        <w:rPr>
          <w:caps/>
        </w:rPr>
      </w:pPr>
      <w:r>
        <w:rPr>
          <w:caps/>
        </w:rPr>
        <w:t> </w:t>
      </w:r>
    </w:p>
    <w:p>
      <w:pPr>
        <w:pStyle w:val="TextBody"/>
        <w:bidi w:val="0"/>
        <w:spacing w:before="0" w:after="0"/>
        <w:jc w:val="both"/>
        <w:rPr>
          <w:rFonts w:ascii="Times New Roman;Times;Serif" w:hAnsi="Times New Roman;Times;Serif"/>
          <w:b/>
          <w:i w:val="false"/>
          <w:caps/>
          <w:sz w:val="20"/>
        </w:rPr>
      </w:pPr>
      <w:bookmarkStart w:id="629" w:name="xdx_802_eus-gaap--RelatedPartyTransactio"/>
      <w:bookmarkEnd w:id="629"/>
      <w:r>
        <w:rPr>
          <w:rFonts w:ascii="Times New Roman;Times;Serif" w:hAnsi="Times New Roman;Times;Serif"/>
          <w:b/>
          <w:i w:val="false"/>
          <w:caps/>
          <w:sz w:val="20"/>
        </w:rPr>
        <w:t xml:space="preserve">Note 8 - </w:t>
      </w:r>
      <w:bookmarkStart w:id="630" w:name="xdx_82D_zh1x0qbcYuca"/>
      <w:bookmarkEnd w:id="630"/>
      <w:r>
        <w:rPr>
          <w:rFonts w:ascii="Times New Roman;Times;Serif" w:hAnsi="Times New Roman;Times;Serif"/>
          <w:b/>
          <w:i w:val="false"/>
          <w:caps/>
          <w:sz w:val="20"/>
        </w:rPr>
        <w:t>Related Party</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26, 2024 the Company entered into a convertible promissory note (the “January Note”) with a board member in the amount of $</w:t>
      </w:r>
      <w:bookmarkStart w:id="631" w:name="xdx_904_eus-gaap--ConvertibleNotesPayabl"/>
      <w:bookmarkEnd w:id="631"/>
      <w:r>
        <w:rPr>
          <w:rFonts w:ascii="Times New Roman;Times;Serif" w:hAnsi="Times New Roman;Times;Serif"/>
          <w:b w:val="false"/>
          <w:i w:val="false"/>
          <w:caps w:val="false"/>
          <w:smallCaps w:val="false"/>
          <w:sz w:val="20"/>
        </w:rPr>
        <w:t>1,000, or the January Principal Amount. Upon execution of the January Note and funding of the original principal sum, a payment of $</w:t>
      </w:r>
      <w:bookmarkStart w:id="632" w:name="xdx_90A_eus-gaap--DebtInstrumentFeeAmoun"/>
      <w:bookmarkEnd w:id="632"/>
      <w:r>
        <w:rPr>
          <w:rFonts w:ascii="Times New Roman;Times;Serif" w:hAnsi="Times New Roman;Times;Serif"/>
          <w:b w:val="false"/>
          <w:i w:val="false"/>
          <w:caps w:val="false"/>
          <w:smallCaps w:val="false"/>
          <w:sz w:val="20"/>
        </w:rPr>
        <w:t>50 (the “January Loan Fee”) was fully earned as of the date of the January Note and was due and payable in full in cash on February 2, 2024. The Company paid the January Principal Amount and the January Loan Fee on February 1, 2024.</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27, 2024 the Company entered into a convertible promissory note (the “February Note”) with a board member in the amount of $</w:t>
      </w:r>
      <w:bookmarkStart w:id="633" w:name="xdx_905_eus-gaap--ConvertibleNotesPayabl"/>
      <w:bookmarkEnd w:id="633"/>
      <w:r>
        <w:rPr>
          <w:rFonts w:ascii="Times New Roman;Times;Serif" w:hAnsi="Times New Roman;Times;Serif"/>
          <w:b w:val="false"/>
          <w:i w:val="false"/>
          <w:caps w:val="false"/>
          <w:smallCaps w:val="false"/>
          <w:sz w:val="20"/>
        </w:rPr>
        <w:t>1,700, or the February Principal Amount. Upon execution of the February Note and funding of the original principal sum, a payment of $</w:t>
      </w:r>
      <w:bookmarkStart w:id="634" w:name="xdx_906_eus-gaap--DebtInstrumentFeeAmoun"/>
      <w:bookmarkEnd w:id="634"/>
      <w:r>
        <w:rPr>
          <w:rFonts w:ascii="Times New Roman;Times;Serif" w:hAnsi="Times New Roman;Times;Serif"/>
          <w:b w:val="false"/>
          <w:i w:val="false"/>
          <w:caps w:val="false"/>
          <w:smallCaps w:val="false"/>
          <w:sz w:val="20"/>
        </w:rPr>
        <w:t>85 (the “February Loan Fee”) was fully earned as of the date of the February Note and was due and payable in full in cash on March 1, 2024. The Company paid the February Principal Amount and the February Loan Fee on March 1, 2024.</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April 12, 2024, the Company entered into amendments to the employment agreements with its Chief Executive Officer, its Chief Revenue Officer and its Chief Marketing Officer to amend the terms of their annual equity compensation (the “Amended Employee Agreements”). The Amended Employee Agreements allow the Company to issue a combination of cash and equity awards on an annual basis up to a specified amount ($</w:t>
      </w:r>
      <w:bookmarkStart w:id="635" w:name="xdx_900_eus-gaap--StockIssuedDuringPerio"/>
      <w:bookmarkEnd w:id="635"/>
      <w:r>
        <w:rPr>
          <w:rFonts w:ascii="Times New Roman;Times;Serif" w:hAnsi="Times New Roman;Times;Serif"/>
          <w:b w:val="false"/>
          <w:i w:val="false"/>
          <w:caps w:val="false"/>
          <w:smallCaps w:val="false"/>
          <w:sz w:val="20"/>
        </w:rPr>
        <w:t>1,532 for the Chief Executive Officer, $</w:t>
      </w:r>
      <w:bookmarkStart w:id="636" w:name="xdx_90A_eus-gaap--StockIssuedDuringPerio"/>
      <w:bookmarkEnd w:id="636"/>
      <w:r>
        <w:rPr>
          <w:rFonts w:ascii="Times New Roman;Times;Serif" w:hAnsi="Times New Roman;Times;Serif"/>
          <w:b w:val="false"/>
          <w:i w:val="false"/>
          <w:caps w:val="false"/>
          <w:smallCaps w:val="false"/>
          <w:sz w:val="20"/>
        </w:rPr>
        <w:t>490 for the Chief Revenue Officer and $</w:t>
      </w:r>
      <w:bookmarkStart w:id="637" w:name="xdx_900_eus-gaap--StockIssuedDuringPerio"/>
      <w:bookmarkEnd w:id="637"/>
      <w:r>
        <w:rPr>
          <w:rFonts w:ascii="Times New Roman;Times;Serif" w:hAnsi="Times New Roman;Times;Serif"/>
          <w:b w:val="false"/>
          <w:i w:val="false"/>
          <w:caps w:val="false"/>
          <w:smallCaps w:val="false"/>
          <w:sz w:val="20"/>
        </w:rPr>
        <w:t>236 for the Chief Marketing Officer), subject to approval and such other terms and conditions imposed by the compensation committee of the board of directors.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 2025, the Company appointed Dr. Vickram Singh, the Company’s former Senior Vice President of Technology, as its Chief Operating Officer pursuant to an employment agreement, dated February 1, 2025 (the “Employment Agreement”). Dr. Singh’s employment as the Company’s Chief Operating Officer commenced on February 4, 2025. The Employment Agreement provides for a three-year initial employment term, with automatic three-year renewal terms thereafter, subject to 90 days’ notice of nonrenewal by either party. The Employment Agreement also provides for an initial annual base salary of $</w:t>
      </w:r>
      <w:bookmarkStart w:id="638" w:name="xdx_90E_eus-gaap--SalariesAndWages_pn3n3"/>
      <w:bookmarkEnd w:id="638"/>
      <w:r>
        <w:rPr>
          <w:rFonts w:ascii="Times New Roman;Times;Serif" w:hAnsi="Times New Roman;Times;Serif"/>
          <w:b w:val="false"/>
          <w:i w:val="false"/>
          <w:caps w:val="false"/>
          <w:smallCaps w:val="false"/>
          <w:sz w:val="20"/>
        </w:rPr>
        <w:t xml:space="preserve">350,000 (the “Base Salary”) and a discretionary annual bonus of up to </w:t>
      </w:r>
      <w:bookmarkStart w:id="639" w:name="xdx_902_ecustom--PercentageOfSalariesAnd"/>
      <w:bookmarkEnd w:id="639"/>
      <w:r>
        <w:rPr>
          <w:rFonts w:ascii="Times New Roman;Times;Serif" w:hAnsi="Times New Roman;Times;Serif"/>
          <w:b w:val="false"/>
          <w:i w:val="false"/>
          <w:caps w:val="false"/>
          <w:smallCaps w:val="false"/>
          <w:sz w:val="20"/>
        </w:rPr>
        <w:t>65% of the Base Salary.</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Notes to Consolidated Financial Statements</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jc w:val="center"/>
        <w:rPr>
          <w:caps/>
        </w:rPr>
      </w:pPr>
      <w:r>
        <w:rPr>
          <w:caps/>
        </w:rPr>
        <w:t> </w:t>
      </w:r>
    </w:p>
    <w:p>
      <w:pPr>
        <w:pStyle w:val="TextBody"/>
        <w:bidi w:val="0"/>
        <w:spacing w:before="0" w:after="0"/>
        <w:jc w:val="both"/>
        <w:rPr>
          <w:rFonts w:ascii="Times New Roman;Times;Serif" w:hAnsi="Times New Roman;Times;Serif"/>
          <w:b/>
          <w:i w:val="false"/>
          <w:caps/>
          <w:sz w:val="20"/>
        </w:rPr>
      </w:pPr>
      <w:bookmarkStart w:id="640" w:name="xdx_80C_ecustom--WarrantLiabilitiesDiscl"/>
      <w:bookmarkEnd w:id="640"/>
      <w:r>
        <w:rPr>
          <w:rFonts w:ascii="Times New Roman;Times;Serif" w:hAnsi="Times New Roman;Times;Serif"/>
          <w:b/>
          <w:i w:val="false"/>
          <w:caps/>
          <w:sz w:val="20"/>
        </w:rPr>
        <w:t xml:space="preserve">Note 9 - </w:t>
      </w:r>
      <w:bookmarkStart w:id="641" w:name="xdx_825_zobzExLGBQZh"/>
      <w:bookmarkEnd w:id="641"/>
      <w:r>
        <w:rPr>
          <w:rFonts w:ascii="Times New Roman;Times;Serif" w:hAnsi="Times New Roman;Times;Serif"/>
          <w:b/>
          <w:i w:val="false"/>
          <w:caps/>
          <w:sz w:val="20"/>
        </w:rPr>
        <w:t>Warrants</w:t>
      </w:r>
    </w:p>
    <w:p>
      <w:pPr>
        <w:pStyle w:val="TextBody"/>
        <w:bidi w:val="0"/>
        <w:spacing w:before="0" w:after="0"/>
        <w:jc w:val="both"/>
        <w:rPr>
          <w:caps/>
        </w:rPr>
      </w:pPr>
      <w:r>
        <w:rPr>
          <w:caps/>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 Warrants classified as Equity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Public Warrants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Public Warrants are classified as equity and as of June 30, 2025 and December 31, 2024, there were </w:t>
      </w:r>
      <w:bookmarkStart w:id="642" w:name="xdx_906_eus-gaap--ShareBasedCompensation"/>
      <w:bookmarkStart w:id="643" w:name="xdx_904_eus-gaap--ShareBasedCompensation"/>
      <w:bookmarkStart w:id="644" w:name="xdx_90A_eus-gaap--ShareBasedCompensation"/>
      <w:bookmarkStart w:id="645" w:name="xdx_907_eus-gaap--ShareBasedCompensation"/>
      <w:bookmarkEnd w:id="642"/>
      <w:bookmarkEnd w:id="643"/>
      <w:bookmarkEnd w:id="644"/>
      <w:bookmarkEnd w:id="645"/>
      <w:r>
        <w:rPr>
          <w:rFonts w:ascii="Times New Roman;Times;Serif" w:hAnsi="Times New Roman;Times;Serif"/>
          <w:b w:val="false"/>
          <w:i w:val="false"/>
          <w:caps w:val="false"/>
          <w:smallCaps w:val="false"/>
          <w:sz w:val="20"/>
        </w:rPr>
        <w:t>1,046,948 Public Warrants issued and outstanding.</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three and six months ended June 30, 2025 and 2024, </w:t>
      </w:r>
      <w:bookmarkStart w:id="646" w:name="xdx_90A_eus-gaap--ProceedsFromWarrantExe"/>
      <w:bookmarkStart w:id="647" w:name="xdx_901_eus-gaap--ProceedsFromWarrantExe"/>
      <w:bookmarkStart w:id="648" w:name="xdx_90E_eus-gaap--ProceedsFromWarrantExe"/>
      <w:bookmarkStart w:id="649" w:name="xdx_905_eus-gaap--ProceedsFromWarrantExe"/>
      <w:bookmarkEnd w:id="646"/>
      <w:bookmarkEnd w:id="647"/>
      <w:bookmarkEnd w:id="648"/>
      <w:bookmarkEnd w:id="649"/>
      <w:r>
        <w:rPr>
          <w:rFonts w:ascii="Times New Roman;Times;Serif" w:hAnsi="Times New Roman;Times;Serif"/>
          <w:b w:val="false"/>
          <w:i w:val="false"/>
          <w:caps w:val="false"/>
          <w:smallCaps w:val="false"/>
          <w:sz w:val="20"/>
        </w:rPr>
        <w:t>no public warrants were exercised.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June 2023 Offering (Underwriter and Investor Warrants)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entry into the underwriting agreement as further described in Note 11 of the financial statements, (the “June 2023 Offering”) the Company issued (i) underwriters warrants to purchase up to an aggregate of </w:t>
      </w:r>
      <w:bookmarkStart w:id="650" w:name="xdx_900_eus-gaap--ClassOfWarrantOrRightN"/>
      <w:bookmarkEnd w:id="650"/>
      <w:r>
        <w:rPr>
          <w:rFonts w:ascii="Times New Roman;Times;Serif" w:hAnsi="Times New Roman;Times;Serif"/>
          <w:b w:val="false"/>
          <w:i w:val="false"/>
          <w:caps w:val="false"/>
          <w:smallCaps w:val="false"/>
          <w:sz w:val="20"/>
        </w:rPr>
        <w:t xml:space="preserve">63,362 shares of common stock (the “Underwriters’ Warrants”) which are exercisable upon issuance and will expire on </w:t>
      </w:r>
      <w:bookmarkStart w:id="651" w:name="xdx_904_eus-gaap--WarrantsAndRightsOutst"/>
      <w:bookmarkEnd w:id="651"/>
      <w:r>
        <w:rPr>
          <w:rFonts w:ascii="Times New Roman;Times;Serif" w:hAnsi="Times New Roman;Times;Serif"/>
          <w:b w:val="false"/>
          <w:i w:val="false"/>
          <w:caps w:val="false"/>
          <w:smallCaps w:val="false"/>
          <w:sz w:val="20"/>
        </w:rPr>
        <w:t>June 20, 2028. The initial exercise price of the Underwriters’ Warrants is $</w:t>
      </w:r>
      <w:bookmarkStart w:id="652" w:name="xdx_90E_eus-gaap--ClassOfWarrantOrRightE"/>
      <w:bookmarkEnd w:id="652"/>
      <w:r>
        <w:rPr>
          <w:rFonts w:ascii="Times New Roman;Times;Serif" w:hAnsi="Times New Roman;Times;Serif"/>
          <w:b w:val="false"/>
          <w:i w:val="false"/>
          <w:caps w:val="false"/>
          <w:smallCaps w:val="false"/>
          <w:sz w:val="20"/>
        </w:rPr>
        <w:t xml:space="preserve">22.50 per share, which equals </w:t>
      </w:r>
      <w:bookmarkStart w:id="653" w:name="xdx_908_ecustom--ClassOfWarrantOrRightEx"/>
      <w:bookmarkEnd w:id="653"/>
      <w:r>
        <w:rPr>
          <w:rFonts w:ascii="Times New Roman;Times;Serif" w:hAnsi="Times New Roman;Times;Serif"/>
          <w:b w:val="false"/>
          <w:i w:val="false"/>
          <w:caps w:val="false"/>
          <w:smallCaps w:val="false"/>
          <w:sz w:val="20"/>
        </w:rPr>
        <w:t xml:space="preserve">125% of the per share public offering price in the June 2023 Offering and (ii) warrants to purchase up to </w:t>
      </w:r>
      <w:bookmarkStart w:id="654" w:name="xdx_90F_eus-gaap--ClassOfWarrantOrRightN"/>
      <w:bookmarkEnd w:id="654"/>
      <w:r>
        <w:rPr>
          <w:rFonts w:ascii="Times New Roman;Times;Serif" w:hAnsi="Times New Roman;Times;Serif"/>
          <w:b w:val="false"/>
          <w:i w:val="false"/>
          <w:caps w:val="false"/>
          <w:smallCaps w:val="false"/>
          <w:sz w:val="20"/>
        </w:rPr>
        <w:t>1,111,111 shares of common stock to the investors in the offering together with shares of common stock (the “Investor Warrants”), at the combined public offering price of $</w:t>
      </w:r>
      <w:bookmarkStart w:id="655" w:name="xdx_90F_eus-gaap--SharesIssuedPricePerSh"/>
      <w:bookmarkEnd w:id="655"/>
      <w:r>
        <w:rPr>
          <w:rFonts w:ascii="Times New Roman;Times;Serif" w:hAnsi="Times New Roman;Times;Serif"/>
          <w:b w:val="false"/>
          <w:i w:val="false"/>
          <w:caps w:val="false"/>
          <w:smallCaps w:val="false"/>
          <w:sz w:val="20"/>
        </w:rPr>
        <w:t>18.00 per share of common stock and accompanying Investor Warrant, less underwriting discounts and commissions.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also granted the underwriters a 45-day over-allotment option to purchase up to an additional </w:t>
      </w:r>
      <w:bookmarkStart w:id="656" w:name="xdx_900_eus-gaap--ShareBasedCompensation"/>
      <w:bookmarkEnd w:id="656"/>
      <w:r>
        <w:rPr>
          <w:rFonts w:ascii="Times New Roman;Times;Serif" w:hAnsi="Times New Roman;Times;Serif"/>
          <w:b w:val="false"/>
          <w:i w:val="false"/>
          <w:caps w:val="false"/>
          <w:smallCaps w:val="false"/>
          <w:sz w:val="20"/>
        </w:rPr>
        <w:t xml:space="preserve">166,667 shares of common stock and/or Investor Warrants to purchase up to </w:t>
      </w:r>
      <w:bookmarkStart w:id="657" w:name="xdx_908_eus-gaap--ClassOfWarrantOrRightN"/>
      <w:bookmarkEnd w:id="657"/>
      <w:r>
        <w:rPr>
          <w:rFonts w:ascii="Times New Roman;Times;Serif" w:hAnsi="Times New Roman;Times;Serif"/>
          <w:b w:val="false"/>
          <w:i w:val="false"/>
          <w:caps w:val="false"/>
          <w:smallCaps w:val="false"/>
          <w:sz w:val="20"/>
        </w:rPr>
        <w:t xml:space="preserve">166,667 shares of common stock at the public offering price per security, less underwriting discounts and commissions. The underwriters exercised their over-allotment option to purchase an additional </w:t>
      </w:r>
      <w:bookmarkStart w:id="658" w:name="xdx_90C_eus-gaap--ShareBasedCompensation"/>
      <w:bookmarkEnd w:id="658"/>
      <w:r>
        <w:rPr>
          <w:rFonts w:ascii="Times New Roman;Times;Serif" w:hAnsi="Times New Roman;Times;Serif"/>
          <w:b w:val="false"/>
          <w:i w:val="false"/>
          <w:caps w:val="false"/>
          <w:smallCaps w:val="false"/>
          <w:sz w:val="20"/>
        </w:rPr>
        <w:t xml:space="preserve">156,112 shares of common stock and Investor Warrants to purchase up to </w:t>
      </w:r>
      <w:bookmarkStart w:id="659" w:name="xdx_907_eus-gaap--ClassOfWarrantOrRightN"/>
      <w:bookmarkEnd w:id="659"/>
      <w:r>
        <w:rPr>
          <w:rFonts w:ascii="Times New Roman;Times;Serif" w:hAnsi="Times New Roman;Times;Serif"/>
          <w:b w:val="false"/>
          <w:i w:val="false"/>
          <w:caps w:val="false"/>
          <w:smallCaps w:val="false"/>
          <w:sz w:val="20"/>
        </w:rPr>
        <w:t>156,112 shares of common stock. The Company accounts for the Investor Warrants issued in connection with the Offering in accordance with the guidance contained in ASC 815-40. Such guidance provides that because the Investor Warrants do not meet the criteria for equity treatment thereunder, each warrant must be recorded as a liability. This liability is subject to re-measurement at each balance sheet date. With each such re-measurement, the warrant liabilities will be adjusted to its current fair value, with the change in fair value recognized in the Company’s statement of operations. The Company will reassess the classification at each balance sheet date. It was determined that the Underwriters’ Warrants were not precluded from equity treatment and have been accounted for as such.</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bookmarkStart w:id="660" w:name="xdx_894_ecustom--ScheduleofUnderwriterWa"/>
      <w:bookmarkEnd w:id="660"/>
      <w:r>
        <w:rPr>
          <w:rFonts w:ascii="Times New Roman;Times;Serif" w:hAnsi="Times New Roman;Times;Serif"/>
          <w:b w:val="false"/>
          <w:i w:val="false"/>
          <w:caps w:val="false"/>
          <w:smallCaps w:val="false"/>
          <w:sz w:val="20"/>
        </w:rPr>
        <w:t>Underwriters’ Warrants: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bookmarkStart w:id="661" w:name="xdx_8BD_zFUPw3QV6Tvh"/>
      <w:bookmarkEnd w:id="661"/>
      <w:r>
        <w:rPr>
          <w:rFonts w:ascii="Times New Roman;Times;Serif" w:hAnsi="Times New Roman;Times;Serif"/>
          <w:b w:val="false"/>
          <w:i w:val="false"/>
          <w:caps w:val="false"/>
          <w:smallCaps w:val="false"/>
          <w:sz w:val="20"/>
        </w:rPr>
        <w:t>SCHEDULE OF UNDERWRITER WARRANTS</w:t>
      </w:r>
    </w:p>
    <w:tbl>
      <w:tblPr>
        <w:tblW w:w="7674" w:type="dxa"/>
        <w:jc w:val="left"/>
        <w:tblInd w:w="0" w:type="dxa"/>
        <w:tblLayout w:type="fixed"/>
        <w:tblCellMar>
          <w:top w:w="0" w:type="dxa"/>
          <w:left w:w="0" w:type="dxa"/>
          <w:bottom w:w="0" w:type="dxa"/>
          <w:right w:w="0" w:type="dxa"/>
        </w:tblCellMar>
      </w:tblPr>
      <w:tblGrid>
        <w:gridCol w:w="5120"/>
        <w:gridCol w:w="60"/>
        <w:gridCol w:w="195"/>
        <w:gridCol w:w="2224"/>
        <w:gridCol w:w="75"/>
      </w:tblGrid>
      <w:tr>
        <w:trPr/>
        <w:tc>
          <w:tcPr>
            <w:tcW w:w="51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662" w:name="xdx_4BA_us-gaap--StatementClassOfStockAx"/>
            <w:bookmarkEnd w:id="662"/>
          </w:p>
        </w:tc>
        <w:tc>
          <w:tcPr>
            <w:tcW w:w="241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Common Stock Warrants</w:t>
            </w:r>
          </w:p>
        </w:tc>
        <w:tc>
          <w:tcPr>
            <w:tcW w:w="75" w:type="dxa"/>
            <w:tcBorders/>
            <w:vAlign w:val="center"/>
          </w:tcPr>
          <w:p>
            <w:pPr>
              <w:pStyle w:val="TableContents"/>
              <w:bidi w:val="0"/>
              <w:spacing w:before="0" w:after="283"/>
              <w:jc w:val="left"/>
              <w:rPr/>
            </w:pPr>
            <w:r>
              <w:rPr/>
              <w:t> </w:t>
            </w:r>
            <w:bookmarkStart w:id="663" w:name="xdx_435_c20250101__20250630_eus-gaap--Cl"/>
            <w:bookmarkEnd w:id="663"/>
          </w:p>
        </w:tc>
      </w:tr>
      <w:tr>
        <w:trPr/>
        <w:tc>
          <w:tcPr>
            <w:tcW w:w="51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Underwriters’ Warrants Outstanding, January 1, 2025</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222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63,362</w:t>
            </w:r>
          </w:p>
        </w:tc>
        <w:tc>
          <w:tcPr>
            <w:tcW w:w="75" w:type="dxa"/>
            <w:tcBorders/>
            <w:shd w:fill="CCEEFF" w:val="clear"/>
            <w:vAlign w:val="center"/>
          </w:tcPr>
          <w:p>
            <w:pPr>
              <w:pStyle w:val="TableContents"/>
              <w:bidi w:val="0"/>
              <w:spacing w:before="0" w:after="283"/>
              <w:jc w:val="left"/>
              <w:rPr/>
            </w:pPr>
            <w:r>
              <w:rPr/>
              <w:t> </w:t>
            </w:r>
            <w:bookmarkStart w:id="664" w:name="xdx_437_c20250101__20250630_eus-gaap--Cl"/>
            <w:bookmarkEnd w:id="664"/>
          </w:p>
        </w:tc>
      </w:tr>
      <w:tr>
        <w:trPr/>
        <w:tc>
          <w:tcPr>
            <w:tcW w:w="51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Underwriters’ Warrants Outstanding, Beginning</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222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63,362</w:t>
            </w:r>
          </w:p>
        </w:tc>
        <w:tc>
          <w:tcPr>
            <w:tcW w:w="75" w:type="dxa"/>
            <w:tcBorders/>
            <w:shd w:fill="CCEEFF" w:val="clear"/>
            <w:vAlign w:val="center"/>
          </w:tcPr>
          <w:p>
            <w:pPr>
              <w:pStyle w:val="TableContents"/>
              <w:bidi w:val="0"/>
              <w:spacing w:before="0" w:after="283"/>
              <w:jc w:val="left"/>
              <w:rPr/>
            </w:pPr>
            <w:r>
              <w:rPr/>
              <w:t> </w:t>
            </w:r>
            <w:bookmarkStart w:id="665" w:name="xdx_40D_ecustom--ClassOfWarrantOrRightIs"/>
            <w:bookmarkEnd w:id="665"/>
          </w:p>
        </w:tc>
      </w:tr>
      <w:tr>
        <w:trPr/>
        <w:tc>
          <w:tcPr>
            <w:tcW w:w="512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Underwriters’ Warrants issued</w:t>
            </w:r>
          </w:p>
        </w:tc>
        <w:tc>
          <w:tcPr>
            <w:tcW w:w="60" w:type="dxa"/>
            <w:tcBorders/>
            <w:shd w:fill="FFFFFF" w:val="clear"/>
            <w:vAlign w:val="center"/>
          </w:tcPr>
          <w:p>
            <w:pPr>
              <w:pStyle w:val="TableContents"/>
              <w:bidi w:val="0"/>
              <w:spacing w:before="0" w:after="283"/>
              <w:jc w:val="left"/>
              <w:rPr/>
            </w:pPr>
            <w:r>
              <w:rPr/>
              <w:t> </w:t>
            </w:r>
          </w:p>
        </w:tc>
        <w:tc>
          <w:tcPr>
            <w:tcW w:w="1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22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FFFFFF" w:val="clear"/>
            <w:vAlign w:val="center"/>
          </w:tcPr>
          <w:p>
            <w:pPr>
              <w:pStyle w:val="TableContents"/>
              <w:bidi w:val="0"/>
              <w:spacing w:before="0" w:after="283"/>
              <w:jc w:val="left"/>
              <w:rPr/>
            </w:pPr>
            <w:r>
              <w:rPr/>
              <w:t> </w:t>
            </w:r>
            <w:bookmarkStart w:id="666" w:name="xdx_436_c20250101__20250630_eus-gaap--Cl"/>
            <w:bookmarkEnd w:id="666"/>
          </w:p>
        </w:tc>
      </w:tr>
      <w:tr>
        <w:trPr/>
        <w:tc>
          <w:tcPr>
            <w:tcW w:w="51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Underwriters’ Warrants Outstanding, June 30, 2025</w:t>
            </w:r>
          </w:p>
        </w:tc>
        <w:tc>
          <w:tcPr>
            <w:tcW w:w="60" w:type="dxa"/>
            <w:tcBorders/>
            <w:shd w:fill="CCEEFF" w:val="clear"/>
            <w:vAlign w:val="center"/>
          </w:tcPr>
          <w:p>
            <w:pPr>
              <w:pStyle w:val="TableContents"/>
              <w:bidi w:val="0"/>
              <w:spacing w:before="0" w:after="283"/>
              <w:jc w:val="left"/>
              <w:rPr/>
            </w:pPr>
            <w:r>
              <w:rPr/>
              <w:t> </w:t>
            </w:r>
          </w:p>
        </w:tc>
        <w:tc>
          <w:tcPr>
            <w:tcW w:w="19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222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63,362</w:t>
            </w:r>
          </w:p>
        </w:tc>
        <w:tc>
          <w:tcPr>
            <w:tcW w:w="75" w:type="dxa"/>
            <w:tcBorders/>
            <w:shd w:fill="CCEEFF" w:val="clear"/>
            <w:vAlign w:val="center"/>
          </w:tcPr>
          <w:p>
            <w:pPr>
              <w:pStyle w:val="TableContents"/>
              <w:bidi w:val="0"/>
              <w:spacing w:before="0" w:after="283"/>
              <w:jc w:val="left"/>
              <w:rPr/>
            </w:pPr>
            <w:r>
              <w:rPr/>
              <w:t> </w:t>
            </w:r>
            <w:bookmarkStart w:id="667" w:name="xdx_439_c20250101__20250630_eus-gaap--Cl"/>
            <w:bookmarkEnd w:id="667"/>
          </w:p>
        </w:tc>
      </w:tr>
      <w:tr>
        <w:trPr/>
        <w:tc>
          <w:tcPr>
            <w:tcW w:w="51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Underwriters’ Warrants Outstanding, Ending</w:t>
            </w:r>
          </w:p>
        </w:tc>
        <w:tc>
          <w:tcPr>
            <w:tcW w:w="60" w:type="dxa"/>
            <w:tcBorders/>
            <w:shd w:fill="CCEEFF" w:val="clear"/>
            <w:vAlign w:val="center"/>
          </w:tcPr>
          <w:p>
            <w:pPr>
              <w:pStyle w:val="TableContents"/>
              <w:bidi w:val="0"/>
              <w:spacing w:before="0" w:after="283"/>
              <w:jc w:val="left"/>
              <w:rPr/>
            </w:pPr>
            <w:r>
              <w:rPr/>
              <w:t> </w:t>
            </w:r>
          </w:p>
        </w:tc>
        <w:tc>
          <w:tcPr>
            <w:tcW w:w="19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222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63,362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bookmarkStart w:id="668" w:name="xdx_8A9_zEhsfzlJGXT"/>
      <w:bookmarkEnd w:id="668"/>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 Warrants classified as Liability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Private Placement Warrants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There were </w:t>
      </w:r>
      <w:bookmarkStart w:id="669" w:name="xdx_908_eus-gaap--ClassOfWarrantOrRightO"/>
      <w:bookmarkStart w:id="670" w:name="xdx_909_eus-gaap--ClassOfWarrantOrRightO"/>
      <w:bookmarkEnd w:id="669"/>
      <w:bookmarkEnd w:id="670"/>
      <w:r>
        <w:rPr>
          <w:rFonts w:ascii="Times New Roman;Times;Serif" w:hAnsi="Times New Roman;Times;Serif"/>
          <w:b w:val="false"/>
          <w:i w:val="false"/>
          <w:caps w:val="false"/>
          <w:smallCaps w:val="false"/>
          <w:sz w:val="20"/>
        </w:rPr>
        <w:t>166,821 private warrants (the “Private Placement Warrants”) outstanding as of June 30, 2025 and December 31, 2024, respectively. The Company accounts for the Private Placement Warrants issued in connection with the Initial Public Offering in accordance with the guidance contained in ASC 815-40. Such guidance provides that because the private warrants do not meet the criteria for equity treatment thereunder, each private warrant must be recorded as a liability. This liability is subject to re-measurement at each balance sheet date.</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Notes to Consolidated Financial Statements</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jc w:val="center"/>
        <w:rPr>
          <w:caps/>
        </w:rPr>
      </w:pPr>
      <w:r>
        <w:rPr>
          <w:caps/>
        </w:rPr>
        <w:t> </w:t>
      </w:r>
    </w:p>
    <w:p>
      <w:pPr>
        <w:pStyle w:val="TextBody"/>
        <w:bidi w:val="0"/>
        <w:spacing w:before="0" w:after="0"/>
        <w:jc w:val="both"/>
        <w:rPr>
          <w:rFonts w:ascii="Times New Roman;Times;Serif" w:hAnsi="Times New Roman;Times;Serif"/>
          <w:b/>
          <w:i w:val="false"/>
          <w:caps/>
          <w:sz w:val="20"/>
        </w:rPr>
      </w:pPr>
      <w:r>
        <w:rPr>
          <w:rFonts w:ascii="Times New Roman;Times;Serif" w:hAnsi="Times New Roman;Times;Serif"/>
          <w:b/>
          <w:i w:val="false"/>
          <w:caps/>
          <w:sz w:val="20"/>
        </w:rPr>
        <w:t>Note 9 - Warrants (Continued)</w:t>
      </w:r>
    </w:p>
    <w:p>
      <w:pPr>
        <w:pStyle w:val="TextBody"/>
        <w:bidi w:val="0"/>
        <w:spacing w:before="0" w:after="0"/>
        <w:jc w:val="both"/>
        <w:rPr>
          <w:caps/>
        </w:rPr>
      </w:pPr>
      <w:r>
        <w:rPr>
          <w:caps/>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 Warrants classified as Liability (Continued)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Private Placement Warrants (Continued)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each such re-measurement, the warrant liabilities will be adjusted to its current fair value, with the change in fair value recognized in the Company’s statement of operations. The Company will reassess the classification at each balance sheet date.</w:t>
      </w:r>
    </w:p>
    <w:p>
      <w:pPr>
        <w:pStyle w:val="TextBody"/>
        <w:bidi w:val="0"/>
        <w:spacing w:before="0" w:after="0"/>
        <w:jc w:val="both"/>
        <w:rPr>
          <w:caps/>
        </w:rPr>
      </w:pPr>
      <w:r>
        <w:rPr>
          <w:caps/>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Private Placement Warrants are classified as Level 2 within the fair value hierarchy. Although these instruments are not actively traded, they are valued based on observable inputs, including the market price of the Company’s publicly traded warrants. The Company used a Black-Scholes model to estimate the fair value of the Private Placement Warrants, applying a discount to the value of the Public Warrants to account for the difference in remaining life. Because the valuation primarily relies on observable market data with limited adjustments, the Company determined that classification within Level 2 is appropriate.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Term Loan Warrants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May 13, 2024, the Company received a waiver, or the May 2024 Waiver, in regards to its compliance with the fixed charge coverage ratio and maximum senior leverage ratio with respect to the minimum cash requirements ( the “Tests”) as of the last day of the quarter ended March 31, 2024. The May 2024 Waiver provided for a one-time issuance of the May 2024 Penny Warrants to purchase up to </w:t>
      </w:r>
      <w:bookmarkStart w:id="671" w:name="xdx_905_eus-gaap--ClassOfWarrantOrRightN"/>
      <w:bookmarkEnd w:id="671"/>
      <w:r>
        <w:rPr>
          <w:rFonts w:ascii="Times New Roman;Times;Serif" w:hAnsi="Times New Roman;Times;Serif"/>
          <w:b w:val="false"/>
          <w:i w:val="false"/>
          <w:caps w:val="false"/>
          <w:smallCaps w:val="false"/>
          <w:sz w:val="20"/>
        </w:rPr>
        <w:t>283,334 shares of the Company’s common stock, at an exercise price of $</w:t>
      </w:r>
      <w:bookmarkStart w:id="672" w:name="xdx_90F_eus-gaap--ClassOfWarrantOrRightE"/>
      <w:bookmarkEnd w:id="672"/>
      <w:r>
        <w:rPr>
          <w:rFonts w:ascii="Times New Roman;Times;Serif" w:hAnsi="Times New Roman;Times;Serif"/>
          <w:b w:val="false"/>
          <w:i w:val="false"/>
          <w:caps w:val="false"/>
          <w:smallCaps w:val="false"/>
          <w:sz w:val="20"/>
        </w:rPr>
        <w:t xml:space="preserve">0.09 per share, in connection with the Term Loan Lenders’ agreement to waive the Tests under the Term Loan for the quarter ended March 31, 2024. The May 2024 Penny Warrants were immediately exercisable upon issuance and will expire ten </w:t>
      </w:r>
      <w:bookmarkStart w:id="673" w:name="xdx_90C_eus-gaap--WarrantsAndRightsOutst"/>
      <w:bookmarkEnd w:id="673"/>
      <w:r>
        <w:rPr>
          <w:rFonts w:ascii="Times New Roman;Times;Serif" w:hAnsi="Times New Roman;Times;Serif"/>
          <w:b w:val="false"/>
          <w:i w:val="false"/>
          <w:caps w:val="false"/>
          <w:smallCaps w:val="false"/>
          <w:sz w:val="20"/>
        </w:rPr>
        <w:t>10 years from the date of issuance.</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June 28, 2024, the Company entered into the First Amendment to the Term Loan with the Term Loan Lenders in regards to its compliance with the Tests for the quarter ended June 30, 2024. The First Amendment provided for a one-time issuance of the June 2024 Penny Warrants to purchase up to </w:t>
      </w:r>
      <w:bookmarkStart w:id="674" w:name="xdx_90B_eus-gaap--ClassOfWarrantOrRightN"/>
      <w:bookmarkEnd w:id="674"/>
      <w:r>
        <w:rPr>
          <w:rFonts w:ascii="Times New Roman;Times;Serif" w:hAnsi="Times New Roman;Times;Serif"/>
          <w:b w:val="false"/>
          <w:i w:val="false"/>
          <w:caps w:val="false"/>
          <w:smallCaps w:val="false"/>
          <w:sz w:val="20"/>
        </w:rPr>
        <w:t>233,334 shares of the Company’s common stock, at an exercise price of $</w:t>
      </w:r>
      <w:bookmarkStart w:id="675" w:name="xdx_90C_eus-gaap--ClassOfWarrantOrRightE"/>
      <w:bookmarkEnd w:id="675"/>
      <w:r>
        <w:rPr>
          <w:rFonts w:ascii="Times New Roman;Times;Serif" w:hAnsi="Times New Roman;Times;Serif"/>
          <w:b w:val="false"/>
          <w:i w:val="false"/>
          <w:caps w:val="false"/>
          <w:smallCaps w:val="false"/>
          <w:sz w:val="20"/>
        </w:rPr>
        <w:t xml:space="preserve">0.09 per share, in connection with the Term Loan Lenders’ agreement to waive the Tests under the Term Loan for the quarter ended June 30, 2024 and certain amendments to the Term Loan. The June 2024 Penny Warrants are immediately exercisable upon issuance and will expire ten </w:t>
      </w:r>
      <w:bookmarkStart w:id="676" w:name="xdx_90B_eus-gaap--WarrantsAndRightsOutst"/>
      <w:bookmarkEnd w:id="676"/>
      <w:r>
        <w:rPr>
          <w:rFonts w:ascii="Times New Roman;Times;Serif" w:hAnsi="Times New Roman;Times;Serif"/>
          <w:b w:val="false"/>
          <w:i w:val="false"/>
          <w:caps w:val="false"/>
          <w:smallCaps w:val="false"/>
          <w:sz w:val="20"/>
        </w:rPr>
        <w:t>10 years from the date of issuance.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30, 2024, the Company entered into the Third Amendment to the Term Loan with the Term Loan Lenders in regards to its compliance with the Tests for the quarter ended September 30, 2024. The Third Amendment provided for a one-time issuance the September 2024 Penny Warrants to purchase up to </w:t>
      </w:r>
      <w:bookmarkStart w:id="677" w:name="xdx_902_eus-gaap--ClassOfWarrantOrRightN"/>
      <w:bookmarkEnd w:id="677"/>
      <w:r>
        <w:rPr>
          <w:rFonts w:ascii="Times New Roman;Times;Serif" w:hAnsi="Times New Roman;Times;Serif"/>
          <w:b w:val="false"/>
          <w:i w:val="false"/>
          <w:caps w:val="false"/>
          <w:smallCaps w:val="false"/>
          <w:sz w:val="20"/>
        </w:rPr>
        <w:t>333,334 shares of the Company’s common stock, at an exercise price of $</w:t>
      </w:r>
      <w:bookmarkStart w:id="678" w:name="xdx_90E_eus-gaap--ClassOfWarrantOrRightE"/>
      <w:bookmarkEnd w:id="678"/>
      <w:r>
        <w:rPr>
          <w:rFonts w:ascii="Times New Roman;Times;Serif" w:hAnsi="Times New Roman;Times;Serif"/>
          <w:b w:val="false"/>
          <w:i w:val="false"/>
          <w:caps w:val="false"/>
          <w:smallCaps w:val="false"/>
          <w:sz w:val="20"/>
        </w:rPr>
        <w:t xml:space="preserve">0.09 per share, in connection with the Term Loan Lenders agreement to waive the Tests under the Term Loan for the quarter ended September 30, 2024 and to amend the Term Loan. The September 2024 Penny Warrants are immediately exercisable upon issuance and will expire ten </w:t>
      </w:r>
      <w:bookmarkStart w:id="679" w:name="xdx_909_eus-gaap--WarrantsAndRightsOutst"/>
      <w:bookmarkEnd w:id="679"/>
      <w:r>
        <w:rPr>
          <w:rFonts w:ascii="Times New Roman;Times;Serif" w:hAnsi="Times New Roman;Times;Serif"/>
          <w:b w:val="false"/>
          <w:i w:val="false"/>
          <w:caps w:val="false"/>
          <w:smallCaps w:val="false"/>
          <w:sz w:val="20"/>
        </w:rPr>
        <w:t>10 years from the date of issuance.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December 31, 2024, the Company entered into the Fourth Amendment to the Term Loan with the Term Loan Lenders in regards to its compliance with the Tests for the quarter ended December 31, 2024. The Fourth Amendment provided for a one-time issuance the December 2024 Penny Warrants to purchase up to </w:t>
      </w:r>
      <w:bookmarkStart w:id="680" w:name="xdx_901_eus-gaap--ClassOfWarrantOrRightN"/>
      <w:bookmarkEnd w:id="680"/>
      <w:r>
        <w:rPr>
          <w:rFonts w:ascii="Times New Roman;Times;Serif" w:hAnsi="Times New Roman;Times;Serif"/>
          <w:b w:val="false"/>
          <w:i w:val="false"/>
          <w:caps w:val="false"/>
          <w:smallCaps w:val="false"/>
          <w:sz w:val="20"/>
        </w:rPr>
        <w:t>350,000 shares of the Company’s common stock, at an exercise price of $</w:t>
      </w:r>
      <w:bookmarkStart w:id="681" w:name="xdx_901_eus-gaap--ClassOfWarrantOrRightE"/>
      <w:bookmarkEnd w:id="681"/>
      <w:r>
        <w:rPr>
          <w:rFonts w:ascii="Times New Roman;Times;Serif" w:hAnsi="Times New Roman;Times;Serif"/>
          <w:b w:val="false"/>
          <w:i w:val="false"/>
          <w:caps w:val="false"/>
          <w:smallCaps w:val="false"/>
          <w:sz w:val="20"/>
        </w:rPr>
        <w:t xml:space="preserve">0.01 per share, in connection with the Term Loan Lenders agreement to waive the Tests under the Term Loan for the quarter ended December 31, 2024 and to amend the Term Loan. During the year ended December 31, 2024 the Company issued additional Original Penny Warrants to purchase </w:t>
      </w:r>
      <w:bookmarkStart w:id="682" w:name="xdx_902_eus-gaap--ClassOfWarrantOrRightN"/>
      <w:bookmarkEnd w:id="682"/>
      <w:r>
        <w:rPr>
          <w:rFonts w:ascii="Times New Roman;Times;Serif" w:hAnsi="Times New Roman;Times;Serif"/>
          <w:b w:val="false"/>
          <w:i w:val="false"/>
          <w:caps w:val="false"/>
          <w:smallCaps w:val="false"/>
          <w:sz w:val="20"/>
        </w:rPr>
        <w:t>2,754 shares of common stock to the Term Loan Lenders in accordance with the anti-dilution provisions of the original penny warrants with respect to certain sales made by the Company under the ChEF Equity Facility. The December 2024 Penny Warrants are immediately exercisable upon issuance and will expire ten years from the date of issuance.</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Notes to Consolidated Financial Statements</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jc w:val="center"/>
        <w:rPr>
          <w:caps/>
        </w:rPr>
      </w:pPr>
      <w:r>
        <w:rPr>
          <w:caps/>
        </w:rPr>
        <w:t> </w:t>
      </w:r>
    </w:p>
    <w:p>
      <w:pPr>
        <w:pStyle w:val="TextBody"/>
        <w:bidi w:val="0"/>
        <w:spacing w:before="0" w:after="0"/>
        <w:jc w:val="both"/>
        <w:rPr>
          <w:rFonts w:ascii="Times New Roman;Times;Serif" w:hAnsi="Times New Roman;Times;Serif"/>
          <w:b/>
          <w:i w:val="false"/>
          <w:caps/>
          <w:sz w:val="20"/>
        </w:rPr>
      </w:pPr>
      <w:r>
        <w:rPr>
          <w:rFonts w:ascii="Times New Roman;Times;Serif" w:hAnsi="Times New Roman;Times;Serif"/>
          <w:b/>
          <w:i w:val="false"/>
          <w:caps/>
          <w:sz w:val="20"/>
        </w:rPr>
        <w:t>Note 9 - Warrants (continued)</w:t>
      </w:r>
    </w:p>
    <w:p>
      <w:pPr>
        <w:pStyle w:val="TextBody"/>
        <w:bidi w:val="0"/>
        <w:spacing w:before="0" w:after="0"/>
        <w:jc w:val="both"/>
        <w:rPr>
          <w:caps/>
        </w:rPr>
      </w:pPr>
      <w:r>
        <w:rPr>
          <w:caps/>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 Warrants classified as Liability (Continued)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February 26, 2025, the Company entered into the Fifth Amendment to the Term Loan with the Term Loan Lenders in connection with the February 2025 securities purchase agreement (see </w:t>
      </w:r>
      <w:r>
        <w:rPr>
          <w:rFonts w:ascii="Times New Roman;Times;Serif" w:hAnsi="Times New Roman;Times;Serif"/>
          <w:b/>
          <w:i w:val="false"/>
          <w:caps w:val="false"/>
          <w:smallCaps w:val="false"/>
          <w:sz w:val="20"/>
        </w:rPr>
        <w:t>Note 10</w:t>
      </w:r>
      <w:r>
        <w:rPr>
          <w:rFonts w:ascii="Times New Roman;Times;Serif" w:hAnsi="Times New Roman;Times;Serif"/>
          <w:b w:val="false"/>
          <w:i w:val="false"/>
          <w:caps w:val="false"/>
          <w:smallCaps w:val="false"/>
          <w:sz w:val="20"/>
        </w:rPr>
        <w:t xml:space="preserve">). The Fifth Amendment provided for a one-time issuance the February 2025 Penny Warrants to purchase up to </w:t>
      </w:r>
      <w:bookmarkStart w:id="683" w:name="xdx_904_eus-gaap--ClassOfWarrantOrRightN"/>
      <w:bookmarkEnd w:id="683"/>
      <w:r>
        <w:rPr>
          <w:rFonts w:ascii="Times New Roman;Times;Serif" w:hAnsi="Times New Roman;Times;Serif"/>
          <w:b w:val="false"/>
          <w:i w:val="false"/>
          <w:caps w:val="false"/>
          <w:smallCaps w:val="false"/>
          <w:sz w:val="20"/>
        </w:rPr>
        <w:t>330,000 shares of the Company’s common stock, at an exercise price of $</w:t>
      </w:r>
      <w:bookmarkStart w:id="684" w:name="xdx_90E_eus-gaap--ClassOfWarrantOrRightE"/>
      <w:bookmarkEnd w:id="684"/>
      <w:r>
        <w:rPr>
          <w:rFonts w:ascii="Times New Roman;Times;Serif" w:hAnsi="Times New Roman;Times;Serif"/>
          <w:b w:val="false"/>
          <w:i w:val="false"/>
          <w:caps w:val="false"/>
          <w:smallCaps w:val="false"/>
          <w:sz w:val="20"/>
        </w:rPr>
        <w:t xml:space="preserve">0.01 per share. The February 2025 Penny Warrants are immediately exercisable upon issuance and will expire ten </w:t>
      </w:r>
      <w:bookmarkStart w:id="685" w:name="xdx_906_eus-gaap--WarrantsAndRightsOutst"/>
      <w:bookmarkEnd w:id="685"/>
      <w:r>
        <w:rPr>
          <w:rFonts w:ascii="Times New Roman;Times;Serif" w:hAnsi="Times New Roman;Times;Serif"/>
          <w:b w:val="false"/>
          <w:i w:val="false"/>
          <w:caps w:val="false"/>
          <w:smallCaps w:val="false"/>
          <w:sz w:val="20"/>
        </w:rPr>
        <w:t>10 years from the date of issuance.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bookmarkStart w:id="686" w:name="xdx_897_ecustom--ScheduleOfShareBasedPay"/>
      <w:bookmarkEnd w:id="686"/>
      <w:r>
        <w:rPr>
          <w:rFonts w:ascii="Times New Roman;Times;Serif" w:hAnsi="Times New Roman;Times;Serif"/>
          <w:b w:val="false"/>
          <w:i w:val="false"/>
          <w:caps w:val="false"/>
          <w:smallCaps w:val="false"/>
          <w:sz w:val="20"/>
        </w:rPr>
        <w:t>The May 2024 Penny Warrants, the June 2024 Penny Warrants, the September 2024 Penny Warrants, the December 2024 Penny Warrants and the February 2025 Penny Warrants (together, the “Penny Warrants”) were valued utilizing a Black-Scholes model with the following assumptions: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bookmarkStart w:id="687" w:name="xdx_8B2_zoq04hof0gnh"/>
      <w:bookmarkEnd w:id="687"/>
      <w:r>
        <w:rPr>
          <w:rFonts w:ascii="Times New Roman;Times;Serif" w:hAnsi="Times New Roman;Times;Serif"/>
          <w:b w:val="false"/>
          <w:i w:val="false"/>
          <w:caps w:val="false"/>
          <w:smallCaps w:val="false"/>
          <w:sz w:val="20"/>
        </w:rPr>
        <w:t>SCHEDULE OF PENNY WARRANTS</w:t>
      </w:r>
    </w:p>
    <w:tbl>
      <w:tblPr>
        <w:tblW w:w="10205" w:type="dxa"/>
        <w:jc w:val="left"/>
        <w:tblInd w:w="0" w:type="dxa"/>
        <w:tblLayout w:type="fixed"/>
        <w:tblCellMar>
          <w:top w:w="0" w:type="dxa"/>
          <w:left w:w="0" w:type="dxa"/>
          <w:bottom w:w="0" w:type="dxa"/>
          <w:right w:w="0" w:type="dxa"/>
        </w:tblCellMar>
      </w:tblPr>
      <w:tblGrid>
        <w:gridCol w:w="1051"/>
        <w:gridCol w:w="60"/>
        <w:gridCol w:w="234"/>
        <w:gridCol w:w="1161"/>
        <w:gridCol w:w="215"/>
        <w:gridCol w:w="60"/>
        <w:gridCol w:w="234"/>
        <w:gridCol w:w="1161"/>
        <w:gridCol w:w="215"/>
        <w:gridCol w:w="60"/>
        <w:gridCol w:w="413"/>
        <w:gridCol w:w="1303"/>
        <w:gridCol w:w="215"/>
        <w:gridCol w:w="60"/>
        <w:gridCol w:w="406"/>
        <w:gridCol w:w="1280"/>
        <w:gridCol w:w="215"/>
        <w:gridCol w:w="60"/>
        <w:gridCol w:w="369"/>
        <w:gridCol w:w="1197"/>
        <w:gridCol w:w="236"/>
      </w:tblGrid>
      <w:tr>
        <w:trPr/>
        <w:tc>
          <w:tcPr>
            <w:tcW w:w="105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May 2024 penny warrants</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June 2024 penny warrants</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1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September 2024 penny warrants</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December 2024 penny warrants</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6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February 2025 penny warrants</w:t>
            </w:r>
          </w:p>
        </w:tc>
        <w:tc>
          <w:tcPr>
            <w:tcW w:w="236" w:type="dxa"/>
            <w:tcBorders/>
            <w:vAlign w:val="center"/>
          </w:tcPr>
          <w:p>
            <w:pPr>
              <w:pStyle w:val="TableContents"/>
              <w:bidi w:val="0"/>
              <w:spacing w:before="0" w:after="283"/>
              <w:jc w:val="left"/>
              <w:rPr/>
            </w:pPr>
            <w:r>
              <w:rPr/>
              <w:t> </w:t>
            </w:r>
          </w:p>
        </w:tc>
      </w:tr>
      <w:tr>
        <w:trPr/>
        <w:tc>
          <w:tcPr>
            <w:tcW w:w="105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 price</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688" w:name="xdx_98C_eus-gaap--SharePrice_iI_pid_c202"/>
            <w:bookmarkEnd w:id="688"/>
          </w:p>
        </w:tc>
        <w:tc>
          <w:tcPr>
            <w:tcW w:w="116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10.71</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689" w:name="xdx_983_eus-gaap--SharePrice_iI_pid_c202"/>
            <w:bookmarkEnd w:id="689"/>
          </w:p>
        </w:tc>
        <w:tc>
          <w:tcPr>
            <w:tcW w:w="116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7.65</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690" w:name="xdx_988_eus-gaap--SharePrice_iI_pid_c202"/>
            <w:bookmarkEnd w:id="690"/>
          </w:p>
        </w:tc>
        <w:tc>
          <w:tcPr>
            <w:tcW w:w="130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4.77</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691" w:name="xdx_980_eus-gaap--SharePrice_iI_pid_c202"/>
            <w:bookmarkEnd w:id="691"/>
          </w:p>
        </w:tc>
        <w:tc>
          <w:tcPr>
            <w:tcW w:w="12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2.78</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692" w:name="xdx_981_eus-gaap--SharePrice_iI_pid_c202"/>
            <w:bookmarkEnd w:id="692"/>
          </w:p>
        </w:tc>
        <w:tc>
          <w:tcPr>
            <w:tcW w:w="119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2.12</w:t>
            </w:r>
          </w:p>
        </w:tc>
        <w:tc>
          <w:tcPr>
            <w:tcW w:w="236" w:type="dxa"/>
            <w:tcBorders/>
            <w:shd w:fill="CCEEFF" w:val="clear"/>
            <w:vAlign w:val="center"/>
          </w:tcPr>
          <w:p>
            <w:pPr>
              <w:pStyle w:val="TableContents"/>
              <w:bidi w:val="0"/>
              <w:spacing w:before="0" w:after="283"/>
              <w:jc w:val="left"/>
              <w:rPr/>
            </w:pPr>
            <w:r>
              <w:rPr/>
              <w:t> </w:t>
            </w:r>
          </w:p>
        </w:tc>
      </w:tr>
      <w:tr>
        <w:trPr/>
        <w:tc>
          <w:tcPr>
            <w:tcW w:w="105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Strike price</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693" w:name="xdx_98F_eus-gaap--ShareBasedCompensation"/>
            <w:bookmarkEnd w:id="693"/>
          </w:p>
        </w:tc>
        <w:tc>
          <w:tcPr>
            <w:tcW w:w="116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0.09</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694" w:name="xdx_985_eus-gaap--ShareBasedCompensation"/>
            <w:bookmarkEnd w:id="694"/>
          </w:p>
        </w:tc>
        <w:tc>
          <w:tcPr>
            <w:tcW w:w="116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0.09</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695" w:name="xdx_986_eus-gaap--ShareBasedCompensation"/>
            <w:bookmarkEnd w:id="695"/>
          </w:p>
        </w:tc>
        <w:tc>
          <w:tcPr>
            <w:tcW w:w="130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0.09</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696" w:name="xdx_98C_eus-gaap--ShareBasedCompensation"/>
            <w:bookmarkEnd w:id="696"/>
          </w:p>
        </w:tc>
        <w:tc>
          <w:tcPr>
            <w:tcW w:w="12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0.01</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697" w:name="xdx_983_eus-gaap--ShareBasedCompensation"/>
            <w:bookmarkEnd w:id="697"/>
          </w:p>
        </w:tc>
        <w:tc>
          <w:tcPr>
            <w:tcW w:w="119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0.01</w:t>
            </w:r>
          </w:p>
        </w:tc>
        <w:tc>
          <w:tcPr>
            <w:tcW w:w="236" w:type="dxa"/>
            <w:tcBorders/>
            <w:shd w:fill="FFFFFF" w:val="clear"/>
            <w:vAlign w:val="center"/>
          </w:tcPr>
          <w:p>
            <w:pPr>
              <w:pStyle w:val="TableContents"/>
              <w:bidi w:val="0"/>
              <w:spacing w:before="0" w:after="283"/>
              <w:jc w:val="left"/>
              <w:rPr/>
            </w:pPr>
            <w:r>
              <w:rPr/>
              <w:t> </w:t>
            </w:r>
          </w:p>
        </w:tc>
      </w:tr>
      <w:tr>
        <w:trPr/>
        <w:tc>
          <w:tcPr>
            <w:tcW w:w="105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Term</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1161" w:type="dxa"/>
            <w:tcBorders/>
            <w:shd w:fill="CCEEFF" w:val="clear"/>
            <w:vAlign w:val="center"/>
          </w:tcPr>
          <w:p>
            <w:pPr>
              <w:pStyle w:val="TableContents"/>
              <w:bidi w:val="0"/>
              <w:spacing w:before="0" w:after="283"/>
              <w:jc w:val="right"/>
              <w:rPr>
                <w:rFonts w:ascii="Times New Roman;Times;Serif" w:hAnsi="Times New Roman;Times;Serif"/>
                <w:sz w:val="20"/>
              </w:rPr>
            </w:pPr>
            <w:bookmarkStart w:id="698" w:name="xdx_90A_eus-gaap--SharebasedCompensation"/>
            <w:bookmarkEnd w:id="698"/>
            <w:r>
              <w:rPr>
                <w:rFonts w:ascii="Times New Roman;Times;Serif" w:hAnsi="Times New Roman;Times;Serif"/>
                <w:sz w:val="20"/>
              </w:rPr>
              <w:t>10 years</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1161" w:type="dxa"/>
            <w:tcBorders/>
            <w:shd w:fill="CCEEFF" w:val="clear"/>
            <w:vAlign w:val="center"/>
          </w:tcPr>
          <w:p>
            <w:pPr>
              <w:pStyle w:val="TableContents"/>
              <w:bidi w:val="0"/>
              <w:spacing w:before="0" w:after="283"/>
              <w:jc w:val="right"/>
              <w:rPr>
                <w:rFonts w:ascii="Times New Roman;Times;Serif" w:hAnsi="Times New Roman;Times;Serif"/>
                <w:sz w:val="20"/>
              </w:rPr>
            </w:pPr>
            <w:bookmarkStart w:id="699" w:name="xdx_903_eus-gaap--SharebasedCompensation"/>
            <w:bookmarkEnd w:id="699"/>
            <w:r>
              <w:rPr>
                <w:rFonts w:ascii="Times New Roman;Times;Serif" w:hAnsi="Times New Roman;Times;Serif"/>
                <w:sz w:val="20"/>
              </w:rPr>
              <w:t>10 years</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3" w:type="dxa"/>
            <w:tcBorders/>
            <w:shd w:fill="CCEEFF" w:val="clear"/>
            <w:vAlign w:val="center"/>
          </w:tcPr>
          <w:p>
            <w:pPr>
              <w:pStyle w:val="TableContents"/>
              <w:bidi w:val="0"/>
              <w:spacing w:before="0" w:after="283"/>
              <w:jc w:val="left"/>
              <w:rPr/>
            </w:pPr>
            <w:r>
              <w:rPr/>
              <w:t> </w:t>
            </w:r>
          </w:p>
        </w:tc>
        <w:tc>
          <w:tcPr>
            <w:tcW w:w="1303" w:type="dxa"/>
            <w:tcBorders/>
            <w:shd w:fill="CCEEFF" w:val="clear"/>
            <w:vAlign w:val="center"/>
          </w:tcPr>
          <w:p>
            <w:pPr>
              <w:pStyle w:val="TableContents"/>
              <w:bidi w:val="0"/>
              <w:spacing w:before="0" w:after="283"/>
              <w:jc w:val="right"/>
              <w:rPr>
                <w:rFonts w:ascii="Times New Roman;Times;Serif" w:hAnsi="Times New Roman;Times;Serif"/>
                <w:sz w:val="20"/>
              </w:rPr>
            </w:pPr>
            <w:bookmarkStart w:id="700" w:name="xdx_90D_eus-gaap--SharebasedCompensation"/>
            <w:bookmarkEnd w:id="700"/>
            <w:r>
              <w:rPr>
                <w:rFonts w:ascii="Times New Roman;Times;Serif" w:hAnsi="Times New Roman;Times;Serif"/>
                <w:sz w:val="20"/>
              </w:rPr>
              <w:t>10 years</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6"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rFonts w:ascii="Times New Roman;Times;Serif" w:hAnsi="Times New Roman;Times;Serif"/>
                <w:sz w:val="20"/>
              </w:rPr>
            </w:pPr>
            <w:bookmarkStart w:id="701" w:name="xdx_90E_eus-gaap--SharebasedCompensation"/>
            <w:bookmarkEnd w:id="701"/>
            <w:r>
              <w:rPr>
                <w:rFonts w:ascii="Times New Roman;Times;Serif" w:hAnsi="Times New Roman;Times;Serif"/>
                <w:sz w:val="20"/>
              </w:rPr>
              <w:t>10 years</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9"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rFonts w:ascii="Times New Roman;Times;Serif" w:hAnsi="Times New Roman;Times;Serif"/>
                <w:sz w:val="20"/>
              </w:rPr>
            </w:pPr>
            <w:bookmarkStart w:id="702" w:name="xdx_901_eus-gaap--SharebasedCompensation"/>
            <w:bookmarkEnd w:id="702"/>
            <w:r>
              <w:rPr>
                <w:rFonts w:ascii="Times New Roman;Times;Serif" w:hAnsi="Times New Roman;Times;Serif"/>
                <w:sz w:val="20"/>
              </w:rPr>
              <w:t>10 years</w:t>
            </w:r>
          </w:p>
        </w:tc>
        <w:tc>
          <w:tcPr>
            <w:tcW w:w="236" w:type="dxa"/>
            <w:tcBorders/>
            <w:shd w:fill="CCEEFF" w:val="clear"/>
            <w:vAlign w:val="center"/>
          </w:tcPr>
          <w:p>
            <w:pPr>
              <w:pStyle w:val="TableContents"/>
              <w:bidi w:val="0"/>
              <w:spacing w:before="0" w:after="283"/>
              <w:jc w:val="left"/>
              <w:rPr/>
            </w:pPr>
            <w:r>
              <w:rPr/>
              <w:t> </w:t>
            </w:r>
          </w:p>
        </w:tc>
      </w:tr>
      <w:tr>
        <w:trPr/>
        <w:tc>
          <w:tcPr>
            <w:tcW w:w="105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Volatility</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bookmarkStart w:id="703" w:name="xdx_980_eus-gaap--ShareBasedCompensation"/>
            <w:bookmarkEnd w:id="703"/>
          </w:p>
        </w:tc>
        <w:tc>
          <w:tcPr>
            <w:tcW w:w="116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bookmarkStart w:id="704" w:name="xdx_989_eus-gaap--ShareBasedCompensation"/>
            <w:bookmarkEnd w:id="704"/>
          </w:p>
        </w:tc>
        <w:tc>
          <w:tcPr>
            <w:tcW w:w="116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91</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413" w:type="dxa"/>
            <w:tcBorders/>
            <w:shd w:fill="FFFFFF" w:val="clear"/>
            <w:vAlign w:val="center"/>
          </w:tcPr>
          <w:p>
            <w:pPr>
              <w:pStyle w:val="TableContents"/>
              <w:bidi w:val="0"/>
              <w:spacing w:before="0" w:after="283"/>
              <w:jc w:val="left"/>
              <w:rPr/>
            </w:pPr>
            <w:r>
              <w:rPr/>
              <w:t> </w:t>
            </w:r>
            <w:bookmarkStart w:id="705" w:name="xdx_989_eus-gaap--ShareBasedCompensation"/>
            <w:bookmarkEnd w:id="705"/>
          </w:p>
        </w:tc>
        <w:tc>
          <w:tcPr>
            <w:tcW w:w="130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left"/>
              <w:rPr/>
            </w:pPr>
            <w:r>
              <w:rPr/>
              <w:t> </w:t>
            </w:r>
            <w:bookmarkStart w:id="706" w:name="xdx_981_eus-gaap--ShareBasedCompensation"/>
            <w:bookmarkEnd w:id="706"/>
          </w:p>
        </w:tc>
        <w:tc>
          <w:tcPr>
            <w:tcW w:w="12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369" w:type="dxa"/>
            <w:tcBorders/>
            <w:shd w:fill="FFFFFF" w:val="clear"/>
            <w:vAlign w:val="center"/>
          </w:tcPr>
          <w:p>
            <w:pPr>
              <w:pStyle w:val="TableContents"/>
              <w:bidi w:val="0"/>
              <w:spacing w:before="0" w:after="283"/>
              <w:jc w:val="left"/>
              <w:rPr/>
            </w:pPr>
            <w:r>
              <w:rPr/>
              <w:t> </w:t>
            </w:r>
            <w:bookmarkStart w:id="707" w:name="xdx_982_eus-gaap--ShareBasedCompensation"/>
            <w:bookmarkEnd w:id="707"/>
          </w:p>
        </w:tc>
        <w:tc>
          <w:tcPr>
            <w:tcW w:w="119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w:t>
            </w:r>
          </w:p>
        </w:tc>
        <w:tc>
          <w:tcPr>
            <w:tcW w:w="23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05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Risk-free rate</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bookmarkStart w:id="708" w:name="xdx_98B_eus-gaap--ShareBasedCompensation"/>
            <w:bookmarkEnd w:id="708"/>
          </w:p>
        </w:tc>
        <w:tc>
          <w:tcPr>
            <w:tcW w:w="116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bookmarkStart w:id="709" w:name="xdx_98A_eus-gaap--ShareBasedCompensation"/>
            <w:bookmarkEnd w:id="709"/>
          </w:p>
        </w:tc>
        <w:tc>
          <w:tcPr>
            <w:tcW w:w="116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413" w:type="dxa"/>
            <w:tcBorders/>
            <w:shd w:fill="CCEEFF" w:val="clear"/>
            <w:vAlign w:val="center"/>
          </w:tcPr>
          <w:p>
            <w:pPr>
              <w:pStyle w:val="TableContents"/>
              <w:bidi w:val="0"/>
              <w:spacing w:before="0" w:after="283"/>
              <w:jc w:val="left"/>
              <w:rPr/>
            </w:pPr>
            <w:r>
              <w:rPr/>
              <w:t> </w:t>
            </w:r>
            <w:bookmarkStart w:id="710" w:name="xdx_98B_eus-gaap--ShareBasedCompensation"/>
            <w:bookmarkEnd w:id="710"/>
          </w:p>
        </w:tc>
        <w:tc>
          <w:tcPr>
            <w:tcW w:w="130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406" w:type="dxa"/>
            <w:tcBorders/>
            <w:shd w:fill="CCEEFF" w:val="clear"/>
            <w:vAlign w:val="center"/>
          </w:tcPr>
          <w:p>
            <w:pPr>
              <w:pStyle w:val="TableContents"/>
              <w:bidi w:val="0"/>
              <w:spacing w:before="0" w:after="283"/>
              <w:jc w:val="left"/>
              <w:rPr/>
            </w:pPr>
            <w:r>
              <w:rPr/>
              <w:t> </w:t>
            </w:r>
            <w:bookmarkStart w:id="711" w:name="xdx_984_eus-gaap--ShareBasedCompensation"/>
            <w:bookmarkEnd w:id="711"/>
          </w:p>
        </w:tc>
        <w:tc>
          <w:tcPr>
            <w:tcW w:w="12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369" w:type="dxa"/>
            <w:tcBorders/>
            <w:shd w:fill="CCEEFF" w:val="clear"/>
            <w:vAlign w:val="center"/>
          </w:tcPr>
          <w:p>
            <w:pPr>
              <w:pStyle w:val="TableContents"/>
              <w:bidi w:val="0"/>
              <w:spacing w:before="0" w:after="283"/>
              <w:jc w:val="left"/>
              <w:rPr/>
            </w:pPr>
            <w:r>
              <w:rPr/>
              <w:t> </w:t>
            </w:r>
            <w:bookmarkStart w:id="712" w:name="xdx_985_eus-gaap--ShareBasedCompensation"/>
            <w:bookmarkEnd w:id="712"/>
          </w:p>
        </w:tc>
        <w:tc>
          <w:tcPr>
            <w:tcW w:w="119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w:t>
            </w:r>
          </w:p>
        </w:tc>
        <w:tc>
          <w:tcPr>
            <w:tcW w:w="23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jc w:val="both"/>
        <w:rPr>
          <w:caps w:val="false"/>
          <w:smallCaps w:val="false"/>
        </w:rPr>
      </w:pPr>
      <w:bookmarkStart w:id="713" w:name="xdx_8A4_zmXNgjGVNpLf"/>
      <w:bookmarkEnd w:id="713"/>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concluded the Penny Warrants are not considered indexed to the Company’s common stock and to be accounted for as liabilities under ASC 815. As such, the estimated fair value is recognized as a liability each reporting period, with changes in the fair value recognized within income each period. There were no Penny Warrants outstanding prior to the merger.</w:t>
      </w:r>
    </w:p>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Notes to Consolidated Financial Statements</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jc w:val="center"/>
        <w:rPr>
          <w:caps/>
        </w:rPr>
      </w:pPr>
      <w:r>
        <w:rPr>
          <w:caps/>
        </w:rPr>
        <w:t> </w:t>
      </w:r>
    </w:p>
    <w:p>
      <w:pPr>
        <w:pStyle w:val="TextBody"/>
        <w:bidi w:val="0"/>
        <w:spacing w:before="0" w:after="0"/>
        <w:jc w:val="both"/>
        <w:rPr>
          <w:rFonts w:ascii="Times New Roman;Times;Serif" w:hAnsi="Times New Roman;Times;Serif"/>
          <w:b/>
          <w:i w:val="false"/>
          <w:caps/>
          <w:sz w:val="20"/>
        </w:rPr>
      </w:pPr>
      <w:r>
        <w:rPr>
          <w:rFonts w:ascii="Times New Roman;Times;Serif" w:hAnsi="Times New Roman;Times;Serif"/>
          <w:b/>
          <w:i w:val="false"/>
          <w:caps/>
          <w:sz w:val="20"/>
        </w:rPr>
        <w:t>Note 9 - Warrants (continued)</w:t>
      </w:r>
    </w:p>
    <w:p>
      <w:pPr>
        <w:pStyle w:val="TextBody"/>
        <w:bidi w:val="0"/>
        <w:spacing w:before="0" w:after="0"/>
        <w:jc w:val="both"/>
        <w:rPr>
          <w:caps/>
        </w:rPr>
      </w:pPr>
      <w:r>
        <w:rPr>
          <w:caps/>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 Warrants classified as Liability (Continued)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bookmarkStart w:id="714" w:name="xdx_89C_ecustom--ScheduleOfShareBasedPay"/>
      <w:bookmarkEnd w:id="714"/>
      <w:r>
        <w:rPr>
          <w:rFonts w:ascii="Times New Roman;Times;Serif" w:hAnsi="Times New Roman;Times;Serif"/>
          <w:b w:val="false"/>
          <w:i w:val="false"/>
          <w:caps w:val="false"/>
          <w:smallCaps w:val="false"/>
          <w:sz w:val="20"/>
        </w:rPr>
        <w:t>The following table provides the significant inputs to the Black-Scholes method for the fair value of the Penny Warrants: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bookmarkStart w:id="715" w:name="xdx_8B1_z9Sivdalyyfc"/>
      <w:bookmarkEnd w:id="715"/>
      <w:r>
        <w:rPr>
          <w:rFonts w:ascii="Times New Roman;Times;Serif" w:hAnsi="Times New Roman;Times;Serif"/>
          <w:b w:val="false"/>
          <w:i w:val="false"/>
          <w:caps w:val="false"/>
          <w:smallCaps w:val="false"/>
          <w:sz w:val="20"/>
        </w:rPr>
        <w:t>SCHEDULE FAIR VALUE WARRANTS </w:t>
      </w:r>
    </w:p>
    <w:tbl>
      <w:tblPr>
        <w:tblW w:w="5814" w:type="dxa"/>
        <w:jc w:val="left"/>
        <w:tblInd w:w="0" w:type="dxa"/>
        <w:tblLayout w:type="fixed"/>
        <w:tblCellMar>
          <w:top w:w="0" w:type="dxa"/>
          <w:left w:w="0" w:type="dxa"/>
          <w:bottom w:w="0" w:type="dxa"/>
          <w:right w:w="0" w:type="dxa"/>
        </w:tblCellMar>
      </w:tblPr>
      <w:tblGrid>
        <w:gridCol w:w="2000"/>
        <w:gridCol w:w="60"/>
        <w:gridCol w:w="231"/>
        <w:gridCol w:w="1123"/>
        <w:gridCol w:w="215"/>
        <w:gridCol w:w="60"/>
        <w:gridCol w:w="379"/>
        <w:gridCol w:w="1516"/>
        <w:gridCol w:w="230"/>
      </w:tblGrid>
      <w:tr>
        <w:trPr/>
        <w:tc>
          <w:tcPr>
            <w:tcW w:w="20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 xml:space="preserve">As of </w:t>
              <w:br/>
              <w:t>June 30, 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 xml:space="preserve">As of </w:t>
              <w:br/>
              <w:t>December 31, 2024</w:t>
            </w:r>
          </w:p>
        </w:tc>
        <w:tc>
          <w:tcPr>
            <w:tcW w:w="230" w:type="dxa"/>
            <w:tcBorders/>
            <w:vAlign w:val="center"/>
          </w:tcPr>
          <w:p>
            <w:pPr>
              <w:pStyle w:val="TableContents"/>
              <w:bidi w:val="0"/>
              <w:spacing w:before="0" w:after="283"/>
              <w:jc w:val="left"/>
              <w:rPr/>
            </w:pPr>
            <w:r>
              <w:rPr/>
              <w:t> </w:t>
            </w:r>
          </w:p>
        </w:tc>
      </w:tr>
      <w:tr>
        <w:trPr/>
        <w:tc>
          <w:tcPr>
            <w:tcW w:w="20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Common stock price</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716" w:name="xdx_984_eus-gaap--SharePrice_iI_pid_c202"/>
            <w:bookmarkEnd w:id="716"/>
          </w:p>
        </w:tc>
        <w:tc>
          <w:tcPr>
            <w:tcW w:w="112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0.16</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717" w:name="xdx_981_eus-gaap--SharePrice_iI_pid_c202"/>
            <w:bookmarkEnd w:id="717"/>
          </w:p>
        </w:tc>
        <w:tc>
          <w:tcPr>
            <w:tcW w:w="151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2.78</w:t>
            </w:r>
          </w:p>
        </w:tc>
        <w:tc>
          <w:tcPr>
            <w:tcW w:w="230" w:type="dxa"/>
            <w:tcBorders/>
            <w:shd w:fill="CCEEFF" w:val="clear"/>
            <w:vAlign w:val="center"/>
          </w:tcPr>
          <w:p>
            <w:pPr>
              <w:pStyle w:val="TableContents"/>
              <w:bidi w:val="0"/>
              <w:spacing w:before="0" w:after="283"/>
              <w:jc w:val="left"/>
              <w:rPr/>
            </w:pPr>
            <w:r>
              <w:rPr/>
              <w:t> </w:t>
            </w:r>
          </w:p>
        </w:tc>
      </w:tr>
      <w:tr>
        <w:trPr/>
        <w:tc>
          <w:tcPr>
            <w:tcW w:w="20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Exercise price</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718" w:name="xdx_981_eus-gaap--ShareBasedCompensation"/>
            <w:bookmarkEnd w:id="718"/>
          </w:p>
        </w:tc>
        <w:tc>
          <w:tcPr>
            <w:tcW w:w="112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0.09</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719" w:name="xdx_984_eus-gaap--ShareBasedCompensation"/>
            <w:bookmarkEnd w:id="719"/>
          </w:p>
        </w:tc>
        <w:tc>
          <w:tcPr>
            <w:tcW w:w="151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0.09</w:t>
            </w:r>
          </w:p>
        </w:tc>
        <w:tc>
          <w:tcPr>
            <w:tcW w:w="230" w:type="dxa"/>
            <w:tcBorders/>
            <w:shd w:fill="FFFFFF" w:val="clear"/>
            <w:vAlign w:val="center"/>
          </w:tcPr>
          <w:p>
            <w:pPr>
              <w:pStyle w:val="TableContents"/>
              <w:bidi w:val="0"/>
              <w:spacing w:before="0" w:after="283"/>
              <w:jc w:val="left"/>
              <w:rPr/>
            </w:pPr>
            <w:r>
              <w:rPr/>
              <w:t> </w:t>
            </w:r>
          </w:p>
        </w:tc>
      </w:tr>
      <w:tr>
        <w:trPr/>
        <w:tc>
          <w:tcPr>
            <w:tcW w:w="20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Dividend yield</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rFonts w:ascii="Times New Roman;Times;Serif" w:hAnsi="Times New Roman;Times;Serif"/>
              </w:rPr>
            </w:pPr>
            <w:bookmarkStart w:id="720" w:name="xdx_903_eus-gaap--ShareBasedCompensation"/>
            <w:bookmarkEnd w:id="720"/>
            <w:r>
              <w:rPr>
                <w:rFonts w:ascii="Times New Roman;Times;Serif" w:hAnsi="Times New Roman;Times;Serif"/>
              </w:rPr>
              <w:t>0</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379" w:type="dxa"/>
            <w:tcBorders/>
            <w:shd w:fill="CCEEFF" w:val="clear"/>
            <w:vAlign w:val="center"/>
          </w:tcPr>
          <w:p>
            <w:pPr>
              <w:pStyle w:val="TableContents"/>
              <w:bidi w:val="0"/>
              <w:spacing w:before="0" w:after="283"/>
              <w:jc w:val="left"/>
              <w:rPr/>
            </w:pPr>
            <w:r>
              <w:rPr/>
              <w:t> </w:t>
            </w:r>
          </w:p>
        </w:tc>
        <w:tc>
          <w:tcPr>
            <w:tcW w:w="1516" w:type="dxa"/>
            <w:tcBorders/>
            <w:shd w:fill="CCEEFF" w:val="clear"/>
            <w:vAlign w:val="center"/>
          </w:tcPr>
          <w:p>
            <w:pPr>
              <w:pStyle w:val="TableContents"/>
              <w:bidi w:val="0"/>
              <w:spacing w:before="0" w:after="283"/>
              <w:jc w:val="right"/>
              <w:rPr>
                <w:rFonts w:ascii="Times New Roman;Times;Serif" w:hAnsi="Times New Roman;Times;Serif"/>
              </w:rPr>
            </w:pPr>
            <w:bookmarkStart w:id="721" w:name="xdx_900_eus-gaap--ShareBasedCompensation"/>
            <w:bookmarkEnd w:id="721"/>
            <w:r>
              <w:rPr>
                <w:rFonts w:ascii="Times New Roman;Times;Serif" w:hAnsi="Times New Roman;Times;Serif"/>
              </w:rPr>
              <w:t>0</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0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Term</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rFonts w:ascii="Times New Roman;Times;Serif" w:hAnsi="Times New Roman;Times;Serif"/>
              </w:rPr>
            </w:pPr>
            <w:bookmarkStart w:id="722" w:name="xdx_901_eus-gaap--SharebasedCompensation"/>
            <w:bookmarkEnd w:id="722"/>
            <w:r>
              <w:rPr>
                <w:rFonts w:ascii="Times New Roman;Times;Serif" w:hAnsi="Times New Roman;Times;Serif"/>
              </w:rPr>
              <w:t>7.27</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9"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right"/>
              <w:rPr>
                <w:rFonts w:ascii="Times New Roman;Times;Serif" w:hAnsi="Times New Roman;Times;Serif"/>
              </w:rPr>
            </w:pPr>
            <w:bookmarkStart w:id="723" w:name="xdx_90A_eus-gaap--SharebasedCompensation"/>
            <w:bookmarkEnd w:id="723"/>
            <w:r>
              <w:rPr>
                <w:rFonts w:ascii="Times New Roman;Times;Serif" w:hAnsi="Times New Roman;Times;Serif"/>
              </w:rPr>
              <w:t>7.77</w:t>
            </w:r>
          </w:p>
        </w:tc>
        <w:tc>
          <w:tcPr>
            <w:tcW w:w="230" w:type="dxa"/>
            <w:tcBorders/>
            <w:shd w:fill="FFFFFF" w:val="clear"/>
            <w:vAlign w:val="center"/>
          </w:tcPr>
          <w:p>
            <w:pPr>
              <w:pStyle w:val="TableContents"/>
              <w:bidi w:val="0"/>
              <w:spacing w:before="0" w:after="283"/>
              <w:jc w:val="left"/>
              <w:rPr/>
            </w:pPr>
            <w:r>
              <w:rPr/>
              <w:t> </w:t>
            </w:r>
          </w:p>
        </w:tc>
      </w:tr>
      <w:tr>
        <w:trPr/>
        <w:tc>
          <w:tcPr>
            <w:tcW w:w="20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Volatility</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bookmarkStart w:id="724" w:name="xdx_981_eus-gaap--ShareBasedCompensation"/>
            <w:bookmarkEnd w:id="724"/>
          </w:p>
        </w:tc>
        <w:tc>
          <w:tcPr>
            <w:tcW w:w="112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116.00</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379" w:type="dxa"/>
            <w:tcBorders/>
            <w:shd w:fill="CCEEFF" w:val="clear"/>
            <w:vAlign w:val="center"/>
          </w:tcPr>
          <w:p>
            <w:pPr>
              <w:pStyle w:val="TableContents"/>
              <w:bidi w:val="0"/>
              <w:spacing w:before="0" w:after="283"/>
              <w:jc w:val="left"/>
              <w:rPr/>
            </w:pPr>
            <w:r>
              <w:rPr/>
              <w:t> </w:t>
            </w:r>
            <w:bookmarkStart w:id="725" w:name="xdx_980_eus-gaap--ShareBasedCompensation"/>
            <w:bookmarkEnd w:id="725"/>
          </w:p>
        </w:tc>
        <w:tc>
          <w:tcPr>
            <w:tcW w:w="151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94.00</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0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Risk-free rate</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bookmarkStart w:id="726" w:name="xdx_98B_eus-gaap--ShareBasedCompensation"/>
            <w:bookmarkEnd w:id="726"/>
          </w:p>
        </w:tc>
        <w:tc>
          <w:tcPr>
            <w:tcW w:w="112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379" w:type="dxa"/>
            <w:tcBorders/>
            <w:shd w:fill="FFFFFF" w:val="clear"/>
            <w:vAlign w:val="center"/>
          </w:tcPr>
          <w:p>
            <w:pPr>
              <w:pStyle w:val="TableContents"/>
              <w:bidi w:val="0"/>
              <w:spacing w:before="0" w:after="283"/>
              <w:jc w:val="left"/>
              <w:rPr/>
            </w:pPr>
            <w:r>
              <w:rPr/>
              <w:t> </w:t>
            </w:r>
            <w:bookmarkStart w:id="727" w:name="xdx_987_eus-gaap--ShareBasedCompensation"/>
            <w:bookmarkEnd w:id="727"/>
          </w:p>
        </w:tc>
        <w:tc>
          <w:tcPr>
            <w:tcW w:w="151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0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Fair value</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728" w:name="xdx_983_ecustom--FairValueOfWarrant_iI_p"/>
            <w:bookmarkEnd w:id="728"/>
          </w:p>
        </w:tc>
        <w:tc>
          <w:tcPr>
            <w:tcW w:w="112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0.15</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729" w:name="xdx_98A_ecustom--FairValueOfWarrant_iI_p"/>
            <w:bookmarkEnd w:id="729"/>
          </w:p>
        </w:tc>
        <w:tc>
          <w:tcPr>
            <w:tcW w:w="151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2.74</w:t>
            </w:r>
          </w:p>
        </w:tc>
        <w:tc>
          <w:tcPr>
            <w:tcW w:w="230"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the significant inputs to the Black-Scholes method for the fair value of the Investor Warrants issued in the June 2023 Offering:</w:t>
      </w:r>
    </w:p>
    <w:p>
      <w:pPr>
        <w:pStyle w:val="TextBody"/>
        <w:bidi w:val="0"/>
        <w:spacing w:before="0" w:after="0"/>
        <w:jc w:val="both"/>
        <w:rPr>
          <w:caps w:val="false"/>
          <w:smallCaps w:val="false"/>
        </w:rPr>
      </w:pPr>
      <w:r>
        <w:rPr>
          <w:caps w:val="false"/>
          <w:smallCaps w:val="false"/>
        </w:rPr>
        <w:t> </w:t>
      </w:r>
    </w:p>
    <w:tbl>
      <w:tblPr>
        <w:tblW w:w="5815" w:type="dxa"/>
        <w:jc w:val="left"/>
        <w:tblInd w:w="0" w:type="dxa"/>
        <w:tblLayout w:type="fixed"/>
        <w:tblCellMar>
          <w:top w:w="0" w:type="dxa"/>
          <w:left w:w="0" w:type="dxa"/>
          <w:bottom w:w="0" w:type="dxa"/>
          <w:right w:w="0" w:type="dxa"/>
        </w:tblCellMar>
      </w:tblPr>
      <w:tblGrid>
        <w:gridCol w:w="2000"/>
        <w:gridCol w:w="60"/>
        <w:gridCol w:w="271"/>
        <w:gridCol w:w="1084"/>
        <w:gridCol w:w="215"/>
        <w:gridCol w:w="60"/>
        <w:gridCol w:w="379"/>
        <w:gridCol w:w="1516"/>
        <w:gridCol w:w="230"/>
      </w:tblGrid>
      <w:tr>
        <w:trPr/>
        <w:tc>
          <w:tcPr>
            <w:tcW w:w="20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 xml:space="preserve">As of </w:t>
              <w:br/>
              <w:t>June 30, 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 xml:space="preserve">As of </w:t>
              <w:br/>
              <w:t>December 31, 2024</w:t>
            </w:r>
          </w:p>
        </w:tc>
        <w:tc>
          <w:tcPr>
            <w:tcW w:w="230" w:type="dxa"/>
            <w:tcBorders/>
            <w:vAlign w:val="center"/>
          </w:tcPr>
          <w:p>
            <w:pPr>
              <w:pStyle w:val="TableContents"/>
              <w:bidi w:val="0"/>
              <w:spacing w:before="0" w:after="283"/>
              <w:jc w:val="left"/>
              <w:rPr/>
            </w:pPr>
            <w:r>
              <w:rPr/>
              <w:t> </w:t>
            </w:r>
          </w:p>
        </w:tc>
      </w:tr>
      <w:tr>
        <w:trPr/>
        <w:tc>
          <w:tcPr>
            <w:tcW w:w="20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Common stock price</w:t>
            </w:r>
          </w:p>
        </w:tc>
        <w:tc>
          <w:tcPr>
            <w:tcW w:w="60"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730" w:name="xdx_98C_eus-gaap--SharePrice_iI_pid_c202"/>
            <w:bookmarkEnd w:id="730"/>
          </w:p>
        </w:tc>
        <w:tc>
          <w:tcPr>
            <w:tcW w:w="108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0.16</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731" w:name="xdx_98B_eus-gaap--SharePrice_iI_pid_c202"/>
            <w:bookmarkEnd w:id="731"/>
          </w:p>
        </w:tc>
        <w:tc>
          <w:tcPr>
            <w:tcW w:w="151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2.78</w:t>
            </w:r>
          </w:p>
        </w:tc>
        <w:tc>
          <w:tcPr>
            <w:tcW w:w="230" w:type="dxa"/>
            <w:tcBorders/>
            <w:shd w:fill="CCEEFF" w:val="clear"/>
            <w:vAlign w:val="center"/>
          </w:tcPr>
          <w:p>
            <w:pPr>
              <w:pStyle w:val="TableContents"/>
              <w:bidi w:val="0"/>
              <w:spacing w:before="0" w:after="283"/>
              <w:jc w:val="left"/>
              <w:rPr/>
            </w:pPr>
            <w:r>
              <w:rPr/>
              <w:t> </w:t>
            </w:r>
          </w:p>
        </w:tc>
      </w:tr>
      <w:tr>
        <w:trPr/>
        <w:tc>
          <w:tcPr>
            <w:tcW w:w="20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Exercise price</w:t>
            </w:r>
          </w:p>
        </w:tc>
        <w:tc>
          <w:tcPr>
            <w:tcW w:w="60"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732" w:name="xdx_98B_eus-gaap--ShareBasedCompensation"/>
            <w:bookmarkEnd w:id="732"/>
          </w:p>
        </w:tc>
        <w:tc>
          <w:tcPr>
            <w:tcW w:w="108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18.00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733" w:name="xdx_986_eus-gaap--ShareBasedCompensation"/>
            <w:bookmarkEnd w:id="733"/>
          </w:p>
        </w:tc>
        <w:tc>
          <w:tcPr>
            <w:tcW w:w="151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18.00</w:t>
            </w:r>
          </w:p>
        </w:tc>
        <w:tc>
          <w:tcPr>
            <w:tcW w:w="230" w:type="dxa"/>
            <w:tcBorders/>
            <w:shd w:fill="FFFFFF" w:val="clear"/>
            <w:vAlign w:val="center"/>
          </w:tcPr>
          <w:p>
            <w:pPr>
              <w:pStyle w:val="TableContents"/>
              <w:bidi w:val="0"/>
              <w:spacing w:before="0" w:after="283"/>
              <w:jc w:val="left"/>
              <w:rPr/>
            </w:pPr>
            <w:r>
              <w:rPr/>
              <w:t> </w:t>
            </w:r>
          </w:p>
        </w:tc>
      </w:tr>
      <w:tr>
        <w:trPr/>
        <w:tc>
          <w:tcPr>
            <w:tcW w:w="20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Dividend yield</w:t>
            </w:r>
          </w:p>
        </w:tc>
        <w:tc>
          <w:tcPr>
            <w:tcW w:w="60"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jc w:val="left"/>
              <w:rPr/>
            </w:pPr>
            <w:r>
              <w:rPr/>
              <w:t> </w:t>
            </w:r>
          </w:p>
        </w:tc>
        <w:tc>
          <w:tcPr>
            <w:tcW w:w="1084" w:type="dxa"/>
            <w:tcBorders/>
            <w:shd w:fill="CCEEFF" w:val="clear"/>
            <w:vAlign w:val="center"/>
          </w:tcPr>
          <w:p>
            <w:pPr>
              <w:pStyle w:val="TableContents"/>
              <w:bidi w:val="0"/>
              <w:spacing w:before="0" w:after="283"/>
              <w:jc w:val="right"/>
              <w:rPr>
                <w:rFonts w:ascii="Times New Roman;Times;Serif" w:hAnsi="Times New Roman;Times;Serif"/>
              </w:rPr>
            </w:pPr>
            <w:bookmarkStart w:id="734" w:name="xdx_905_eus-gaap--ShareBasedCompensation"/>
            <w:bookmarkEnd w:id="734"/>
            <w:r>
              <w:rPr>
                <w:rFonts w:ascii="Times New Roman;Times;Serif" w:hAnsi="Times New Roman;Times;Serif"/>
              </w:rPr>
              <w:t>0</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379" w:type="dxa"/>
            <w:tcBorders/>
            <w:shd w:fill="CCEEFF" w:val="clear"/>
            <w:vAlign w:val="center"/>
          </w:tcPr>
          <w:p>
            <w:pPr>
              <w:pStyle w:val="TableContents"/>
              <w:bidi w:val="0"/>
              <w:spacing w:before="0" w:after="283"/>
              <w:jc w:val="left"/>
              <w:rPr/>
            </w:pPr>
            <w:r>
              <w:rPr/>
              <w:t> </w:t>
            </w:r>
          </w:p>
        </w:tc>
        <w:tc>
          <w:tcPr>
            <w:tcW w:w="1516" w:type="dxa"/>
            <w:tcBorders/>
            <w:shd w:fill="CCEEFF" w:val="clear"/>
            <w:vAlign w:val="center"/>
          </w:tcPr>
          <w:p>
            <w:pPr>
              <w:pStyle w:val="TableContents"/>
              <w:bidi w:val="0"/>
              <w:spacing w:before="0" w:after="283"/>
              <w:jc w:val="right"/>
              <w:rPr>
                <w:rFonts w:ascii="Times New Roman;Times;Serif" w:hAnsi="Times New Roman;Times;Serif"/>
              </w:rPr>
            </w:pPr>
            <w:bookmarkStart w:id="735" w:name="xdx_909_eus-gaap--ShareBasedCompensation"/>
            <w:bookmarkEnd w:id="735"/>
            <w:r>
              <w:rPr>
                <w:rFonts w:ascii="Times New Roman;Times;Serif" w:hAnsi="Times New Roman;Times;Serif"/>
              </w:rPr>
              <w:t>0</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0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Term</w:t>
            </w:r>
          </w:p>
        </w:tc>
        <w:tc>
          <w:tcPr>
            <w:tcW w:w="60"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084" w:type="dxa"/>
            <w:tcBorders/>
            <w:shd w:fill="FFFFFF" w:val="clear"/>
            <w:vAlign w:val="center"/>
          </w:tcPr>
          <w:p>
            <w:pPr>
              <w:pStyle w:val="TableContents"/>
              <w:bidi w:val="0"/>
              <w:spacing w:before="0" w:after="283"/>
              <w:jc w:val="right"/>
              <w:rPr>
                <w:rFonts w:ascii="Times New Roman;Times;Serif" w:hAnsi="Times New Roman;Times;Serif"/>
              </w:rPr>
            </w:pPr>
            <w:bookmarkStart w:id="736" w:name="xdx_901_eus-gaap--SharebasedCompensation"/>
            <w:bookmarkEnd w:id="736"/>
            <w:r>
              <w:rPr>
                <w:rFonts w:ascii="Times New Roman;Times;Serif" w:hAnsi="Times New Roman;Times;Serif"/>
              </w:rPr>
              <w:t>2.98</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9"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right"/>
              <w:rPr>
                <w:rFonts w:ascii="Times New Roman;Times;Serif" w:hAnsi="Times New Roman;Times;Serif"/>
              </w:rPr>
            </w:pPr>
            <w:bookmarkStart w:id="737" w:name="xdx_902_eus-gaap--SharebasedCompensation"/>
            <w:bookmarkEnd w:id="737"/>
            <w:r>
              <w:rPr>
                <w:rFonts w:ascii="Times New Roman;Times;Serif" w:hAnsi="Times New Roman;Times;Serif"/>
              </w:rPr>
              <w:t>3.47</w:t>
            </w:r>
          </w:p>
        </w:tc>
        <w:tc>
          <w:tcPr>
            <w:tcW w:w="230" w:type="dxa"/>
            <w:tcBorders/>
            <w:shd w:fill="FFFFFF" w:val="clear"/>
            <w:vAlign w:val="center"/>
          </w:tcPr>
          <w:p>
            <w:pPr>
              <w:pStyle w:val="TableContents"/>
              <w:bidi w:val="0"/>
              <w:spacing w:before="0" w:after="283"/>
              <w:jc w:val="left"/>
              <w:rPr/>
            </w:pPr>
            <w:r>
              <w:rPr/>
              <w:t> </w:t>
            </w:r>
          </w:p>
        </w:tc>
      </w:tr>
      <w:tr>
        <w:trPr/>
        <w:tc>
          <w:tcPr>
            <w:tcW w:w="20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Volatility</w:t>
            </w:r>
          </w:p>
        </w:tc>
        <w:tc>
          <w:tcPr>
            <w:tcW w:w="60"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jc w:val="left"/>
              <w:rPr/>
            </w:pPr>
            <w:r>
              <w:rPr/>
              <w:t> </w:t>
            </w:r>
            <w:bookmarkStart w:id="738" w:name="xdx_98A_eus-gaap--ShareBasedCompensation"/>
            <w:bookmarkEnd w:id="738"/>
          </w:p>
        </w:tc>
        <w:tc>
          <w:tcPr>
            <w:tcW w:w="108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155</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379" w:type="dxa"/>
            <w:tcBorders/>
            <w:shd w:fill="CCEEFF" w:val="clear"/>
            <w:vAlign w:val="center"/>
          </w:tcPr>
          <w:p>
            <w:pPr>
              <w:pStyle w:val="TableContents"/>
              <w:bidi w:val="0"/>
              <w:spacing w:before="0" w:after="283"/>
              <w:jc w:val="left"/>
              <w:rPr/>
            </w:pPr>
            <w:r>
              <w:rPr/>
              <w:t> </w:t>
            </w:r>
            <w:bookmarkStart w:id="739" w:name="xdx_98F_eus-gaap--ShareBasedCompensation"/>
            <w:bookmarkEnd w:id="739"/>
          </w:p>
        </w:tc>
        <w:tc>
          <w:tcPr>
            <w:tcW w:w="151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105</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0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Risk-free rate</w:t>
            </w:r>
          </w:p>
        </w:tc>
        <w:tc>
          <w:tcPr>
            <w:tcW w:w="60"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bookmarkStart w:id="740" w:name="xdx_98B_eus-gaap--ShareBasedCompensation"/>
            <w:bookmarkEnd w:id="740"/>
          </w:p>
        </w:tc>
        <w:tc>
          <w:tcPr>
            <w:tcW w:w="108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379" w:type="dxa"/>
            <w:tcBorders/>
            <w:shd w:fill="FFFFFF" w:val="clear"/>
            <w:vAlign w:val="center"/>
          </w:tcPr>
          <w:p>
            <w:pPr>
              <w:pStyle w:val="TableContents"/>
              <w:bidi w:val="0"/>
              <w:spacing w:before="0" w:after="283"/>
              <w:jc w:val="left"/>
              <w:rPr/>
            </w:pPr>
            <w:r>
              <w:rPr/>
              <w:t> </w:t>
            </w:r>
            <w:bookmarkStart w:id="741" w:name="xdx_98F_eus-gaap--ShareBasedCompensation"/>
            <w:bookmarkEnd w:id="741"/>
          </w:p>
        </w:tc>
        <w:tc>
          <w:tcPr>
            <w:tcW w:w="151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0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Fair value</w:t>
            </w:r>
          </w:p>
        </w:tc>
        <w:tc>
          <w:tcPr>
            <w:tcW w:w="60"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742" w:name="xdx_98E_ecustom--FairValueOfWarrant_iI_p"/>
            <w:bookmarkEnd w:id="742"/>
          </w:p>
        </w:tc>
        <w:tc>
          <w:tcPr>
            <w:tcW w:w="108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0.04</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743" w:name="xdx_982_ecustom--FairValueOfWarrant_iI_p"/>
            <w:bookmarkEnd w:id="743"/>
          </w:p>
        </w:tc>
        <w:tc>
          <w:tcPr>
            <w:tcW w:w="151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w:t>
            </w:r>
          </w:p>
        </w:tc>
        <w:tc>
          <w:tcPr>
            <w:tcW w:w="230"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bookmarkStart w:id="744" w:name="xdx_8AA_zKSlmWPPnlA2"/>
      <w:bookmarkEnd w:id="744"/>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Notes to Consolidated Financial Statements</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jc w:val="center"/>
        <w:rPr>
          <w:caps/>
        </w:rPr>
      </w:pPr>
      <w:r>
        <w:rPr>
          <w:caps/>
        </w:rPr>
        <w:t> </w:t>
      </w:r>
    </w:p>
    <w:p>
      <w:pPr>
        <w:pStyle w:val="TextBody"/>
        <w:bidi w:val="0"/>
        <w:spacing w:before="0" w:after="0"/>
        <w:jc w:val="both"/>
        <w:rPr>
          <w:rFonts w:ascii="Times New Roman;Times;Serif" w:hAnsi="Times New Roman;Times;Serif"/>
          <w:b/>
          <w:i w:val="false"/>
          <w:caps/>
          <w:sz w:val="20"/>
        </w:rPr>
      </w:pPr>
      <w:r>
        <w:rPr>
          <w:rFonts w:ascii="Times New Roman;Times;Serif" w:hAnsi="Times New Roman;Times;Serif"/>
          <w:b/>
          <w:i w:val="false"/>
          <w:caps/>
          <w:sz w:val="20"/>
        </w:rPr>
        <w:t>Note 9 - Warrants (continued)</w:t>
      </w:r>
    </w:p>
    <w:p>
      <w:pPr>
        <w:pStyle w:val="TextBody"/>
        <w:bidi w:val="0"/>
        <w:spacing w:before="0" w:after="0"/>
        <w:jc w:val="both"/>
        <w:rPr>
          <w:caps/>
        </w:rPr>
      </w:pPr>
      <w:r>
        <w:rPr>
          <w:caps/>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 Warrants classified as Liability (Continued)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bookmarkStart w:id="745" w:name="xdx_89E_eus-gaap--ScheduleOfShareBasedCo"/>
      <w:bookmarkEnd w:id="745"/>
      <w:r>
        <w:rPr>
          <w:rFonts w:ascii="Times New Roman;Times;Serif" w:hAnsi="Times New Roman;Times;Serif"/>
          <w:b w:val="false"/>
          <w:i w:val="false"/>
          <w:caps w:val="false"/>
          <w:smallCaps w:val="false"/>
          <w:sz w:val="20"/>
        </w:rPr>
        <w:t>The following table presents a roll-forward of the Company’s warrants from January 1, 2025 to June 30, 2025 and January 1, 2024 to June 30, 2024:</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bookmarkStart w:id="746" w:name="xdx_8B1_zJUok8xctlN3"/>
      <w:bookmarkEnd w:id="746"/>
      <w:r>
        <w:rPr>
          <w:rFonts w:ascii="Times New Roman;Times;Serif" w:hAnsi="Times New Roman;Times;Serif"/>
          <w:b w:val="false"/>
          <w:i w:val="false"/>
          <w:caps w:val="false"/>
          <w:smallCaps w:val="false"/>
          <w:sz w:val="20"/>
        </w:rPr>
        <w:t>SCHEDULE OF ROLL FORWARD IN WARRANTS </w:t>
      </w:r>
    </w:p>
    <w:tbl>
      <w:tblPr>
        <w:tblW w:w="9053" w:type="dxa"/>
        <w:jc w:val="left"/>
        <w:tblInd w:w="0" w:type="dxa"/>
        <w:tblLayout w:type="fixed"/>
        <w:tblCellMar>
          <w:top w:w="0" w:type="dxa"/>
          <w:left w:w="0" w:type="dxa"/>
          <w:bottom w:w="0" w:type="dxa"/>
          <w:right w:w="0" w:type="dxa"/>
        </w:tblCellMar>
      </w:tblPr>
      <w:tblGrid>
        <w:gridCol w:w="3740"/>
        <w:gridCol w:w="60"/>
        <w:gridCol w:w="111"/>
        <w:gridCol w:w="1483"/>
        <w:gridCol w:w="60"/>
        <w:gridCol w:w="60"/>
        <w:gridCol w:w="60"/>
        <w:gridCol w:w="980"/>
        <w:gridCol w:w="60"/>
        <w:gridCol w:w="60"/>
        <w:gridCol w:w="66"/>
        <w:gridCol w:w="1078"/>
        <w:gridCol w:w="60"/>
        <w:gridCol w:w="60"/>
        <w:gridCol w:w="60"/>
        <w:gridCol w:w="980"/>
        <w:gridCol w:w="75"/>
      </w:tblGrid>
      <w:tr>
        <w:trPr/>
        <w:tc>
          <w:tcPr>
            <w:tcW w:w="37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747" w:name="xdx_4B0_us-gaap--StatementEquityComponen"/>
            <w:bookmarkEnd w:id="747"/>
          </w:p>
        </w:tc>
        <w:tc>
          <w:tcPr>
            <w:tcW w:w="159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Private Warrants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748" w:name="xdx_4B9_us-gaap--StatementEquityComponen"/>
            <w:bookmarkEnd w:id="748"/>
          </w:p>
        </w:tc>
        <w:tc>
          <w:tcPr>
            <w:tcW w:w="10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 xml:space="preserve">Public </w:t>
              <w:br/>
              <w:t>Warrants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749" w:name="xdx_4B3_us-gaap--StatementEquityComponen"/>
            <w:bookmarkEnd w:id="749"/>
          </w:p>
        </w:tc>
        <w:tc>
          <w:tcPr>
            <w:tcW w:w="114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 xml:space="preserve">Term Loan </w:t>
              <w:br/>
              <w:t>Warrants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750" w:name="xdx_4B7_us-gaap--StatementEquityComponen"/>
            <w:bookmarkEnd w:id="750"/>
          </w:p>
        </w:tc>
        <w:tc>
          <w:tcPr>
            <w:tcW w:w="10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 xml:space="preserve">Investor </w:t>
              <w:br/>
              <w:t>Warrants</w:t>
            </w:r>
          </w:p>
        </w:tc>
        <w:tc>
          <w:tcPr>
            <w:tcW w:w="75" w:type="dxa"/>
            <w:tcBorders/>
            <w:vAlign w:val="center"/>
          </w:tcPr>
          <w:p>
            <w:pPr>
              <w:pStyle w:val="TableContents"/>
              <w:bidi w:val="0"/>
              <w:spacing w:before="0" w:after="283"/>
              <w:jc w:val="left"/>
              <w:rPr/>
            </w:pPr>
            <w:r>
              <w:rPr/>
              <w:t> </w:t>
            </w:r>
            <w:bookmarkStart w:id="751" w:name="xdx_432_c20250101__20250630_eus-gaap--Cl"/>
            <w:bookmarkEnd w:id="751"/>
          </w:p>
        </w:tc>
      </w:tr>
      <w:tr>
        <w:trPr/>
        <w:tc>
          <w:tcPr>
            <w:tcW w:w="37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Warrants Outstanding, January 1, 2025</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48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166,821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1,046,948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1,412,147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1,236,878</w:t>
            </w:r>
          </w:p>
        </w:tc>
        <w:tc>
          <w:tcPr>
            <w:tcW w:w="75" w:type="dxa"/>
            <w:tcBorders/>
            <w:shd w:fill="CCEEFF" w:val="clear"/>
            <w:vAlign w:val="center"/>
          </w:tcPr>
          <w:p>
            <w:pPr>
              <w:pStyle w:val="TableContents"/>
              <w:bidi w:val="0"/>
              <w:spacing w:before="0" w:after="283"/>
              <w:jc w:val="left"/>
              <w:rPr/>
            </w:pPr>
            <w:r>
              <w:rPr/>
              <w:t> </w:t>
            </w:r>
            <w:bookmarkStart w:id="752" w:name="xdx_407_eus-gaap--ShareBasedCompensation"/>
            <w:bookmarkEnd w:id="752"/>
          </w:p>
        </w:tc>
      </w:tr>
      <w:tr>
        <w:trPr/>
        <w:tc>
          <w:tcPr>
            <w:tcW w:w="374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Exercise of warrants</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148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07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FFFFFF" w:val="clear"/>
            <w:vAlign w:val="center"/>
          </w:tcPr>
          <w:p>
            <w:pPr>
              <w:pStyle w:val="TableContents"/>
              <w:bidi w:val="0"/>
              <w:spacing w:before="0" w:after="283"/>
              <w:jc w:val="left"/>
              <w:rPr/>
            </w:pPr>
            <w:r>
              <w:rPr/>
              <w:t> </w:t>
            </w:r>
            <w:bookmarkStart w:id="753" w:name="xdx_407_ecustom--ClassOfWarrantOrRightIs"/>
            <w:bookmarkEnd w:id="753"/>
          </w:p>
        </w:tc>
      </w:tr>
      <w:tr>
        <w:trPr/>
        <w:tc>
          <w:tcPr>
            <w:tcW w:w="374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Warrants issued</w:t>
            </w:r>
          </w:p>
        </w:tc>
        <w:tc>
          <w:tcPr>
            <w:tcW w:w="60" w:type="dxa"/>
            <w:tcBorders/>
            <w:shd w:fill="CCEEFF" w:val="clear"/>
            <w:vAlign w:val="center"/>
          </w:tcPr>
          <w:p>
            <w:pPr>
              <w:pStyle w:val="TableContents"/>
              <w:bidi w:val="0"/>
              <w:spacing w:before="0" w:after="283"/>
              <w:jc w:val="left"/>
              <w:rPr/>
            </w:pPr>
            <w:r>
              <w:rPr/>
              <w:t> </w:t>
            </w:r>
          </w:p>
        </w:tc>
        <w:tc>
          <w:tcPr>
            <w:tcW w:w="11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8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7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CCEEFF" w:val="clear"/>
            <w:vAlign w:val="center"/>
          </w:tcPr>
          <w:p>
            <w:pPr>
              <w:pStyle w:val="TableContents"/>
              <w:bidi w:val="0"/>
              <w:spacing w:before="0" w:after="283"/>
              <w:jc w:val="left"/>
              <w:rPr/>
            </w:pPr>
            <w:r>
              <w:rPr/>
              <w:t> </w:t>
            </w:r>
            <w:bookmarkStart w:id="754" w:name="xdx_430_c20250101__20250630_eus-gaap--Cl"/>
            <w:bookmarkEnd w:id="754"/>
          </w:p>
        </w:tc>
      </w:tr>
      <w:tr>
        <w:trPr/>
        <w:tc>
          <w:tcPr>
            <w:tcW w:w="37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Warrants Outstanding, June 30, 2025</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148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166,821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1,046,948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07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1,742,147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1,236,878</w:t>
            </w:r>
          </w:p>
        </w:tc>
        <w:tc>
          <w:tcPr>
            <w:tcW w:w="75"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48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755" w:name="xdx_431_c20240101__20240630_eus-gaap--Cl"/>
            <w:bookmarkEnd w:id="755"/>
          </w:p>
        </w:tc>
      </w:tr>
      <w:tr>
        <w:trPr/>
        <w:tc>
          <w:tcPr>
            <w:tcW w:w="374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Warrants Outstanding, January 1, 2024</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148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166,821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1,046,948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07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209,391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1,236,878</w:t>
            </w:r>
          </w:p>
        </w:tc>
        <w:tc>
          <w:tcPr>
            <w:tcW w:w="75" w:type="dxa"/>
            <w:tcBorders/>
            <w:shd w:fill="FFFFFF" w:val="clear"/>
            <w:vAlign w:val="center"/>
          </w:tcPr>
          <w:p>
            <w:pPr>
              <w:pStyle w:val="TableContents"/>
              <w:bidi w:val="0"/>
              <w:spacing w:before="0" w:after="283"/>
              <w:jc w:val="left"/>
              <w:rPr/>
            </w:pPr>
            <w:r>
              <w:rPr/>
              <w:t> </w:t>
            </w:r>
            <w:bookmarkStart w:id="756" w:name="xdx_437_c20240101__20240630_eus-gaap--Cl"/>
            <w:bookmarkEnd w:id="756"/>
          </w:p>
        </w:tc>
      </w:tr>
      <w:tr>
        <w:trPr/>
        <w:tc>
          <w:tcPr>
            <w:tcW w:w="374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Warrants Outstanding, Beginning</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148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166,821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1,046,948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07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209,391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1,236,878</w:t>
            </w:r>
          </w:p>
        </w:tc>
        <w:tc>
          <w:tcPr>
            <w:tcW w:w="75" w:type="dxa"/>
            <w:tcBorders/>
            <w:shd w:fill="FFFFFF" w:val="clear"/>
            <w:vAlign w:val="center"/>
          </w:tcPr>
          <w:p>
            <w:pPr>
              <w:pStyle w:val="TableContents"/>
              <w:bidi w:val="0"/>
              <w:spacing w:before="0" w:after="283"/>
              <w:jc w:val="left"/>
              <w:rPr/>
            </w:pPr>
            <w:r>
              <w:rPr/>
              <w:t> </w:t>
            </w:r>
            <w:bookmarkStart w:id="757" w:name="xdx_407_eus-gaap--ShareBasedCompensation"/>
            <w:bookmarkEnd w:id="757"/>
          </w:p>
        </w:tc>
      </w:tr>
      <w:tr>
        <w:trPr/>
        <w:tc>
          <w:tcPr>
            <w:tcW w:w="374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Exercise of warrants</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48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CCEEFF" w:val="clear"/>
            <w:vAlign w:val="center"/>
          </w:tcPr>
          <w:p>
            <w:pPr>
              <w:pStyle w:val="TableContents"/>
              <w:bidi w:val="0"/>
              <w:spacing w:before="0" w:after="283"/>
              <w:jc w:val="left"/>
              <w:rPr/>
            </w:pPr>
            <w:r>
              <w:rPr/>
              <w:t> </w:t>
            </w:r>
            <w:bookmarkStart w:id="758" w:name="xdx_407_ecustom--ClassOfWarrantOrRightIs"/>
            <w:bookmarkEnd w:id="758"/>
          </w:p>
        </w:tc>
      </w:tr>
      <w:tr>
        <w:trPr/>
        <w:tc>
          <w:tcPr>
            <w:tcW w:w="374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Warrants issued</w:t>
            </w:r>
          </w:p>
        </w:tc>
        <w:tc>
          <w:tcPr>
            <w:tcW w:w="60" w:type="dxa"/>
            <w:tcBorders/>
            <w:shd w:fill="FFFFFF" w:val="clear"/>
            <w:vAlign w:val="center"/>
          </w:tcPr>
          <w:p>
            <w:pPr>
              <w:pStyle w:val="TableContents"/>
              <w:bidi w:val="0"/>
              <w:spacing w:before="0" w:after="283"/>
              <w:jc w:val="left"/>
              <w:rPr/>
            </w:pPr>
            <w:r>
              <w:rPr/>
              <w:t> </w:t>
            </w:r>
          </w:p>
        </w:tc>
        <w:tc>
          <w:tcPr>
            <w:tcW w:w="11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8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517,519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FFFFFF" w:val="clear"/>
            <w:vAlign w:val="center"/>
          </w:tcPr>
          <w:p>
            <w:pPr>
              <w:pStyle w:val="TableContents"/>
              <w:bidi w:val="0"/>
              <w:spacing w:before="0" w:after="283"/>
              <w:jc w:val="left"/>
              <w:rPr/>
            </w:pPr>
            <w:r>
              <w:rPr/>
              <w:t> </w:t>
            </w:r>
            <w:bookmarkStart w:id="759" w:name="xdx_433_c20240101__20240630_eus-gaap--Cl"/>
            <w:bookmarkEnd w:id="759"/>
          </w:p>
        </w:tc>
      </w:tr>
      <w:tr>
        <w:trPr/>
        <w:tc>
          <w:tcPr>
            <w:tcW w:w="374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Warrants Outstanding, June 30, 2024</w:t>
            </w:r>
          </w:p>
        </w:tc>
        <w:tc>
          <w:tcPr>
            <w:tcW w:w="60" w:type="dxa"/>
            <w:tcBorders/>
            <w:shd w:fill="CCEEFF" w:val="clear"/>
            <w:vAlign w:val="center"/>
          </w:tcPr>
          <w:p>
            <w:pPr>
              <w:pStyle w:val="TableContents"/>
              <w:bidi w:val="0"/>
              <w:spacing w:before="0" w:after="283"/>
              <w:jc w:val="left"/>
              <w:rPr/>
            </w:pPr>
            <w:r>
              <w:rPr/>
              <w:t> </w:t>
            </w:r>
          </w:p>
        </w:tc>
        <w:tc>
          <w:tcPr>
            <w:tcW w:w="11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48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166,821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1,046,948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7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726,910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1,236,878</w:t>
            </w:r>
          </w:p>
        </w:tc>
        <w:tc>
          <w:tcPr>
            <w:tcW w:w="75" w:type="dxa"/>
            <w:tcBorders/>
            <w:shd w:fill="CCEEFF" w:val="clear"/>
            <w:vAlign w:val="center"/>
          </w:tcPr>
          <w:p>
            <w:pPr>
              <w:pStyle w:val="TableContents"/>
              <w:bidi w:val="0"/>
              <w:spacing w:before="0" w:after="283"/>
              <w:jc w:val="left"/>
              <w:rPr/>
            </w:pPr>
            <w:r>
              <w:rPr/>
              <w:t> </w:t>
            </w:r>
            <w:bookmarkStart w:id="760" w:name="xdx_43E_c20240101__20240630_eus-gaap--Cl"/>
            <w:bookmarkEnd w:id="760"/>
          </w:p>
        </w:tc>
      </w:tr>
      <w:tr>
        <w:trPr/>
        <w:tc>
          <w:tcPr>
            <w:tcW w:w="374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Warrants Outstanding, Ending</w:t>
            </w:r>
          </w:p>
        </w:tc>
        <w:tc>
          <w:tcPr>
            <w:tcW w:w="60" w:type="dxa"/>
            <w:tcBorders/>
            <w:shd w:fill="CCEEFF" w:val="clear"/>
            <w:vAlign w:val="center"/>
          </w:tcPr>
          <w:p>
            <w:pPr>
              <w:pStyle w:val="TableContents"/>
              <w:bidi w:val="0"/>
              <w:spacing w:before="0" w:after="283"/>
              <w:jc w:val="left"/>
              <w:rPr/>
            </w:pPr>
            <w:r>
              <w:rPr/>
              <w:t> </w:t>
            </w:r>
          </w:p>
        </w:tc>
        <w:tc>
          <w:tcPr>
            <w:tcW w:w="11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48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166,821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1,046,948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7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726,910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1,236,878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bookmarkStart w:id="761" w:name="xdx_8A5_zpepobSgJGt2"/>
      <w:bookmarkEnd w:id="761"/>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Private Placement Convertible Preferred Warrants classified as Liability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February 2025, in connection with a private placement offering of Series A Preferred Stock (see </w:t>
      </w:r>
      <w:r>
        <w:rPr>
          <w:rFonts w:ascii="Times New Roman;Times;Serif" w:hAnsi="Times New Roman;Times;Serif"/>
          <w:b/>
          <w:i w:val="false"/>
          <w:caps w:val="false"/>
          <w:smallCaps w:val="false"/>
          <w:sz w:val="20"/>
        </w:rPr>
        <w:t>Note 10</w:t>
      </w:r>
      <w:r>
        <w:rPr>
          <w:rFonts w:ascii="Times New Roman;Times;Serif" w:hAnsi="Times New Roman;Times;Serif"/>
          <w:b w:val="false"/>
          <w:i w:val="false"/>
          <w:caps w:val="false"/>
          <w:smallCaps w:val="false"/>
          <w:sz w:val="20"/>
        </w:rPr>
        <w:t xml:space="preserve">), the Company issued </w:t>
      </w:r>
      <w:bookmarkStart w:id="762" w:name="xdx_901_eus-gaap--SharesIssued_iI_c20250"/>
      <w:bookmarkEnd w:id="762"/>
      <w:r>
        <w:rPr>
          <w:rFonts w:ascii="Times New Roman;Times;Serif" w:hAnsi="Times New Roman;Times;Serif"/>
          <w:b w:val="false"/>
          <w:i w:val="false"/>
          <w:caps w:val="false"/>
          <w:smallCaps w:val="false"/>
          <w:sz w:val="20"/>
        </w:rPr>
        <w:t xml:space="preserve">20 Private Placement Convertible Preferred Warrants (as defined below). Each warrant entitles the holder to purchase up to </w:t>
      </w:r>
      <w:bookmarkStart w:id="763" w:name="xdx_902_eus-gaap--ClassOfWarrantOrRightN"/>
      <w:bookmarkEnd w:id="763"/>
      <w:r>
        <w:rPr>
          <w:rFonts w:ascii="Times New Roman;Times;Serif" w:hAnsi="Times New Roman;Times;Serif"/>
          <w:b w:val="false"/>
          <w:i w:val="false"/>
          <w:caps w:val="false"/>
          <w:smallCaps w:val="false"/>
          <w:sz w:val="20"/>
        </w:rPr>
        <w:t>200 shares of Series A Preferred Stock at an exercise price of $</w:t>
      </w:r>
      <w:bookmarkStart w:id="764" w:name="xdx_908_eus-gaap--ClassOfWarrantOrRightE"/>
      <w:bookmarkEnd w:id="764"/>
      <w:r>
        <w:rPr>
          <w:rFonts w:ascii="Times New Roman;Times;Serif" w:hAnsi="Times New Roman;Times;Serif"/>
          <w:b w:val="false"/>
          <w:i w:val="false"/>
          <w:caps w:val="false"/>
          <w:smallCaps w:val="false"/>
          <w:sz w:val="20"/>
        </w:rPr>
        <w:t>10,000 per share. The warrants are exercisable immediately and expire upon the earliest of: (i) 33 months after the shares of common stock issuable upon conversion of Series A Preferred Stock are registered for resale under the Securities Act, (ii) the occurrence of a Change of Control (as defined in the Certificate of Designation), or (iii) the full redemption of Series A Preferred Stock. The number of underlying shares and the exercise price are subject to adjustment in the event of stock splits, combinations, dividends, reclassifications, or other similar events. Upon exercise of the warrants, the Series A Preferred Stock is convertible into common stock at a conversion price that is subject to a floor of $0.424 per share, pursuant to the terms set forth in the Certificate of Designation.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the Private Placement Convertible Preferred Warrants issued in connection with the initial offering in accordance with the guidance contained in ASC 815-40. Such guidance provides that because the Private Placement Convertible Preferred Warrants do not meet the criteria for equity treatment thereunder, each Private Placement Convertible Preferred Warrant must be recorded as a derivative liability with the initial fair value of approximately $</w:t>
      </w:r>
      <w:bookmarkStart w:id="765" w:name="xdx_90E_eus-gaap--DerivativeLiabilities_"/>
      <w:bookmarkEnd w:id="765"/>
      <w:r>
        <w:rPr>
          <w:rFonts w:ascii="Times New Roman;Times;Serif" w:hAnsi="Times New Roman;Times;Serif"/>
          <w:b w:val="false"/>
          <w:i w:val="false"/>
          <w:caps w:val="false"/>
          <w:smallCaps w:val="false"/>
          <w:sz w:val="20"/>
        </w:rPr>
        <w:t xml:space="preserve">120. This liability is subject to re-measurement at each balance sheet date, with changes recorded in the consolidated statement of operations and comprehensive loss. However, the Company has deemed the fair value at inception as immaterial for initial recognition of the liability and will continue to monitor the change in fair value for subsequent periods. On June 23, 2025, the Company and the holder of the Private Placement Convertible Preferred Warrants agreed to cancel such holder’s warrants to purchase up to an aggregate of </w:t>
      </w:r>
      <w:bookmarkStart w:id="766" w:name="xdx_900_eus-gaap--ClassOfWarrantOrRightN"/>
      <w:bookmarkEnd w:id="766"/>
      <w:r>
        <w:rPr>
          <w:rFonts w:ascii="Times New Roman;Times;Serif" w:hAnsi="Times New Roman;Times;Serif"/>
          <w:b w:val="false"/>
          <w:i w:val="false"/>
          <w:caps w:val="false"/>
          <w:smallCaps w:val="false"/>
          <w:sz w:val="20"/>
        </w:rPr>
        <w:t>4,000 shares of Series A Preferred Stock, with an exercise price of $</w:t>
      </w:r>
      <w:bookmarkStart w:id="767" w:name="xdx_909_eus-gaap--SharePrice_iI_pid_c202"/>
      <w:bookmarkEnd w:id="767"/>
      <w:r>
        <w:rPr>
          <w:rFonts w:ascii="Times New Roman;Times;Serif" w:hAnsi="Times New Roman;Times;Serif"/>
          <w:b w:val="false"/>
          <w:i w:val="false"/>
          <w:caps w:val="false"/>
          <w:smallCaps w:val="false"/>
          <w:sz w:val="20"/>
        </w:rPr>
        <w:t>10,000 per share of Series A Preferred Stock. As a result, the Private Placement Convertible Preferred Warrants are no longer outstanding. Please see Note 10 for more information as related to the aforementioned initial closing of the Private Placement.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bookmarkStart w:id="768" w:name="xdx_89F_ecustom--ScheduleOfPrivatePlacem"/>
      <w:bookmarkEnd w:id="768"/>
      <w:r>
        <w:rPr>
          <w:rFonts w:ascii="Times New Roman;Times;Serif" w:hAnsi="Times New Roman;Times;Serif"/>
          <w:b w:val="false"/>
          <w:i w:val="false"/>
          <w:caps w:val="false"/>
          <w:smallCaps w:val="false"/>
          <w:sz w:val="20"/>
        </w:rPr>
        <w:t>The following table presents a roll-forward of the Company’s Private Placement Convertible Preferred Warrants from January 1, 2025 to June 30, 2025:</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bookmarkStart w:id="769" w:name="xdx_8BE_z2fs0qedpvW9"/>
      <w:bookmarkEnd w:id="769"/>
      <w:r>
        <w:rPr>
          <w:rFonts w:ascii="Times New Roman;Times;Serif" w:hAnsi="Times New Roman;Times;Serif"/>
          <w:b w:val="false"/>
          <w:i w:val="false"/>
          <w:caps w:val="false"/>
          <w:smallCaps w:val="false"/>
          <w:sz w:val="20"/>
        </w:rPr>
        <w:t>SCHEDULE OF ROLL FORWARD IN CONVERTIBLE PREFERRED WARRANTS </w:t>
      </w:r>
    </w:p>
    <w:tbl>
      <w:tblPr>
        <w:tblW w:w="10205" w:type="dxa"/>
        <w:jc w:val="left"/>
        <w:tblInd w:w="0" w:type="dxa"/>
        <w:tblLayout w:type="fixed"/>
        <w:tblCellMar>
          <w:top w:w="0" w:type="dxa"/>
          <w:left w:w="0" w:type="dxa"/>
          <w:bottom w:w="0" w:type="dxa"/>
          <w:right w:w="0" w:type="dxa"/>
        </w:tblCellMar>
      </w:tblPr>
      <w:tblGrid>
        <w:gridCol w:w="2690"/>
        <w:gridCol w:w="60"/>
        <w:gridCol w:w="227"/>
        <w:gridCol w:w="1280"/>
        <w:gridCol w:w="95"/>
        <w:gridCol w:w="60"/>
        <w:gridCol w:w="218"/>
        <w:gridCol w:w="2346"/>
        <w:gridCol w:w="95"/>
        <w:gridCol w:w="60"/>
        <w:gridCol w:w="143"/>
        <w:gridCol w:w="2817"/>
        <w:gridCol w:w="114"/>
      </w:tblGrid>
      <w:tr>
        <w:trPr/>
        <w:tc>
          <w:tcPr>
            <w:tcW w:w="26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770" w:name="xdx_4B2_us-gaap--ClassOfWarrantOrRightAx"/>
            <w:bookmarkEnd w:id="770"/>
          </w:p>
        </w:tc>
        <w:tc>
          <w:tcPr>
            <w:tcW w:w="150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Number of Warrants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771" w:name="xdx_4B5_us-gaap--ClassOfWarrantOrRightAx"/>
            <w:bookmarkEnd w:id="771"/>
          </w:p>
        </w:tc>
        <w:tc>
          <w:tcPr>
            <w:tcW w:w="256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Preferred Shares Underlying Warrants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772" w:name="xdx_4B7_us-gaap--ClassOfWarrantOrRightAx"/>
            <w:bookmarkEnd w:id="772"/>
          </w:p>
        </w:tc>
        <w:tc>
          <w:tcPr>
            <w:tcW w:w="29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Common Shares Underlying (at $1.00 floor)</w:t>
            </w:r>
          </w:p>
        </w:tc>
        <w:tc>
          <w:tcPr>
            <w:tcW w:w="114" w:type="dxa"/>
            <w:tcBorders/>
            <w:vAlign w:val="center"/>
          </w:tcPr>
          <w:p>
            <w:pPr>
              <w:pStyle w:val="TableContents"/>
              <w:bidi w:val="0"/>
              <w:spacing w:before="0" w:after="283"/>
              <w:jc w:val="left"/>
              <w:rPr/>
            </w:pPr>
            <w:r>
              <w:rPr/>
              <w:t> </w:t>
            </w:r>
            <w:bookmarkStart w:id="773" w:name="xdx_431_c20250101__20250331_eus-gaap--Cl"/>
            <w:bookmarkEnd w:id="773"/>
          </w:p>
        </w:tc>
      </w:tr>
      <w:tr>
        <w:trPr/>
        <w:tc>
          <w:tcPr>
            <w:tcW w:w="26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Warrants Outstanding, January 1, 2025</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23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281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4" w:type="dxa"/>
            <w:tcBorders/>
            <w:shd w:fill="CCEEFF" w:val="clear"/>
            <w:vAlign w:val="center"/>
          </w:tcPr>
          <w:p>
            <w:pPr>
              <w:pStyle w:val="TableContents"/>
              <w:bidi w:val="0"/>
              <w:spacing w:before="0" w:after="283"/>
              <w:jc w:val="left"/>
              <w:rPr/>
            </w:pPr>
            <w:r>
              <w:rPr/>
              <w:t> </w:t>
            </w:r>
            <w:bookmarkStart w:id="774" w:name="xdx_40A_eus-gaap--ShareBasedCompensation"/>
            <w:bookmarkEnd w:id="774"/>
          </w:p>
        </w:tc>
      </w:tr>
      <w:tr>
        <w:trPr/>
        <w:tc>
          <w:tcPr>
            <w:tcW w:w="269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Exercise of warrants</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23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281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4" w:type="dxa"/>
            <w:tcBorders/>
            <w:shd w:fill="FFFFFF" w:val="clear"/>
            <w:vAlign w:val="center"/>
          </w:tcPr>
          <w:p>
            <w:pPr>
              <w:pStyle w:val="TableContents"/>
              <w:bidi w:val="0"/>
              <w:spacing w:before="0" w:after="283"/>
              <w:jc w:val="left"/>
              <w:rPr/>
            </w:pPr>
            <w:r>
              <w:rPr/>
              <w:t> </w:t>
            </w:r>
            <w:bookmarkStart w:id="775" w:name="xdx_40F_ecustom--ClassOfWarrantOrRightIs"/>
            <w:bookmarkEnd w:id="775"/>
          </w:p>
        </w:tc>
      </w:tr>
      <w:tr>
        <w:trPr/>
        <w:tc>
          <w:tcPr>
            <w:tcW w:w="269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Warrants issued</w:t>
            </w:r>
          </w:p>
        </w:tc>
        <w:tc>
          <w:tcPr>
            <w:tcW w:w="60" w:type="dxa"/>
            <w:tcBorders/>
            <w:shd w:fill="CCEEFF" w:val="clear"/>
            <w:vAlign w:val="center"/>
          </w:tcPr>
          <w:p>
            <w:pPr>
              <w:pStyle w:val="TableContents"/>
              <w:bidi w:val="0"/>
              <w:spacing w:before="0" w:after="283"/>
              <w:jc w:val="left"/>
              <w:rPr/>
            </w:pPr>
            <w:r>
              <w:rPr/>
              <w:t> </w:t>
            </w:r>
          </w:p>
        </w:tc>
        <w:tc>
          <w:tcPr>
            <w:tcW w:w="22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34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81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48,000,000</w:t>
            </w:r>
          </w:p>
        </w:tc>
        <w:tc>
          <w:tcPr>
            <w:tcW w:w="114" w:type="dxa"/>
            <w:tcBorders/>
            <w:shd w:fill="CCEEFF" w:val="clear"/>
            <w:vAlign w:val="center"/>
          </w:tcPr>
          <w:p>
            <w:pPr>
              <w:pStyle w:val="TableContents"/>
              <w:bidi w:val="0"/>
              <w:spacing w:before="0" w:after="283"/>
              <w:jc w:val="left"/>
              <w:rPr/>
            </w:pPr>
            <w:r>
              <w:rPr/>
              <w:t> </w:t>
            </w:r>
            <w:bookmarkStart w:id="776" w:name="xdx_43D_c20250401__20250630_eus-gaap--Cl"/>
            <w:bookmarkEnd w:id="776"/>
          </w:p>
        </w:tc>
      </w:tr>
      <w:tr>
        <w:trPr/>
        <w:tc>
          <w:tcPr>
            <w:tcW w:w="26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Warrants Outstanding, March 31, 2025</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23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281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48,000,000</w:t>
            </w:r>
          </w:p>
        </w:tc>
        <w:tc>
          <w:tcPr>
            <w:tcW w:w="114" w:type="dxa"/>
            <w:tcBorders/>
            <w:shd w:fill="FFFFFF" w:val="clear"/>
            <w:vAlign w:val="center"/>
          </w:tcPr>
          <w:p>
            <w:pPr>
              <w:pStyle w:val="TableContents"/>
              <w:bidi w:val="0"/>
              <w:spacing w:before="0" w:after="283"/>
              <w:jc w:val="left"/>
              <w:rPr/>
            </w:pPr>
            <w:r>
              <w:rPr/>
              <w:t> </w:t>
            </w:r>
            <w:bookmarkStart w:id="777" w:name="xdx_40A_eus-gaap--ShareBasedCompensation"/>
            <w:bookmarkEnd w:id="777"/>
          </w:p>
        </w:tc>
      </w:tr>
      <w:tr>
        <w:trPr/>
        <w:tc>
          <w:tcPr>
            <w:tcW w:w="269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Exercise of warrants</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23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281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4" w:type="dxa"/>
            <w:tcBorders/>
            <w:shd w:fill="CCEEFF" w:val="clear"/>
            <w:vAlign w:val="center"/>
          </w:tcPr>
          <w:p>
            <w:pPr>
              <w:pStyle w:val="TableContents"/>
              <w:bidi w:val="0"/>
              <w:spacing w:before="0" w:after="283"/>
              <w:jc w:val="left"/>
              <w:rPr/>
            </w:pPr>
            <w:r>
              <w:rPr/>
              <w:t> </w:t>
            </w:r>
            <w:bookmarkStart w:id="778" w:name="xdx_40F_ecustom--ClassOfWarrantOrRightIs"/>
            <w:bookmarkEnd w:id="778"/>
          </w:p>
        </w:tc>
      </w:tr>
      <w:tr>
        <w:trPr/>
        <w:tc>
          <w:tcPr>
            <w:tcW w:w="269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Warrants issued</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23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281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4" w:type="dxa"/>
            <w:tcBorders/>
            <w:shd w:fill="FFFFFF" w:val="clear"/>
            <w:vAlign w:val="center"/>
          </w:tcPr>
          <w:p>
            <w:pPr>
              <w:pStyle w:val="TableContents"/>
              <w:bidi w:val="0"/>
              <w:spacing w:before="0" w:after="283"/>
              <w:jc w:val="left"/>
              <w:rPr/>
            </w:pPr>
            <w:r>
              <w:rPr/>
              <w:t> </w:t>
            </w:r>
            <w:bookmarkStart w:id="779" w:name="xdx_404_ecustom--ShareBasedCompensationA"/>
            <w:bookmarkEnd w:id="779"/>
          </w:p>
        </w:tc>
      </w:tr>
      <w:tr>
        <w:trPr/>
        <w:tc>
          <w:tcPr>
            <w:tcW w:w="269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Cancellation of warrants</w:t>
            </w:r>
          </w:p>
        </w:tc>
        <w:tc>
          <w:tcPr>
            <w:tcW w:w="60" w:type="dxa"/>
            <w:tcBorders/>
            <w:shd w:fill="CCEEFF" w:val="clear"/>
            <w:vAlign w:val="center"/>
          </w:tcPr>
          <w:p>
            <w:pPr>
              <w:pStyle w:val="TableContents"/>
              <w:bidi w:val="0"/>
              <w:spacing w:before="0" w:after="283"/>
              <w:jc w:val="left"/>
              <w:rPr/>
            </w:pPr>
            <w:r>
              <w:rPr/>
              <w:t> </w:t>
            </w:r>
          </w:p>
        </w:tc>
        <w:tc>
          <w:tcPr>
            <w:tcW w:w="22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1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34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(4,000</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81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(48,000,000</w:t>
            </w:r>
          </w:p>
        </w:tc>
        <w:tc>
          <w:tcPr>
            <w:tcW w:w="11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780" w:name="xdx_43D_c20250401__20250630_eus-gaap--Cl"/>
            <w:bookmarkEnd w:id="780"/>
          </w:p>
        </w:tc>
      </w:tr>
      <w:tr>
        <w:trPr/>
        <w:tc>
          <w:tcPr>
            <w:tcW w:w="26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Warrants Outstanding, June 30, 2025</w:t>
            </w:r>
          </w:p>
        </w:tc>
        <w:tc>
          <w:tcPr>
            <w:tcW w:w="60" w:type="dxa"/>
            <w:tcBorders/>
            <w:shd w:fill="FFFFFF" w:val="clear"/>
            <w:vAlign w:val="center"/>
          </w:tcPr>
          <w:p>
            <w:pPr>
              <w:pStyle w:val="TableContents"/>
              <w:bidi w:val="0"/>
              <w:spacing w:before="0" w:after="283"/>
              <w:jc w:val="left"/>
              <w:rPr/>
            </w:pPr>
            <w:r>
              <w:rPr/>
              <w:t> </w:t>
            </w:r>
          </w:p>
        </w:tc>
        <w:tc>
          <w:tcPr>
            <w:tcW w:w="22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234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281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4"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bookmarkStart w:id="781" w:name="xdx_8A0_zetmCzMGPNNj"/>
      <w:bookmarkEnd w:id="781"/>
      <w:r>
        <w:rPr/>
        <w:t> </w:t>
      </w:r>
    </w:p>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Notes to Consolidated Financial Statements</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jc w:val="center"/>
        <w:rPr>
          <w:caps/>
        </w:rPr>
      </w:pPr>
      <w:r>
        <w:rPr>
          <w:caps/>
        </w:rPr>
        <w:t> </w:t>
      </w:r>
    </w:p>
    <w:p>
      <w:pPr>
        <w:pStyle w:val="TextBody"/>
        <w:bidi w:val="0"/>
        <w:spacing w:before="0" w:after="0"/>
        <w:jc w:val="both"/>
        <w:rPr>
          <w:rFonts w:ascii="Times New Roman;Times;Serif" w:hAnsi="Times New Roman;Times;Serif"/>
          <w:b/>
          <w:i w:val="false"/>
          <w:caps/>
          <w:sz w:val="20"/>
        </w:rPr>
      </w:pPr>
      <w:bookmarkStart w:id="782" w:name="xdx_80F_eus-gaap--PreferredStockTextBloc"/>
      <w:bookmarkEnd w:id="782"/>
      <w:r>
        <w:rPr>
          <w:rFonts w:ascii="Times New Roman;Times;Serif" w:hAnsi="Times New Roman;Times;Serif"/>
          <w:b/>
          <w:i w:val="false"/>
          <w:caps/>
          <w:sz w:val="20"/>
        </w:rPr>
        <w:t xml:space="preserve">Note 10 - </w:t>
      </w:r>
      <w:bookmarkStart w:id="783" w:name="xdx_827_zU696oBwsG37"/>
      <w:bookmarkEnd w:id="783"/>
      <w:r>
        <w:rPr>
          <w:rFonts w:ascii="Times New Roman;Times;Serif" w:hAnsi="Times New Roman;Times;Serif"/>
          <w:b/>
          <w:i w:val="false"/>
          <w:caps/>
          <w:sz w:val="20"/>
        </w:rPr>
        <w:t>Redeemable Convertible Preferred Stock</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February 2025, the Company entered into a securities purchase agreement (the “Purchase Agreement”) with an institutional investor. Pursuant to the Purchase Agreement, the investor agreed to purchase in a registered direct offering (the “Registered Direct Offering”) from the Company </w:t>
      </w:r>
      <w:bookmarkStart w:id="784" w:name="xdx_90E_eus-gaap--StockIssuedDuringPerio"/>
      <w:bookmarkEnd w:id="784"/>
      <w:r>
        <w:rPr>
          <w:rFonts w:ascii="Times New Roman;Times;Serif" w:hAnsi="Times New Roman;Times;Serif"/>
          <w:b w:val="false"/>
          <w:i w:val="false"/>
          <w:caps w:val="false"/>
          <w:smallCaps w:val="false"/>
          <w:sz w:val="20"/>
        </w:rPr>
        <w:t>180 shares of Series A Convertible Preferred Stock, par value $</w:t>
      </w:r>
      <w:bookmarkStart w:id="785" w:name="xdx_90C_eus-gaap--PreferredStockParOrSta"/>
      <w:bookmarkEnd w:id="785"/>
      <w:r>
        <w:rPr>
          <w:rFonts w:ascii="Times New Roman;Times;Serif" w:hAnsi="Times New Roman;Times;Serif"/>
          <w:b w:val="false"/>
          <w:i w:val="false"/>
          <w:caps w:val="false"/>
          <w:smallCaps w:val="false"/>
          <w:sz w:val="20"/>
        </w:rPr>
        <w:t>0.0001 per share (the “Series A Preferred Stock” or “Redeemable Convertible Preferred Stock”), at a price of $</w:t>
      </w:r>
      <w:bookmarkStart w:id="786" w:name="xdx_90B_eus-gaap--SharePrice_iI_pid_c202"/>
      <w:bookmarkEnd w:id="786"/>
      <w:r>
        <w:rPr>
          <w:rFonts w:ascii="Times New Roman;Times;Serif" w:hAnsi="Times New Roman;Times;Serif"/>
          <w:b w:val="false"/>
          <w:i w:val="false"/>
          <w:caps w:val="false"/>
          <w:smallCaps w:val="false"/>
          <w:sz w:val="20"/>
        </w:rPr>
        <w:t>10,000 per share, initially convertible into shares of common stock of the Company, at a conversion price of $</w:t>
      </w:r>
      <w:bookmarkStart w:id="787" w:name="xdx_903_eus-gaap--PreferredStockConverti"/>
      <w:bookmarkEnd w:id="787"/>
      <w:r>
        <w:rPr>
          <w:rFonts w:ascii="Times New Roman;Times;Serif" w:hAnsi="Times New Roman;Times;Serif"/>
          <w:b w:val="false"/>
          <w:i w:val="false"/>
          <w:caps w:val="false"/>
          <w:smallCaps w:val="false"/>
          <w:sz w:val="20"/>
        </w:rPr>
        <w:t>2.332 per share of common stock.</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conducted an initial offering (the “Initial Closing”), which included the sale of Series A Preferred Stock through a Registered Direct Offering (the “Registered Direct Offering”) and a Private Placement pursuant to the Purchase Agreement (the “Private Placement”). In the Private Placement, the Company agreed to sell: (i) </w:t>
      </w:r>
      <w:bookmarkStart w:id="788" w:name="xdx_903_eus-gaap--StockIssuedDuringPerio"/>
      <w:bookmarkEnd w:id="788"/>
      <w:r>
        <w:rPr>
          <w:rFonts w:ascii="Times New Roman;Times;Serif" w:hAnsi="Times New Roman;Times;Serif"/>
          <w:b w:val="false"/>
          <w:i w:val="false"/>
          <w:caps w:val="false"/>
          <w:smallCaps w:val="false"/>
          <w:sz w:val="20"/>
        </w:rPr>
        <w:t>170 additional shares of Series A Preferred Stock at the same price as in the Registered Direct Offering, with a conversion price of $</w:t>
      </w:r>
      <w:bookmarkStart w:id="789" w:name="xdx_907_eus-gaap--PreferredStockConverti"/>
      <w:bookmarkEnd w:id="789"/>
      <w:r>
        <w:rPr>
          <w:rFonts w:ascii="Times New Roman;Times;Serif" w:hAnsi="Times New Roman;Times;Serif"/>
          <w:b w:val="false"/>
          <w:i w:val="false"/>
          <w:caps w:val="false"/>
          <w:smallCaps w:val="false"/>
          <w:sz w:val="20"/>
        </w:rPr>
        <w:t xml:space="preserve">2.332 per share, and (ii) </w:t>
      </w:r>
      <w:bookmarkStart w:id="790" w:name="xdx_90E_eus-gaap--ClassOfWarrantOrRightN"/>
      <w:bookmarkEnd w:id="790"/>
      <w:r>
        <w:rPr>
          <w:rFonts w:ascii="Times New Roman;Times;Serif" w:hAnsi="Times New Roman;Times;Serif"/>
          <w:b w:val="false"/>
          <w:i w:val="false"/>
          <w:caps w:val="false"/>
          <w:smallCaps w:val="false"/>
          <w:sz w:val="20"/>
        </w:rPr>
        <w:t xml:space="preserve">20 warrants (the “Private Placement Convertible Preferred Warrants”) to purchase up to </w:t>
      </w:r>
      <w:bookmarkStart w:id="791" w:name="xdx_903_eus-gaap--ClassOfWarrantOrRightN"/>
      <w:bookmarkEnd w:id="791"/>
      <w:r>
        <w:rPr>
          <w:rFonts w:ascii="Times New Roman;Times;Serif" w:hAnsi="Times New Roman;Times;Serif"/>
          <w:b w:val="false"/>
          <w:i w:val="false"/>
          <w:caps w:val="false"/>
          <w:smallCaps w:val="false"/>
          <w:sz w:val="20"/>
        </w:rPr>
        <w:t>4,000 shares of Series A Preferred Stock at $</w:t>
      </w:r>
      <w:bookmarkStart w:id="792" w:name="xdx_90C_eus-gaap--SharePrice_iI_pid_c202"/>
      <w:bookmarkEnd w:id="792"/>
      <w:r>
        <w:rPr>
          <w:rFonts w:ascii="Times New Roman;Times;Serif" w:hAnsi="Times New Roman;Times;Serif"/>
          <w:b w:val="false"/>
          <w:i w:val="false"/>
          <w:caps w:val="false"/>
          <w:smallCaps w:val="false"/>
          <w:sz w:val="20"/>
        </w:rPr>
        <w:t>10,000 per share. The Floor Price for the Series A Preferred Stock sold in the Initial Closing was $</w:t>
      </w:r>
      <w:bookmarkStart w:id="793" w:name="xdx_90F_eus-gaap--DerivativeFloorPrice_i"/>
      <w:bookmarkEnd w:id="793"/>
      <w:r>
        <w:rPr>
          <w:rFonts w:ascii="Times New Roman;Times;Serif" w:hAnsi="Times New Roman;Times;Serif"/>
          <w:b w:val="false"/>
          <w:i w:val="false"/>
          <w:caps w:val="false"/>
          <w:smallCaps w:val="false"/>
          <w:sz w:val="20"/>
        </w:rPr>
        <w:t>0.424. These terms are subject to adjustments for corporate events like stock splits.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total, the Company sold </w:t>
      </w:r>
      <w:bookmarkStart w:id="794" w:name="xdx_908_eus-gaap--SaleOfStockNumberOfSha"/>
      <w:bookmarkEnd w:id="794"/>
      <w:r>
        <w:rPr>
          <w:rFonts w:ascii="Times New Roman;Times;Serif" w:hAnsi="Times New Roman;Times;Serif"/>
          <w:b w:val="false"/>
          <w:i w:val="false"/>
          <w:caps w:val="false"/>
          <w:smallCaps w:val="false"/>
          <w:sz w:val="20"/>
        </w:rPr>
        <w:t xml:space="preserve">350 shares of Series A Preferred Stock and </w:t>
      </w:r>
      <w:bookmarkStart w:id="795" w:name="xdx_90C_eus-gaap--SaleOfStockNumberOfSha"/>
      <w:bookmarkEnd w:id="795"/>
      <w:r>
        <w:rPr>
          <w:rFonts w:ascii="Times New Roman;Times;Serif" w:hAnsi="Times New Roman;Times;Serif"/>
          <w:b w:val="false"/>
          <w:i w:val="false"/>
          <w:caps w:val="false"/>
          <w:smallCaps w:val="false"/>
          <w:sz w:val="20"/>
        </w:rPr>
        <w:t>20 Private Placement Convertible Preferred Warrants, raising approximately $</w:t>
      </w:r>
      <w:bookmarkStart w:id="796" w:name="xdx_905_eus-gaap--ProceedsFromIssuanceOr"/>
      <w:bookmarkEnd w:id="796"/>
      <w:r>
        <w:rPr>
          <w:rFonts w:ascii="Times New Roman;Times;Serif" w:hAnsi="Times New Roman;Times;Serif"/>
          <w:b w:val="false"/>
          <w:i w:val="false"/>
          <w:caps w:val="false"/>
          <w:smallCaps w:val="false"/>
          <w:sz w:val="20"/>
        </w:rPr>
        <w:t>3.2 million in net proceeds, which will be used for working capital and other general purposes.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April 28, 2025, the Company completed the second closing of the Private Placement (the “Second Closing”) pursuant to the Purchase Agreement. In connection with the Second Closing, the investor purchased an additional </w:t>
      </w:r>
      <w:bookmarkStart w:id="797" w:name="xdx_90C_eus-gaap--StockIssuedDuringPerio"/>
      <w:bookmarkEnd w:id="797"/>
      <w:r>
        <w:rPr>
          <w:rFonts w:ascii="Times New Roman;Times;Serif" w:hAnsi="Times New Roman;Times;Serif"/>
          <w:b w:val="false"/>
          <w:i w:val="false"/>
          <w:caps w:val="false"/>
          <w:smallCaps w:val="false"/>
          <w:sz w:val="20"/>
        </w:rPr>
        <w:t>450 shares of Series A Preferred Stock at a price of $</w:t>
      </w:r>
      <w:bookmarkStart w:id="798" w:name="xdx_90C_eus-gaap--SaleOfStockPricePerSha"/>
      <w:bookmarkEnd w:id="798"/>
      <w:r>
        <w:rPr>
          <w:rFonts w:ascii="Times New Roman;Times;Serif" w:hAnsi="Times New Roman;Times;Serif"/>
          <w:b w:val="false"/>
          <w:i w:val="false"/>
          <w:caps w:val="false"/>
          <w:smallCaps w:val="false"/>
          <w:sz w:val="20"/>
        </w:rPr>
        <w:t>10,000 per share, resulting in net proceeds of $4.2 million, which the Company received during the second quarter of 2025.</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the Series A Preferred Stock issued in the Second Closing were substantially similar to those issued in the Initial Closing, except that the initial conversion price was set at $</w:t>
      </w:r>
      <w:bookmarkStart w:id="799" w:name="xdx_903_eus-gaap--PreferredStockConverti"/>
      <w:bookmarkEnd w:id="799"/>
      <w:r>
        <w:rPr>
          <w:rFonts w:ascii="Times New Roman;Times;Serif" w:hAnsi="Times New Roman;Times;Serif"/>
          <w:b w:val="false"/>
          <w:i w:val="false"/>
          <w:caps w:val="false"/>
          <w:smallCaps w:val="false"/>
          <w:sz w:val="20"/>
        </w:rPr>
        <w:t>0.594 per share, with a Floor Price of $</w:t>
      </w:r>
      <w:bookmarkStart w:id="800" w:name="xdx_906_eus-gaap--DerivativeFloorPrice_i"/>
      <w:bookmarkEnd w:id="800"/>
      <w:r>
        <w:rPr>
          <w:rFonts w:ascii="Times New Roman;Times;Serif" w:hAnsi="Times New Roman;Times;Serif"/>
          <w:b w:val="false"/>
          <w:i w:val="false"/>
          <w:caps w:val="false"/>
          <w:smallCaps w:val="false"/>
          <w:sz w:val="20"/>
        </w:rPr>
        <w:t>0.10902 per share. The Second Closing shares are convertible into common stock at the option of the holder, subject to certain limitations and adjustments.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filed a Certificate of Designation of the Powers, Preferences and Relative, Participating, Optional and Other Restrictions of Series A Convertible Preferred Stock of the Company (the “Certificate of Designation”) with the Secretary of State of the State of Nevada to establish the rights, privileges, preferences, and restrictions of the Series A Preferred Stock. As set forth in the Certificate of Designation, the Company designated </w:t>
      </w:r>
      <w:bookmarkStart w:id="801" w:name="xdx_905_eus-gaap--TemporaryEquitySharesA"/>
      <w:bookmarkEnd w:id="801"/>
      <w:r>
        <w:rPr>
          <w:rFonts w:ascii="Times New Roman;Times;Serif" w:hAnsi="Times New Roman;Times;Serif"/>
          <w:b w:val="false"/>
          <w:i w:val="false"/>
          <w:caps w:val="false"/>
          <w:smallCaps w:val="false"/>
          <w:sz w:val="20"/>
        </w:rPr>
        <w:t>5,000 shares of preferred stock as Series A Preferred Stock. The following is a summary of the principal terms of the Certificate of Designation: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General.</w:t>
      </w:r>
      <w:r>
        <w:rPr>
          <w:rFonts w:ascii="Times New Roman;Times;Serif" w:hAnsi="Times New Roman;Times;Serif"/>
          <w:b w:val="false"/>
          <w:i w:val="false"/>
          <w:caps w:val="false"/>
          <w:smallCaps w:val="false"/>
          <w:sz w:val="20"/>
        </w:rPr>
        <w:t xml:space="preserve"> Each share of Series A Preferred Stock has a stated value of $</w:t>
      </w:r>
      <w:bookmarkStart w:id="802" w:name="xdx_90B_eus-gaap--PreferredStockParOrSta"/>
      <w:bookmarkEnd w:id="802"/>
      <w:r>
        <w:rPr>
          <w:rFonts w:ascii="Times New Roman;Times;Serif" w:hAnsi="Times New Roman;Times;Serif"/>
          <w:b w:val="false"/>
          <w:i w:val="false"/>
          <w:caps w:val="false"/>
          <w:smallCaps w:val="false"/>
          <w:sz w:val="20"/>
        </w:rPr>
        <w:t>10,000 per share (the “Series A Stated Value”) and, when issued, the Series A Preferred Stock will be fully paid and non-assessable.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Ranking.</w:t>
      </w:r>
      <w:r>
        <w:rPr>
          <w:rFonts w:ascii="Times New Roman;Times;Serif" w:hAnsi="Times New Roman;Times;Serif"/>
          <w:b w:val="false"/>
          <w:i w:val="false"/>
          <w:caps w:val="false"/>
          <w:smallCaps w:val="false"/>
          <w:sz w:val="20"/>
        </w:rPr>
        <w:t xml:space="preserve"> The Series A Preferred Stock ranks senior to all other Company capital stock for dividends, distributions, and liquidation payments, unless otherwise approved by the Required Holder (as defined in the Certificate of Designation).</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Notes to Consolidated Financial Statements</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jc w:val="center"/>
        <w:rPr>
          <w:caps/>
        </w:rPr>
      </w:pPr>
      <w:r>
        <w:rPr>
          <w:caps/>
        </w:rPr>
        <w:t> </w:t>
      </w:r>
    </w:p>
    <w:p>
      <w:pPr>
        <w:pStyle w:val="TextBody"/>
        <w:bidi w:val="0"/>
        <w:spacing w:before="0" w:after="0"/>
        <w:jc w:val="both"/>
        <w:rPr>
          <w:rFonts w:ascii="Times New Roman;Times;Serif" w:hAnsi="Times New Roman;Times;Serif"/>
          <w:b/>
          <w:i w:val="false"/>
          <w:caps/>
          <w:sz w:val="20"/>
        </w:rPr>
      </w:pPr>
      <w:r>
        <w:rPr>
          <w:rFonts w:ascii="Times New Roman;Times;Serif" w:hAnsi="Times New Roman;Times;Serif"/>
          <w:b/>
          <w:i w:val="false"/>
          <w:caps/>
          <w:sz w:val="20"/>
        </w:rPr>
        <w:t>Note 10 - Redeemable Convertible Preferred Stock (Continued)</w:t>
      </w:r>
    </w:p>
    <w:p>
      <w:pPr>
        <w:pStyle w:val="TextBody"/>
        <w:bidi w:val="0"/>
        <w:spacing w:before="0" w:after="0"/>
        <w:jc w:val="both"/>
        <w:rPr>
          <w:caps/>
        </w:rPr>
      </w:pPr>
      <w:r>
        <w:rPr>
          <w:caps/>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Dividends.</w:t>
      </w:r>
      <w:r>
        <w:rPr>
          <w:rFonts w:ascii="Times New Roman;Times;Serif" w:hAnsi="Times New Roman;Times;Serif"/>
          <w:b w:val="false"/>
          <w:i w:val="false"/>
          <w:caps w:val="false"/>
          <w:smallCaps w:val="false"/>
          <w:sz w:val="20"/>
        </w:rPr>
        <w:t xml:space="preserve"> Series A Preferred Stock holders are entitled to receive </w:t>
      </w:r>
      <w:bookmarkStart w:id="803" w:name="xdx_901_ecustom--PercentageOfPreferredSt"/>
      <w:bookmarkEnd w:id="803"/>
      <w:r>
        <w:rPr>
          <w:rFonts w:ascii="Times New Roman;Times;Serif" w:hAnsi="Times New Roman;Times;Serif"/>
          <w:b w:val="false"/>
          <w:i w:val="false"/>
          <w:caps w:val="false"/>
          <w:smallCaps w:val="false"/>
          <w:sz w:val="20"/>
        </w:rPr>
        <w:t xml:space="preserve">8% annual dividends, starting from issuance, payable quarterly in arrears in cash or additional Series A shares (defaulting to in-kind unless stated otherwise). If a Triggering Event (as defined in the Certificate of Designation) occurs, the rate increases to up to the lesser of </w:t>
      </w:r>
      <w:bookmarkStart w:id="804" w:name="xdx_90C_ecustom--PercentageOfPreferredSt"/>
      <w:bookmarkEnd w:id="804"/>
      <w:r>
        <w:rPr>
          <w:rFonts w:ascii="Times New Roman;Times;Serif" w:hAnsi="Times New Roman;Times;Serif"/>
          <w:b w:val="false"/>
          <w:i w:val="false"/>
          <w:caps w:val="false"/>
          <w:smallCaps w:val="false"/>
          <w:sz w:val="20"/>
        </w:rPr>
        <w:t>18% or maximum rate permitted under applicable law until resolved.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Conversion at Option of Holder.</w:t>
      </w:r>
      <w:r>
        <w:rPr>
          <w:rFonts w:ascii="Times New Roman;Times;Serif" w:hAnsi="Times New Roman;Times;Serif"/>
          <w:b w:val="false"/>
          <w:i w:val="false"/>
          <w:caps w:val="false"/>
          <w:smallCaps w:val="false"/>
          <w:sz w:val="20"/>
        </w:rPr>
        <w:t xml:space="preserve"> Holders may convert their Series A Preferred Stock into common stock at any time after issuance, subject to ownership limits and the issuable maximum, at a rate based on the Conversion Amount (as defined below), divided by the Conversion Price (as defined below), and subject to a Floor Price.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Voluntary Adjustment Right.</w:t>
      </w:r>
      <w:r>
        <w:rPr>
          <w:rFonts w:ascii="Times New Roman;Times;Serif" w:hAnsi="Times New Roman;Times;Serif"/>
          <w:b w:val="false"/>
          <w:i w:val="false"/>
          <w:caps w:val="false"/>
          <w:smallCaps w:val="false"/>
          <w:sz w:val="20"/>
        </w:rPr>
        <w:t xml:space="preserve"> Subject to the rules and regulations of Nasdaq, the Company has the right, at any time, with the written consent of the Required Holder, to lower the fixed conversion price to any amount and for any period of time deemed appropriate by the Company’s board of directors.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Alternate Conversion at the Holder’s Election.</w:t>
      </w:r>
      <w:r>
        <w:rPr>
          <w:rFonts w:ascii="Times New Roman;Times;Serif" w:hAnsi="Times New Roman;Times;Serif"/>
          <w:b w:val="false"/>
          <w:i w:val="false"/>
          <w:caps w:val="false"/>
          <w:smallCaps w:val="false"/>
          <w:sz w:val="20"/>
        </w:rPr>
        <w:t xml:space="preserve"> At the holder’s option, at any time, the holder may convert (an “Alternate Conversion”) some or all of such holder’s Series A Preferred Stock, at a conversion price equal to the lower of (i) the applicable Conversion Price as in effect on the date of such Alternate Conversion, and (ii) the greater of (x) the Floor Price and (y) </w:t>
      </w:r>
      <w:bookmarkStart w:id="805" w:name="xdx_90F_ecustom--PercentageOfVolumeWeigh"/>
      <w:bookmarkEnd w:id="805"/>
      <w:r>
        <w:rPr>
          <w:rFonts w:ascii="Times New Roman;Times;Serif" w:hAnsi="Times New Roman;Times;Serif"/>
          <w:b w:val="false"/>
          <w:i w:val="false"/>
          <w:caps w:val="false"/>
          <w:smallCaps w:val="false"/>
          <w:sz w:val="20"/>
        </w:rPr>
        <w:t>90% of the lowest VWAP (as defined in the Certificate of Designation) of the common stock during the ten (10) consecutive trading day period ending and including the trading day immediately preceding the delivery or deemed delivery of the applicable conversion notice as set forth in the Certificate of Designation (the “Alternate Conversion Price”).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With respect to each share of Series A Preferred Stock, as of the applicable date of determination, the “Conversion Amount” is equal to the sum of (1) </w:t>
      </w:r>
      <w:bookmarkStart w:id="806" w:name="xdx_908_ecustom--PercentageOfConversionA"/>
      <w:bookmarkEnd w:id="806"/>
      <w:r>
        <w:rPr>
          <w:rFonts w:ascii="Times New Roman;Times;Serif" w:hAnsi="Times New Roman;Times;Serif"/>
          <w:b w:val="false"/>
          <w:i w:val="false"/>
          <w:caps w:val="false"/>
          <w:smallCaps w:val="false"/>
          <w:sz w:val="20"/>
        </w:rPr>
        <w:t>120% of (i) the Series A Stated Value plus (ii) all declared and unpaid dividends on such shares as of such date of determination plus (2) any other amounts thereon owed to such holder, pursuant to this Certificate of Designations or any other Transaction Document (as defined in the Certificate of Designation) that have not otherwise been paid or satisfied.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Conversion Price varies depending on the issuance circumstances of the Series A Preferred Stock and is subject to adjustments. (</w:t>
      </w:r>
      <w:bookmarkStart w:id="807" w:name="xdx_90B_eus-gaap--PreferredUnitsDescript"/>
      <w:bookmarkEnd w:id="807"/>
      <w:r>
        <w:rPr>
          <w:rFonts w:ascii="Times New Roman;Times;Serif" w:hAnsi="Times New Roman;Times;Serif"/>
          <w:b w:val="false"/>
          <w:i w:val="false"/>
          <w:caps w:val="false"/>
          <w:smallCaps w:val="false"/>
          <w:sz w:val="20"/>
        </w:rPr>
        <w:t>i) for Series A Preferred Stocks issued in the Registered Direct Offering and at the initial closing of the Private Placement, the Conversion Price is fixed at $2.332 per share (the “Initial Conversion Price”); (ii) for Series A Preferred Stocks issued at the Second Closing or upon the exercise of a Private Placement Warrant (excluding cases under points (iii) and (iv) below), the Conversion Price is the lower of (x) the Initial Conversion Price and (y) 110% of the last closing trade price on the trading day before the Second Closing, relevant Funding Date, or Exercise Date (as defined in each Private Placement Warrant); (iii) if a Series A Preferred Stock is issued upon warrant exercise when certain equity conditions are not met, the Conversion Price is the lower of (A) $3.50 and (B) 110% of the closing price on the trading day before delivery of the Exercise or Call Notice; And (iv) if warrants are exercised after the Registration Effectiveness Date (as defined in the Certificate of Designation) and the common stock has traded above $10.00 for 20 consecutive trading days, and equity conditions are not met, the Conversion Price will be 110% of the closing price on the trading day before the Exercise or Call Notice. In all cases, the Conversion Price is subject to proportional adjustments in the event of stock splits, dividends, combinations, and/or similar corporate actions and as set forth below under “Other Adjustments” below.</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Notes to Consolidated Financial Statements</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jc w:val="center"/>
        <w:rPr>
          <w:caps/>
        </w:rPr>
      </w:pPr>
      <w:r>
        <w:rPr>
          <w:caps/>
        </w:rPr>
        <w:t> </w:t>
      </w:r>
    </w:p>
    <w:p>
      <w:pPr>
        <w:pStyle w:val="TextBody"/>
        <w:bidi w:val="0"/>
        <w:spacing w:before="0" w:after="0"/>
        <w:jc w:val="both"/>
        <w:rPr>
          <w:rFonts w:ascii="Times New Roman;Times;Serif" w:hAnsi="Times New Roman;Times;Serif"/>
          <w:b/>
          <w:i w:val="false"/>
          <w:caps/>
          <w:sz w:val="20"/>
        </w:rPr>
      </w:pPr>
      <w:r>
        <w:rPr>
          <w:rFonts w:ascii="Times New Roman;Times;Serif" w:hAnsi="Times New Roman;Times;Serif"/>
          <w:b/>
          <w:i w:val="false"/>
          <w:caps/>
          <w:sz w:val="20"/>
        </w:rPr>
        <w:t>Note 10 - Redeemable Convertible Preferred Stock (Continued)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Floor Price varies based on when and how the Series A Preferred Stock is issued: (i) for Series A Preferred Stocks sold in the Registered Direct Offering, the Floor Price is $</w:t>
      </w:r>
      <w:bookmarkStart w:id="808" w:name="xdx_902_eus-gaap--DerivativeFloorPrice_i"/>
      <w:bookmarkEnd w:id="808"/>
      <w:r>
        <w:rPr>
          <w:rFonts w:ascii="Times New Roman;Times;Serif" w:hAnsi="Times New Roman;Times;Serif"/>
          <w:b w:val="false"/>
          <w:i w:val="false"/>
          <w:caps w:val="false"/>
          <w:smallCaps w:val="false"/>
          <w:sz w:val="20"/>
        </w:rPr>
        <w:t>1.00; (ii) for Series A Preferred Stocks sold at the initial closing of the Private Placement, it is $</w:t>
      </w:r>
      <w:bookmarkStart w:id="809" w:name="xdx_906_eus-gaap--SaleOfStockPricePerSha"/>
      <w:bookmarkEnd w:id="809"/>
      <w:r>
        <w:rPr>
          <w:rFonts w:ascii="Times New Roman;Times;Serif" w:hAnsi="Times New Roman;Times;Serif"/>
          <w:b w:val="false"/>
          <w:i w:val="false"/>
          <w:caps w:val="false"/>
          <w:smallCaps w:val="false"/>
          <w:sz w:val="20"/>
        </w:rPr>
        <w:t>0.424, which represents 20% of the Nasdaq Minimum Price of the common stock on the trading day before the Purchase Agreement was signed; (iii) for Series A Preferred Stocks issued after the initial closing—including those in the Second Closing—the Floor Price is 20% of the Nasdaq Minimum Price as of the trading day immediately before issuance. If, after six months from the initial issuance date, the current Floor Price exceeds the Adjusted Floor Price (as defined in the Certificate of Designation), the Required Holder may elect to lower the Floor Price to the Adjusted Floor Price, subject to Nasdaq approval. Both the Floor Price and Adjusted Floor Price are subject to proportional adjustments for stock splits, dividends, combinations, and/or similar corporate events.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Other Adjustments.</w:t>
      </w:r>
      <w:r>
        <w:rPr>
          <w:rFonts w:ascii="Times New Roman;Times;Serif" w:hAnsi="Times New Roman;Times;Serif"/>
          <w:b w:val="false"/>
          <w:i w:val="false"/>
          <w:caps w:val="false"/>
          <w:smallCaps w:val="false"/>
          <w:sz w:val="20"/>
        </w:rPr>
        <w:t xml:space="preserve"> Until stockholder approval is obtained, the Company may not issue more than </w:t>
      </w:r>
      <w:bookmarkStart w:id="810" w:name="xdx_90C_eus-gaap--StockIssuedDuringPerio"/>
      <w:bookmarkEnd w:id="810"/>
      <w:r>
        <w:rPr>
          <w:rFonts w:ascii="Times New Roman;Times;Serif" w:hAnsi="Times New Roman;Times;Serif"/>
          <w:b w:val="false"/>
          <w:i w:val="false"/>
          <w:caps w:val="false"/>
          <w:smallCaps w:val="false"/>
          <w:sz w:val="20"/>
        </w:rPr>
        <w:t xml:space="preserve">1,450,489 shares of common stock upon conversion of the Series A Preferred Stock and in certain related transactions—an amount equal to </w:t>
      </w:r>
      <w:bookmarkStart w:id="811" w:name="xdx_90B_ecustom--PrecentageOfOutstanding"/>
      <w:bookmarkEnd w:id="811"/>
      <w:r>
        <w:rPr>
          <w:rFonts w:ascii="Times New Roman;Times;Serif" w:hAnsi="Times New Roman;Times;Serif"/>
          <w:b w:val="false"/>
          <w:i w:val="false"/>
          <w:caps w:val="false"/>
          <w:smallCaps w:val="false"/>
          <w:sz w:val="20"/>
        </w:rPr>
        <w:t>19.99% of the total outstanding shares as of February 26, 2025—subject to adjustments for stock splits, recapitalizations, and similar events (the “Issuable Maximum”). This limit applies collectively to all conversions of Series A Preferred Stock and related securities. Additionally, if the Company issues common stock at a price lower than the then-current Conversion Price (the “New Issuance Price”), the Conversion Price will be adjusted downward to the New Issuance Price.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Purchase Rights.</w:t>
      </w:r>
      <w:r>
        <w:rPr>
          <w:rFonts w:ascii="Times New Roman;Times;Serif" w:hAnsi="Times New Roman;Times;Serif"/>
          <w:b w:val="false"/>
          <w:i w:val="false"/>
          <w:caps w:val="false"/>
          <w:smallCaps w:val="false"/>
          <w:sz w:val="20"/>
        </w:rPr>
        <w:t xml:space="preserve"> If the Company issues options, convertible securities, or other purchase rights to acquire stock or property to all or most holders of common stock (“Purchase Rights”), holders of Series A Preferred Stock will also be entitled to receive these rights. Each holder may acquire the same Purchase Rights as if they had already converted all of their Series A Preferred Stock into common stock at the Alternate Conversion Price, subject to the Beneficial Ownership Limitation.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Liquidation Preference.</w:t>
      </w:r>
      <w:r>
        <w:rPr>
          <w:rFonts w:ascii="Times New Roman;Times;Serif" w:hAnsi="Times New Roman;Times;Serif"/>
          <w:b w:val="false"/>
          <w:i w:val="false"/>
          <w:caps w:val="false"/>
          <w:smallCaps w:val="false"/>
          <w:sz w:val="20"/>
        </w:rPr>
        <w:t xml:space="preserve"> Each share of Series A Preferred Stock carries a liquidation preference equal to the greater of (A) the conversion of such Series A Preferred Stock on the date of such payment and (B) the amount per share such holder would receive if such holder converted such Series A Preferred Stock into common stock immediately prior to the date of such payment.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Mandatory Redemption Triggering Event.</w:t>
      </w:r>
      <w:r>
        <w:rPr>
          <w:rFonts w:ascii="Times New Roman;Times;Serif" w:hAnsi="Times New Roman;Times;Serif"/>
          <w:b w:val="false"/>
          <w:i w:val="false"/>
          <w:caps w:val="false"/>
          <w:smallCaps w:val="false"/>
          <w:sz w:val="20"/>
        </w:rPr>
        <w:t xml:space="preserve"> Upon any Mandatory Triggering Event (as defined in the Certificate of Designation), the Company shall immediately redeem in cash all amounts due under the Series A Preferred Stock at a redemption price equal to the Conversion Amount to be redeemed.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Voting Rights.</w:t>
      </w:r>
      <w:r>
        <w:rPr>
          <w:rFonts w:ascii="Times New Roman;Times;Serif" w:hAnsi="Times New Roman;Times;Serif"/>
          <w:b w:val="false"/>
          <w:i w:val="false"/>
          <w:caps w:val="false"/>
          <w:smallCaps w:val="false"/>
          <w:sz w:val="20"/>
        </w:rPr>
        <w:t xml:space="preserve"> Holders of Series A Preferred Stock have no voting power, cannot vote on any matters, and cannot call or participate in shareholder meetings, except as outlined in the Certificate of Designation or required by law. The Company cannot take certain actions without the prior consent of the Required Holder, including: (a) altering the powers, preferences, or rights of the Series A Preferred Stock or amending the Certificate of Designation, (b) creating any stock class senior or pari passu to the Series A Preferred Stock, (c) amending the articles of incorporation in ways that negatively affect the Series A Preferred Stock rights, (d) changing the number of authorized Series A Preferred Stock, (e) paying dividends or making distributions on common stock, (f) purchasing or redeeming junior capital stock, (g) issuing Series A Preferred Stock outside the agreed terms, or (h) circumventing any rights set forth in the Certificate of Designation.</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Notes to Consolidated Financial Statements</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jc w:val="center"/>
        <w:rPr>
          <w:caps/>
        </w:rPr>
      </w:pPr>
      <w:r>
        <w:rPr>
          <w:caps/>
        </w:rPr>
        <w:t> </w:t>
      </w:r>
    </w:p>
    <w:p>
      <w:pPr>
        <w:pStyle w:val="TextBody"/>
        <w:bidi w:val="0"/>
        <w:spacing w:before="0" w:after="0"/>
        <w:jc w:val="both"/>
        <w:rPr>
          <w:rFonts w:ascii="Times New Roman;Times;Serif" w:hAnsi="Times New Roman;Times;Serif"/>
          <w:b/>
          <w:i w:val="false"/>
          <w:caps/>
          <w:sz w:val="20"/>
        </w:rPr>
      </w:pPr>
      <w:r>
        <w:rPr>
          <w:rFonts w:ascii="Times New Roman;Times;Serif" w:hAnsi="Times New Roman;Times;Serif"/>
          <w:b/>
          <w:i w:val="false"/>
          <w:caps/>
          <w:sz w:val="20"/>
        </w:rPr>
        <w:t>Note 10 - Redeemable Convertible Preferred Stock (Continued)</w:t>
      </w:r>
    </w:p>
    <w:p>
      <w:pPr>
        <w:pStyle w:val="TextBody"/>
        <w:bidi w:val="0"/>
        <w:spacing w:before="0" w:after="0"/>
        <w:jc w:val="both"/>
        <w:rPr>
          <w:caps/>
        </w:rPr>
      </w:pPr>
      <w:r>
        <w:rPr>
          <w:caps/>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Change of Control Exchange.</w:t>
      </w:r>
      <w:r>
        <w:rPr>
          <w:rFonts w:ascii="Times New Roman;Times;Serif" w:hAnsi="Times New Roman;Times;Serif"/>
          <w:b w:val="false"/>
          <w:i w:val="false"/>
          <w:caps w:val="false"/>
          <w:smallCaps w:val="false"/>
          <w:sz w:val="20"/>
        </w:rPr>
        <w:t xml:space="preserve"> Upon a change of control of the Company, each holder may require the Company to exchange such holder’s shares of Series A Preferred Stock for consideration equal to the Conversion Amount (or (1) the Series A Stated Value thereof plus (2) all declared and unpaid dividends on such shares as of such date of determination plus (3) any other amounts thereon owed to such holder, pursuant to the Certificate of Designation or any other Transaction Document that have not otherwise been paid or satisfied, in the case of any shares of Series A Preferred Stock funded following the Announcement Time (as defined in the Certificate of Designation) but prior to the date of the change of control.</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Company Optional Redemption.</w:t>
      </w:r>
      <w:r>
        <w:rPr>
          <w:rFonts w:ascii="Times New Roman;Times;Serif" w:hAnsi="Times New Roman;Times;Serif"/>
          <w:b w:val="false"/>
          <w:i w:val="false"/>
          <w:caps w:val="false"/>
          <w:smallCaps w:val="false"/>
          <w:sz w:val="20"/>
        </w:rPr>
        <w:t xml:space="preserve"> The Company can redeem all or part of the outstanding Series A Preferred Stock at any time by sending a written notice to each holder. The redemption price is generally the Conversion Amount, but may be the Stated Value in certain cases. If a Triggering Event has occurred, the price will be the greater of (i) the Conversion Amount or (ii) the product of the Conversion Rate and the average of the five highest daily VWAPs of the common stock from the day before the company optional redemption notice to the day before the payment is required.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Fundamental Transactions.</w:t>
      </w:r>
      <w:r>
        <w:rPr>
          <w:rFonts w:ascii="Times New Roman;Times;Serif" w:hAnsi="Times New Roman;Times;Serif"/>
          <w:b w:val="false"/>
          <w:i w:val="false"/>
          <w:caps w:val="false"/>
          <w:smallCaps w:val="false"/>
          <w:sz w:val="20"/>
        </w:rPr>
        <w:t xml:space="preserve"> The Certificate of Designation prevents the Company from engaging in fundamental transactions, such as mergers or business combinations, unless it (or its successor) assumes all obligations under the Certificate of Designation and Transaction Documents, or redeems all outstanding Series A Preferred Stock.</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Covenants.</w:t>
      </w:r>
      <w:r>
        <w:rPr>
          <w:rFonts w:ascii="Times New Roman;Times;Serif" w:hAnsi="Times New Roman;Times;Serif"/>
          <w:b w:val="false"/>
          <w:i w:val="false"/>
          <w:caps w:val="false"/>
          <w:smallCaps w:val="false"/>
          <w:sz w:val="20"/>
        </w:rPr>
        <w:t xml:space="preserve"> The Certificate of Designation imposes several restrictions on the Company, including prohibiting the redemption, repurchase, or declaration of dividends on capital stock (except as required), incurring debt (except Permitted Indebtedness), entering into affiliate transactions, or creating liens without the Required Holder’s prior consent. Additionally, the Company cannot issue Series A Preferred Stock or other securities that would violate the Certificate of Designation or issue securities below the current Floor Price.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evaluated the features of the Series A Preferred Stock to determine if any needed to be bifurcated as embedded derivatives. It concluded that the conversion feature is closely related to the host contract, while the redemption feature qualifies for bifurcation as a derivative. However, the fair value of the bifurcated derivative is immaterial. While the host contract is considered as an equity-classified instrument, it includes provisions that allow the investor to redeem the instrument for cash or other assets upon the occurrence of events that are not solely within the company’s control, the Series A Preferred Stock is classified as mezzanine equity.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the Company bifurcated the Redeemable Convertible Preferred Stock into (i) the host contract, classified within mezzanine equity, and (ii) the bifurcated derivative liability related to the redemption feature.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proceeds from the Initial Offerings were allocated first to the fair value of the Private Placement Convertible Preferred Warrants, with the remaining balance allocated to the Redeemable Convertible Preferred Stock. The Private Placement Convertible Preferred Warrants do not meet equity classification requirements under ASC 815-40, so they are treated as derivative liabilities, remeasured to fair value each reporting period, with changes recorded in the consolidated statement of operations and comprehensive loss.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From the issuance date through June 30, 2025, </w:t>
      </w:r>
      <w:bookmarkStart w:id="812" w:name="xdx_905_eus-gaap--ConversionOfStockShare"/>
      <w:bookmarkEnd w:id="812"/>
      <w:r>
        <w:rPr>
          <w:rFonts w:ascii="Times New Roman;Times;Serif" w:hAnsi="Times New Roman;Times;Serif"/>
          <w:b w:val="false"/>
          <w:i w:val="false"/>
          <w:caps w:val="false"/>
          <w:smallCaps w:val="false"/>
          <w:sz w:val="20"/>
        </w:rPr>
        <w:t xml:space="preserve">664 shares of Series A Preferred Stock were converted into </w:t>
      </w:r>
      <w:bookmarkStart w:id="813" w:name="xdx_906_eus-gaap--ConversionOfStockShare"/>
      <w:bookmarkEnd w:id="813"/>
      <w:r>
        <w:rPr>
          <w:rFonts w:ascii="Times New Roman;Times;Serif" w:hAnsi="Times New Roman;Times;Serif"/>
          <w:b w:val="false"/>
          <w:i w:val="false"/>
          <w:caps w:val="false"/>
          <w:smallCaps w:val="false"/>
          <w:sz w:val="20"/>
        </w:rPr>
        <w:t>29,996,775 shares of common stock. As a result, $</w:t>
      </w:r>
      <w:bookmarkStart w:id="814" w:name="xdx_90A_eus-gaap--ConversionOfStockAmoun"/>
      <w:bookmarkEnd w:id="814"/>
      <w:r>
        <w:rPr>
          <w:rFonts w:ascii="Times New Roman;Times;Serif" w:hAnsi="Times New Roman;Times;Serif"/>
          <w:b w:val="false"/>
          <w:i w:val="false"/>
          <w:caps w:val="false"/>
          <w:smallCaps w:val="false"/>
          <w:sz w:val="20"/>
        </w:rPr>
        <w:t>6,085 (net of offering costs) was reclassified from mezzanine equity to common stock and additional paid-in capital.</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2025, </w:t>
      </w:r>
      <w:bookmarkStart w:id="815" w:name="xdx_906_eus-gaap--PreferredStockSharesOu"/>
      <w:bookmarkEnd w:id="815"/>
      <w:r>
        <w:rPr>
          <w:rFonts w:ascii="Times New Roman;Times;Serif" w:hAnsi="Times New Roman;Times;Serif"/>
          <w:b w:val="false"/>
          <w:i w:val="false"/>
          <w:caps w:val="false"/>
          <w:smallCaps w:val="false"/>
          <w:sz w:val="20"/>
        </w:rPr>
        <w:t>136 shares of Series A Preferred Stock remained outstanding, with an aggregate stated value of $</w:t>
      </w:r>
      <w:bookmarkStart w:id="816" w:name="xdx_90A_ecustom--PreferredStockStatedVal"/>
      <w:bookmarkEnd w:id="816"/>
      <w:r>
        <w:rPr>
          <w:rFonts w:ascii="Times New Roman;Times;Serif" w:hAnsi="Times New Roman;Times;Serif"/>
          <w:b w:val="false"/>
          <w:i w:val="false"/>
          <w:caps w:val="false"/>
          <w:smallCaps w:val="false"/>
          <w:sz w:val="20"/>
        </w:rPr>
        <w:t>1,356 ($</w:t>
      </w:r>
      <w:bookmarkStart w:id="817" w:name="xdx_90A_eus-gaap--DebtInstrumentFeeAmoun"/>
      <w:bookmarkEnd w:id="817"/>
      <w:r>
        <w:rPr>
          <w:rFonts w:ascii="Times New Roman;Times;Serif" w:hAnsi="Times New Roman;Times;Serif"/>
          <w:b w:val="false"/>
          <w:i w:val="false"/>
          <w:caps w:val="false"/>
          <w:smallCaps w:val="false"/>
          <w:sz w:val="20"/>
        </w:rPr>
        <w:t xml:space="preserve">1,245 net of fees). Subsequent to June 30, 2025 but prior to July 20, 2025, the Company converted </w:t>
      </w:r>
      <w:bookmarkStart w:id="818" w:name="xdx_909_eus-gaap--ConversionOfStockShare"/>
      <w:bookmarkEnd w:id="818"/>
      <w:r>
        <w:rPr>
          <w:rFonts w:ascii="Times New Roman;Times;Serif" w:hAnsi="Times New Roman;Times;Serif"/>
          <w:b w:val="false"/>
          <w:i w:val="false"/>
          <w:caps w:val="false"/>
          <w:smallCaps w:val="false"/>
          <w:sz w:val="20"/>
        </w:rPr>
        <w:t>3 shares of Series A Preferred Stock, with a stated value of $</w:t>
      </w:r>
      <w:bookmarkStart w:id="819" w:name="xdx_907_eus-gaap--PreferredStockParOrSta"/>
      <w:bookmarkEnd w:id="819"/>
      <w:r>
        <w:rPr>
          <w:rFonts w:ascii="Times New Roman;Times;Serif" w:hAnsi="Times New Roman;Times;Serif"/>
          <w:b w:val="false"/>
          <w:i w:val="false"/>
          <w:caps w:val="false"/>
          <w:smallCaps w:val="false"/>
          <w:sz w:val="20"/>
        </w:rPr>
        <w:t xml:space="preserve">31, into </w:t>
      </w:r>
      <w:bookmarkStart w:id="820" w:name="xdx_904_eus-gaap--SharesIssued_iI_pid_c2"/>
      <w:bookmarkEnd w:id="820"/>
      <w:r>
        <w:rPr>
          <w:rFonts w:ascii="Times New Roman;Times;Serif" w:hAnsi="Times New Roman;Times;Serif"/>
          <w:b w:val="false"/>
          <w:i w:val="false"/>
          <w:caps w:val="false"/>
          <w:smallCaps w:val="false"/>
          <w:sz w:val="20"/>
        </w:rPr>
        <w:t xml:space="preserve">217,840 shares of common stock. The remaining </w:t>
      </w:r>
      <w:bookmarkStart w:id="821" w:name="xdx_906_eus-gaap--PreferredStockSharesOu"/>
      <w:bookmarkEnd w:id="821"/>
      <w:r>
        <w:rPr>
          <w:rFonts w:ascii="Times New Roman;Times;Serif" w:hAnsi="Times New Roman;Times;Serif"/>
          <w:b w:val="false"/>
          <w:i w:val="false"/>
          <w:caps w:val="false"/>
          <w:smallCaps w:val="false"/>
          <w:sz w:val="20"/>
        </w:rPr>
        <w:t>133 shares of Series A Preferred Stock, representing $</w:t>
      </w:r>
      <w:bookmarkStart w:id="822" w:name="xdx_904_ecustom--PreferredStockStatedVal"/>
      <w:bookmarkEnd w:id="822"/>
      <w:r>
        <w:rPr>
          <w:rFonts w:ascii="Times New Roman;Times;Serif" w:hAnsi="Times New Roman;Times;Serif"/>
          <w:b w:val="false"/>
          <w:i w:val="false"/>
          <w:caps w:val="false"/>
          <w:smallCaps w:val="false"/>
          <w:sz w:val="20"/>
        </w:rPr>
        <w:t xml:space="preserve">1,325 of stated value, were exchanged on July 20, 2025 for </w:t>
      </w:r>
      <w:bookmarkStart w:id="823" w:name="xdx_90D_eus-gaap--StockIssuedDuringPerio"/>
      <w:bookmarkEnd w:id="823"/>
      <w:r>
        <w:rPr>
          <w:rFonts w:ascii="Times New Roman;Times;Serif" w:hAnsi="Times New Roman;Times;Serif"/>
          <w:b w:val="false"/>
          <w:i w:val="false"/>
          <w:caps w:val="false"/>
          <w:smallCaps w:val="false"/>
          <w:sz w:val="20"/>
        </w:rPr>
        <w:t>2,100,000 shares of common stock pursuant to a negotiated agreement with the holder. As a result of the exchange, the holder surrendered to the Company all of the outstanding shares of Series A Preferred Stock and no shares of Series A Preferred Stock remained outstanding after the exchange.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June 30, 2025, the Company did not have a sufficient number of registered shares to fully satisfy the conversion of the remaining Series A Preferred Stock under either the floor conversion price of $</w:t>
      </w:r>
      <w:bookmarkStart w:id="824" w:name="xdx_908_ecustom--FloorConversionPrice_iI"/>
      <w:bookmarkEnd w:id="824"/>
      <w:r>
        <w:rPr>
          <w:rFonts w:ascii="Times New Roman;Times;Serif" w:hAnsi="Times New Roman;Times;Serif"/>
          <w:b w:val="false"/>
          <w:i w:val="false"/>
          <w:caps w:val="false"/>
          <w:smallCaps w:val="false"/>
          <w:sz w:val="20"/>
        </w:rPr>
        <w:t xml:space="preserve">0.424, which would have required approximately </w:t>
      </w:r>
      <w:bookmarkStart w:id="825" w:name="xdx_90F_eus-gaap--SaleOfStockNumberOfSha"/>
      <w:bookmarkEnd w:id="825"/>
      <w:r>
        <w:rPr>
          <w:rFonts w:ascii="Times New Roman;Times;Serif" w:hAnsi="Times New Roman;Times;Serif"/>
          <w:b w:val="false"/>
          <w:i w:val="false"/>
          <w:caps w:val="false"/>
          <w:smallCaps w:val="false"/>
          <w:sz w:val="20"/>
        </w:rPr>
        <w:t>3,198,113 shares, or the Alternate Conversion Price of $</w:t>
      </w:r>
      <w:bookmarkStart w:id="826" w:name="xdx_901_ecustom--ConversionPrice_iI_pid_"/>
      <w:bookmarkEnd w:id="826"/>
      <w:r>
        <w:rPr>
          <w:rFonts w:ascii="Times New Roman;Times;Serif" w:hAnsi="Times New Roman;Times;Serif"/>
          <w:b w:val="false"/>
          <w:i w:val="false"/>
          <w:caps w:val="false"/>
          <w:smallCaps w:val="false"/>
          <w:sz w:val="20"/>
        </w:rPr>
        <w:t xml:space="preserve">0.144, which would have required approximately </w:t>
      </w:r>
      <w:bookmarkStart w:id="827" w:name="xdx_90D_eus-gaap--SaleOfStockNumberOfSha"/>
      <w:bookmarkEnd w:id="827"/>
      <w:r>
        <w:rPr>
          <w:rFonts w:ascii="Times New Roman;Times;Serif" w:hAnsi="Times New Roman;Times;Serif"/>
          <w:b w:val="false"/>
          <w:i w:val="false"/>
          <w:caps w:val="false"/>
          <w:smallCaps w:val="false"/>
          <w:sz w:val="20"/>
        </w:rPr>
        <w:t xml:space="preserve">9,407,670 shares (based on </w:t>
      </w:r>
      <w:bookmarkStart w:id="828" w:name="xdx_906_eus-gaap--SaleOfStockPercentageO"/>
      <w:bookmarkEnd w:id="828"/>
      <w:r>
        <w:rPr>
          <w:rFonts w:ascii="Times New Roman;Times;Serif" w:hAnsi="Times New Roman;Times;Serif"/>
          <w:b w:val="false"/>
          <w:i w:val="false"/>
          <w:caps w:val="false"/>
          <w:smallCaps w:val="false"/>
          <w:sz w:val="20"/>
        </w:rPr>
        <w:t>90% of the lowest VWAP over the 10 trading days prior to June 30, 2025). The impact of the Company not having a sufficient number of registered shares to fully satisfy the conversion of the remaining Series A Preferred Stock would be an immaterial reclass to a derivative liability. Subsequent to June 30, 2025, the Company entered into negotiated share settlement terms, as discussed in Note 15, Subsequent Events, which addressed these limitations.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limitations contributed to the negotiated share settlement terms.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829" w:name="xdx_90D_eus-gaap--SharesIssued_iI_pid_c2"/>
      <w:bookmarkEnd w:id="829"/>
      <w:r>
        <w:rPr>
          <w:rFonts w:ascii="Times New Roman;Times;Serif" w:hAnsi="Times New Roman;Times;Serif"/>
          <w:b w:val="false"/>
          <w:i w:val="false"/>
          <w:caps w:val="false"/>
          <w:smallCaps w:val="false"/>
          <w:sz w:val="20"/>
        </w:rPr>
        <w:t xml:space="preserve">2,100,000 shares issued on July 20, 2025 and the </w:t>
      </w:r>
      <w:bookmarkStart w:id="830" w:name="xdx_90E_eus-gaap--SharesIssued_iI_pid_c2"/>
      <w:bookmarkEnd w:id="830"/>
      <w:r>
        <w:rPr>
          <w:rFonts w:ascii="Times New Roman;Times;Serif" w:hAnsi="Times New Roman;Times;Serif"/>
          <w:b w:val="false"/>
          <w:i w:val="false"/>
          <w:caps w:val="false"/>
          <w:smallCaps w:val="false"/>
          <w:sz w:val="20"/>
        </w:rPr>
        <w:t>217,840 shares issued shortly after quarter end were excluded from the calculation of diluted earnings per share as of June 30, 2025, because their effect was anti-dilutive.</w:t>
      </w:r>
    </w:p>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Notes to Consolidated Financial Statements</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jc w:val="center"/>
        <w:rPr>
          <w:caps/>
        </w:rPr>
      </w:pPr>
      <w:r>
        <w:rPr>
          <w:caps/>
        </w:rPr>
        <w:t> </w:t>
      </w:r>
    </w:p>
    <w:p>
      <w:pPr>
        <w:pStyle w:val="TextBody"/>
        <w:bidi w:val="0"/>
        <w:spacing w:before="0" w:after="0"/>
        <w:jc w:val="both"/>
        <w:rPr>
          <w:rFonts w:ascii="Times New Roman;Times;Serif" w:hAnsi="Times New Roman;Times;Serif"/>
          <w:b/>
          <w:i w:val="false"/>
          <w:caps/>
          <w:sz w:val="20"/>
        </w:rPr>
      </w:pPr>
      <w:bookmarkStart w:id="831" w:name="xdx_800_eus-gaap--StockholdersEquityNote"/>
      <w:bookmarkEnd w:id="831"/>
      <w:r>
        <w:rPr>
          <w:rFonts w:ascii="Times New Roman;Times;Serif" w:hAnsi="Times New Roman;Times;Serif"/>
          <w:b/>
          <w:i w:val="false"/>
          <w:caps/>
          <w:sz w:val="20"/>
        </w:rPr>
        <w:t xml:space="preserve">Note 11 - </w:t>
      </w:r>
      <w:bookmarkStart w:id="832" w:name="xdx_82E_zmkJ5yRgyat6"/>
      <w:bookmarkEnd w:id="832"/>
      <w:r>
        <w:rPr>
          <w:rFonts w:ascii="Times New Roman;Times;Serif" w:hAnsi="Times New Roman;Times;Serif"/>
          <w:b/>
          <w:i w:val="false"/>
          <w:caps/>
          <w:sz w:val="20"/>
        </w:rPr>
        <w:t>Common Stock</w:t>
      </w:r>
    </w:p>
    <w:p>
      <w:pPr>
        <w:pStyle w:val="TextBody"/>
        <w:bidi w:val="0"/>
        <w:spacing w:before="0" w:after="0"/>
        <w:jc w:val="both"/>
        <w:rPr>
          <w:caps/>
        </w:rPr>
      </w:pPr>
      <w:r>
        <w:rPr>
          <w:caps/>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dividends on common stock had been declared by the Company.</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bookmarkStart w:id="833" w:name="xdx_89B_ecustom--SummaryOfReservedShares"/>
      <w:bookmarkEnd w:id="833"/>
      <w:r>
        <w:rPr>
          <w:rFonts w:ascii="Times New Roman;Times;Serif" w:hAnsi="Times New Roman;Times;Serif"/>
          <w:b w:val="false"/>
          <w:i w:val="false"/>
          <w:caps w:val="false"/>
          <w:smallCaps w:val="false"/>
          <w:sz w:val="20"/>
        </w:rPr>
        <w:t>For the six months ended June 30, 2025 and 2024, the Company had reserved shares of common stock for issuance as follows:</w:t>
      </w:r>
    </w:p>
    <w:p>
      <w:pPr>
        <w:pStyle w:val="TextBody"/>
        <w:bidi w:val="0"/>
        <w:spacing w:before="0" w:after="0"/>
        <w:jc w:val="both"/>
        <w:rPr>
          <w:rFonts w:ascii="Times New Roman;Times;Serif" w:hAnsi="Times New Roman;Times;Serif"/>
          <w:b w:val="false"/>
          <w:i w:val="false"/>
          <w:caps w:val="false"/>
          <w:smallCaps w:val="false"/>
          <w:sz w:val="20"/>
        </w:rPr>
      </w:pPr>
      <w:bookmarkStart w:id="834" w:name="xdx_8B1_ztLD9SZdBzad"/>
      <w:bookmarkEnd w:id="834"/>
      <w:r>
        <w:rPr>
          <w:rFonts w:ascii="Times New Roman;Times;Serif" w:hAnsi="Times New Roman;Times;Serif"/>
          <w:b w:val="false"/>
          <w:i w:val="false"/>
          <w:caps w:val="false"/>
          <w:smallCaps w:val="false"/>
          <w:sz w:val="20"/>
        </w:rPr>
        <w:t>SUMMARY OF RESERVED SHARES OF COMMON STOCK FOR ISSUANCE</w:t>
      </w:r>
    </w:p>
    <w:tbl>
      <w:tblPr>
        <w:tblW w:w="6853" w:type="dxa"/>
        <w:jc w:val="left"/>
        <w:tblInd w:w="0" w:type="dxa"/>
        <w:tblLayout w:type="fixed"/>
        <w:tblCellMar>
          <w:top w:w="0" w:type="dxa"/>
          <w:left w:w="0" w:type="dxa"/>
          <w:bottom w:w="0" w:type="dxa"/>
          <w:right w:w="0" w:type="dxa"/>
        </w:tblCellMar>
      </w:tblPr>
      <w:tblGrid>
        <w:gridCol w:w="3890"/>
        <w:gridCol w:w="60"/>
        <w:gridCol w:w="70"/>
        <w:gridCol w:w="1284"/>
        <w:gridCol w:w="60"/>
        <w:gridCol w:w="60"/>
        <w:gridCol w:w="70"/>
        <w:gridCol w:w="1284"/>
        <w:gridCol w:w="75"/>
      </w:tblGrid>
      <w:tr>
        <w:trPr/>
        <w:tc>
          <w:tcPr>
            <w:tcW w:w="3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835" w:name="xdx_493_20250630_zWL9xm31yANi"/>
            <w:bookmarkEnd w:id="835"/>
          </w:p>
        </w:tc>
        <w:tc>
          <w:tcPr>
            <w:tcW w:w="13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June 30, 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836" w:name="xdx_491_20240630_zkPZkcIMJxDd"/>
            <w:bookmarkEnd w:id="836"/>
          </w:p>
        </w:tc>
        <w:tc>
          <w:tcPr>
            <w:tcW w:w="13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June 30, 2024</w:t>
            </w:r>
          </w:p>
        </w:tc>
        <w:tc>
          <w:tcPr>
            <w:tcW w:w="75" w:type="dxa"/>
            <w:tcBorders/>
            <w:vAlign w:val="center"/>
          </w:tcPr>
          <w:p>
            <w:pPr>
              <w:pStyle w:val="TableContents"/>
              <w:bidi w:val="0"/>
              <w:spacing w:before="0" w:after="283"/>
              <w:jc w:val="left"/>
              <w:rPr/>
            </w:pPr>
            <w:r>
              <w:rPr/>
              <w:t> </w:t>
            </w:r>
            <w:bookmarkStart w:id="837" w:name="xdx_40C_ecustom--ShareBasedCompensationA"/>
            <w:bookmarkEnd w:id="837"/>
          </w:p>
        </w:tc>
      </w:tr>
      <w:tr>
        <w:trPr/>
        <w:tc>
          <w:tcPr>
            <w:tcW w:w="38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Options issued and outstanding</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28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158,247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28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212,091</w:t>
            </w:r>
          </w:p>
        </w:tc>
        <w:tc>
          <w:tcPr>
            <w:tcW w:w="75" w:type="dxa"/>
            <w:tcBorders/>
            <w:shd w:fill="CCEEFF" w:val="clear"/>
            <w:vAlign w:val="center"/>
          </w:tcPr>
          <w:p>
            <w:pPr>
              <w:pStyle w:val="TableContents"/>
              <w:bidi w:val="0"/>
              <w:spacing w:before="0" w:after="283"/>
              <w:jc w:val="left"/>
              <w:rPr/>
            </w:pPr>
            <w:r>
              <w:rPr/>
              <w:t> </w:t>
            </w:r>
            <w:bookmarkStart w:id="838" w:name="xdx_40F_eus-gaap--CommonStockSharesOutst"/>
            <w:bookmarkEnd w:id="838"/>
          </w:p>
        </w:tc>
      </w:tr>
      <w:tr>
        <w:trPr/>
        <w:tc>
          <w:tcPr>
            <w:tcW w:w="38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Common stock outstanding</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28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37,426,379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28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6,818,626</w:t>
            </w:r>
          </w:p>
        </w:tc>
        <w:tc>
          <w:tcPr>
            <w:tcW w:w="75" w:type="dxa"/>
            <w:tcBorders/>
            <w:shd w:fill="FFFFFF" w:val="clear"/>
            <w:vAlign w:val="center"/>
          </w:tcPr>
          <w:p>
            <w:pPr>
              <w:pStyle w:val="TableContents"/>
              <w:bidi w:val="0"/>
              <w:spacing w:before="0" w:after="283"/>
              <w:jc w:val="left"/>
              <w:rPr/>
            </w:pPr>
            <w:r>
              <w:rPr/>
              <w:t> </w:t>
            </w:r>
            <w:bookmarkStart w:id="839" w:name="xdx_40C_eus-gaap--ClassOfWarrantOrRightO"/>
            <w:bookmarkEnd w:id="839"/>
          </w:p>
        </w:tc>
      </w:tr>
      <w:tr>
        <w:trPr/>
        <w:tc>
          <w:tcPr>
            <w:tcW w:w="38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Warrants outstanding</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28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4,256,156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28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3,240,917</w:t>
            </w:r>
          </w:p>
        </w:tc>
        <w:tc>
          <w:tcPr>
            <w:tcW w:w="75" w:type="dxa"/>
            <w:tcBorders/>
            <w:shd w:fill="CCEEFF" w:val="clear"/>
            <w:vAlign w:val="center"/>
          </w:tcPr>
          <w:p>
            <w:pPr>
              <w:pStyle w:val="TableContents"/>
              <w:bidi w:val="0"/>
              <w:spacing w:before="0" w:after="283"/>
              <w:jc w:val="left"/>
              <w:rPr/>
            </w:pPr>
            <w:r>
              <w:rPr/>
              <w:t> </w:t>
            </w:r>
            <w:bookmarkStart w:id="840" w:name="xdx_40F_ecustom--EarnoutShares_iI_pid_zs"/>
            <w:bookmarkEnd w:id="840"/>
          </w:p>
        </w:tc>
      </w:tr>
      <w:tr>
        <w:trPr/>
        <w:tc>
          <w:tcPr>
            <w:tcW w:w="38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Earnout shares</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28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2,777,778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28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2,777,778</w:t>
            </w:r>
          </w:p>
        </w:tc>
        <w:tc>
          <w:tcPr>
            <w:tcW w:w="75" w:type="dxa"/>
            <w:tcBorders/>
            <w:shd w:fill="FFFFFF" w:val="clear"/>
            <w:vAlign w:val="center"/>
          </w:tcPr>
          <w:p>
            <w:pPr>
              <w:pStyle w:val="TableContents"/>
              <w:bidi w:val="0"/>
              <w:spacing w:before="0" w:after="283"/>
              <w:jc w:val="left"/>
              <w:rPr/>
            </w:pPr>
            <w:r>
              <w:rPr/>
              <w:t> </w:t>
            </w:r>
            <w:bookmarkStart w:id="841" w:name="xdx_401_eus-gaap--PreferredStockSharesOu"/>
            <w:bookmarkEnd w:id="841"/>
          </w:p>
        </w:tc>
      </w:tr>
      <w:tr>
        <w:trPr/>
        <w:tc>
          <w:tcPr>
            <w:tcW w:w="38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Series Preferred Stock A outstanding</w:t>
            </w:r>
            <w:bookmarkStart w:id="842" w:name="xdx_F47_zFyMWMqo6YK4"/>
            <w:bookmarkEnd w:id="842"/>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28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2,317,840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28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CCEEFF" w:val="clear"/>
            <w:vAlign w:val="center"/>
          </w:tcPr>
          <w:p>
            <w:pPr>
              <w:pStyle w:val="TableContents"/>
              <w:bidi w:val="0"/>
              <w:spacing w:before="0" w:after="283"/>
              <w:jc w:val="left"/>
              <w:rPr/>
            </w:pPr>
            <w:r>
              <w:rPr/>
              <w:t> </w:t>
            </w:r>
            <w:bookmarkStart w:id="843" w:name="xdx_40D_eus-gaap--ShareBasedCompensation"/>
            <w:bookmarkEnd w:id="843"/>
          </w:p>
        </w:tc>
      </w:tr>
      <w:tr>
        <w:trPr/>
        <w:tc>
          <w:tcPr>
            <w:tcW w:w="38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available for future issuance</w:t>
            </w:r>
          </w:p>
        </w:tc>
        <w:tc>
          <w:tcPr>
            <w:tcW w:w="60" w:type="dxa"/>
            <w:tcBorders/>
            <w:shd w:fill="FFFFFF" w:val="clear"/>
            <w:vAlign w:val="center"/>
          </w:tcPr>
          <w:p>
            <w:pPr>
              <w:pStyle w:val="TableContents"/>
              <w:bidi w:val="0"/>
              <w:spacing w:before="0" w:after="283"/>
              <w:jc w:val="left"/>
              <w:rPr/>
            </w:pPr>
            <w:r>
              <w:rPr/>
              <w:t> </w:t>
            </w:r>
          </w:p>
        </w:tc>
        <w:tc>
          <w:tcPr>
            <w:tcW w:w="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1,189,254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995,237</w:t>
            </w:r>
          </w:p>
        </w:tc>
        <w:tc>
          <w:tcPr>
            <w:tcW w:w="75" w:type="dxa"/>
            <w:tcBorders/>
            <w:shd w:fill="FFFFFF" w:val="clear"/>
            <w:vAlign w:val="center"/>
          </w:tcPr>
          <w:p>
            <w:pPr>
              <w:pStyle w:val="TableContents"/>
              <w:bidi w:val="0"/>
              <w:spacing w:before="0" w:after="283"/>
              <w:jc w:val="left"/>
              <w:rPr/>
            </w:pPr>
            <w:r>
              <w:rPr/>
              <w:t> </w:t>
            </w:r>
            <w:bookmarkStart w:id="844" w:name="xdx_407_eus-gaap--CommonStockCapitalShar"/>
            <w:bookmarkEnd w:id="844"/>
          </w:p>
        </w:tc>
      </w:tr>
      <w:tr>
        <w:trPr/>
        <w:tc>
          <w:tcPr>
            <w:tcW w:w="38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CCEEFF" w:val="clear"/>
            <w:vAlign w:val="center"/>
          </w:tcPr>
          <w:p>
            <w:pPr>
              <w:pStyle w:val="TableContents"/>
              <w:bidi w:val="0"/>
              <w:spacing w:before="0" w:after="283"/>
              <w:jc w:val="left"/>
              <w:rPr/>
            </w:pPr>
            <w:r>
              <w:rPr/>
              <w:t> </w:t>
            </w:r>
          </w:p>
        </w:tc>
        <w:tc>
          <w:tcPr>
            <w:tcW w:w="7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8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48,125,654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8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14,044,649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tbl>
      <w:tblPr>
        <w:tblW w:w="3288" w:type="dxa"/>
        <w:jc w:val="left"/>
        <w:tblInd w:w="0" w:type="dxa"/>
        <w:tblLayout w:type="fixed"/>
        <w:tblCellMar>
          <w:top w:w="0" w:type="dxa"/>
          <w:left w:w="0" w:type="dxa"/>
          <w:bottom w:w="0" w:type="dxa"/>
          <w:right w:w="0" w:type="dxa"/>
        </w:tblCellMar>
      </w:tblPr>
      <w:tblGrid>
        <w:gridCol w:w="350"/>
        <w:gridCol w:w="23"/>
        <w:gridCol w:w="2915"/>
      </w:tblGrid>
      <w:tr>
        <w:trPr/>
        <w:tc>
          <w:tcPr>
            <w:tcW w:w="350" w:type="dxa"/>
            <w:tcBorders/>
            <w:vAlign w:val="center"/>
          </w:tcPr>
          <w:p>
            <w:pPr>
              <w:pStyle w:val="TableContents"/>
              <w:bidi w:val="0"/>
              <w:spacing w:before="0" w:after="283"/>
              <w:jc w:val="right"/>
              <w:rPr>
                <w:rFonts w:ascii="Times New Roman;Times;Serif" w:hAnsi="Times New Roman;Times;Serif"/>
                <w:sz w:val="20"/>
              </w:rPr>
            </w:pPr>
            <w:bookmarkStart w:id="845" w:name="xdx_F02_zGj03iplGor5"/>
            <w:bookmarkEnd w:id="845"/>
            <w:r>
              <w:rPr>
                <w:rFonts w:ascii="Times New Roman;Times;Serif" w:hAnsi="Times New Roman;Times;Serif"/>
                <w:sz w:val="20"/>
              </w:rPr>
              <w:t>***</w:t>
            </w:r>
          </w:p>
        </w:tc>
        <w:tc>
          <w:tcPr>
            <w:tcW w:w="23" w:type="dxa"/>
            <w:tcBorders/>
            <w:vAlign w:val="center"/>
          </w:tcPr>
          <w:p>
            <w:pPr>
              <w:pStyle w:val="TableContents"/>
              <w:bidi w:val="0"/>
              <w:spacing w:before="0" w:after="283"/>
              <w:jc w:val="left"/>
              <w:rPr>
                <w:sz w:val="4"/>
                <w:szCs w:val="4"/>
              </w:rPr>
            </w:pPr>
            <w:r>
              <w:rPr>
                <w:sz w:val="4"/>
                <w:szCs w:val="4"/>
              </w:rPr>
            </w:r>
          </w:p>
        </w:tc>
        <w:tc>
          <w:tcPr>
            <w:tcW w:w="2915" w:type="dxa"/>
            <w:tcBorders/>
            <w:vAlign w:val="center"/>
          </w:tcPr>
          <w:p>
            <w:pPr>
              <w:pStyle w:val="TableContents"/>
              <w:bidi w:val="0"/>
              <w:spacing w:before="0" w:after="283"/>
              <w:jc w:val="both"/>
              <w:rPr>
                <w:rFonts w:ascii="Times New Roman;Times;Serif" w:hAnsi="Times New Roman;Times;Serif"/>
                <w:sz w:val="20"/>
              </w:rPr>
            </w:pPr>
            <w:bookmarkStart w:id="846" w:name="xdx_F15_zwMHdU0DgnA2"/>
            <w:bookmarkEnd w:id="846"/>
            <w:r>
              <w:rPr>
                <w:rFonts w:ascii="Times New Roman;Times;Serif" w:hAnsi="Times New Roman;Times;Serif"/>
                <w:sz w:val="20"/>
              </w:rPr>
              <w:t>See Note 10 for further information.</w:t>
            </w:r>
          </w:p>
        </w:tc>
      </w:tr>
    </w:tbl>
    <w:p>
      <w:pPr>
        <w:pStyle w:val="TextBody"/>
        <w:bidi w:val="0"/>
        <w:spacing w:before="0" w:after="0"/>
        <w:jc w:val="left"/>
        <w:rPr>
          <w:caps w:val="false"/>
          <w:smallCaps w:val="false"/>
        </w:rPr>
      </w:pPr>
      <w:bookmarkStart w:id="847" w:name="xdx_8A9_z4h1RVKDasc2"/>
      <w:bookmarkEnd w:id="847"/>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ChEF Equity Facility</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Chardan Capital Markets LLC, a New York limited liability company (“CCM LLC”) entered into a purchase agreement (the “Original Purchase Agreement”) and a Registration Rights Agreement in connection with the merger. Pursuant to the Original Purchase Agreement, the Company has the right to sell to CCM LLC an amount of shares of common stock, up to a maximum aggregate purchase price of $</w:t>
      </w:r>
      <w:bookmarkStart w:id="848" w:name="xdx_901_ecustom--PlanOfMergerMaximumAggr"/>
      <w:bookmarkEnd w:id="848"/>
      <w:r>
        <w:rPr>
          <w:rFonts w:ascii="Times New Roman;Times;Serif" w:hAnsi="Times New Roman;Times;Serif"/>
          <w:b w:val="false"/>
          <w:i w:val="false"/>
          <w:caps w:val="false"/>
          <w:smallCaps w:val="false"/>
          <w:sz w:val="20"/>
        </w:rPr>
        <w:t xml:space="preserve">150 million, pursuant to the terms of the Purchase Agreement (the “ChEF Equity Facility”). In addition, the Company appointed LifeSci Capital, LLC as “qualified independent underwriter” with respect to the transactions contemplated by the Purchase Agreement. Under the terms of the Purchase Agreement with CCM LLC, the Company issued </w:t>
      </w:r>
      <w:bookmarkStart w:id="849" w:name="xdx_902_eus-gaap--StockIssuedDuringPerio"/>
      <w:bookmarkEnd w:id="849"/>
      <w:r>
        <w:rPr>
          <w:rFonts w:ascii="Times New Roman;Times;Serif" w:hAnsi="Times New Roman;Times;Serif"/>
          <w:b w:val="false"/>
          <w:i w:val="false"/>
          <w:caps w:val="false"/>
          <w:smallCaps w:val="false"/>
          <w:sz w:val="20"/>
        </w:rPr>
        <w:t>23,160 shares for aggregate net proceeds to the Company of $</w:t>
      </w:r>
      <w:bookmarkStart w:id="850" w:name="xdx_906_eus-gaap--StockIssuedDuringPerio"/>
      <w:bookmarkEnd w:id="850"/>
      <w:r>
        <w:rPr>
          <w:rFonts w:ascii="Times New Roman;Times;Serif" w:hAnsi="Times New Roman;Times;Serif"/>
          <w:b w:val="false"/>
          <w:i w:val="false"/>
          <w:caps w:val="false"/>
          <w:smallCaps w:val="false"/>
          <w:sz w:val="20"/>
        </w:rPr>
        <w:t xml:space="preserve">63 from the period January 1, 2025 through June 30, 2025. The Company issued </w:t>
      </w:r>
      <w:bookmarkStart w:id="851" w:name="xdx_905_eus-gaap--StockIssuedDuringPerio"/>
      <w:bookmarkEnd w:id="851"/>
      <w:r>
        <w:rPr>
          <w:rFonts w:ascii="Times New Roman;Times;Serif" w:hAnsi="Times New Roman;Times;Serif"/>
          <w:b w:val="false"/>
          <w:i w:val="false"/>
          <w:caps w:val="false"/>
          <w:smallCaps w:val="false"/>
          <w:sz w:val="20"/>
        </w:rPr>
        <w:t>94,496 shares pursuant to the ChEF Equity Facility for aggregate proceeds to the Company of $</w:t>
      </w:r>
      <w:bookmarkStart w:id="852" w:name="xdx_90D_eus-gaap--StockIssuedDuringPerio"/>
      <w:bookmarkEnd w:id="852"/>
      <w:r>
        <w:rPr>
          <w:rFonts w:ascii="Times New Roman;Times;Serif" w:hAnsi="Times New Roman;Times;Serif"/>
          <w:b w:val="false"/>
          <w:i w:val="false"/>
          <w:caps w:val="false"/>
          <w:smallCaps w:val="false"/>
          <w:sz w:val="20"/>
        </w:rPr>
        <w:t>737 for the period of January 1, 2024 through June 30, 2024.</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Notes to Consolidated Financial Statements</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jc w:val="center"/>
        <w:rPr>
          <w:caps/>
        </w:rPr>
      </w:pPr>
      <w:r>
        <w:rPr>
          <w:caps/>
        </w:rPr>
        <w:t> </w:t>
      </w:r>
    </w:p>
    <w:p>
      <w:pPr>
        <w:pStyle w:val="TextBody"/>
        <w:bidi w:val="0"/>
        <w:spacing w:before="0" w:after="0"/>
        <w:jc w:val="both"/>
        <w:rPr>
          <w:rFonts w:ascii="Times New Roman;Times;Serif" w:hAnsi="Times New Roman;Times;Serif"/>
          <w:b/>
          <w:i w:val="false"/>
          <w:caps/>
          <w:sz w:val="20"/>
        </w:rPr>
      </w:pPr>
      <w:bookmarkStart w:id="853" w:name="xdx_800_eus-gaap--DisclosureOfCompensati"/>
      <w:bookmarkEnd w:id="853"/>
      <w:r>
        <w:rPr>
          <w:rFonts w:ascii="Times New Roman;Times;Serif" w:hAnsi="Times New Roman;Times;Serif"/>
          <w:b/>
          <w:i w:val="false"/>
          <w:caps/>
          <w:sz w:val="20"/>
        </w:rPr>
        <w:t xml:space="preserve">Note 12 - </w:t>
      </w:r>
      <w:bookmarkStart w:id="854" w:name="xdx_820_zzkc3daYEqge"/>
      <w:bookmarkEnd w:id="854"/>
      <w:r>
        <w:rPr>
          <w:rFonts w:ascii="Times New Roman;Times;Serif" w:hAnsi="Times New Roman;Times;Serif"/>
          <w:b/>
          <w:i w:val="false"/>
          <w:caps/>
          <w:sz w:val="20"/>
        </w:rPr>
        <w:t>Stock-Based Compensation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maintains the Dragonfly Energy Holdings Corp. Employee Stock Purchase Plan (the “ESPP”) which is designed to allow eligible employees and the eligible employees of the Company’s participating subsidiaries to purchase shares of the Company’s common stock, at semi-annual intervals, with their accumulated payroll deductions. A total of </w:t>
      </w:r>
      <w:bookmarkStart w:id="855" w:name="xdx_909_eus-gaap--ShareBasedCompensation"/>
      <w:bookmarkEnd w:id="855"/>
      <w:r>
        <w:rPr>
          <w:rFonts w:ascii="Times New Roman;Times;Serif" w:hAnsi="Times New Roman;Times;Serif"/>
          <w:b w:val="false"/>
          <w:i w:val="false"/>
          <w:caps w:val="false"/>
          <w:smallCaps w:val="false"/>
          <w:sz w:val="20"/>
        </w:rPr>
        <w:t xml:space="preserve">273,822 shares of the Company’s common stock were initially available for issuance under the ESPP. The share limit will automatically increase on the first trading day in January of each year by an amount equal to lesser of (1) </w:t>
      </w:r>
      <w:bookmarkStart w:id="856" w:name="xdx_905_ecustom--OutstandingSharesPercen"/>
      <w:bookmarkEnd w:id="856"/>
      <w:r>
        <w:rPr>
          <w:rFonts w:ascii="Times New Roman;Times;Serif" w:hAnsi="Times New Roman;Times;Serif"/>
          <w:b w:val="false"/>
          <w:i w:val="false"/>
          <w:caps w:val="false"/>
          <w:smallCaps w:val="false"/>
          <w:sz w:val="20"/>
        </w:rPr>
        <w:t xml:space="preserve">1% of the total number of outstanding shares of the Company’s common stock on December 31 in the prior year, (2) </w:t>
      </w:r>
      <w:bookmarkStart w:id="857" w:name="xdx_905_eus-gaap--StockIssuedDuringPerio"/>
      <w:bookmarkEnd w:id="857"/>
      <w:r>
        <w:rPr>
          <w:rFonts w:ascii="Times New Roman;Times;Serif" w:hAnsi="Times New Roman;Times;Serif"/>
          <w:b w:val="false"/>
          <w:i w:val="false"/>
          <w:caps w:val="false"/>
          <w:smallCaps w:val="false"/>
          <w:sz w:val="20"/>
        </w:rPr>
        <w:t>166,667 shares, or (3) such number as determined by the Company’s board of directors.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bookmarkStart w:id="858" w:name="xdx_89A_eus-gaap--ScheduleOfShareBasedCo"/>
      <w:bookmarkEnd w:id="858"/>
      <w:r>
        <w:rPr>
          <w:rFonts w:ascii="Times New Roman;Times;Serif" w:hAnsi="Times New Roman;Times;Serif"/>
          <w:b w:val="false"/>
          <w:i w:val="false"/>
          <w:caps w:val="false"/>
          <w:smallCaps w:val="false"/>
          <w:sz w:val="20"/>
        </w:rPr>
        <w:t>A summary of the Company’s option activity and related information follows:</w:t>
      </w:r>
    </w:p>
    <w:p>
      <w:pPr>
        <w:pStyle w:val="TextBody"/>
        <w:bidi w:val="0"/>
        <w:spacing w:before="0" w:after="0"/>
        <w:jc w:val="both"/>
        <w:rPr>
          <w:rFonts w:ascii="Times New Roman;Times;Serif" w:hAnsi="Times New Roman;Times;Serif"/>
          <w:b w:val="false"/>
          <w:i w:val="false"/>
          <w:caps w:val="false"/>
          <w:smallCaps w:val="false"/>
          <w:sz w:val="20"/>
        </w:rPr>
      </w:pPr>
      <w:bookmarkStart w:id="859" w:name="xdx_8B6_zyKRrWW1UDJd"/>
      <w:bookmarkEnd w:id="859"/>
      <w:r>
        <w:rPr>
          <w:rFonts w:ascii="Times New Roman;Times;Serif" w:hAnsi="Times New Roman;Times;Serif"/>
          <w:b w:val="false"/>
          <w:i w:val="false"/>
          <w:caps w:val="false"/>
          <w:smallCaps w:val="false"/>
          <w:sz w:val="20"/>
        </w:rPr>
        <w:t>SCHEDULE OF OPTION ACTIVITY AND RELATED INFORMATION</w:t>
      </w:r>
    </w:p>
    <w:tbl>
      <w:tblPr>
        <w:tblW w:w="10205" w:type="dxa"/>
        <w:jc w:val="left"/>
        <w:tblInd w:w="0" w:type="dxa"/>
        <w:tblLayout w:type="fixed"/>
        <w:tblCellMar>
          <w:top w:w="0" w:type="dxa"/>
          <w:left w:w="0" w:type="dxa"/>
          <w:bottom w:w="0" w:type="dxa"/>
          <w:right w:w="0" w:type="dxa"/>
        </w:tblCellMar>
      </w:tblPr>
      <w:tblGrid>
        <w:gridCol w:w="1292"/>
        <w:gridCol w:w="60"/>
        <w:gridCol w:w="61"/>
        <w:gridCol w:w="824"/>
        <w:gridCol w:w="95"/>
        <w:gridCol w:w="60"/>
        <w:gridCol w:w="393"/>
        <w:gridCol w:w="1574"/>
        <w:gridCol w:w="60"/>
        <w:gridCol w:w="60"/>
        <w:gridCol w:w="409"/>
        <w:gridCol w:w="1639"/>
        <w:gridCol w:w="60"/>
        <w:gridCol w:w="60"/>
        <w:gridCol w:w="263"/>
        <w:gridCol w:w="1939"/>
        <w:gridCol w:w="60"/>
        <w:gridCol w:w="60"/>
        <w:gridCol w:w="687"/>
        <w:gridCol w:w="467"/>
        <w:gridCol w:w="82"/>
      </w:tblGrid>
      <w:tr>
        <w:trPr/>
        <w:tc>
          <w:tcPr>
            <w:tcW w:w="129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 xml:space="preserve">Number of </w:t>
              <w:br/>
              <w:t>Options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6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Weighted-Average Exercise 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Weighted-Average Grant Date Fair 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Weighted-Average Remaining Contractual Life (in 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Aggregate intrinsic value</w:t>
            </w:r>
          </w:p>
        </w:tc>
        <w:tc>
          <w:tcPr>
            <w:tcW w:w="82" w:type="dxa"/>
            <w:tcBorders/>
            <w:vAlign w:val="center"/>
          </w:tcPr>
          <w:p>
            <w:pPr>
              <w:pStyle w:val="TableContents"/>
              <w:bidi w:val="0"/>
              <w:spacing w:before="0" w:after="283"/>
              <w:jc w:val="left"/>
              <w:rPr/>
            </w:pPr>
            <w:r>
              <w:rPr/>
              <w:t> </w:t>
            </w:r>
          </w:p>
        </w:tc>
      </w:tr>
      <w:tr>
        <w:trPr/>
        <w:tc>
          <w:tcPr>
            <w:tcW w:w="129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67"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8"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2"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4" w:type="dxa"/>
            <w:gridSpan w:val="2"/>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r>
      <w:tr>
        <w:trPr/>
        <w:tc>
          <w:tcPr>
            <w:tcW w:w="1292"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Balances, January 1, 2025</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bookmarkStart w:id="860" w:name="xdx_98E_eus-gaap--ShareBasedCompensation"/>
            <w:bookmarkEnd w:id="860"/>
          </w:p>
        </w:tc>
        <w:tc>
          <w:tcPr>
            <w:tcW w:w="82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168,809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861" w:name="xdx_98F_eus-gaap--ShareBasedCompensation"/>
            <w:bookmarkEnd w:id="861"/>
          </w:p>
        </w:tc>
        <w:tc>
          <w:tcPr>
            <w:tcW w:w="157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862" w:name="xdx_988_eus-gaap--SharebasedCompensation"/>
            <w:bookmarkEnd w:id="862"/>
          </w:p>
        </w:tc>
        <w:tc>
          <w:tcPr>
            <w:tcW w:w="163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1939" w:type="dxa"/>
            <w:tcBorders/>
            <w:shd w:fill="CCEEFF" w:val="clear"/>
            <w:vAlign w:val="center"/>
          </w:tcPr>
          <w:p>
            <w:pPr>
              <w:pStyle w:val="TableContents"/>
              <w:bidi w:val="0"/>
              <w:spacing w:before="0" w:after="283"/>
              <w:jc w:val="right"/>
              <w:rPr>
                <w:rFonts w:ascii="Times New Roman;Times;Serif" w:hAnsi="Times New Roman;Times;Serif"/>
              </w:rPr>
            </w:pPr>
            <w:bookmarkStart w:id="863" w:name="xdx_90F_eus-gaap--SharebasedCompensation"/>
            <w:bookmarkEnd w:id="863"/>
            <w:r>
              <w:rPr>
                <w:rFonts w:ascii="Times New Roman;Times;Serif" w:hAnsi="Times New Roman;Times;Serif"/>
              </w:rPr>
              <w:t>6.50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864" w:name="xdx_986_eus-gaap--ShareBasedCompensation"/>
            <w:bookmarkEnd w:id="864"/>
          </w:p>
        </w:tc>
        <w:tc>
          <w:tcPr>
            <w:tcW w:w="4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82" w:type="dxa"/>
            <w:tcBorders/>
            <w:shd w:fill="CCEEFF" w:val="clear"/>
            <w:vAlign w:val="center"/>
          </w:tcPr>
          <w:p>
            <w:pPr>
              <w:pStyle w:val="TableContents"/>
              <w:bidi w:val="0"/>
              <w:spacing w:before="0" w:after="283"/>
              <w:jc w:val="left"/>
              <w:rPr/>
            </w:pPr>
            <w:r>
              <w:rPr/>
              <w:t> </w:t>
            </w:r>
          </w:p>
        </w:tc>
      </w:tr>
      <w:tr>
        <w:trPr/>
        <w:tc>
          <w:tcPr>
            <w:tcW w:w="1292"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Options granted</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bookmarkStart w:id="865" w:name="xdx_98A_eus-gaap--ShareBasedCompensation"/>
            <w:bookmarkEnd w:id="865"/>
          </w:p>
        </w:tc>
        <w:tc>
          <w:tcPr>
            <w:tcW w:w="82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3" w:type="dxa"/>
            <w:tcBorders/>
            <w:shd w:fill="FFFFFF" w:val="clear"/>
            <w:vAlign w:val="center"/>
          </w:tcPr>
          <w:p>
            <w:pPr>
              <w:pStyle w:val="TableContents"/>
              <w:bidi w:val="0"/>
              <w:spacing w:before="0" w:after="283"/>
              <w:jc w:val="left"/>
              <w:rPr/>
            </w:pPr>
            <w:r>
              <w:rPr/>
              <w:t> </w:t>
            </w:r>
            <w:bookmarkStart w:id="866" w:name="xdx_986_eus-gaap--ShareBasedCompensation"/>
            <w:bookmarkEnd w:id="866"/>
          </w:p>
        </w:tc>
        <w:tc>
          <w:tcPr>
            <w:tcW w:w="157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9" w:type="dxa"/>
            <w:tcBorders/>
            <w:shd w:fill="FFFFFF" w:val="clear"/>
            <w:vAlign w:val="center"/>
          </w:tcPr>
          <w:p>
            <w:pPr>
              <w:pStyle w:val="TableContents"/>
              <w:bidi w:val="0"/>
              <w:spacing w:before="0" w:after="283"/>
              <w:jc w:val="left"/>
              <w:rPr/>
            </w:pPr>
            <w:r>
              <w:rPr/>
              <w:t> </w:t>
            </w:r>
            <w:bookmarkStart w:id="867" w:name="xdx_980_eus-gaap--ShareBasedCompensation"/>
            <w:bookmarkEnd w:id="867"/>
          </w:p>
        </w:tc>
        <w:tc>
          <w:tcPr>
            <w:tcW w:w="163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193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7" w:type="dxa"/>
            <w:tcBorders/>
            <w:shd w:fill="FFFFFF" w:val="clear"/>
            <w:vAlign w:val="center"/>
          </w:tcPr>
          <w:p>
            <w:pPr>
              <w:pStyle w:val="TableContents"/>
              <w:bidi w:val="0"/>
              <w:spacing w:before="0" w:after="283"/>
              <w:jc w:val="left"/>
              <w:rPr/>
            </w:pPr>
            <w:r>
              <w:rPr/>
              <w:t> </w:t>
            </w:r>
            <w:bookmarkStart w:id="868" w:name="xdx_980_eus-gaap--ShareBasedCompensation"/>
            <w:bookmarkEnd w:id="868"/>
          </w:p>
        </w:tc>
        <w:tc>
          <w:tcPr>
            <w:tcW w:w="46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82" w:type="dxa"/>
            <w:tcBorders/>
            <w:shd w:fill="FFFFFF" w:val="clear"/>
            <w:vAlign w:val="center"/>
          </w:tcPr>
          <w:p>
            <w:pPr>
              <w:pStyle w:val="TableContents"/>
              <w:bidi w:val="0"/>
              <w:spacing w:before="0" w:after="283"/>
              <w:jc w:val="left"/>
              <w:rPr/>
            </w:pPr>
            <w:r>
              <w:rPr/>
              <w:t> </w:t>
            </w:r>
          </w:p>
        </w:tc>
      </w:tr>
      <w:tr>
        <w:trPr/>
        <w:tc>
          <w:tcPr>
            <w:tcW w:w="1292"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Options forfeited</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bookmarkStart w:id="869" w:name="xdx_98A_eus-gaap--ShareBasedCompensation"/>
            <w:bookmarkEnd w:id="869"/>
          </w:p>
        </w:tc>
        <w:tc>
          <w:tcPr>
            <w:tcW w:w="82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(2,262</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393" w:type="dxa"/>
            <w:tcBorders/>
            <w:shd w:fill="CCEEFF" w:val="clear"/>
            <w:vAlign w:val="center"/>
          </w:tcPr>
          <w:p>
            <w:pPr>
              <w:pStyle w:val="TableContents"/>
              <w:bidi w:val="0"/>
              <w:spacing w:before="0" w:after="283"/>
              <w:jc w:val="left"/>
              <w:rPr/>
            </w:pPr>
            <w:r>
              <w:rPr/>
              <w:t> </w:t>
            </w:r>
            <w:bookmarkStart w:id="870" w:name="xdx_985_eus-gaap--ShareBasedCompensation"/>
            <w:bookmarkEnd w:id="870"/>
          </w:p>
        </w:tc>
        <w:tc>
          <w:tcPr>
            <w:tcW w:w="157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9" w:type="dxa"/>
            <w:tcBorders/>
            <w:shd w:fill="CCEEFF" w:val="clear"/>
            <w:vAlign w:val="center"/>
          </w:tcPr>
          <w:p>
            <w:pPr>
              <w:pStyle w:val="TableContents"/>
              <w:bidi w:val="0"/>
              <w:spacing w:before="0" w:after="283"/>
              <w:jc w:val="left"/>
              <w:rPr/>
            </w:pPr>
            <w:r>
              <w:rPr/>
              <w:t> </w:t>
            </w:r>
            <w:bookmarkStart w:id="871" w:name="xdx_987_eus-gaap--SharebasedCompensation"/>
            <w:bookmarkEnd w:id="871"/>
          </w:p>
        </w:tc>
        <w:tc>
          <w:tcPr>
            <w:tcW w:w="163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193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7" w:type="dxa"/>
            <w:tcBorders/>
            <w:shd w:fill="CCEEFF" w:val="clear"/>
            <w:vAlign w:val="center"/>
          </w:tcPr>
          <w:p>
            <w:pPr>
              <w:pStyle w:val="TableContents"/>
              <w:bidi w:val="0"/>
              <w:spacing w:before="0" w:after="283"/>
              <w:jc w:val="left"/>
              <w:rPr/>
            </w:pPr>
            <w:r>
              <w:rPr/>
              <w:t> </w:t>
            </w:r>
            <w:bookmarkStart w:id="872" w:name="xdx_98C_ecustom--ShareBasedCompensationA"/>
            <w:bookmarkEnd w:id="872"/>
          </w:p>
        </w:tc>
        <w:tc>
          <w:tcPr>
            <w:tcW w:w="4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82" w:type="dxa"/>
            <w:tcBorders/>
            <w:shd w:fill="CCEEFF" w:val="clear"/>
            <w:vAlign w:val="center"/>
          </w:tcPr>
          <w:p>
            <w:pPr>
              <w:pStyle w:val="TableContents"/>
              <w:bidi w:val="0"/>
              <w:spacing w:before="0" w:after="283"/>
              <w:jc w:val="left"/>
              <w:rPr/>
            </w:pPr>
            <w:r>
              <w:rPr/>
              <w:t> </w:t>
            </w:r>
          </w:p>
        </w:tc>
      </w:tr>
      <w:tr>
        <w:trPr/>
        <w:tc>
          <w:tcPr>
            <w:tcW w:w="1292"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Options expired</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bookmarkStart w:id="873" w:name="xdx_981_ecustom--ShareBasedCompensationA"/>
            <w:bookmarkEnd w:id="873"/>
          </w:p>
        </w:tc>
        <w:tc>
          <w:tcPr>
            <w:tcW w:w="82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(8,300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393" w:type="dxa"/>
            <w:tcBorders/>
            <w:shd w:fill="FFFFFF" w:val="clear"/>
            <w:vAlign w:val="center"/>
          </w:tcPr>
          <w:p>
            <w:pPr>
              <w:pStyle w:val="TableContents"/>
              <w:bidi w:val="0"/>
              <w:spacing w:before="0" w:after="283"/>
              <w:jc w:val="left"/>
              <w:rPr/>
            </w:pPr>
            <w:r>
              <w:rPr/>
              <w:t> </w:t>
            </w:r>
            <w:bookmarkStart w:id="874" w:name="xdx_986_eus-gaap--ShareBasedCompensation"/>
            <w:bookmarkEnd w:id="874"/>
          </w:p>
        </w:tc>
        <w:tc>
          <w:tcPr>
            <w:tcW w:w="157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9" w:type="dxa"/>
            <w:tcBorders/>
            <w:shd w:fill="FFFFFF" w:val="clear"/>
            <w:vAlign w:val="center"/>
          </w:tcPr>
          <w:p>
            <w:pPr>
              <w:pStyle w:val="TableContents"/>
              <w:bidi w:val="0"/>
              <w:spacing w:before="0" w:after="283"/>
              <w:jc w:val="left"/>
              <w:rPr/>
            </w:pPr>
            <w:r>
              <w:rPr/>
              <w:t> </w:t>
            </w:r>
            <w:bookmarkStart w:id="875" w:name="xdx_984_ecustom--SharebasedCompensationA"/>
            <w:bookmarkEnd w:id="875"/>
          </w:p>
        </w:tc>
        <w:tc>
          <w:tcPr>
            <w:tcW w:w="163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193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7" w:type="dxa"/>
            <w:tcBorders/>
            <w:shd w:fill="FFFFFF" w:val="clear"/>
            <w:vAlign w:val="center"/>
          </w:tcPr>
          <w:p>
            <w:pPr>
              <w:pStyle w:val="TableContents"/>
              <w:bidi w:val="0"/>
              <w:spacing w:before="0" w:after="283"/>
              <w:jc w:val="left"/>
              <w:rPr/>
            </w:pPr>
            <w:r>
              <w:rPr/>
              <w:t> </w:t>
            </w:r>
            <w:bookmarkStart w:id="876" w:name="xdx_980_ecustom--ShareBasedCompensationA"/>
            <w:bookmarkEnd w:id="876"/>
          </w:p>
        </w:tc>
        <w:tc>
          <w:tcPr>
            <w:tcW w:w="46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82" w:type="dxa"/>
            <w:tcBorders/>
            <w:shd w:fill="FFFFFF" w:val="clear"/>
            <w:vAlign w:val="center"/>
          </w:tcPr>
          <w:p>
            <w:pPr>
              <w:pStyle w:val="TableContents"/>
              <w:bidi w:val="0"/>
              <w:spacing w:before="0" w:after="283"/>
              <w:jc w:val="left"/>
              <w:rPr/>
            </w:pPr>
            <w:r>
              <w:rPr/>
              <w:t> </w:t>
            </w:r>
          </w:p>
        </w:tc>
      </w:tr>
      <w:tr>
        <w:trPr/>
        <w:tc>
          <w:tcPr>
            <w:tcW w:w="1292"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Options exercised</w:t>
            </w:r>
          </w:p>
        </w:tc>
        <w:tc>
          <w:tcPr>
            <w:tcW w:w="60" w:type="dxa"/>
            <w:tcBorders/>
            <w:shd w:fill="CCEEFF" w:val="clear"/>
            <w:vAlign w:val="center"/>
          </w:tcPr>
          <w:p>
            <w:pPr>
              <w:pStyle w:val="TableContents"/>
              <w:bidi w:val="0"/>
              <w:spacing w:before="0" w:after="283"/>
              <w:jc w:val="left"/>
              <w:rPr/>
            </w:pPr>
            <w:r>
              <w:rPr/>
              <w:t> </w:t>
            </w:r>
          </w:p>
        </w:tc>
        <w:tc>
          <w:tcPr>
            <w:tcW w:w="6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877" w:name="xdx_989_eus-gaap--StockIssuedDuringPerio"/>
            <w:bookmarkEnd w:id="877"/>
          </w:p>
        </w:tc>
        <w:tc>
          <w:tcPr>
            <w:tcW w:w="82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878" w:name="xdx_987_eus-gaap--ShareBasedCompensation"/>
            <w:bookmarkEnd w:id="878"/>
          </w:p>
        </w:tc>
        <w:tc>
          <w:tcPr>
            <w:tcW w:w="157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879" w:name="xdx_988_eus-gaap--SharebasedCompensation"/>
            <w:bookmarkEnd w:id="879"/>
          </w:p>
        </w:tc>
        <w:tc>
          <w:tcPr>
            <w:tcW w:w="163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93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880" w:name="xdx_980_eus-gaap--ShareBasedCompensation"/>
            <w:bookmarkEnd w:id="880"/>
          </w:p>
        </w:tc>
        <w:tc>
          <w:tcPr>
            <w:tcW w:w="46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82" w:type="dxa"/>
            <w:tcBorders/>
            <w:shd w:fill="CCEEFF" w:val="clear"/>
            <w:vAlign w:val="center"/>
          </w:tcPr>
          <w:p>
            <w:pPr>
              <w:pStyle w:val="TableContents"/>
              <w:bidi w:val="0"/>
              <w:spacing w:before="0" w:after="283"/>
              <w:jc w:val="left"/>
              <w:rPr/>
            </w:pPr>
            <w:r>
              <w:rPr/>
              <w:t> </w:t>
            </w:r>
          </w:p>
        </w:tc>
      </w:tr>
      <w:tr>
        <w:trPr/>
        <w:tc>
          <w:tcPr>
            <w:tcW w:w="1292"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Balances, June 30, 2025</w:t>
            </w:r>
          </w:p>
        </w:tc>
        <w:tc>
          <w:tcPr>
            <w:tcW w:w="60" w:type="dxa"/>
            <w:tcBorders/>
            <w:shd w:fill="FFFFFF" w:val="clear"/>
            <w:vAlign w:val="center"/>
          </w:tcPr>
          <w:p>
            <w:pPr>
              <w:pStyle w:val="TableContents"/>
              <w:bidi w:val="0"/>
              <w:spacing w:before="0" w:after="283"/>
              <w:jc w:val="left"/>
              <w:rPr/>
            </w:pPr>
            <w:r>
              <w:rPr/>
              <w:t> </w:t>
            </w:r>
          </w:p>
        </w:tc>
        <w:tc>
          <w:tcPr>
            <w:tcW w:w="6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881" w:name="xdx_984_eus-gaap--ShareBasedCompensation"/>
            <w:bookmarkEnd w:id="881"/>
          </w:p>
        </w:tc>
        <w:tc>
          <w:tcPr>
            <w:tcW w:w="82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158,247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882" w:name="xdx_987_eus-gaap--ShareBasedCompensation"/>
            <w:bookmarkEnd w:id="882"/>
          </w:p>
        </w:tc>
        <w:tc>
          <w:tcPr>
            <w:tcW w:w="157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883" w:name="xdx_982_eus-gaap--SharebasedCompensation"/>
            <w:bookmarkEnd w:id="883"/>
          </w:p>
        </w:tc>
        <w:tc>
          <w:tcPr>
            <w:tcW w:w="163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93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bookmarkStart w:id="884" w:name="xdx_90A_eus-gaap--SharebasedCompensation"/>
            <w:bookmarkEnd w:id="884"/>
            <w:r>
              <w:rPr>
                <w:rFonts w:ascii="Times New Roman;Times;Serif" w:hAnsi="Times New Roman;Times;Serif"/>
              </w:rPr>
              <w:t>6.23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885" w:name="xdx_98B_eus-gaap--ShareBasedCompensation"/>
            <w:bookmarkEnd w:id="885"/>
          </w:p>
        </w:tc>
        <w:tc>
          <w:tcPr>
            <w:tcW w:w="46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82" w:type="dxa"/>
            <w:tcBorders/>
            <w:shd w:fill="FFFFFF" w:val="clear"/>
            <w:vAlign w:val="center"/>
          </w:tcPr>
          <w:p>
            <w:pPr>
              <w:pStyle w:val="TableContents"/>
              <w:bidi w:val="0"/>
              <w:spacing w:before="0" w:after="283"/>
              <w:jc w:val="left"/>
              <w:rPr/>
            </w:pPr>
            <w:r>
              <w:rPr/>
              <w:t> </w:t>
            </w:r>
          </w:p>
        </w:tc>
      </w:tr>
      <w:tr>
        <w:trPr/>
        <w:tc>
          <w:tcPr>
            <w:tcW w:w="1292"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2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3" w:type="dxa"/>
            <w:tcBorders/>
            <w:shd w:fill="CCEEFF" w:val="clear"/>
            <w:vAlign w:val="center"/>
          </w:tcPr>
          <w:p>
            <w:pPr>
              <w:pStyle w:val="TableContents"/>
              <w:bidi w:val="0"/>
              <w:spacing w:before="0" w:after="283"/>
              <w:jc w:val="left"/>
              <w:rPr/>
            </w:pPr>
            <w:r>
              <w:rPr/>
              <w:t> </w:t>
            </w:r>
          </w:p>
        </w:tc>
        <w:tc>
          <w:tcPr>
            <w:tcW w:w="157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9" w:type="dxa"/>
            <w:tcBorders/>
            <w:shd w:fill="CCEEFF" w:val="clear"/>
            <w:vAlign w:val="center"/>
          </w:tcPr>
          <w:p>
            <w:pPr>
              <w:pStyle w:val="TableContents"/>
              <w:bidi w:val="0"/>
              <w:spacing w:before="0" w:after="283"/>
              <w:jc w:val="left"/>
              <w:rPr/>
            </w:pPr>
            <w:r>
              <w:rPr/>
              <w:t> </w:t>
            </w:r>
          </w:p>
        </w:tc>
        <w:tc>
          <w:tcPr>
            <w:tcW w:w="163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193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7" w:type="dxa"/>
            <w:tcBorders/>
            <w:shd w:fill="CCEEFF" w:val="clear"/>
            <w:vAlign w:val="center"/>
          </w:tcPr>
          <w:p>
            <w:pPr>
              <w:pStyle w:val="TableContents"/>
              <w:bidi w:val="0"/>
              <w:spacing w:before="0" w:after="283"/>
              <w:jc w:val="left"/>
              <w:rPr/>
            </w:pPr>
            <w:r>
              <w:rPr/>
              <w:t> </w:t>
            </w:r>
          </w:p>
        </w:tc>
        <w:tc>
          <w:tcPr>
            <w:tcW w:w="467" w:type="dxa"/>
            <w:tcBorders/>
            <w:shd w:fill="CCEEFF" w:val="clear"/>
            <w:vAlign w:val="center"/>
          </w:tcPr>
          <w:p>
            <w:pPr>
              <w:pStyle w:val="TableContents"/>
              <w:bidi w:val="0"/>
              <w:spacing w:before="0" w:after="283"/>
              <w:jc w:val="righ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1292"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At June 30, 2025</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82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3" w:type="dxa"/>
            <w:tcBorders/>
            <w:shd w:fill="FFFFFF" w:val="clear"/>
            <w:vAlign w:val="center"/>
          </w:tcPr>
          <w:p>
            <w:pPr>
              <w:pStyle w:val="TableContents"/>
              <w:bidi w:val="0"/>
              <w:spacing w:before="0" w:after="283"/>
              <w:jc w:val="left"/>
              <w:rPr/>
            </w:pPr>
            <w:r>
              <w:rPr/>
              <w:t> </w:t>
            </w:r>
          </w:p>
        </w:tc>
        <w:tc>
          <w:tcPr>
            <w:tcW w:w="157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9" w:type="dxa"/>
            <w:tcBorders/>
            <w:shd w:fill="FFFFFF" w:val="clear"/>
            <w:vAlign w:val="center"/>
          </w:tcPr>
          <w:p>
            <w:pPr>
              <w:pStyle w:val="TableContents"/>
              <w:bidi w:val="0"/>
              <w:spacing w:before="0" w:after="283"/>
              <w:jc w:val="left"/>
              <w:rPr/>
            </w:pPr>
            <w:r>
              <w:rPr/>
              <w:t> </w:t>
            </w:r>
          </w:p>
        </w:tc>
        <w:tc>
          <w:tcPr>
            <w:tcW w:w="163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193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7" w:type="dxa"/>
            <w:tcBorders/>
            <w:shd w:fill="FFFFFF" w:val="clear"/>
            <w:vAlign w:val="center"/>
          </w:tcPr>
          <w:p>
            <w:pPr>
              <w:pStyle w:val="TableContents"/>
              <w:bidi w:val="0"/>
              <w:spacing w:before="0" w:after="283"/>
              <w:jc w:val="left"/>
              <w:rPr/>
            </w:pPr>
            <w:r>
              <w:rPr/>
              <w:t> </w:t>
            </w:r>
          </w:p>
        </w:tc>
        <w:tc>
          <w:tcPr>
            <w:tcW w:w="467" w:type="dxa"/>
            <w:tcBorders/>
            <w:shd w:fill="FFFFFF" w:val="clear"/>
            <w:vAlign w:val="center"/>
          </w:tcPr>
          <w:p>
            <w:pPr>
              <w:pStyle w:val="TableContents"/>
              <w:bidi w:val="0"/>
              <w:spacing w:before="0" w:after="283"/>
              <w:jc w:val="righ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1292"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Vested and Exercisable</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bookmarkStart w:id="886" w:name="xdx_980_eus-gaap--ShareBasedCompensation"/>
            <w:bookmarkEnd w:id="886"/>
          </w:p>
        </w:tc>
        <w:tc>
          <w:tcPr>
            <w:tcW w:w="82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150,052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3" w:type="dxa"/>
            <w:tcBorders/>
            <w:shd w:fill="CCEEFF" w:val="clear"/>
            <w:vAlign w:val="center"/>
          </w:tcPr>
          <w:p>
            <w:pPr>
              <w:pStyle w:val="TableContents"/>
              <w:bidi w:val="0"/>
              <w:spacing w:before="0" w:after="283"/>
              <w:jc w:val="left"/>
              <w:rPr/>
            </w:pPr>
            <w:r>
              <w:rPr/>
              <w:t> </w:t>
            </w:r>
            <w:bookmarkStart w:id="887" w:name="xdx_986_eus-gaap--ShareBasedCompensation"/>
            <w:bookmarkEnd w:id="887"/>
          </w:p>
        </w:tc>
        <w:tc>
          <w:tcPr>
            <w:tcW w:w="157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9" w:type="dxa"/>
            <w:tcBorders/>
            <w:shd w:fill="CCEEFF" w:val="clear"/>
            <w:vAlign w:val="center"/>
          </w:tcPr>
          <w:p>
            <w:pPr>
              <w:pStyle w:val="TableContents"/>
              <w:bidi w:val="0"/>
              <w:spacing w:before="0" w:after="283"/>
              <w:jc w:val="left"/>
              <w:rPr/>
            </w:pPr>
            <w:r>
              <w:rPr/>
              <w:t> </w:t>
            </w:r>
          </w:p>
        </w:tc>
        <w:tc>
          <w:tcPr>
            <w:tcW w:w="163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1939" w:type="dxa"/>
            <w:tcBorders/>
            <w:shd w:fill="CCEEFF" w:val="clear"/>
            <w:vAlign w:val="center"/>
          </w:tcPr>
          <w:p>
            <w:pPr>
              <w:pStyle w:val="TableContents"/>
              <w:bidi w:val="0"/>
              <w:spacing w:before="0" w:after="283"/>
              <w:jc w:val="right"/>
              <w:rPr>
                <w:rFonts w:ascii="Times New Roman;Times;Serif" w:hAnsi="Times New Roman;Times;Serif"/>
              </w:rPr>
            </w:pPr>
            <w:bookmarkStart w:id="888" w:name="xdx_905_eus-gaap--SharebasedCompensation"/>
            <w:bookmarkEnd w:id="888"/>
            <w:r>
              <w:rPr>
                <w:rFonts w:ascii="Times New Roman;Times;Serif" w:hAnsi="Times New Roman;Times;Serif"/>
              </w:rPr>
              <w:t>6.19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889" w:name="xdx_986_eus-gaap--ShareBasedCompensation"/>
            <w:bookmarkEnd w:id="889"/>
          </w:p>
        </w:tc>
        <w:tc>
          <w:tcPr>
            <w:tcW w:w="4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82" w:type="dxa"/>
            <w:tcBorders/>
            <w:shd w:fill="CCEEFF" w:val="clear"/>
            <w:vAlign w:val="center"/>
          </w:tcPr>
          <w:p>
            <w:pPr>
              <w:pStyle w:val="TableContents"/>
              <w:bidi w:val="0"/>
              <w:spacing w:before="0" w:after="283"/>
              <w:jc w:val="left"/>
              <w:rPr/>
            </w:pPr>
            <w:r>
              <w:rPr/>
              <w:t> </w:t>
            </w:r>
          </w:p>
        </w:tc>
      </w:tr>
      <w:tr>
        <w:trPr/>
        <w:tc>
          <w:tcPr>
            <w:tcW w:w="1292"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Vested and expected to vest</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bookmarkStart w:id="890" w:name="xdx_984_eus-gaap--ShareBasedCompensation"/>
            <w:bookmarkEnd w:id="890"/>
          </w:p>
        </w:tc>
        <w:tc>
          <w:tcPr>
            <w:tcW w:w="82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158,247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3" w:type="dxa"/>
            <w:tcBorders/>
            <w:shd w:fill="FFFFFF" w:val="clear"/>
            <w:vAlign w:val="center"/>
          </w:tcPr>
          <w:p>
            <w:pPr>
              <w:pStyle w:val="TableContents"/>
              <w:bidi w:val="0"/>
              <w:spacing w:before="0" w:after="283"/>
              <w:jc w:val="left"/>
              <w:rPr/>
            </w:pPr>
            <w:r>
              <w:rPr/>
              <w:t> </w:t>
            </w:r>
            <w:bookmarkStart w:id="891" w:name="xdx_984_eus-gaap--ShareBasedCompensation"/>
            <w:bookmarkEnd w:id="891"/>
          </w:p>
        </w:tc>
        <w:tc>
          <w:tcPr>
            <w:tcW w:w="157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9" w:type="dxa"/>
            <w:tcBorders/>
            <w:shd w:fill="FFFFFF" w:val="clear"/>
            <w:vAlign w:val="center"/>
          </w:tcPr>
          <w:p>
            <w:pPr>
              <w:pStyle w:val="TableContents"/>
              <w:bidi w:val="0"/>
              <w:spacing w:before="0" w:after="283"/>
              <w:jc w:val="left"/>
              <w:rPr/>
            </w:pPr>
            <w:r>
              <w:rPr/>
              <w:t> </w:t>
            </w:r>
          </w:p>
        </w:tc>
        <w:tc>
          <w:tcPr>
            <w:tcW w:w="163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1939" w:type="dxa"/>
            <w:tcBorders/>
            <w:shd w:fill="FFFFFF" w:val="clear"/>
            <w:vAlign w:val="center"/>
          </w:tcPr>
          <w:p>
            <w:pPr>
              <w:pStyle w:val="TableContents"/>
              <w:bidi w:val="0"/>
              <w:spacing w:before="0" w:after="283"/>
              <w:jc w:val="right"/>
              <w:rPr>
                <w:rFonts w:ascii="Times New Roman;Times;Serif" w:hAnsi="Times New Roman;Times;Serif"/>
              </w:rPr>
            </w:pPr>
            <w:bookmarkStart w:id="892" w:name="xdx_903_eus-gaap--SharebasedCompensation"/>
            <w:bookmarkEnd w:id="892"/>
            <w:r>
              <w:rPr>
                <w:rFonts w:ascii="Times New Roman;Times;Serif" w:hAnsi="Times New Roman;Times;Serif"/>
              </w:rPr>
              <w:t>6.23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893" w:name="xdx_98F_eus-gaap--ShareBasedCompensation"/>
            <w:bookmarkEnd w:id="893"/>
          </w:p>
        </w:tc>
        <w:tc>
          <w:tcPr>
            <w:tcW w:w="46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82" w:type="dxa"/>
            <w:tcBorders/>
            <w:shd w:fill="FFFF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June 30, 2025, the Company did not issue any stock options.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compensation expense for options and restricted stock units (“RSUs”) totaling $</w:t>
      </w:r>
      <w:bookmarkStart w:id="894" w:name="xdx_906_eus-gaap--ShareBasedCompensation"/>
      <w:bookmarkEnd w:id="894"/>
      <w:r>
        <w:rPr>
          <w:rFonts w:ascii="Times New Roman;Times;Serif" w:hAnsi="Times New Roman;Times;Serif"/>
          <w:b w:val="false"/>
          <w:i w:val="false"/>
          <w:caps w:val="false"/>
          <w:smallCaps w:val="false"/>
          <w:sz w:val="20"/>
        </w:rPr>
        <w:t>410 and $</w:t>
      </w:r>
      <w:bookmarkStart w:id="895" w:name="xdx_90A_eus-gaap--ShareBasedCompensation"/>
      <w:bookmarkEnd w:id="895"/>
      <w:r>
        <w:rPr>
          <w:rFonts w:ascii="Times New Roman;Times;Serif" w:hAnsi="Times New Roman;Times;Serif"/>
          <w:b w:val="false"/>
          <w:i w:val="false"/>
          <w:caps w:val="false"/>
          <w:smallCaps w:val="false"/>
          <w:sz w:val="20"/>
        </w:rPr>
        <w:t>503 was recognized in the Company’s consolidated statements of operations for the six months ended June 30, 2025 and 2024, respectively. Share-based compensation expense for options and RSUs totaling $</w:t>
      </w:r>
      <w:bookmarkStart w:id="896" w:name="xdx_90B_eus-gaap--ShareBasedCompensation"/>
      <w:bookmarkEnd w:id="896"/>
      <w:r>
        <w:rPr>
          <w:rFonts w:ascii="Times New Roman;Times;Serif" w:hAnsi="Times New Roman;Times;Serif"/>
          <w:b w:val="false"/>
          <w:i w:val="false"/>
          <w:caps w:val="false"/>
          <w:smallCaps w:val="false"/>
          <w:sz w:val="20"/>
        </w:rPr>
        <w:t>190 and $</w:t>
      </w:r>
      <w:bookmarkStart w:id="897" w:name="xdx_90F_eus-gaap--ShareBasedCompensation"/>
      <w:bookmarkEnd w:id="897"/>
      <w:r>
        <w:rPr>
          <w:rFonts w:ascii="Times New Roman;Times;Serif" w:hAnsi="Times New Roman;Times;Serif"/>
          <w:b w:val="false"/>
          <w:i w:val="false"/>
          <w:caps w:val="false"/>
          <w:smallCaps w:val="false"/>
          <w:sz w:val="20"/>
        </w:rPr>
        <w:t>237 was recognized in the Company’s consolidated statements of operations for the three months ended June 30, 2025 and 2024, respectively.</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the $</w:t>
      </w:r>
      <w:bookmarkStart w:id="898" w:name="xdx_906_eus-gaap--ShareBasedCompensation"/>
      <w:bookmarkEnd w:id="898"/>
      <w:r>
        <w:rPr>
          <w:rFonts w:ascii="Times New Roman;Times;Serif" w:hAnsi="Times New Roman;Times;Serif"/>
          <w:b w:val="false"/>
          <w:i w:val="false"/>
          <w:caps w:val="false"/>
          <w:smallCaps w:val="false"/>
          <w:sz w:val="20"/>
        </w:rPr>
        <w:t>410 of share-based compensation incurred during the six months ended June 30, 2025, $</w:t>
      </w:r>
      <w:bookmarkStart w:id="899" w:name="xdx_902_eus-gaap--ShareBasedCompensation"/>
      <w:bookmarkEnd w:id="899"/>
      <w:r>
        <w:rPr>
          <w:rFonts w:ascii="Times New Roman;Times;Serif" w:hAnsi="Times New Roman;Times;Serif"/>
          <w:b w:val="false"/>
          <w:i w:val="false"/>
          <w:caps w:val="false"/>
          <w:smallCaps w:val="false"/>
          <w:sz w:val="20"/>
        </w:rPr>
        <w:t>35 is allocated to cost of goods sold, $</w:t>
      </w:r>
      <w:bookmarkStart w:id="900" w:name="xdx_906_eus-gaap--ShareBasedCompensation"/>
      <w:bookmarkEnd w:id="900"/>
      <w:r>
        <w:rPr>
          <w:rFonts w:ascii="Times New Roman;Times;Serif" w:hAnsi="Times New Roman;Times;Serif"/>
          <w:b w:val="false"/>
          <w:i w:val="false"/>
          <w:caps w:val="false"/>
          <w:smallCaps w:val="false"/>
          <w:sz w:val="20"/>
        </w:rPr>
        <w:t>26 to research and development, $</w:t>
      </w:r>
      <w:bookmarkStart w:id="901" w:name="xdx_900_eus-gaap--ShareBasedCompensation"/>
      <w:bookmarkEnd w:id="901"/>
      <w:r>
        <w:rPr>
          <w:rFonts w:ascii="Times New Roman;Times;Serif" w:hAnsi="Times New Roman;Times;Serif"/>
          <w:b w:val="false"/>
          <w:i w:val="false"/>
          <w:caps w:val="false"/>
          <w:smallCaps w:val="false"/>
          <w:sz w:val="20"/>
        </w:rPr>
        <w:t>124 to selling and marketing, and $</w:t>
      </w:r>
      <w:bookmarkStart w:id="902" w:name="xdx_901_eus-gaap--ShareBasedCompensation"/>
      <w:bookmarkEnd w:id="902"/>
      <w:r>
        <w:rPr>
          <w:rFonts w:ascii="Times New Roman;Times;Serif" w:hAnsi="Times New Roman;Times;Serif"/>
          <w:b w:val="false"/>
          <w:i w:val="false"/>
          <w:caps w:val="false"/>
          <w:smallCaps w:val="false"/>
          <w:sz w:val="20"/>
        </w:rPr>
        <w:t>225 to general and administrative expenses. Of the $</w:t>
      </w:r>
      <w:bookmarkStart w:id="903" w:name="xdx_902_eus-gaap--ShareBasedCompensation"/>
      <w:bookmarkEnd w:id="903"/>
      <w:r>
        <w:rPr>
          <w:rFonts w:ascii="Times New Roman;Times;Serif" w:hAnsi="Times New Roman;Times;Serif"/>
          <w:b w:val="false"/>
          <w:i w:val="false"/>
          <w:caps w:val="false"/>
          <w:smallCaps w:val="false"/>
          <w:sz w:val="20"/>
        </w:rPr>
        <w:t>503 of share-based compensation incurred during the six months ended June 30, 2024, $</w:t>
      </w:r>
      <w:bookmarkStart w:id="904" w:name="xdx_903_eus-gaap--ShareBasedCompensation"/>
      <w:bookmarkEnd w:id="904"/>
      <w:r>
        <w:rPr>
          <w:rFonts w:ascii="Times New Roman;Times;Serif" w:hAnsi="Times New Roman;Times;Serif"/>
          <w:b w:val="false"/>
          <w:i w:val="false"/>
          <w:caps w:val="false"/>
          <w:smallCaps w:val="false"/>
          <w:sz w:val="20"/>
        </w:rPr>
        <w:t>60 is allocated to cost of goods sold, $</w:t>
      </w:r>
      <w:bookmarkStart w:id="905" w:name="xdx_903_eus-gaap--ShareBasedCompensation"/>
      <w:bookmarkEnd w:id="905"/>
      <w:r>
        <w:rPr>
          <w:rFonts w:ascii="Times New Roman;Times;Serif" w:hAnsi="Times New Roman;Times;Serif"/>
          <w:b w:val="false"/>
          <w:i w:val="false"/>
          <w:caps w:val="false"/>
          <w:smallCaps w:val="false"/>
          <w:sz w:val="20"/>
        </w:rPr>
        <w:t>101 to research and development, $</w:t>
      </w:r>
      <w:bookmarkStart w:id="906" w:name="xdx_907_eus-gaap--ShareBasedCompensation"/>
      <w:bookmarkEnd w:id="906"/>
      <w:r>
        <w:rPr>
          <w:rFonts w:ascii="Times New Roman;Times;Serif" w:hAnsi="Times New Roman;Times;Serif"/>
          <w:b w:val="false"/>
          <w:i w:val="false"/>
          <w:caps w:val="false"/>
          <w:smallCaps w:val="false"/>
          <w:sz w:val="20"/>
        </w:rPr>
        <w:t>127 to selling and marketing, and $</w:t>
      </w:r>
      <w:bookmarkStart w:id="907" w:name="xdx_900_eus-gaap--ShareBasedCompensation"/>
      <w:bookmarkEnd w:id="907"/>
      <w:r>
        <w:rPr>
          <w:rFonts w:ascii="Times New Roman;Times;Serif" w:hAnsi="Times New Roman;Times;Serif"/>
          <w:b w:val="false"/>
          <w:i w:val="false"/>
          <w:caps w:val="false"/>
          <w:smallCaps w:val="false"/>
          <w:sz w:val="20"/>
        </w:rPr>
        <w:t>215 to general and administrative expenses.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the $</w:t>
      </w:r>
      <w:bookmarkStart w:id="908" w:name="xdx_900_eus-gaap--ShareBasedCompensation"/>
      <w:bookmarkEnd w:id="908"/>
      <w:r>
        <w:rPr>
          <w:rFonts w:ascii="Times New Roman;Times;Serif" w:hAnsi="Times New Roman;Times;Serif"/>
          <w:b w:val="false"/>
          <w:i w:val="false"/>
          <w:caps w:val="false"/>
          <w:smallCaps w:val="false"/>
          <w:sz w:val="20"/>
        </w:rPr>
        <w:t>190 of share-based compensation incurred during the three months ended June 30, 2025, $</w:t>
      </w:r>
      <w:bookmarkStart w:id="909" w:name="xdx_907_eus-gaap--ShareBasedCompensation"/>
      <w:bookmarkEnd w:id="909"/>
      <w:r>
        <w:rPr>
          <w:rFonts w:ascii="Times New Roman;Times;Serif" w:hAnsi="Times New Roman;Times;Serif"/>
          <w:b w:val="false"/>
          <w:i w:val="false"/>
          <w:caps w:val="false"/>
          <w:smallCaps w:val="false"/>
          <w:sz w:val="20"/>
        </w:rPr>
        <w:t>17 is allocated to cost of goods sold, $</w:t>
      </w:r>
      <w:bookmarkStart w:id="910" w:name="xdx_90C_eus-gaap--ShareBasedCompensation"/>
      <w:bookmarkEnd w:id="910"/>
      <w:r>
        <w:rPr>
          <w:rFonts w:ascii="Times New Roman;Times;Serif" w:hAnsi="Times New Roman;Times;Serif"/>
          <w:b w:val="false"/>
          <w:i w:val="false"/>
          <w:caps w:val="false"/>
          <w:smallCaps w:val="false"/>
          <w:sz w:val="20"/>
        </w:rPr>
        <w:t>12 to research and development, $</w:t>
      </w:r>
      <w:bookmarkStart w:id="911" w:name="xdx_908_eus-gaap--ShareBasedCompensation"/>
      <w:bookmarkEnd w:id="911"/>
      <w:r>
        <w:rPr>
          <w:rFonts w:ascii="Times New Roman;Times;Serif" w:hAnsi="Times New Roman;Times;Serif"/>
          <w:b w:val="false"/>
          <w:i w:val="false"/>
          <w:caps w:val="false"/>
          <w:smallCaps w:val="false"/>
          <w:sz w:val="20"/>
        </w:rPr>
        <w:t>63 to selling and marketing, and $</w:t>
      </w:r>
      <w:bookmarkStart w:id="912" w:name="xdx_901_eus-gaap--ShareBasedCompensation"/>
      <w:bookmarkEnd w:id="912"/>
      <w:r>
        <w:rPr>
          <w:rFonts w:ascii="Times New Roman;Times;Serif" w:hAnsi="Times New Roman;Times;Serif"/>
          <w:b w:val="false"/>
          <w:i w:val="false"/>
          <w:caps w:val="false"/>
          <w:smallCaps w:val="false"/>
          <w:sz w:val="20"/>
        </w:rPr>
        <w:t>98 to general and administrative expenses. Of the $</w:t>
      </w:r>
      <w:bookmarkStart w:id="913" w:name="xdx_90B_eus-gaap--ShareBasedCompensation"/>
      <w:bookmarkEnd w:id="913"/>
      <w:r>
        <w:rPr>
          <w:rFonts w:ascii="Times New Roman;Times;Serif" w:hAnsi="Times New Roman;Times;Serif"/>
          <w:b w:val="false"/>
          <w:i w:val="false"/>
          <w:caps w:val="false"/>
          <w:smallCaps w:val="false"/>
          <w:sz w:val="20"/>
        </w:rPr>
        <w:t>237 of share-based compensation incurred during the three months ended June 30, 2024, $</w:t>
      </w:r>
      <w:bookmarkStart w:id="914" w:name="xdx_90C_eus-gaap--ShareBasedCompensation"/>
      <w:bookmarkEnd w:id="914"/>
      <w:r>
        <w:rPr>
          <w:rFonts w:ascii="Times New Roman;Times;Serif" w:hAnsi="Times New Roman;Times;Serif"/>
          <w:b w:val="false"/>
          <w:i w:val="false"/>
          <w:caps w:val="false"/>
          <w:smallCaps w:val="false"/>
          <w:sz w:val="20"/>
        </w:rPr>
        <w:t>28 is allocated to cost of goods sold, $</w:t>
      </w:r>
      <w:bookmarkStart w:id="915" w:name="xdx_906_eus-gaap--ShareBasedCompensation"/>
      <w:bookmarkEnd w:id="915"/>
      <w:r>
        <w:rPr>
          <w:rFonts w:ascii="Times New Roman;Times;Serif" w:hAnsi="Times New Roman;Times;Serif"/>
          <w:b w:val="false"/>
          <w:i w:val="false"/>
          <w:caps w:val="false"/>
          <w:smallCaps w:val="false"/>
          <w:sz w:val="20"/>
        </w:rPr>
        <w:t>36 to research and development, $</w:t>
      </w:r>
      <w:bookmarkStart w:id="916" w:name="xdx_90D_eus-gaap--ShareBasedCompensation"/>
      <w:bookmarkEnd w:id="916"/>
      <w:r>
        <w:rPr>
          <w:rFonts w:ascii="Times New Roman;Times;Serif" w:hAnsi="Times New Roman;Times;Serif"/>
          <w:b w:val="false"/>
          <w:i w:val="false"/>
          <w:caps w:val="false"/>
          <w:smallCaps w:val="false"/>
          <w:sz w:val="20"/>
        </w:rPr>
        <w:t>67 to selling and marketing, and $</w:t>
      </w:r>
      <w:bookmarkStart w:id="917" w:name="xdx_90D_eus-gaap--ShareBasedCompensation"/>
      <w:bookmarkEnd w:id="917"/>
      <w:r>
        <w:rPr>
          <w:rFonts w:ascii="Times New Roman;Times;Serif" w:hAnsi="Times New Roman;Times;Serif"/>
          <w:b w:val="false"/>
          <w:i w:val="false"/>
          <w:caps w:val="false"/>
          <w:smallCaps w:val="false"/>
          <w:sz w:val="20"/>
        </w:rPr>
        <w:t>106 to general and administrative expenses.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Restricted Stock Units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February 5, 2024, the Company granted </w:t>
      </w:r>
      <w:bookmarkStart w:id="918" w:name="xdx_90D_eus-gaap--ShareBasedCompensation"/>
      <w:bookmarkEnd w:id="918"/>
      <w:r>
        <w:rPr>
          <w:rFonts w:ascii="Times New Roman;Times;Serif" w:hAnsi="Times New Roman;Times;Serif"/>
          <w:b w:val="false"/>
          <w:i w:val="false"/>
          <w:caps w:val="false"/>
          <w:smallCaps w:val="false"/>
          <w:sz w:val="20"/>
        </w:rPr>
        <w:t xml:space="preserve">24,447 RSUs of which </w:t>
      </w:r>
      <w:bookmarkStart w:id="919" w:name="xdx_90B_eus-gaap--ShareBasedCompensation"/>
      <w:bookmarkEnd w:id="919"/>
      <w:r>
        <w:rPr>
          <w:rFonts w:ascii="Times New Roman;Times;Serif" w:hAnsi="Times New Roman;Times;Serif"/>
          <w:b w:val="false"/>
          <w:i w:val="false"/>
          <w:caps w:val="false"/>
          <w:smallCaps w:val="false"/>
          <w:sz w:val="20"/>
        </w:rPr>
        <w:t xml:space="preserve">11,111 vested immediately. The fair value of the </w:t>
      </w:r>
      <w:bookmarkStart w:id="920" w:name="xdx_90E_eus-gaap--ShareBasedCompensation"/>
      <w:bookmarkEnd w:id="920"/>
      <w:r>
        <w:rPr>
          <w:rFonts w:ascii="Times New Roman;Times;Serif" w:hAnsi="Times New Roman;Times;Serif"/>
          <w:b w:val="false"/>
          <w:i w:val="false"/>
          <w:caps w:val="false"/>
          <w:smallCaps w:val="false"/>
          <w:sz w:val="20"/>
        </w:rPr>
        <w:t>24,447 RSUs was $</w:t>
      </w:r>
      <w:bookmarkStart w:id="921" w:name="xdx_90F_eus-gaap--StockIssuedDuringPerio"/>
      <w:bookmarkEnd w:id="921"/>
      <w:r>
        <w:rPr>
          <w:rFonts w:ascii="Times New Roman;Times;Serif" w:hAnsi="Times New Roman;Times;Serif"/>
          <w:b w:val="false"/>
          <w:i w:val="false"/>
          <w:caps w:val="false"/>
          <w:smallCaps w:val="false"/>
          <w:sz w:val="20"/>
        </w:rPr>
        <w:t>95 and an expense of $</w:t>
      </w:r>
      <w:bookmarkStart w:id="922" w:name="xdx_909_eus-gaap--AllocatedShareBasedCom"/>
      <w:bookmarkEnd w:id="922"/>
      <w:r>
        <w:rPr>
          <w:rFonts w:ascii="Times New Roman;Times;Serif" w:hAnsi="Times New Roman;Times;Serif"/>
          <w:b w:val="false"/>
          <w:i w:val="false"/>
          <w:caps w:val="false"/>
          <w:smallCaps w:val="false"/>
          <w:sz w:val="20"/>
        </w:rPr>
        <w:t>5 and $</w:t>
      </w:r>
      <w:bookmarkStart w:id="923" w:name="xdx_90E_eus-gaap--AllocatedShareBasedCom"/>
      <w:bookmarkEnd w:id="923"/>
      <w:r>
        <w:rPr>
          <w:rFonts w:ascii="Times New Roman;Times;Serif" w:hAnsi="Times New Roman;Times;Serif"/>
          <w:b w:val="false"/>
          <w:i w:val="false"/>
          <w:caps w:val="false"/>
          <w:smallCaps w:val="false"/>
          <w:sz w:val="20"/>
        </w:rPr>
        <w:t>48 was recorded as compensation expense during the six months ended June 30, 2025 and 2024, respectively.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April 12, 2024, the Company issued a total of </w:t>
      </w:r>
      <w:bookmarkStart w:id="924" w:name="xdx_90B_eus-gaap--ShareBasedCompensation"/>
      <w:bookmarkEnd w:id="924"/>
      <w:r>
        <w:rPr>
          <w:rFonts w:ascii="Times New Roman;Times;Serif" w:hAnsi="Times New Roman;Times;Serif"/>
          <w:b w:val="false"/>
          <w:i w:val="false"/>
          <w:caps w:val="false"/>
          <w:smallCaps w:val="false"/>
          <w:sz w:val="20"/>
        </w:rPr>
        <w:t xml:space="preserve">92,923 RSUs to the following employees: (i) </w:t>
      </w:r>
      <w:bookmarkStart w:id="925" w:name="xdx_905_eus-gaap--ShareBasedCompensation"/>
      <w:bookmarkEnd w:id="925"/>
      <w:r>
        <w:rPr>
          <w:rFonts w:ascii="Times New Roman;Times;Serif" w:hAnsi="Times New Roman;Times;Serif"/>
          <w:b w:val="false"/>
          <w:i w:val="false"/>
          <w:caps w:val="false"/>
          <w:smallCaps w:val="false"/>
          <w:sz w:val="20"/>
        </w:rPr>
        <w:t xml:space="preserve">63,045 RSUs to the Chief Executive Officer; (ii) </w:t>
      </w:r>
      <w:bookmarkStart w:id="926" w:name="xdx_90D_eus-gaap--ShareBasedCompensation"/>
      <w:bookmarkEnd w:id="926"/>
      <w:r>
        <w:rPr>
          <w:rFonts w:ascii="Times New Roman;Times;Serif" w:hAnsi="Times New Roman;Times;Serif"/>
          <w:b w:val="false"/>
          <w:i w:val="false"/>
          <w:caps w:val="false"/>
          <w:smallCaps w:val="false"/>
          <w:sz w:val="20"/>
        </w:rPr>
        <w:t xml:space="preserve">20,165 RSUs to the Chief Revenue Officer; and (iii) </w:t>
      </w:r>
      <w:bookmarkStart w:id="927" w:name="xdx_90A_eus-gaap--ShareBasedCompensation"/>
      <w:bookmarkEnd w:id="927"/>
      <w:r>
        <w:rPr>
          <w:rFonts w:ascii="Times New Roman;Times;Serif" w:hAnsi="Times New Roman;Times;Serif"/>
          <w:b w:val="false"/>
          <w:i w:val="false"/>
          <w:caps w:val="false"/>
          <w:smallCaps w:val="false"/>
          <w:sz w:val="20"/>
        </w:rPr>
        <w:t xml:space="preserve">9,712 RSUs to the Chief Marketing Officer. Each of the RSUs granted will vest in three equal annual installments, with the first vesting date on the one (1) year anniversary of the date of issuance and the following two vesting dates on each subsequent anniversary of the date of issuance, subject to each employees’ continued employment as of each vesting date. The fair value of the </w:t>
      </w:r>
      <w:bookmarkStart w:id="928" w:name="xdx_908_eus-gaap--ShareBasedCompensation"/>
      <w:bookmarkEnd w:id="928"/>
      <w:r>
        <w:rPr>
          <w:rFonts w:ascii="Times New Roman;Times;Serif" w:hAnsi="Times New Roman;Times;Serif"/>
          <w:b w:val="false"/>
          <w:i w:val="false"/>
          <w:caps w:val="false"/>
          <w:smallCaps w:val="false"/>
          <w:sz w:val="20"/>
        </w:rPr>
        <w:t>92,923 RSUs was $</w:t>
      </w:r>
      <w:bookmarkStart w:id="929" w:name="xdx_909_eus-gaap--StockIssuedDuringPerio"/>
      <w:bookmarkEnd w:id="929"/>
      <w:r>
        <w:rPr>
          <w:rFonts w:ascii="Times New Roman;Times;Serif" w:hAnsi="Times New Roman;Times;Serif"/>
          <w:b w:val="false"/>
          <w:i w:val="false"/>
          <w:caps w:val="false"/>
          <w:smallCaps w:val="false"/>
          <w:sz w:val="20"/>
        </w:rPr>
        <w:t>376 and an expense of $</w:t>
      </w:r>
      <w:bookmarkStart w:id="930" w:name="xdx_908_eus-gaap--ShareBasedCompensation"/>
      <w:bookmarkEnd w:id="930"/>
      <w:r>
        <w:rPr>
          <w:rFonts w:ascii="Times New Roman;Times;Serif" w:hAnsi="Times New Roman;Times;Serif"/>
          <w:b w:val="false"/>
          <w:i w:val="false"/>
          <w:caps w:val="false"/>
          <w:smallCaps w:val="false"/>
          <w:sz w:val="20"/>
        </w:rPr>
        <w:t>62 and $</w:t>
      </w:r>
      <w:bookmarkStart w:id="931" w:name="xdx_90D_eus-gaap--ShareBasedCompensation"/>
      <w:bookmarkEnd w:id="931"/>
      <w:r>
        <w:rPr>
          <w:rFonts w:ascii="Times New Roman;Times;Serif" w:hAnsi="Times New Roman;Times;Serif"/>
          <w:b w:val="false"/>
          <w:i w:val="false"/>
          <w:caps w:val="false"/>
          <w:smallCaps w:val="false"/>
          <w:sz w:val="20"/>
        </w:rPr>
        <w:t>71 was recorded during the six months ended June 30, 2025 and 2024, respectively.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April 12, 2024, the board of directors authorized the issuance of </w:t>
      </w:r>
      <w:bookmarkStart w:id="932" w:name="xdx_901_eus-gaap--ShareBasedCompensation"/>
      <w:bookmarkEnd w:id="932"/>
      <w:r>
        <w:rPr>
          <w:rFonts w:ascii="Times New Roman;Times;Serif" w:hAnsi="Times New Roman;Times;Serif"/>
          <w:b w:val="false"/>
          <w:i w:val="false"/>
          <w:caps w:val="false"/>
          <w:smallCaps w:val="false"/>
          <w:sz w:val="20"/>
        </w:rPr>
        <w:t xml:space="preserve">24,692 RSUs to each director in connection with their service as directors for the year ended December 31, 2023. The RSUs will vest in three equal annual installments, with the first vesting date on the one (1) year anniversary date of their issuance, subject to the directors’ continued service on with the Company on each vesting date. The fair value of the </w:t>
      </w:r>
      <w:bookmarkStart w:id="933" w:name="xdx_906_eus-gaap--ShareBasedCompensation"/>
      <w:bookmarkEnd w:id="933"/>
      <w:r>
        <w:rPr>
          <w:rFonts w:ascii="Times New Roman;Times;Serif" w:hAnsi="Times New Roman;Times;Serif"/>
          <w:b w:val="false"/>
          <w:i w:val="false"/>
          <w:caps w:val="false"/>
          <w:smallCaps w:val="false"/>
          <w:sz w:val="20"/>
        </w:rPr>
        <w:t>148,152 RSUs issued to directors in total was $</w:t>
      </w:r>
      <w:bookmarkStart w:id="934" w:name="xdx_903_eus-gaap--StockIssuedDuringPerio"/>
      <w:bookmarkEnd w:id="934"/>
      <w:r>
        <w:rPr>
          <w:rFonts w:ascii="Times New Roman;Times;Serif" w:hAnsi="Times New Roman;Times;Serif"/>
          <w:b w:val="false"/>
          <w:i w:val="false"/>
          <w:caps w:val="false"/>
          <w:smallCaps w:val="false"/>
          <w:sz w:val="20"/>
        </w:rPr>
        <w:t>600 and an expense of $</w:t>
      </w:r>
      <w:bookmarkStart w:id="935" w:name="xdx_900_eus-gaap--AllocatedShareBasedCom"/>
      <w:bookmarkEnd w:id="935"/>
      <w:r>
        <w:rPr>
          <w:rFonts w:ascii="Times New Roman;Times;Serif" w:hAnsi="Times New Roman;Times;Serif"/>
          <w:b w:val="false"/>
          <w:i w:val="false"/>
          <w:caps w:val="false"/>
          <w:smallCaps w:val="false"/>
          <w:sz w:val="20"/>
        </w:rPr>
        <w:t>77 and $</w:t>
      </w:r>
      <w:bookmarkStart w:id="936" w:name="xdx_90F_eus-gaap--AllocatedShareBasedCom"/>
      <w:bookmarkEnd w:id="936"/>
      <w:r>
        <w:rPr>
          <w:rFonts w:ascii="Times New Roman;Times;Serif" w:hAnsi="Times New Roman;Times;Serif"/>
          <w:b w:val="false"/>
          <w:i w:val="false"/>
          <w:caps w:val="false"/>
          <w:smallCaps w:val="false"/>
          <w:sz w:val="20"/>
        </w:rPr>
        <w:t>44 was recorded during the six months ended June 30, 2025 and 2024, respectively.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June 24, 2024, the Company granted </w:t>
      </w:r>
      <w:bookmarkStart w:id="937" w:name="xdx_902_eus-gaap--ShareBasedCompensation"/>
      <w:bookmarkEnd w:id="937"/>
      <w:r>
        <w:rPr>
          <w:rFonts w:ascii="Times New Roman;Times;Serif" w:hAnsi="Times New Roman;Times;Serif"/>
          <w:b w:val="false"/>
          <w:i w:val="false"/>
          <w:caps w:val="false"/>
          <w:smallCaps w:val="false"/>
          <w:sz w:val="20"/>
        </w:rPr>
        <w:t xml:space="preserve">2,417 RSUs. The fair value of the </w:t>
      </w:r>
      <w:bookmarkStart w:id="938" w:name="xdx_901_eus-gaap--ShareBasedCompensation"/>
      <w:bookmarkEnd w:id="938"/>
      <w:r>
        <w:rPr>
          <w:rFonts w:ascii="Times New Roman;Times;Serif" w:hAnsi="Times New Roman;Times;Serif"/>
          <w:b w:val="false"/>
          <w:i w:val="false"/>
          <w:caps w:val="false"/>
          <w:smallCaps w:val="false"/>
          <w:sz w:val="20"/>
        </w:rPr>
        <w:t>2,417 RSUs was $</w:t>
      </w:r>
      <w:bookmarkStart w:id="939" w:name="xdx_907_eus-gaap--StockIssuedDuringPerio"/>
      <w:bookmarkEnd w:id="939"/>
      <w:r>
        <w:rPr>
          <w:rFonts w:ascii="Times New Roman;Times;Serif" w:hAnsi="Times New Roman;Times;Serif"/>
          <w:b w:val="false"/>
          <w:i w:val="false"/>
          <w:caps w:val="false"/>
          <w:smallCaps w:val="false"/>
          <w:sz w:val="20"/>
        </w:rPr>
        <w:t>19 and an expense of $</w:t>
      </w:r>
      <w:bookmarkStart w:id="940" w:name="xdx_90A_eus-gaap--AllocatedShareBasedCom"/>
      <w:bookmarkEnd w:id="940"/>
      <w:r>
        <w:rPr>
          <w:rFonts w:ascii="Times New Roman;Times;Serif" w:hAnsi="Times New Roman;Times;Serif"/>
          <w:b w:val="false"/>
          <w:i w:val="false"/>
          <w:caps w:val="false"/>
          <w:smallCaps w:val="false"/>
          <w:sz w:val="20"/>
        </w:rPr>
        <w:t>2 and $</w:t>
      </w:r>
      <w:bookmarkStart w:id="941" w:name="xdx_908_eus-gaap--AllocatedShareBasedCom"/>
      <w:bookmarkEnd w:id="941"/>
      <w:r>
        <w:rPr>
          <w:rFonts w:ascii="Times New Roman;Times;Serif" w:hAnsi="Times New Roman;Times;Serif"/>
          <w:b w:val="false"/>
          <w:i w:val="false"/>
          <w:caps w:val="false"/>
          <w:smallCaps w:val="false"/>
          <w:sz w:val="20"/>
        </w:rPr>
        <w:t>1 was recorded as compensation expense during the six months ended June 30, 2025 and 2024, respectively.</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34</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Note 12 - Stock-Based Compensation (continued)</w:t>
      </w:r>
    </w:p>
    <w:p>
      <w:pPr>
        <w:pStyle w:val="TextBody"/>
        <w:bidi w:val="0"/>
        <w:spacing w:before="0" w:after="0"/>
        <w:ind w:left="0" w:right="0" w:hanging="0"/>
        <w:jc w:val="both"/>
        <w:rPr>
          <w:caps/>
        </w:rPr>
      </w:pPr>
      <w:r>
        <w:rPr>
          <w:caps/>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Restricted Stock Units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April 1, 2025 and May 19, 2025, the Company granted </w:t>
      </w:r>
      <w:bookmarkStart w:id="942" w:name="xdx_908_eus-gaap--ShareBasedCompensation"/>
      <w:bookmarkEnd w:id="942"/>
      <w:r>
        <w:rPr>
          <w:rFonts w:ascii="Times New Roman;Times;Serif" w:hAnsi="Times New Roman;Times;Serif"/>
          <w:b w:val="false"/>
          <w:i w:val="false"/>
          <w:caps w:val="false"/>
          <w:smallCaps w:val="false"/>
          <w:sz w:val="20"/>
        </w:rPr>
        <w:t xml:space="preserve">3,778 and </w:t>
      </w:r>
      <w:bookmarkStart w:id="943" w:name="xdx_909_eus-gaap--ShareBasedCompensation"/>
      <w:bookmarkEnd w:id="943"/>
      <w:r>
        <w:rPr>
          <w:rFonts w:ascii="Times New Roman;Times;Serif" w:hAnsi="Times New Roman;Times;Serif"/>
          <w:b w:val="false"/>
          <w:i w:val="false"/>
          <w:caps w:val="false"/>
          <w:smallCaps w:val="false"/>
          <w:sz w:val="20"/>
        </w:rPr>
        <w:t>889 RSUs, respectively. The fair value of the RSUs was $</w:t>
      </w:r>
      <w:bookmarkStart w:id="944" w:name="xdx_908_ecustom--FairValueOfRestrictedSt"/>
      <w:bookmarkEnd w:id="944"/>
      <w:r>
        <w:rPr>
          <w:rFonts w:ascii="Times New Roman;Times;Serif" w:hAnsi="Times New Roman;Times;Serif"/>
          <w:b w:val="false"/>
          <w:i w:val="false"/>
          <w:caps w:val="false"/>
          <w:smallCaps w:val="false"/>
          <w:sz w:val="20"/>
        </w:rPr>
        <w:t xml:space="preserve">4 and </w:t>
      </w:r>
      <w:bookmarkStart w:id="945" w:name="xdx_90D_eus-gaap--AllocatedShareBasedCom"/>
      <w:bookmarkStart w:id="946" w:name="xdx_90B_eus-gaap--AllocatedShareBasedCom"/>
      <w:bookmarkEnd w:id="945"/>
      <w:bookmarkEnd w:id="946"/>
      <w:r>
        <w:rPr>
          <w:rFonts w:ascii="Times New Roman;Times;Serif" w:hAnsi="Times New Roman;Times;Serif"/>
          <w:b w:val="false"/>
          <w:i w:val="false"/>
          <w:caps w:val="false"/>
          <w:smallCaps w:val="false"/>
          <w:sz w:val="20"/>
        </w:rPr>
        <w:t>no expense was recorded as compensation expense during the six months ended June 30, 2025 and 2024,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947" w:name="xdx_89C_eus-gaap--ScheduleOfUnvestedRest"/>
      <w:bookmarkEnd w:id="947"/>
      <w:r>
        <w:rPr>
          <w:rFonts w:ascii="Times New Roman;Times;Serif" w:hAnsi="Times New Roman;Times;Serif"/>
          <w:b w:val="false"/>
          <w:i w:val="false"/>
          <w:caps w:val="false"/>
          <w:smallCaps w:val="false"/>
          <w:sz w:val="20"/>
        </w:rPr>
        <w:t>The following table presents the restricted stock units activity for the six months ended June 30, 2025 and 2024:</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948" w:name="xdx_8B8_zu4ZlZKTLMu3"/>
      <w:bookmarkEnd w:id="948"/>
      <w:r>
        <w:rPr>
          <w:rFonts w:ascii="Times New Roman;Times;Serif" w:hAnsi="Times New Roman;Times;Serif"/>
          <w:b w:val="false"/>
          <w:i w:val="false"/>
          <w:caps w:val="false"/>
          <w:smallCaps w:val="false"/>
          <w:sz w:val="20"/>
        </w:rPr>
        <w:t>SCHEDULE OF RESTRICTED STOCK UNITS ACTIVITY </w:t>
      </w:r>
    </w:p>
    <w:tbl>
      <w:tblPr>
        <w:tblW w:w="8238" w:type="dxa"/>
        <w:jc w:val="left"/>
        <w:tblInd w:w="0" w:type="dxa"/>
        <w:tblLayout w:type="fixed"/>
        <w:tblCellMar>
          <w:top w:w="0" w:type="dxa"/>
          <w:left w:w="0" w:type="dxa"/>
          <w:bottom w:w="0" w:type="dxa"/>
          <w:right w:w="0" w:type="dxa"/>
        </w:tblCellMar>
      </w:tblPr>
      <w:tblGrid>
        <w:gridCol w:w="3215"/>
        <w:gridCol w:w="60"/>
        <w:gridCol w:w="77"/>
        <w:gridCol w:w="1037"/>
        <w:gridCol w:w="95"/>
        <w:gridCol w:w="60"/>
        <w:gridCol w:w="873"/>
        <w:gridCol w:w="2746"/>
        <w:gridCol w:w="75"/>
      </w:tblGrid>
      <w:tr>
        <w:trPr/>
        <w:tc>
          <w:tcPr>
            <w:tcW w:w="3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4" w:type="dxa"/>
            <w:gridSpan w:val="2"/>
            <w:tcBorders>
              <w:bottom w:val="single" w:sz="8" w:space="0" w:color="000000"/>
            </w:tcBorders>
            <w:tcMar>
              <w:bottom w:w="28" w:type="dxa"/>
            </w:tcMar>
            <w:vAlign w:val="center"/>
          </w:tcPr>
          <w:p>
            <w:pPr>
              <w:pStyle w:val="TableContents"/>
              <w:bidi w:val="0"/>
              <w:spacing w:before="0" w:after="283"/>
              <w:jc w:val="center"/>
              <w:rPr/>
            </w:pPr>
            <w:r>
              <w:rPr/>
              <w:t xml:space="preserve">Number of </w:t>
              <w:b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19" w:type="dxa"/>
            <w:gridSpan w:val="2"/>
            <w:tcBorders>
              <w:bottom w:val="single" w:sz="8" w:space="0" w:color="000000"/>
            </w:tcBorders>
            <w:tcMar>
              <w:bottom w:w="28" w:type="dxa"/>
            </w:tcMar>
            <w:vAlign w:val="center"/>
          </w:tcPr>
          <w:p>
            <w:pPr>
              <w:pStyle w:val="TableContents"/>
              <w:bidi w:val="0"/>
              <w:spacing w:before="0" w:after="283"/>
              <w:jc w:val="center"/>
              <w:rPr/>
            </w:pPr>
            <w:r>
              <w:rPr/>
              <w:t>Weighted-Average Fair Market Value</w:t>
            </w:r>
          </w:p>
        </w:tc>
        <w:tc>
          <w:tcPr>
            <w:tcW w:w="75" w:type="dxa"/>
            <w:tcBorders/>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4"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1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283"/>
              <w:jc w:val="both"/>
              <w:rPr/>
            </w:pPr>
            <w:r>
              <w:rPr/>
              <w:t>Unvested shares, January 1, 2025</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bookmarkStart w:id="949" w:name="xdx_98A_eus-gaap--ShareBasedCompensation"/>
            <w:bookmarkEnd w:id="949"/>
          </w:p>
        </w:tc>
        <w:tc>
          <w:tcPr>
            <w:tcW w:w="1037" w:type="dxa"/>
            <w:tcBorders/>
            <w:shd w:fill="CCEEFF" w:val="clear"/>
            <w:vAlign w:val="center"/>
          </w:tcPr>
          <w:p>
            <w:pPr>
              <w:pStyle w:val="TableContents"/>
              <w:bidi w:val="0"/>
              <w:spacing w:before="0" w:after="283"/>
              <w:jc w:val="right"/>
              <w:rPr/>
            </w:pPr>
            <w:r>
              <w:rPr/>
              <w:t>334,751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left"/>
              <w:rPr/>
            </w:pPr>
            <w:r>
              <w:rPr/>
              <w:t>$</w:t>
            </w:r>
            <w:bookmarkStart w:id="950" w:name="xdx_98B_eus-gaap--ShareBasedCompensation"/>
            <w:bookmarkEnd w:id="950"/>
          </w:p>
        </w:tc>
        <w:tc>
          <w:tcPr>
            <w:tcW w:w="2746" w:type="dxa"/>
            <w:tcBorders/>
            <w:shd w:fill="CCEEFF" w:val="clear"/>
            <w:vAlign w:val="center"/>
          </w:tcPr>
          <w:p>
            <w:pPr>
              <w:pStyle w:val="TableContents"/>
              <w:bidi w:val="0"/>
              <w:spacing w:before="0" w:after="283"/>
              <w:jc w:val="right"/>
              <w:rPr/>
            </w:pPr>
            <w:r>
              <w:rPr/>
              <w:t>4.54</w:t>
            </w:r>
          </w:p>
        </w:tc>
        <w:tc>
          <w:tcPr>
            <w:tcW w:w="75" w:type="dxa"/>
            <w:tcBorders/>
            <w:shd w:fill="CCEEFF" w:val="clear"/>
            <w:vAlign w:val="center"/>
          </w:tcPr>
          <w:p>
            <w:pPr>
              <w:pStyle w:val="TableContents"/>
              <w:bidi w:val="0"/>
              <w:spacing w:before="0" w:after="283"/>
              <w:jc w:val="left"/>
              <w:rPr/>
            </w:pPr>
            <w:r>
              <w:rPr/>
              <w:t> </w:t>
            </w:r>
          </w:p>
        </w:tc>
      </w:tr>
      <w:tr>
        <w:trPr/>
        <w:tc>
          <w:tcPr>
            <w:tcW w:w="3215" w:type="dxa"/>
            <w:tcBorders/>
            <w:shd w:fill="FFFFFF" w:val="clear"/>
            <w:vAlign w:val="center"/>
          </w:tcPr>
          <w:p>
            <w:pPr>
              <w:pStyle w:val="TableContents"/>
              <w:bidi w:val="0"/>
              <w:spacing w:before="0" w:after="283"/>
              <w:jc w:val="both"/>
              <w:rPr/>
            </w:pPr>
            <w:r>
              <w:rPr/>
              <w:t>Granted and unvested</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bookmarkStart w:id="951" w:name="xdx_982_eus-gaap--ShareBasedCompensation"/>
            <w:bookmarkEnd w:id="951"/>
          </w:p>
        </w:tc>
        <w:tc>
          <w:tcPr>
            <w:tcW w:w="1037" w:type="dxa"/>
            <w:tcBorders/>
            <w:shd w:fill="FFFFFF" w:val="clear"/>
            <w:vAlign w:val="center"/>
          </w:tcPr>
          <w:p>
            <w:pPr>
              <w:pStyle w:val="TableContents"/>
              <w:bidi w:val="0"/>
              <w:spacing w:before="0" w:after="283"/>
              <w:jc w:val="right"/>
              <w:rPr/>
            </w:pPr>
            <w:r>
              <w:rPr/>
              <w:t>4,667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left"/>
              <w:rPr/>
            </w:pPr>
            <w:r>
              <w:rPr/>
              <w:t> </w:t>
            </w:r>
            <w:bookmarkStart w:id="952" w:name="xdx_980_eus-gaap--ShareBasedCompensation"/>
            <w:bookmarkEnd w:id="952"/>
          </w:p>
        </w:tc>
        <w:tc>
          <w:tcPr>
            <w:tcW w:w="2746" w:type="dxa"/>
            <w:tcBorders/>
            <w:shd w:fill="FFFFFF" w:val="clear"/>
            <w:vAlign w:val="center"/>
          </w:tcPr>
          <w:p>
            <w:pPr>
              <w:pStyle w:val="TableContents"/>
              <w:bidi w:val="0"/>
              <w:spacing w:before="0" w:after="283"/>
              <w:jc w:val="right"/>
              <w:rPr/>
            </w:pPr>
            <w:r>
              <w:rPr/>
              <w:t>0.87</w:t>
            </w:r>
          </w:p>
        </w:tc>
        <w:tc>
          <w:tcPr>
            <w:tcW w:w="75" w:type="dxa"/>
            <w:tcBorders/>
            <w:shd w:fill="FFFFFF" w:val="clear"/>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283"/>
              <w:jc w:val="both"/>
              <w:rPr/>
            </w:pPr>
            <w:r>
              <w:rPr/>
              <w:t>Forfeited</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bookmarkStart w:id="953" w:name="xdx_98B_eus-gaap--ShareBasedCompensation"/>
            <w:bookmarkEnd w:id="953"/>
          </w:p>
        </w:tc>
        <w:tc>
          <w:tcPr>
            <w:tcW w:w="1037" w:type="dxa"/>
            <w:tcBorders/>
            <w:shd w:fill="CCEEFF" w:val="clear"/>
            <w:vAlign w:val="center"/>
          </w:tcPr>
          <w:p>
            <w:pPr>
              <w:pStyle w:val="TableContents"/>
              <w:bidi w:val="0"/>
              <w:spacing w:before="0" w:after="283"/>
              <w:jc w:val="right"/>
              <w:rPr/>
            </w:pPr>
            <w:r>
              <w:rPr/>
              <w:t>(58,504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left"/>
              <w:rPr/>
            </w:pPr>
            <w:r>
              <w:rPr/>
              <w:t> </w:t>
            </w:r>
            <w:bookmarkStart w:id="954" w:name="xdx_98F_eus-gaap--ShareBasedCompensation"/>
            <w:bookmarkEnd w:id="954"/>
          </w:p>
        </w:tc>
        <w:tc>
          <w:tcPr>
            <w:tcW w:w="2746" w:type="dxa"/>
            <w:tcBorders/>
            <w:shd w:fill="CCEEFF" w:val="clear"/>
            <w:vAlign w:val="center"/>
          </w:tcPr>
          <w:p>
            <w:pPr>
              <w:pStyle w:val="TableContents"/>
              <w:bidi w:val="0"/>
              <w:spacing w:before="0" w:after="283"/>
              <w:jc w:val="right"/>
              <w:rPr/>
            </w:pPr>
            <w:r>
              <w:rPr/>
              <w:t>4.26</w:t>
            </w:r>
          </w:p>
        </w:tc>
        <w:tc>
          <w:tcPr>
            <w:tcW w:w="75" w:type="dxa"/>
            <w:tcBorders/>
            <w:shd w:fill="CCEEFF" w:val="clear"/>
            <w:vAlign w:val="center"/>
          </w:tcPr>
          <w:p>
            <w:pPr>
              <w:pStyle w:val="TableContents"/>
              <w:bidi w:val="0"/>
              <w:spacing w:before="0" w:after="283"/>
              <w:jc w:val="left"/>
              <w:rPr/>
            </w:pPr>
            <w:r>
              <w:rPr/>
              <w:t> </w:t>
            </w:r>
          </w:p>
        </w:tc>
      </w:tr>
      <w:tr>
        <w:trPr/>
        <w:tc>
          <w:tcPr>
            <w:tcW w:w="3215" w:type="dxa"/>
            <w:tcBorders/>
            <w:shd w:fill="FFFFFF" w:val="clear"/>
            <w:vAlign w:val="center"/>
          </w:tcPr>
          <w:p>
            <w:pPr>
              <w:pStyle w:val="TableContents"/>
              <w:bidi w:val="0"/>
              <w:spacing w:before="0" w:after="283"/>
              <w:jc w:val="both"/>
              <w:rPr/>
            </w:pPr>
            <w:r>
              <w:rPr/>
              <w:t>Vested</w:t>
            </w:r>
          </w:p>
        </w:tc>
        <w:tc>
          <w:tcPr>
            <w:tcW w:w="60" w:type="dxa"/>
            <w:tcBorders/>
            <w:shd w:fill="FFFFFF" w:val="clear"/>
            <w:vAlign w:val="center"/>
          </w:tcPr>
          <w:p>
            <w:pPr>
              <w:pStyle w:val="TableContents"/>
              <w:bidi w:val="0"/>
              <w:spacing w:before="0" w:after="283"/>
              <w:jc w:val="left"/>
              <w:rPr/>
            </w:pPr>
            <w:r>
              <w:rPr/>
              <w:t> </w:t>
            </w:r>
          </w:p>
        </w:tc>
        <w:tc>
          <w:tcPr>
            <w:tcW w:w="7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955" w:name="xdx_98A_eus-gaap--ShareBasedCompensation"/>
            <w:bookmarkEnd w:id="955"/>
          </w:p>
        </w:tc>
        <w:tc>
          <w:tcPr>
            <w:tcW w:w="1037" w:type="dxa"/>
            <w:tcBorders>
              <w:bottom w:val="single" w:sz="8" w:space="0" w:color="000000"/>
            </w:tcBorders>
            <w:shd w:fill="FFFFFF" w:val="clear"/>
            <w:tcMar>
              <w:bottom w:w="28" w:type="dxa"/>
            </w:tcMar>
            <w:vAlign w:val="center"/>
          </w:tcPr>
          <w:p>
            <w:pPr>
              <w:pStyle w:val="TableContents"/>
              <w:bidi w:val="0"/>
              <w:spacing w:before="0" w:after="283"/>
              <w:jc w:val="right"/>
              <w:rPr/>
            </w:pPr>
            <w:r>
              <w:rPr/>
              <w:t>(85,036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956" w:name="xdx_98B_eus-gaap--ShareBasedCompensation"/>
            <w:bookmarkEnd w:id="956"/>
          </w:p>
        </w:tc>
        <w:tc>
          <w:tcPr>
            <w:tcW w:w="2746" w:type="dxa"/>
            <w:tcBorders>
              <w:bottom w:val="single" w:sz="8" w:space="0" w:color="000000"/>
            </w:tcBorders>
            <w:shd w:fill="FFFFFF" w:val="clear"/>
            <w:tcMar>
              <w:bottom w:w="28" w:type="dxa"/>
            </w:tcMar>
            <w:vAlign w:val="center"/>
          </w:tcPr>
          <w:p>
            <w:pPr>
              <w:pStyle w:val="TableContents"/>
              <w:bidi w:val="0"/>
              <w:spacing w:before="0" w:after="283"/>
              <w:jc w:val="right"/>
              <w:rPr/>
            </w:pPr>
            <w:r>
              <w:rPr/>
              <w:t>4.19</w:t>
            </w:r>
          </w:p>
        </w:tc>
        <w:tc>
          <w:tcPr>
            <w:tcW w:w="75" w:type="dxa"/>
            <w:tcBorders/>
            <w:shd w:fill="FFFFFF" w:val="clear"/>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283"/>
              <w:jc w:val="both"/>
              <w:rPr/>
            </w:pPr>
            <w:r>
              <w:rPr/>
              <w:t>Unvested shares, June 30, 2025</w:t>
            </w:r>
          </w:p>
        </w:tc>
        <w:tc>
          <w:tcPr>
            <w:tcW w:w="60" w:type="dxa"/>
            <w:tcBorders/>
            <w:shd w:fill="CCEEFF" w:val="clear"/>
            <w:vAlign w:val="center"/>
          </w:tcPr>
          <w:p>
            <w:pPr>
              <w:pStyle w:val="TableContents"/>
              <w:bidi w:val="0"/>
              <w:spacing w:before="0" w:after="283"/>
              <w:jc w:val="left"/>
              <w:rPr/>
            </w:pPr>
            <w:r>
              <w:rPr/>
              <w:t> </w:t>
            </w:r>
          </w:p>
        </w:tc>
        <w:tc>
          <w:tcPr>
            <w:tcW w:w="7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957" w:name="xdx_98D_eus-gaap--ShareBasedCompensation"/>
            <w:bookmarkEnd w:id="957"/>
          </w:p>
        </w:tc>
        <w:tc>
          <w:tcPr>
            <w:tcW w:w="1037" w:type="dxa"/>
            <w:tcBorders>
              <w:bottom w:val="double" w:sz="6" w:space="0" w:color="000000"/>
            </w:tcBorders>
            <w:shd w:fill="CCEEFF" w:val="clear"/>
            <w:tcMar>
              <w:bottom w:w="28" w:type="dxa"/>
            </w:tcMar>
            <w:vAlign w:val="center"/>
          </w:tcPr>
          <w:p>
            <w:pPr>
              <w:pStyle w:val="TableContents"/>
              <w:bidi w:val="0"/>
              <w:spacing w:before="0" w:after="283"/>
              <w:jc w:val="right"/>
              <w:rPr/>
            </w:pPr>
            <w:r>
              <w:rPr/>
              <w:t>195,878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958" w:name="xdx_982_eus-gaap--ShareBasedCompensation"/>
            <w:bookmarkEnd w:id="958"/>
          </w:p>
        </w:tc>
        <w:tc>
          <w:tcPr>
            <w:tcW w:w="2746" w:type="dxa"/>
            <w:tcBorders>
              <w:bottom w:val="double" w:sz="6" w:space="0" w:color="000000"/>
            </w:tcBorders>
            <w:shd w:fill="CCEEFF" w:val="clear"/>
            <w:tcMar>
              <w:bottom w:w="28" w:type="dxa"/>
            </w:tcMar>
            <w:vAlign w:val="center"/>
          </w:tcPr>
          <w:p>
            <w:pPr>
              <w:pStyle w:val="TableContents"/>
              <w:bidi w:val="0"/>
              <w:spacing w:before="0" w:after="283"/>
              <w:jc w:val="right"/>
              <w:rPr/>
            </w:pPr>
            <w:r>
              <w:rPr/>
              <w:t>4.69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959" w:name="xdx_8A2_zXcM3CZLdDBj"/>
      <w:bookmarkEnd w:id="959"/>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2025 and 2024 there were </w:t>
      </w:r>
      <w:bookmarkStart w:id="960" w:name="xdx_90A_eus-gaap--ClassOfWarrantOrRightU"/>
      <w:bookmarkEnd w:id="960"/>
      <w:r>
        <w:rPr>
          <w:rFonts w:ascii="Times New Roman;Times;Serif" w:hAnsi="Times New Roman;Times;Serif"/>
          <w:b w:val="false"/>
          <w:i w:val="false"/>
          <w:caps w:val="false"/>
          <w:smallCaps w:val="false"/>
          <w:sz w:val="20"/>
        </w:rPr>
        <w:t xml:space="preserve">1,189,254 and </w:t>
      </w:r>
      <w:bookmarkStart w:id="961" w:name="xdx_904_eus-gaap--ClassOfWarrantOrRightU"/>
      <w:bookmarkEnd w:id="961"/>
      <w:r>
        <w:rPr>
          <w:rFonts w:ascii="Times New Roman;Times;Serif" w:hAnsi="Times New Roman;Times;Serif"/>
          <w:b w:val="false"/>
          <w:i w:val="false"/>
          <w:caps w:val="false"/>
          <w:smallCaps w:val="false"/>
          <w:sz w:val="20"/>
        </w:rPr>
        <w:t>995,237 shares, respectively, of unissued authorized and available for future awards under the 2022 Equity Incentive Plan and Employee Stock Purchase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Employee Stock Purchase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maintains the Dragonfly Energy Corporation, Inc. Employee Stock Purchase Plan (“ESPP”) which permits eligible employees to purchase shares at not less than 85% of the market value of the Company’s common stock on the offering date or the purchase date of the applicable offering period, whichever is lower. The plan was adopted by the Company’s Board of Directors on May 13,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April 24, 2024, the Company issued </w:t>
      </w:r>
      <w:bookmarkStart w:id="962" w:name="xdx_906_eus-gaap--StockIssuedDuringPerio"/>
      <w:bookmarkEnd w:id="962"/>
      <w:r>
        <w:rPr>
          <w:rFonts w:ascii="Times New Roman;Times;Serif" w:hAnsi="Times New Roman;Times;Serif"/>
          <w:b w:val="false"/>
          <w:i w:val="false"/>
          <w:caps w:val="false"/>
          <w:smallCaps w:val="false"/>
          <w:sz w:val="20"/>
        </w:rPr>
        <w:t>27,197 shares of common stock in connection with the ESPP for a total consideration of approximately $</w:t>
      </w:r>
      <w:bookmarkStart w:id="963" w:name="xdx_90E_eus-gaap--StockIssuedDuringPerio"/>
      <w:bookmarkEnd w:id="963"/>
      <w:r>
        <w:rPr>
          <w:rFonts w:ascii="Times New Roman;Times;Serif" w:hAnsi="Times New Roman;Times;Serif"/>
          <w:b w:val="false"/>
          <w:i w:val="false"/>
          <w:caps w:val="false"/>
          <w:smallCaps w:val="false"/>
          <w:sz w:val="20"/>
        </w:rPr>
        <w:t xml:space="preserve">112. The ESPP allows employees to purchase shares at a </w:t>
      </w:r>
      <w:bookmarkStart w:id="964" w:name="xdx_90F_ecustom--EmployeePurchaseSharesP"/>
      <w:bookmarkEnd w:id="964"/>
      <w:r>
        <w:rPr>
          <w:rFonts w:ascii="Times New Roman;Times;Serif" w:hAnsi="Times New Roman;Times;Serif"/>
          <w:b w:val="false"/>
          <w:i w:val="false"/>
          <w:caps w:val="false"/>
          <w:smallCaps w:val="false"/>
          <w:sz w:val="20"/>
        </w:rPr>
        <w:t>15% discount to the lesser of the stock price at the beginning or the end of the offering period, which was October 1, 2023, and April 1, 2024, respectively. The discount resulted in an exercise price of $</w:t>
      </w:r>
      <w:bookmarkStart w:id="965" w:name="xdx_90E_eus-gaap--ClassOfWarrantOrRightE"/>
      <w:bookmarkEnd w:id="965"/>
      <w:r>
        <w:rPr>
          <w:rFonts w:ascii="Times New Roman;Times;Serif" w:hAnsi="Times New Roman;Times;Serif"/>
          <w:b w:val="false"/>
          <w:i w:val="false"/>
          <w:caps w:val="false"/>
          <w:smallCaps w:val="false"/>
          <w:sz w:val="20"/>
        </w:rPr>
        <w:t>4.14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six months ended June 30, 2025, the Company issued </w:t>
      </w:r>
      <w:bookmarkStart w:id="966" w:name="xdx_907_eus-gaap--StockIssuedDuringPerio"/>
      <w:bookmarkEnd w:id="966"/>
      <w:r>
        <w:rPr>
          <w:rFonts w:ascii="Times New Roman;Times;Serif" w:hAnsi="Times New Roman;Times;Serif"/>
          <w:b w:val="false"/>
          <w:i w:val="false"/>
          <w:caps w:val="false"/>
          <w:smallCaps w:val="false"/>
          <w:sz w:val="20"/>
        </w:rPr>
        <w:t>87,506 common shares in connection with teh ESPP for a total consideration of approximately $</w:t>
      </w:r>
      <w:bookmarkStart w:id="967" w:name="xdx_905_eus-gaap--StockIssuedDuringPerio"/>
      <w:bookmarkEnd w:id="967"/>
      <w:r>
        <w:rPr>
          <w:rFonts w:ascii="Times New Roman;Times;Serif" w:hAnsi="Times New Roman;Times;Serif"/>
          <w:b w:val="false"/>
          <w:i w:val="false"/>
          <w:caps w:val="false"/>
          <w:smallCaps w:val="false"/>
          <w:sz w:val="20"/>
        </w:rPr>
        <w:t xml:space="preserve">73. The ESPP allows employees to purchase shares at a </w:t>
      </w:r>
      <w:bookmarkStart w:id="968" w:name="xdx_90F_ecustom--EmployeePurchaseSharesP"/>
      <w:bookmarkEnd w:id="968"/>
      <w:r>
        <w:rPr>
          <w:rFonts w:ascii="Times New Roman;Times;Serif" w:hAnsi="Times New Roman;Times;Serif"/>
          <w:b w:val="false"/>
          <w:i w:val="false"/>
          <w:caps w:val="false"/>
          <w:smallCaps w:val="false"/>
          <w:sz w:val="20"/>
        </w:rPr>
        <w:t>15% discount to the lesser of the stock price at the beginning or the end of the offering period, which was October 1, 2024, and April 1, 2025, respectively. The discount resulted in an exercise price of $</w:t>
      </w:r>
      <w:bookmarkStart w:id="969" w:name="xdx_90D_eus-gaap--ClassOfWarrantOrRightE"/>
      <w:bookmarkEnd w:id="969"/>
      <w:r>
        <w:rPr>
          <w:rFonts w:ascii="Times New Roman;Times;Serif" w:hAnsi="Times New Roman;Times;Serif"/>
          <w:b w:val="false"/>
          <w:i w:val="false"/>
          <w:caps w:val="false"/>
          <w:smallCaps w:val="false"/>
          <w:sz w:val="20"/>
        </w:rPr>
        <w:t>0.83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bookmarkStart w:id="970" w:name="xdx_800_eus-gaap--SupplierFinanceProgram"/>
      <w:bookmarkEnd w:id="970"/>
      <w:r>
        <w:rPr>
          <w:rFonts w:ascii="Times New Roman;Times;Serif" w:hAnsi="Times New Roman;Times;Serif"/>
          <w:b/>
          <w:i w:val="false"/>
          <w:caps/>
          <w:sz w:val="20"/>
        </w:rPr>
        <w:t xml:space="preserve">Note 13 - </w:t>
      </w:r>
      <w:bookmarkStart w:id="971" w:name="xdx_82B_zDQpxYYKYpdi"/>
      <w:bookmarkEnd w:id="971"/>
      <w:r>
        <w:rPr>
          <w:rFonts w:ascii="Times New Roman;Times;Serif" w:hAnsi="Times New Roman;Times;Serif"/>
          <w:b/>
          <w:i w:val="false"/>
          <w:caps/>
          <w:sz w:val="20"/>
        </w:rPr>
        <w:t>Supplier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9, 2023, Ioneer Rhyolite Ridge LLC, or the seller, an emerging lithium-boron producer, and the Company announced a commercial offtake agreement partnership whereby the seller is developing the Rhyolite Ridge Project which, once completed, is expected to produce 20 ktpa of lithium carbonate, and 174 ktpa of boic acid (the “project”). Beginning on the Supply Start Date which is the date the seller notifies the Company that the project is fully completed and commissioned in accordance with the engineering, procurement and construction contract, and for the duration of the supply period, the Company shall purchase and receive product from seller, on the terms and conditions of the agreement. The agreement calls for a minimum annual purchase requirement. The agreement becomes effective when the seller has informed the Company that the seller has made a positive financial investment decision in respect of the project.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bookmarkStart w:id="972" w:name="xdx_80A_eus-gaap--SegmentReportingDisclo"/>
      <w:bookmarkEnd w:id="972"/>
      <w:r>
        <w:rPr>
          <w:rFonts w:ascii="Times New Roman;Times;Serif" w:hAnsi="Times New Roman;Times;Serif"/>
          <w:b/>
          <w:i w:val="false"/>
          <w:caps/>
          <w:sz w:val="20"/>
        </w:rPr>
        <w:t xml:space="preserve">Note 14 - </w:t>
      </w:r>
      <w:bookmarkStart w:id="973" w:name="xdx_822_zoQT0XyX1sY6"/>
      <w:bookmarkEnd w:id="973"/>
      <w:r>
        <w:rPr>
          <w:rFonts w:ascii="Times New Roman;Times;Serif" w:hAnsi="Times New Roman;Times;Serif"/>
          <w:b/>
          <w:i w:val="false"/>
          <w:caps/>
          <w:sz w:val="20"/>
        </w:rPr>
        <w:t>Reportable Segments</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has </w:t>
      </w:r>
      <w:bookmarkStart w:id="974" w:name="xdx_908_eus-gaap--NumberOfReportableSegm"/>
      <w:bookmarkEnd w:id="974"/>
      <w:r>
        <w:rPr>
          <w:rFonts w:ascii="Times New Roman;Times;Serif" w:hAnsi="Times New Roman;Times;Serif"/>
          <w:b w:val="false"/>
          <w:i w:val="false"/>
          <w:caps w:val="false"/>
          <w:smallCaps w:val="false"/>
          <w:sz w:val="20"/>
        </w:rPr>
        <w:t>two reportable segments: DTC and OEM. The DTC segment pertains to Battle Born, LLC branded batteries which are sold directly to consumers. The OEM segment pertains to Dragonfly branded batteries which are sold to original equipment manufacturers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accounting policies of the segments are the same as those described in the summary of significant accounting policies. The Company evaluates performance for all of its reportable segments based on both segment gross and net profit or loss from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DTC and OEM, the Chief Operating Decision Maker (“CODM”) uses both segment gross and net profit and loss from operations to allocate resources (including employees, property, and financial or capital resources) for each segment predominantly in the annual budget and forecasting process.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Assets information for the reported segments is not disclosed as it is not used by the CODM in evaluating the performance of, or making decisions about, the reported segments.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reportable segments are strategic business units that offer different branded products. They are managed separately because each segment requires different technology and marketing strategies.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CODM is the Chief Executive Officer.</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Note 14 - Reportable Segments (continued)</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975" w:name="xdx_896_eus-gaap--ScheduleOfSegmentRepor"/>
      <w:bookmarkEnd w:id="975"/>
      <w:r>
        <w:rPr>
          <w:rFonts w:ascii="Times New Roman;Times;Serif" w:hAnsi="Times New Roman;Times;Serif"/>
          <w:b w:val="false"/>
          <w:i w:val="false"/>
          <w:caps w:val="false"/>
          <w:smallCaps w:val="false"/>
          <w:sz w:val="20"/>
        </w:rPr>
        <w:t>The following table presents the reportable segments information for the six months ended June 30, 2025:</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976" w:name="xdx_8B7_zwOeXuGdfUag"/>
      <w:bookmarkEnd w:id="976"/>
      <w:r>
        <w:rPr>
          <w:rFonts w:ascii="Times New Roman;Times;Serif" w:hAnsi="Times New Roman;Times;Serif"/>
          <w:b w:val="false"/>
          <w:i w:val="false"/>
          <w:caps w:val="false"/>
          <w:smallCaps w:val="false"/>
          <w:sz w:val="20"/>
        </w:rPr>
        <w:t>SCHEDULE OF REPORTABLE SEGMENTS INFORMATION</w:t>
      </w:r>
    </w:p>
    <w:tbl>
      <w:tblPr>
        <w:tblW w:w="9280" w:type="dxa"/>
        <w:jc w:val="left"/>
        <w:tblInd w:w="0" w:type="dxa"/>
        <w:tblLayout w:type="fixed"/>
        <w:tblCellMar>
          <w:top w:w="0" w:type="dxa"/>
          <w:left w:w="0" w:type="dxa"/>
          <w:bottom w:w="0" w:type="dxa"/>
          <w:right w:w="0" w:type="dxa"/>
        </w:tblCellMar>
      </w:tblPr>
      <w:tblGrid>
        <w:gridCol w:w="5015"/>
        <w:gridCol w:w="60"/>
        <w:gridCol w:w="140"/>
        <w:gridCol w:w="680"/>
        <w:gridCol w:w="60"/>
        <w:gridCol w:w="60"/>
        <w:gridCol w:w="140"/>
        <w:gridCol w:w="680"/>
        <w:gridCol w:w="60"/>
        <w:gridCol w:w="60"/>
        <w:gridCol w:w="140"/>
        <w:gridCol w:w="755"/>
        <w:gridCol w:w="365"/>
        <w:gridCol w:w="60"/>
        <w:gridCol w:w="140"/>
        <w:gridCol w:w="755"/>
        <w:gridCol w:w="110"/>
      </w:tblGrid>
      <w:tr>
        <w:trPr/>
        <w:tc>
          <w:tcPr>
            <w:tcW w:w="50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977" w:name="xdx_490_20250101__20250630__us-gaap--Sta"/>
            <w:bookmarkEnd w:id="977"/>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DTC</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978" w:name="xdx_495_20250101__20250630__us-gaap--Sta"/>
            <w:bookmarkEnd w:id="978"/>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OEM</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979" w:name="xdx_49D_20250101__20250630__us-gaap--Sta"/>
            <w:bookmarkEnd w:id="979"/>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Other</w:t>
            </w:r>
          </w:p>
        </w:tc>
        <w:tc>
          <w:tcPr>
            <w:tcW w:w="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980" w:name="xdx_496_20250101__20250630_zQirVceWSpRl"/>
            <w:bookmarkEnd w:id="980"/>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110" w:type="dxa"/>
            <w:tcBorders/>
            <w:vAlign w:val="center"/>
          </w:tcPr>
          <w:p>
            <w:pPr>
              <w:pStyle w:val="TableContents"/>
              <w:bidi w:val="0"/>
              <w:spacing w:before="0" w:after="283"/>
              <w:jc w:val="left"/>
              <w:rPr/>
            </w:pPr>
            <w:r>
              <w:rPr/>
              <w:t> </w:t>
            </w:r>
          </w:p>
        </w:tc>
      </w:tr>
      <w:tr>
        <w:trPr/>
        <w:tc>
          <w:tcPr>
            <w:tcW w:w="50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bookmarkStart w:id="981" w:name="xdx_400_eus-gaap--RevenueFromContractWit"/>
            <w:bookmarkEnd w:id="981"/>
          </w:p>
        </w:tc>
      </w:tr>
      <w:tr>
        <w:trPr/>
        <w:tc>
          <w:tcPr>
            <w:tcW w:w="5015" w:type="dxa"/>
            <w:tcBorders/>
            <w:shd w:fill="CCEEFF" w:val="clear"/>
            <w:vAlign w:val="center"/>
          </w:tcPr>
          <w:p>
            <w:pPr>
              <w:pStyle w:val="TableContents"/>
              <w:bidi w:val="0"/>
              <w:spacing w:before="0" w:after="283"/>
              <w:jc w:val="left"/>
              <w:rPr>
                <w:b/>
              </w:rPr>
            </w:pPr>
            <w:r>
              <w:rPr>
                <w:b/>
              </w:rPr>
              <w:t>Net Sales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10,963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18,141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500</w:t>
            </w:r>
          </w:p>
        </w:tc>
        <w:tc>
          <w:tcPr>
            <w:tcW w:w="365" w:type="dxa"/>
            <w:tcBorders/>
            <w:shd w:fill="CCEEFF" w:val="clear"/>
            <w:vAlign w:val="center"/>
          </w:tcPr>
          <w:p>
            <w:pPr>
              <w:pStyle w:val="TableContents"/>
              <w:bidi w:val="0"/>
              <w:spacing w:before="0" w:after="283"/>
              <w:jc w:val="left"/>
              <w:rPr/>
            </w:pPr>
            <w:bookmarkStart w:id="982" w:name="xdx_F46_z6KA625OjsQ9"/>
            <w:bookmarkEnd w:id="982"/>
            <w:r>
              <w:rPr/>
              <w:t>(1)</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29,604</w:t>
            </w:r>
          </w:p>
        </w:tc>
        <w:tc>
          <w:tcPr>
            <w:tcW w:w="110"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3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i/>
              </w:rPr>
            </w:pPr>
            <w:r>
              <w:rPr>
                <w:i/>
              </w:rPr>
              <w:t>Reconciliation of Net Sales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3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983" w:name="xdx_400_ecustom--ReconciliationOfNetSale"/>
            <w:bookmarkEnd w:id="983"/>
          </w:p>
        </w:tc>
      </w:tr>
      <w:tr>
        <w:trPr/>
        <w:tc>
          <w:tcPr>
            <w:tcW w:w="5015" w:type="dxa"/>
            <w:tcBorders/>
            <w:shd w:fill="FFFFFF" w:val="clear"/>
            <w:vAlign w:val="center"/>
          </w:tcPr>
          <w:p>
            <w:pPr>
              <w:pStyle w:val="TableContents"/>
              <w:bidi w:val="0"/>
              <w:spacing w:before="0" w:after="283"/>
              <w:jc w:val="left"/>
              <w:rPr/>
            </w:pPr>
            <w:r>
              <w:rPr/>
              <w:t>Reconciling items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3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984" w:name="xdx_40C_eus-gaap--Revenues_pn3n3_zfin8EG"/>
            <w:bookmarkEnd w:id="984"/>
          </w:p>
        </w:tc>
      </w:tr>
      <w:tr>
        <w:trPr/>
        <w:tc>
          <w:tcPr>
            <w:tcW w:w="5015" w:type="dxa"/>
            <w:tcBorders/>
            <w:shd w:fill="CCEEFF" w:val="clear"/>
            <w:vAlign w:val="center"/>
          </w:tcPr>
          <w:p>
            <w:pPr>
              <w:pStyle w:val="TableContents"/>
              <w:bidi w:val="0"/>
              <w:spacing w:before="0" w:after="283"/>
              <w:jc w:val="left"/>
              <w:rPr/>
            </w:pPr>
            <w:r>
              <w:rPr/>
              <w:t>Consolidated Net Sales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3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29,604</w:t>
            </w:r>
          </w:p>
        </w:tc>
        <w:tc>
          <w:tcPr>
            <w:tcW w:w="110"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3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985" w:name="xdx_403_eus-gaap--CostDirectMaterial_pn3"/>
            <w:bookmarkEnd w:id="985"/>
          </w:p>
        </w:tc>
      </w:tr>
      <w:tr>
        <w:trPr/>
        <w:tc>
          <w:tcPr>
            <w:tcW w:w="5015" w:type="dxa"/>
            <w:tcBorders/>
            <w:shd w:fill="CCEEFF" w:val="clear"/>
            <w:vAlign w:val="center"/>
          </w:tcPr>
          <w:p>
            <w:pPr>
              <w:pStyle w:val="TableContents"/>
              <w:bidi w:val="0"/>
              <w:spacing w:before="0" w:after="283"/>
              <w:jc w:val="left"/>
              <w:rPr/>
            </w:pPr>
            <w:r>
              <w:rPr/>
              <w:t>Direct material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6,488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10,752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3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17,240</w:t>
            </w:r>
          </w:p>
        </w:tc>
        <w:tc>
          <w:tcPr>
            <w:tcW w:w="110" w:type="dxa"/>
            <w:tcBorders/>
            <w:shd w:fill="CCEEFF" w:val="clear"/>
            <w:vAlign w:val="center"/>
          </w:tcPr>
          <w:p>
            <w:pPr>
              <w:pStyle w:val="TableContents"/>
              <w:bidi w:val="0"/>
              <w:spacing w:before="0" w:after="283"/>
              <w:jc w:val="left"/>
              <w:rPr/>
            </w:pPr>
            <w:r>
              <w:rPr/>
              <w:t> </w:t>
            </w:r>
            <w:bookmarkStart w:id="986" w:name="xdx_408_eus-gaap--CostDirectLabor_pn3n3_"/>
            <w:bookmarkEnd w:id="986"/>
          </w:p>
        </w:tc>
      </w:tr>
      <w:tr>
        <w:trPr/>
        <w:tc>
          <w:tcPr>
            <w:tcW w:w="5015" w:type="dxa"/>
            <w:tcBorders/>
            <w:shd w:fill="FFFFFF" w:val="clear"/>
            <w:vAlign w:val="center"/>
          </w:tcPr>
          <w:p>
            <w:pPr>
              <w:pStyle w:val="TableContents"/>
              <w:bidi w:val="0"/>
              <w:spacing w:before="0" w:after="283"/>
              <w:jc w:val="left"/>
              <w:rPr/>
            </w:pPr>
            <w:r>
              <w:rPr/>
              <w:t>Direct labor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691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988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3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1,679</w:t>
            </w:r>
          </w:p>
        </w:tc>
        <w:tc>
          <w:tcPr>
            <w:tcW w:w="110" w:type="dxa"/>
            <w:tcBorders/>
            <w:shd w:fill="FFFFFF" w:val="clear"/>
            <w:vAlign w:val="center"/>
          </w:tcPr>
          <w:p>
            <w:pPr>
              <w:pStyle w:val="TableContents"/>
              <w:bidi w:val="0"/>
              <w:spacing w:before="0" w:after="283"/>
              <w:jc w:val="left"/>
              <w:rPr/>
            </w:pPr>
            <w:r>
              <w:rPr/>
              <w:t> </w:t>
            </w:r>
            <w:bookmarkStart w:id="987" w:name="xdx_402_eus-gaap--CostOfGoodsAndServices"/>
            <w:bookmarkEnd w:id="987"/>
          </w:p>
        </w:tc>
      </w:tr>
      <w:tr>
        <w:trPr/>
        <w:tc>
          <w:tcPr>
            <w:tcW w:w="5015" w:type="dxa"/>
            <w:tcBorders/>
            <w:shd w:fill="CCEEFF" w:val="clear"/>
            <w:vAlign w:val="center"/>
          </w:tcPr>
          <w:p>
            <w:pPr>
              <w:pStyle w:val="TableContents"/>
              <w:bidi w:val="0"/>
              <w:spacing w:before="0" w:after="283"/>
              <w:jc w:val="left"/>
              <w:rPr/>
            </w:pPr>
            <w:r>
              <w:rPr/>
              <w:t>Direct overhead and depreciation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886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1,266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3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2,152</w:t>
            </w:r>
          </w:p>
        </w:tc>
        <w:tc>
          <w:tcPr>
            <w:tcW w:w="110"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3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988" w:name="xdx_401_eus-gaap--CostOfGoodsAndServices"/>
            <w:bookmarkEnd w:id="988"/>
          </w:p>
        </w:tc>
      </w:tr>
      <w:tr>
        <w:trPr/>
        <w:tc>
          <w:tcPr>
            <w:tcW w:w="501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Total Cost of Goods Sold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8,065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13,006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3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21,071</w:t>
            </w:r>
          </w:p>
        </w:tc>
        <w:tc>
          <w:tcPr>
            <w:tcW w:w="110"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3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989" w:name="xdx_405_eus-gaap--GrossProfit_pn3n3_zsFe"/>
            <w:bookmarkEnd w:id="989"/>
          </w:p>
        </w:tc>
      </w:tr>
      <w:tr>
        <w:trPr/>
        <w:tc>
          <w:tcPr>
            <w:tcW w:w="5015"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2,898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5,135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500</w:t>
            </w:r>
          </w:p>
        </w:tc>
        <w:tc>
          <w:tcPr>
            <w:tcW w:w="3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8,533</w:t>
            </w:r>
          </w:p>
        </w:tc>
        <w:tc>
          <w:tcPr>
            <w:tcW w:w="110"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3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b/>
              </w:rPr>
            </w:pPr>
            <w:r>
              <w:rPr>
                <w:b/>
              </w:rPr>
              <w:t>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3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990" w:name="xdx_403_eus-gaap--ResearchAndDevelopment"/>
            <w:bookmarkEnd w:id="990"/>
          </w:p>
        </w:tc>
      </w:tr>
      <w:tr>
        <w:trPr/>
        <w:tc>
          <w:tcPr>
            <w:tcW w:w="5015" w:type="dxa"/>
            <w:tcBorders/>
            <w:shd w:fill="FFFFFF" w:val="clear"/>
            <w:vAlign w:val="center"/>
          </w:tcPr>
          <w:p>
            <w:pPr>
              <w:pStyle w:val="TableContents"/>
              <w:bidi w:val="0"/>
              <w:spacing w:before="0" w:after="283"/>
              <w:jc w:val="left"/>
              <w:rPr/>
            </w:pPr>
            <w:r>
              <w:rPr/>
              <w:t>Research &amp; development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1,692</w:t>
            </w:r>
          </w:p>
        </w:tc>
        <w:tc>
          <w:tcPr>
            <w:tcW w:w="365" w:type="dxa"/>
            <w:tcBorders/>
            <w:shd w:fill="FFFFFF" w:val="clear"/>
            <w:vAlign w:val="center"/>
          </w:tcPr>
          <w:p>
            <w:pPr>
              <w:pStyle w:val="TableContents"/>
              <w:bidi w:val="0"/>
              <w:spacing w:before="0" w:after="283"/>
              <w:jc w:val="left"/>
              <w:rPr/>
            </w:pPr>
            <w:bookmarkStart w:id="991" w:name="xdx_F4C_zwk4SETRyaFf"/>
            <w:bookmarkEnd w:id="991"/>
            <w:r>
              <w:rPr/>
              <w:t>(2)</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1,692</w:t>
            </w:r>
          </w:p>
        </w:tc>
        <w:tc>
          <w:tcPr>
            <w:tcW w:w="110" w:type="dxa"/>
            <w:tcBorders/>
            <w:shd w:fill="FFFFFF" w:val="clear"/>
            <w:vAlign w:val="center"/>
          </w:tcPr>
          <w:p>
            <w:pPr>
              <w:pStyle w:val="TableContents"/>
              <w:bidi w:val="0"/>
              <w:spacing w:before="0" w:after="283"/>
              <w:jc w:val="left"/>
              <w:rPr/>
            </w:pPr>
            <w:r>
              <w:rPr/>
              <w:t> </w:t>
            </w:r>
            <w:bookmarkStart w:id="992" w:name="xdx_40B_ecustom--SalesTaxAdjustment_pn3n"/>
            <w:bookmarkEnd w:id="992"/>
          </w:p>
        </w:tc>
      </w:tr>
      <w:tr>
        <w:trPr/>
        <w:tc>
          <w:tcPr>
            <w:tcW w:w="5015" w:type="dxa"/>
            <w:tcBorders/>
            <w:shd w:fill="CCEEFF" w:val="clear"/>
            <w:vAlign w:val="center"/>
          </w:tcPr>
          <w:p>
            <w:pPr>
              <w:pStyle w:val="TableContents"/>
              <w:bidi w:val="0"/>
              <w:spacing w:before="0" w:after="283"/>
              <w:jc w:val="left"/>
              <w:rPr/>
            </w:pPr>
            <w:r>
              <w:rPr/>
              <w:t>Sales tax adjustment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3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w:t>
            </w:r>
          </w:p>
        </w:tc>
        <w:tc>
          <w:tcPr>
            <w:tcW w:w="110" w:type="dxa"/>
            <w:tcBorders/>
            <w:shd w:fill="CCEEFF" w:val="clear"/>
            <w:vAlign w:val="center"/>
          </w:tcPr>
          <w:p>
            <w:pPr>
              <w:pStyle w:val="TableContents"/>
              <w:bidi w:val="0"/>
              <w:spacing w:before="0" w:after="283"/>
              <w:jc w:val="left"/>
              <w:rPr/>
            </w:pPr>
            <w:r>
              <w:rPr/>
              <w:t> </w:t>
            </w:r>
            <w:bookmarkStart w:id="993" w:name="xdx_40B_ecustom--TransactionFees_pn3n3_z"/>
            <w:bookmarkEnd w:id="993"/>
          </w:p>
        </w:tc>
      </w:tr>
      <w:tr>
        <w:trPr/>
        <w:tc>
          <w:tcPr>
            <w:tcW w:w="5015" w:type="dxa"/>
            <w:tcBorders/>
            <w:shd w:fill="FFFFFF" w:val="clear"/>
            <w:vAlign w:val="center"/>
          </w:tcPr>
          <w:p>
            <w:pPr>
              <w:pStyle w:val="TableContents"/>
              <w:bidi w:val="0"/>
              <w:spacing w:before="0" w:after="283"/>
              <w:jc w:val="left"/>
              <w:rPr/>
            </w:pPr>
            <w:r>
              <w:rPr/>
              <w:t>Credit card &amp; amazon transaction fees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258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3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258</w:t>
            </w:r>
          </w:p>
        </w:tc>
        <w:tc>
          <w:tcPr>
            <w:tcW w:w="110" w:type="dxa"/>
            <w:tcBorders/>
            <w:shd w:fill="FFFFFF" w:val="clear"/>
            <w:vAlign w:val="center"/>
          </w:tcPr>
          <w:p>
            <w:pPr>
              <w:pStyle w:val="TableContents"/>
              <w:bidi w:val="0"/>
              <w:spacing w:before="0" w:after="283"/>
              <w:jc w:val="left"/>
              <w:rPr/>
            </w:pPr>
            <w:r>
              <w:rPr/>
              <w:t> </w:t>
            </w:r>
            <w:bookmarkStart w:id="994" w:name="xdx_401_eus-gaap--OtherGeneralAndAdminis"/>
            <w:bookmarkEnd w:id="994"/>
          </w:p>
        </w:tc>
      </w:tr>
      <w:tr>
        <w:trPr/>
        <w:tc>
          <w:tcPr>
            <w:tcW w:w="5015" w:type="dxa"/>
            <w:tcBorders/>
            <w:shd w:fill="CCEEFF" w:val="clear"/>
            <w:vAlign w:val="center"/>
          </w:tcPr>
          <w:p>
            <w:pPr>
              <w:pStyle w:val="TableContents"/>
              <w:bidi w:val="0"/>
              <w:spacing w:before="0" w:after="283"/>
              <w:jc w:val="left"/>
              <w:rPr/>
            </w:pPr>
            <w:r>
              <w:rPr/>
              <w:t>Other general &amp; administrative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10,716</w:t>
            </w:r>
          </w:p>
        </w:tc>
        <w:tc>
          <w:tcPr>
            <w:tcW w:w="365" w:type="dxa"/>
            <w:tcBorders/>
            <w:shd w:fill="CCEEFF" w:val="clear"/>
            <w:vAlign w:val="center"/>
          </w:tcPr>
          <w:p>
            <w:pPr>
              <w:pStyle w:val="TableContents"/>
              <w:bidi w:val="0"/>
              <w:spacing w:before="0" w:after="283"/>
              <w:jc w:val="left"/>
              <w:rPr/>
            </w:pPr>
            <w:bookmarkStart w:id="995" w:name="xdx_F4E_z0C8QaEZFtH1"/>
            <w:bookmarkEnd w:id="995"/>
            <w:r>
              <w:rPr/>
              <w:t>(3)</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10,716</w:t>
            </w:r>
          </w:p>
        </w:tc>
        <w:tc>
          <w:tcPr>
            <w:tcW w:w="110" w:type="dxa"/>
            <w:tcBorders/>
            <w:shd w:fill="CCEEFF" w:val="clear"/>
            <w:vAlign w:val="center"/>
          </w:tcPr>
          <w:p>
            <w:pPr>
              <w:pStyle w:val="TableContents"/>
              <w:bidi w:val="0"/>
              <w:spacing w:before="0" w:after="283"/>
              <w:jc w:val="left"/>
              <w:rPr/>
            </w:pPr>
            <w:r>
              <w:rPr/>
              <w:t> </w:t>
            </w:r>
            <w:bookmarkStart w:id="996" w:name="xdx_408_ecustom--Shipping_pn3n3_ziX4eAKV"/>
            <w:bookmarkEnd w:id="996"/>
          </w:p>
        </w:tc>
      </w:tr>
      <w:tr>
        <w:trPr/>
        <w:tc>
          <w:tcPr>
            <w:tcW w:w="5015" w:type="dxa"/>
            <w:tcBorders/>
            <w:shd w:fill="FFFFFF" w:val="clear"/>
            <w:vAlign w:val="center"/>
          </w:tcPr>
          <w:p>
            <w:pPr>
              <w:pStyle w:val="TableContents"/>
              <w:bidi w:val="0"/>
              <w:spacing w:before="0" w:after="283"/>
              <w:jc w:val="left"/>
              <w:rPr/>
            </w:pPr>
            <w:r>
              <w:rPr/>
              <w:t>Shipping</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810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579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3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1,389</w:t>
            </w:r>
          </w:p>
        </w:tc>
        <w:tc>
          <w:tcPr>
            <w:tcW w:w="110" w:type="dxa"/>
            <w:tcBorders/>
            <w:shd w:fill="FFFFFF" w:val="clear"/>
            <w:vAlign w:val="center"/>
          </w:tcPr>
          <w:p>
            <w:pPr>
              <w:pStyle w:val="TableContents"/>
              <w:bidi w:val="0"/>
              <w:spacing w:before="0" w:after="283"/>
              <w:jc w:val="left"/>
              <w:rPr/>
            </w:pPr>
            <w:r>
              <w:rPr/>
              <w:t> </w:t>
            </w:r>
            <w:bookmarkStart w:id="997" w:name="xdx_40E_ecustom--SalesAndMarketingStockC"/>
            <w:bookmarkEnd w:id="997"/>
          </w:p>
        </w:tc>
      </w:tr>
      <w:tr>
        <w:trPr/>
        <w:tc>
          <w:tcPr>
            <w:tcW w:w="5015" w:type="dxa"/>
            <w:tcBorders/>
            <w:shd w:fill="CCEEFF" w:val="clear"/>
            <w:vAlign w:val="center"/>
          </w:tcPr>
          <w:p>
            <w:pPr>
              <w:pStyle w:val="TableContents"/>
              <w:bidi w:val="0"/>
              <w:spacing w:before="0" w:after="283"/>
              <w:jc w:val="left"/>
              <w:rPr/>
            </w:pPr>
            <w:r>
              <w:rPr/>
              <w:t>Sales and marketing stock compensation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3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93</w:t>
            </w:r>
          </w:p>
        </w:tc>
        <w:tc>
          <w:tcPr>
            <w:tcW w:w="110" w:type="dxa"/>
            <w:tcBorders/>
            <w:shd w:fill="CCEEFF" w:val="clear"/>
            <w:vAlign w:val="center"/>
          </w:tcPr>
          <w:p>
            <w:pPr>
              <w:pStyle w:val="TableContents"/>
              <w:bidi w:val="0"/>
              <w:spacing w:before="0" w:after="283"/>
              <w:jc w:val="left"/>
              <w:rPr/>
            </w:pPr>
            <w:r>
              <w:rPr/>
              <w:t> </w:t>
            </w:r>
            <w:bookmarkStart w:id="998" w:name="xdx_40E_ecustom--SalesAndMarketingWages_"/>
            <w:bookmarkEnd w:id="998"/>
          </w:p>
        </w:tc>
      </w:tr>
      <w:tr>
        <w:trPr/>
        <w:tc>
          <w:tcPr>
            <w:tcW w:w="5015" w:type="dxa"/>
            <w:tcBorders/>
            <w:shd w:fill="FFFFFF" w:val="clear"/>
            <w:vAlign w:val="center"/>
          </w:tcPr>
          <w:p>
            <w:pPr>
              <w:pStyle w:val="TableContents"/>
              <w:bidi w:val="0"/>
              <w:spacing w:before="0" w:after="283"/>
              <w:jc w:val="left"/>
              <w:rPr/>
            </w:pPr>
            <w:r>
              <w:rPr/>
              <w:t>Sales and marketing wages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375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665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3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1,040</w:t>
            </w:r>
          </w:p>
        </w:tc>
        <w:tc>
          <w:tcPr>
            <w:tcW w:w="110" w:type="dxa"/>
            <w:tcBorders/>
            <w:shd w:fill="FFFFFF" w:val="clear"/>
            <w:vAlign w:val="center"/>
          </w:tcPr>
          <w:p>
            <w:pPr>
              <w:pStyle w:val="TableContents"/>
              <w:bidi w:val="0"/>
              <w:spacing w:before="0" w:after="283"/>
              <w:jc w:val="left"/>
              <w:rPr/>
            </w:pPr>
            <w:r>
              <w:rPr/>
              <w:t> </w:t>
            </w:r>
            <w:bookmarkStart w:id="999" w:name="xdx_405_ecustom--MarketingSpend_pn3n3_z4"/>
            <w:bookmarkEnd w:id="999"/>
          </w:p>
        </w:tc>
      </w:tr>
      <w:tr>
        <w:trPr/>
        <w:tc>
          <w:tcPr>
            <w:tcW w:w="5015" w:type="dxa"/>
            <w:tcBorders/>
            <w:shd w:fill="CCEEFF" w:val="clear"/>
            <w:vAlign w:val="center"/>
          </w:tcPr>
          <w:p>
            <w:pPr>
              <w:pStyle w:val="TableContents"/>
              <w:bidi w:val="0"/>
              <w:spacing w:before="0" w:after="283"/>
              <w:jc w:val="left"/>
              <w:rPr/>
            </w:pPr>
            <w:r>
              <w:rPr/>
              <w:t>Marketing spend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1,323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3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1,443</w:t>
            </w:r>
          </w:p>
        </w:tc>
        <w:tc>
          <w:tcPr>
            <w:tcW w:w="110" w:type="dxa"/>
            <w:tcBorders/>
            <w:shd w:fill="CCEEFF" w:val="clear"/>
            <w:vAlign w:val="center"/>
          </w:tcPr>
          <w:p>
            <w:pPr>
              <w:pStyle w:val="TableContents"/>
              <w:bidi w:val="0"/>
              <w:spacing w:before="0" w:after="283"/>
              <w:jc w:val="left"/>
              <w:rPr/>
            </w:pPr>
            <w:r>
              <w:rPr/>
              <w:t> </w:t>
            </w:r>
            <w:bookmarkStart w:id="1000" w:name="xdx_404_ecustom--Rent_pn3n3_ztRS67J2Lhg4"/>
            <w:bookmarkEnd w:id="1000"/>
          </w:p>
        </w:tc>
      </w:tr>
      <w:tr>
        <w:trPr/>
        <w:tc>
          <w:tcPr>
            <w:tcW w:w="5015" w:type="dxa"/>
            <w:tcBorders/>
            <w:shd w:fill="FFFFFF" w:val="clear"/>
            <w:vAlign w:val="center"/>
          </w:tcPr>
          <w:p>
            <w:pPr>
              <w:pStyle w:val="TableContents"/>
              <w:bidi w:val="0"/>
              <w:spacing w:before="0" w:after="283"/>
              <w:jc w:val="left"/>
              <w:rPr/>
            </w:pPr>
            <w:r>
              <w:rPr/>
              <w:t>Rent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3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36</w:t>
            </w:r>
          </w:p>
        </w:tc>
        <w:tc>
          <w:tcPr>
            <w:tcW w:w="110" w:type="dxa"/>
            <w:tcBorders/>
            <w:shd w:fill="FFFFFF" w:val="clear"/>
            <w:vAlign w:val="center"/>
          </w:tcPr>
          <w:p>
            <w:pPr>
              <w:pStyle w:val="TableContents"/>
              <w:bidi w:val="0"/>
              <w:spacing w:before="0" w:after="283"/>
              <w:jc w:val="left"/>
              <w:rPr/>
            </w:pPr>
            <w:r>
              <w:rPr/>
              <w:t> </w:t>
            </w:r>
            <w:bookmarkStart w:id="1001" w:name="xdx_401_ecustom--UnallocatedSalesAndMark"/>
            <w:bookmarkEnd w:id="1001"/>
          </w:p>
        </w:tc>
      </w:tr>
      <w:tr>
        <w:trPr/>
        <w:tc>
          <w:tcPr>
            <w:tcW w:w="5015" w:type="dxa"/>
            <w:tcBorders/>
            <w:shd w:fill="CCEEFF" w:val="clear"/>
            <w:vAlign w:val="center"/>
          </w:tcPr>
          <w:p>
            <w:pPr>
              <w:pStyle w:val="TableContents"/>
              <w:bidi w:val="0"/>
              <w:spacing w:before="0" w:after="283"/>
              <w:jc w:val="left"/>
              <w:rPr/>
            </w:pPr>
            <w:r>
              <w:rPr/>
              <w:t>Unallocated sales and marketing stock compensation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31</w:t>
            </w:r>
          </w:p>
        </w:tc>
        <w:tc>
          <w:tcPr>
            <w:tcW w:w="365" w:type="dxa"/>
            <w:tcBorders/>
            <w:shd w:fill="CCEEFF" w:val="clear"/>
            <w:vAlign w:val="center"/>
          </w:tcPr>
          <w:p>
            <w:pPr>
              <w:pStyle w:val="TableContents"/>
              <w:bidi w:val="0"/>
              <w:spacing w:before="0" w:after="283"/>
              <w:jc w:val="left"/>
              <w:rPr/>
            </w:pPr>
            <w:bookmarkStart w:id="1002" w:name="xdx_F43_zhtx7G0Adgek"/>
            <w:bookmarkEnd w:id="1002"/>
            <w:r>
              <w:rPr/>
              <w:t>(4)</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31</w:t>
            </w:r>
          </w:p>
        </w:tc>
        <w:tc>
          <w:tcPr>
            <w:tcW w:w="110" w:type="dxa"/>
            <w:tcBorders/>
            <w:shd w:fill="CCEEFF" w:val="clear"/>
            <w:vAlign w:val="center"/>
          </w:tcPr>
          <w:p>
            <w:pPr>
              <w:pStyle w:val="TableContents"/>
              <w:bidi w:val="0"/>
              <w:spacing w:before="0" w:after="283"/>
              <w:jc w:val="left"/>
              <w:rPr/>
            </w:pPr>
            <w:r>
              <w:rPr/>
              <w:t> </w:t>
            </w:r>
            <w:bookmarkStart w:id="1003" w:name="xdx_404_ecustom--UnallocatedSalesAndMark"/>
            <w:bookmarkEnd w:id="1003"/>
          </w:p>
        </w:tc>
      </w:tr>
      <w:tr>
        <w:trPr/>
        <w:tc>
          <w:tcPr>
            <w:tcW w:w="5015" w:type="dxa"/>
            <w:tcBorders/>
            <w:shd w:fill="FFFFFF" w:val="clear"/>
            <w:vAlign w:val="center"/>
          </w:tcPr>
          <w:p>
            <w:pPr>
              <w:pStyle w:val="TableContents"/>
              <w:bidi w:val="0"/>
              <w:spacing w:before="0" w:after="283"/>
              <w:jc w:val="left"/>
              <w:rPr/>
            </w:pPr>
            <w:r>
              <w:rPr/>
              <w:t>Unallocated sales and marketing wages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624</w:t>
            </w:r>
          </w:p>
        </w:tc>
        <w:tc>
          <w:tcPr>
            <w:tcW w:w="365" w:type="dxa"/>
            <w:tcBorders/>
            <w:shd w:fill="FFFFFF" w:val="clear"/>
            <w:vAlign w:val="center"/>
          </w:tcPr>
          <w:p>
            <w:pPr>
              <w:pStyle w:val="TableContents"/>
              <w:bidi w:val="0"/>
              <w:spacing w:before="0" w:after="283"/>
              <w:jc w:val="left"/>
              <w:rPr/>
            </w:pPr>
            <w:bookmarkStart w:id="1004" w:name="xdx_F45_zC7cEXvMR9Dl"/>
            <w:bookmarkEnd w:id="1004"/>
            <w:r>
              <w:rPr/>
              <w:t>(4)</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624</w:t>
            </w:r>
          </w:p>
        </w:tc>
        <w:tc>
          <w:tcPr>
            <w:tcW w:w="110" w:type="dxa"/>
            <w:tcBorders/>
            <w:shd w:fill="FFFFFF" w:val="clear"/>
            <w:vAlign w:val="center"/>
          </w:tcPr>
          <w:p>
            <w:pPr>
              <w:pStyle w:val="TableContents"/>
              <w:bidi w:val="0"/>
              <w:spacing w:before="0" w:after="283"/>
              <w:jc w:val="left"/>
              <w:rPr/>
            </w:pPr>
            <w:r>
              <w:rPr/>
              <w:t> </w:t>
            </w:r>
            <w:bookmarkStart w:id="1005" w:name="xdx_40C_eus-gaap--OtherSellingAndMarketi"/>
            <w:bookmarkEnd w:id="1005"/>
          </w:p>
        </w:tc>
      </w:tr>
      <w:tr>
        <w:trPr/>
        <w:tc>
          <w:tcPr>
            <w:tcW w:w="5015" w:type="dxa"/>
            <w:tcBorders/>
            <w:shd w:fill="CCEEFF" w:val="clear"/>
            <w:vAlign w:val="center"/>
          </w:tcPr>
          <w:p>
            <w:pPr>
              <w:pStyle w:val="TableContents"/>
              <w:bidi w:val="0"/>
              <w:spacing w:before="0" w:after="283"/>
              <w:jc w:val="left"/>
              <w:rPr/>
            </w:pPr>
            <w:r>
              <w:rPr/>
              <w:t>Other sales &amp; marketing</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404</w:t>
            </w:r>
          </w:p>
        </w:tc>
        <w:tc>
          <w:tcPr>
            <w:tcW w:w="365" w:type="dxa"/>
            <w:tcBorders/>
            <w:shd w:fill="CCEEFF" w:val="clear"/>
            <w:vAlign w:val="center"/>
          </w:tcPr>
          <w:p>
            <w:pPr>
              <w:pStyle w:val="TableContents"/>
              <w:bidi w:val="0"/>
              <w:spacing w:before="0" w:after="283"/>
              <w:jc w:val="left"/>
              <w:rPr/>
            </w:pPr>
            <w:bookmarkStart w:id="1006" w:name="xdx_F42_zZzUYQg53op1"/>
            <w:bookmarkEnd w:id="1006"/>
            <w:r>
              <w:rPr/>
              <w:t>(4)</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404</w:t>
            </w:r>
          </w:p>
        </w:tc>
        <w:tc>
          <w:tcPr>
            <w:tcW w:w="110"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3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007" w:name="xdx_406_eus-gaap--OperatingExpenses_pn3n"/>
            <w:bookmarkEnd w:id="1007"/>
          </w:p>
        </w:tc>
      </w:tr>
      <w:tr>
        <w:trPr/>
        <w:tc>
          <w:tcPr>
            <w:tcW w:w="501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Total 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2,813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1,448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13,467</w:t>
            </w:r>
          </w:p>
        </w:tc>
        <w:tc>
          <w:tcPr>
            <w:tcW w:w="3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17,728</w:t>
            </w:r>
          </w:p>
        </w:tc>
        <w:tc>
          <w:tcPr>
            <w:tcW w:w="110"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3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008" w:name="xdx_40B_eus-gaap--OperatingIncomeLoss_pn"/>
            <w:bookmarkEnd w:id="1008"/>
          </w:p>
        </w:tc>
      </w:tr>
      <w:tr>
        <w:trPr/>
        <w:tc>
          <w:tcPr>
            <w:tcW w:w="5015" w:type="dxa"/>
            <w:tcBorders/>
            <w:shd w:fill="CCEEFF" w:val="clear"/>
            <w:vAlign w:val="center"/>
          </w:tcPr>
          <w:p>
            <w:pPr>
              <w:pStyle w:val="TableContents"/>
              <w:bidi w:val="0"/>
              <w:spacing w:before="0" w:after="283"/>
              <w:jc w:val="left"/>
              <w:rPr/>
            </w:pPr>
            <w:r>
              <w:rPr/>
              <w:t>Loss from operations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3,687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(12,967</w:t>
            </w:r>
          </w:p>
        </w:tc>
        <w:tc>
          <w:tcPr>
            <w:tcW w:w="36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(9,195</w:t>
            </w:r>
          </w:p>
        </w:tc>
        <w:tc>
          <w:tcPr>
            <w:tcW w:w="110" w:type="dxa"/>
            <w:tcBorders/>
            <w:shd w:fill="CCEEFF" w:val="clear"/>
            <w:vAlign w:val="center"/>
          </w:tcPr>
          <w:p>
            <w:pPr>
              <w:pStyle w:val="TableContents"/>
              <w:bidi w:val="0"/>
              <w:spacing w:before="0" w:after="283"/>
              <w:jc w:val="left"/>
              <w:rPr/>
            </w:pPr>
            <w:r>
              <w:rPr/>
              <w:t>)</w:t>
            </w:r>
          </w:p>
        </w:tc>
      </w:tr>
      <w:tr>
        <w:trPr/>
        <w:tc>
          <w:tcPr>
            <w:tcW w:w="50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3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009" w:name="xdx_40F_eus-gaap--InterestExpenseNonoper"/>
            <w:bookmarkEnd w:id="1009"/>
          </w:p>
        </w:tc>
      </w:tr>
      <w:tr>
        <w:trPr/>
        <w:tc>
          <w:tcPr>
            <w:tcW w:w="5015" w:type="dxa"/>
            <w:tcBorders/>
            <w:shd w:fill="CCEEFF" w:val="clear"/>
            <w:vAlign w:val="center"/>
          </w:tcPr>
          <w:p>
            <w:pPr>
              <w:pStyle w:val="TableContents"/>
              <w:bidi w:val="0"/>
              <w:spacing w:before="0" w:after="283"/>
              <w:jc w:val="left"/>
              <w:rPr/>
            </w:pPr>
            <w:r>
              <w:rPr/>
              <w:t>Interest expense,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(10,143</w:t>
            </w:r>
          </w:p>
        </w:tc>
        <w:tc>
          <w:tcPr>
            <w:tcW w:w="365" w:type="dxa"/>
            <w:tcBorders/>
            <w:shd w:fill="CCEEFF" w:val="clear"/>
            <w:vAlign w:val="center"/>
          </w:tcPr>
          <w:p>
            <w:pPr>
              <w:pStyle w:val="TableContents"/>
              <w:bidi w:val="0"/>
              <w:spacing w:before="0" w:after="283"/>
              <w:jc w:val="left"/>
              <w:rPr/>
            </w:pPr>
            <w:r>
              <w:rPr/>
              <w:t>)</w:t>
            </w:r>
            <w:bookmarkStart w:id="1010" w:name="xdx_F4F_z6fyHHppolh3"/>
            <w:bookmarkEnd w:id="1010"/>
            <w:r>
              <w:rPr/>
              <w:t>(5)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(10,143</w:t>
            </w:r>
          </w:p>
        </w:tc>
        <w:tc>
          <w:tcPr>
            <w:tcW w:w="110" w:type="dxa"/>
            <w:tcBorders/>
            <w:shd w:fill="CCEEFF" w:val="clear"/>
            <w:vAlign w:val="center"/>
          </w:tcPr>
          <w:p>
            <w:pPr>
              <w:pStyle w:val="TableContents"/>
              <w:bidi w:val="0"/>
              <w:spacing w:before="0" w:after="283"/>
              <w:jc w:val="left"/>
              <w:rPr/>
            </w:pPr>
            <w:r>
              <w:rPr/>
              <w:t>)</w:t>
            </w:r>
            <w:bookmarkStart w:id="1011" w:name="xdx_40D_eus-gaap--FairValueAdjustmentOfW"/>
            <w:bookmarkEnd w:id="1011"/>
          </w:p>
        </w:tc>
      </w:tr>
      <w:tr>
        <w:trPr/>
        <w:tc>
          <w:tcPr>
            <w:tcW w:w="5015" w:type="dxa"/>
            <w:tcBorders/>
            <w:shd w:fill="FFFFFF" w:val="clear"/>
            <w:vAlign w:val="center"/>
          </w:tcPr>
          <w:p>
            <w:pPr>
              <w:pStyle w:val="TableContents"/>
              <w:bidi w:val="0"/>
              <w:spacing w:before="0" w:after="283"/>
              <w:jc w:val="left"/>
              <w:rPr/>
            </w:pPr>
            <w:r>
              <w:rPr/>
              <w:t>Change in FMV of warrant liability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5,507</w:t>
            </w:r>
          </w:p>
        </w:tc>
        <w:tc>
          <w:tcPr>
            <w:tcW w:w="365" w:type="dxa"/>
            <w:tcBorders/>
            <w:shd w:fill="FFFFFF" w:val="clear"/>
            <w:vAlign w:val="center"/>
          </w:tcPr>
          <w:p>
            <w:pPr>
              <w:pStyle w:val="TableContents"/>
              <w:bidi w:val="0"/>
              <w:spacing w:before="0" w:after="283"/>
              <w:jc w:val="left"/>
              <w:rPr/>
            </w:pPr>
            <w:bookmarkStart w:id="1012" w:name="xdx_F4A_zPp6THA6vZWh"/>
            <w:bookmarkEnd w:id="1012"/>
            <w:r>
              <w:rPr/>
              <w:t>(5)</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5,507</w:t>
            </w:r>
          </w:p>
        </w:tc>
        <w:tc>
          <w:tcPr>
            <w:tcW w:w="110"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3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013" w:name="xdx_40F_eus-gaap--NonoperatingIncomeExpe"/>
            <w:bookmarkEnd w:id="1013"/>
          </w:p>
        </w:tc>
      </w:tr>
      <w:tr>
        <w:trPr/>
        <w:tc>
          <w:tcPr>
            <w:tcW w:w="501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Total Other Income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(4,636</w:t>
            </w:r>
          </w:p>
        </w:tc>
        <w:tc>
          <w:tcPr>
            <w:tcW w:w="36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(4,636</w:t>
            </w:r>
          </w:p>
        </w:tc>
        <w:tc>
          <w:tcPr>
            <w:tcW w:w="110" w:type="dxa"/>
            <w:tcBorders/>
            <w:shd w:fill="FFFFFF" w:val="clear"/>
            <w:vAlign w:val="center"/>
          </w:tcPr>
          <w:p>
            <w:pPr>
              <w:pStyle w:val="TableContents"/>
              <w:bidi w:val="0"/>
              <w:spacing w:before="0" w:after="283"/>
              <w:jc w:val="left"/>
              <w:rPr/>
            </w:pPr>
            <w:r>
              <w:rPr/>
              <w:t>)</w:t>
            </w:r>
          </w:p>
        </w:tc>
      </w:tr>
      <w:tr>
        <w:trPr/>
        <w:tc>
          <w:tcPr>
            <w:tcW w:w="50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3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014" w:name="xdx_40F_eus-gaap--IncomeLossFromContinui"/>
            <w:bookmarkEnd w:id="1014"/>
          </w:p>
        </w:tc>
      </w:tr>
      <w:tr>
        <w:trPr/>
        <w:tc>
          <w:tcPr>
            <w:tcW w:w="5015" w:type="dxa"/>
            <w:tcBorders/>
            <w:shd w:fill="FFFFFF" w:val="clear"/>
            <w:vAlign w:val="center"/>
          </w:tcPr>
          <w:p>
            <w:pPr>
              <w:pStyle w:val="TableContents"/>
              <w:bidi w:val="0"/>
              <w:spacing w:before="0" w:after="283"/>
              <w:jc w:val="left"/>
              <w:rPr>
                <w:b/>
              </w:rPr>
            </w:pPr>
            <w:r>
              <w:rPr>
                <w:b/>
              </w:rPr>
              <w:t>Net Loss Before Taxes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3,687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(17,603</w:t>
            </w:r>
          </w:p>
        </w:tc>
        <w:tc>
          <w:tcPr>
            <w:tcW w:w="36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(13,831</w:t>
            </w:r>
          </w:p>
        </w:tc>
        <w:tc>
          <w:tcPr>
            <w:tcW w:w="110" w:type="dxa"/>
            <w:tcBorders/>
            <w:shd w:fill="FFFFFF" w:val="clear"/>
            <w:vAlign w:val="center"/>
          </w:tcPr>
          <w:p>
            <w:pPr>
              <w:pStyle w:val="TableContents"/>
              <w:bidi w:val="0"/>
              <w:spacing w:before="0" w:after="283"/>
              <w:jc w:val="left"/>
              <w:rPr/>
            </w:pPr>
            <w:r>
              <w:rPr/>
              <w:t>)</w:t>
            </w:r>
          </w:p>
        </w:tc>
      </w:tr>
      <w:tr>
        <w:trPr/>
        <w:tc>
          <w:tcPr>
            <w:tcW w:w="50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3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015" w:name="xdx_409_eus-gaap--IncomeTaxExpenseBenefi"/>
            <w:bookmarkEnd w:id="1015"/>
          </w:p>
        </w:tc>
      </w:tr>
      <w:tr>
        <w:trPr/>
        <w:tc>
          <w:tcPr>
            <w:tcW w:w="5015" w:type="dxa"/>
            <w:tcBorders/>
            <w:shd w:fill="FFFFFF" w:val="clear"/>
            <w:vAlign w:val="center"/>
          </w:tcPr>
          <w:p>
            <w:pPr>
              <w:pStyle w:val="TableContents"/>
              <w:bidi w:val="0"/>
              <w:spacing w:before="0" w:after="283"/>
              <w:jc w:val="left"/>
              <w:rPr>
                <w:b/>
              </w:rPr>
            </w:pPr>
            <w:r>
              <w:rPr>
                <w:b/>
              </w:rPr>
              <w:t>Income Tax Benefit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3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3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016" w:name="xdx_40D_eus-gaap--NetIncomeLoss_pn3n3_ze"/>
            <w:bookmarkEnd w:id="1016"/>
          </w:p>
        </w:tc>
      </w:tr>
      <w:tr>
        <w:trPr/>
        <w:tc>
          <w:tcPr>
            <w:tcW w:w="5015" w:type="dxa"/>
            <w:tcBorders/>
            <w:shd w:fill="FFFFFF" w:val="clear"/>
            <w:vAlign w:val="center"/>
          </w:tcPr>
          <w:p>
            <w:pPr>
              <w:pStyle w:val="TableContents"/>
              <w:bidi w:val="0"/>
              <w:spacing w:before="0" w:after="283"/>
              <w:jc w:val="left"/>
              <w:rPr>
                <w:b/>
              </w:rPr>
            </w:pPr>
            <w:r>
              <w:rPr>
                <w:b/>
              </w:rPr>
              <w:t>Net Income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3,687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(17,603</w:t>
            </w:r>
          </w:p>
        </w:tc>
        <w:tc>
          <w:tcPr>
            <w:tcW w:w="36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(13,831</w:t>
            </w:r>
          </w:p>
        </w:tc>
        <w:tc>
          <w:tcPr>
            <w:tcW w:w="110" w:type="dxa"/>
            <w:tcBorders/>
            <w:shd w:fill="FFFFFF" w:val="clear"/>
            <w:vAlign w:val="center"/>
          </w:tcPr>
          <w:p>
            <w:pPr>
              <w:pStyle w:val="TableContents"/>
              <w:bidi w:val="0"/>
              <w:spacing w:before="0" w:after="283"/>
              <w:jc w:val="left"/>
              <w:rPr/>
            </w:pPr>
            <w:r>
              <w:rPr/>
              <w:t>)</w:t>
            </w:r>
          </w:p>
        </w:tc>
      </w:tr>
      <w:tr>
        <w:trPr/>
        <w:tc>
          <w:tcPr>
            <w:tcW w:w="50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3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i/>
              </w:rPr>
            </w:pPr>
            <w:r>
              <w:rPr>
                <w:i/>
              </w:rPr>
              <w:t>Reconciliation of net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3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017" w:name="xdx_407_ecustom--NetIncomeLossReconcilin"/>
            <w:bookmarkEnd w:id="1017"/>
          </w:p>
        </w:tc>
      </w:tr>
      <w:tr>
        <w:trPr/>
        <w:tc>
          <w:tcPr>
            <w:tcW w:w="5015" w:type="dxa"/>
            <w:tcBorders/>
            <w:shd w:fill="CCEEFF" w:val="clear"/>
            <w:vAlign w:val="center"/>
          </w:tcPr>
          <w:p>
            <w:pPr>
              <w:pStyle w:val="TableContents"/>
              <w:bidi w:val="0"/>
              <w:spacing w:before="0" w:after="283"/>
              <w:jc w:val="left"/>
              <w:rPr/>
            </w:pPr>
            <w:r>
              <w:rPr/>
              <w:t>Reconciling items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3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1018" w:name="xdx_407_eus-gaap--NetIncomeLossAvailable"/>
            <w:bookmarkEnd w:id="1018"/>
          </w:p>
        </w:tc>
      </w:tr>
      <w:tr>
        <w:trPr/>
        <w:tc>
          <w:tcPr>
            <w:tcW w:w="5015" w:type="dxa"/>
            <w:tcBorders/>
            <w:shd w:fill="FFFFFF" w:val="clear"/>
            <w:vAlign w:val="center"/>
          </w:tcPr>
          <w:p>
            <w:pPr>
              <w:pStyle w:val="TableContents"/>
              <w:bidi w:val="0"/>
              <w:spacing w:before="0" w:after="283"/>
              <w:jc w:val="left"/>
              <w:rPr/>
            </w:pPr>
            <w:r>
              <w:rPr/>
              <w:t>Consolidated net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3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pPr>
            <w:r>
              <w:rPr/>
              <w:t>(13,831</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Note 14 - Reportable Segments (continued)</w:t>
      </w:r>
    </w:p>
    <w:p>
      <w:pPr>
        <w:pStyle w:val="TextBody"/>
        <w:bidi w:val="0"/>
        <w:spacing w:before="0" w:after="0"/>
        <w:ind w:left="0" w:right="0" w:hanging="0"/>
        <w:jc w:val="both"/>
        <w:rPr>
          <w:caps/>
        </w:rPr>
      </w:pPr>
      <w:r>
        <w:rPr>
          <w:caps/>
        </w:rPr>
        <w:t> </w:t>
      </w:r>
    </w:p>
    <w:tbl>
      <w:tblPr>
        <w:tblW w:w="6963" w:type="dxa"/>
        <w:jc w:val="left"/>
        <w:tblInd w:w="0" w:type="dxa"/>
        <w:tblLayout w:type="fixed"/>
        <w:tblCellMar>
          <w:top w:w="0" w:type="dxa"/>
          <w:left w:w="0" w:type="dxa"/>
          <w:bottom w:w="0" w:type="dxa"/>
          <w:right w:w="0" w:type="dxa"/>
        </w:tblCellMar>
      </w:tblPr>
      <w:tblGrid>
        <w:gridCol w:w="260"/>
        <w:gridCol w:w="23"/>
        <w:gridCol w:w="6680"/>
      </w:tblGrid>
      <w:tr>
        <w:trPr/>
        <w:tc>
          <w:tcPr>
            <w:tcW w:w="260" w:type="dxa"/>
            <w:tcBorders/>
            <w:vAlign w:val="center"/>
          </w:tcPr>
          <w:p>
            <w:pPr>
              <w:pStyle w:val="TableContents"/>
              <w:bidi w:val="0"/>
              <w:spacing w:before="0" w:after="283"/>
              <w:jc w:val="right"/>
              <w:rPr>
                <w:rFonts w:ascii="Times New Roman;Times;Serif" w:hAnsi="Times New Roman;Times;Serif"/>
                <w:sz w:val="20"/>
              </w:rPr>
            </w:pPr>
            <w:bookmarkStart w:id="1019" w:name="xdx_F0D_zDoMvbEkToIi"/>
            <w:bookmarkEnd w:id="1019"/>
            <w:r>
              <w:rPr>
                <w:rFonts w:ascii="Times New Roman;Times;Serif" w:hAnsi="Times New Roman;Times;Serif"/>
                <w:sz w:val="20"/>
              </w:rPr>
              <w:t>(1)</w:t>
            </w:r>
          </w:p>
        </w:tc>
        <w:tc>
          <w:tcPr>
            <w:tcW w:w="23" w:type="dxa"/>
            <w:tcBorders/>
            <w:vAlign w:val="center"/>
          </w:tcPr>
          <w:p>
            <w:pPr>
              <w:pStyle w:val="TableContents"/>
              <w:bidi w:val="0"/>
              <w:spacing w:before="0" w:after="283"/>
              <w:jc w:val="left"/>
              <w:rPr>
                <w:sz w:val="4"/>
                <w:szCs w:val="4"/>
              </w:rPr>
            </w:pPr>
            <w:r>
              <w:rPr>
                <w:sz w:val="4"/>
                <w:szCs w:val="4"/>
              </w:rPr>
            </w:r>
          </w:p>
        </w:tc>
        <w:tc>
          <w:tcPr>
            <w:tcW w:w="6680" w:type="dxa"/>
            <w:tcBorders/>
            <w:vAlign w:val="center"/>
          </w:tcPr>
          <w:p>
            <w:pPr>
              <w:pStyle w:val="TableContents"/>
              <w:bidi w:val="0"/>
              <w:spacing w:before="0" w:after="283"/>
              <w:jc w:val="both"/>
              <w:rPr>
                <w:rFonts w:ascii="Times New Roman;Times;Serif" w:hAnsi="Times New Roman;Times;Serif"/>
                <w:sz w:val="20"/>
              </w:rPr>
            </w:pPr>
            <w:bookmarkStart w:id="1020" w:name="xdx_F16_zv4mvDnv3Ofk"/>
            <w:bookmarkEnd w:id="1020"/>
            <w:r>
              <w:rPr>
                <w:rFonts w:ascii="Times New Roman;Times;Serif" w:hAnsi="Times New Roman;Times;Serif"/>
                <w:sz w:val="20"/>
              </w:rPr>
              <w:t>Licensing Revenue which is not considered a segment as it is currently immaterial</w:t>
            </w:r>
          </w:p>
        </w:tc>
      </w:tr>
    </w:tbl>
    <w:tbl>
      <w:tblPr>
        <w:tblW w:w="7383" w:type="dxa"/>
        <w:jc w:val="left"/>
        <w:tblInd w:w="0" w:type="dxa"/>
        <w:tblLayout w:type="fixed"/>
        <w:tblCellMar>
          <w:top w:w="0" w:type="dxa"/>
          <w:left w:w="0" w:type="dxa"/>
          <w:bottom w:w="0" w:type="dxa"/>
          <w:right w:w="0" w:type="dxa"/>
        </w:tblCellMar>
      </w:tblPr>
      <w:tblGrid>
        <w:gridCol w:w="260"/>
        <w:gridCol w:w="23"/>
        <w:gridCol w:w="7100"/>
      </w:tblGrid>
      <w:tr>
        <w:trPr/>
        <w:tc>
          <w:tcPr>
            <w:tcW w:w="260" w:type="dxa"/>
            <w:tcBorders/>
            <w:vAlign w:val="center"/>
          </w:tcPr>
          <w:p>
            <w:pPr>
              <w:pStyle w:val="TableContents"/>
              <w:bidi w:val="0"/>
              <w:spacing w:before="0" w:after="283"/>
              <w:jc w:val="right"/>
              <w:rPr>
                <w:rFonts w:ascii="Times New Roman;Times;Serif" w:hAnsi="Times New Roman;Times;Serif"/>
                <w:sz w:val="20"/>
              </w:rPr>
            </w:pPr>
            <w:bookmarkStart w:id="1021" w:name="xdx_F07_zCaQWAL7kI43"/>
            <w:bookmarkEnd w:id="1021"/>
            <w:r>
              <w:rPr>
                <w:rFonts w:ascii="Times New Roman;Times;Serif" w:hAnsi="Times New Roman;Times;Serif"/>
                <w:sz w:val="20"/>
              </w:rPr>
              <w:t>(2)</w:t>
            </w:r>
          </w:p>
        </w:tc>
        <w:tc>
          <w:tcPr>
            <w:tcW w:w="23" w:type="dxa"/>
            <w:tcBorders/>
            <w:vAlign w:val="center"/>
          </w:tcPr>
          <w:p>
            <w:pPr>
              <w:pStyle w:val="TableContents"/>
              <w:bidi w:val="0"/>
              <w:spacing w:before="0" w:after="283"/>
              <w:jc w:val="left"/>
              <w:rPr>
                <w:sz w:val="4"/>
                <w:szCs w:val="4"/>
              </w:rPr>
            </w:pPr>
            <w:r>
              <w:rPr>
                <w:sz w:val="4"/>
                <w:szCs w:val="4"/>
              </w:rPr>
            </w:r>
          </w:p>
        </w:tc>
        <w:tc>
          <w:tcPr>
            <w:tcW w:w="7100" w:type="dxa"/>
            <w:tcBorders/>
            <w:vAlign w:val="center"/>
          </w:tcPr>
          <w:p>
            <w:pPr>
              <w:pStyle w:val="TableContents"/>
              <w:bidi w:val="0"/>
              <w:spacing w:before="0" w:after="283"/>
              <w:jc w:val="both"/>
              <w:rPr>
                <w:rFonts w:ascii="Times New Roman;Times;Serif" w:hAnsi="Times New Roman;Times;Serif"/>
                <w:sz w:val="20"/>
              </w:rPr>
            </w:pPr>
            <w:bookmarkStart w:id="1022" w:name="xdx_F1D_zi7yeRwPUS6i"/>
            <w:bookmarkEnd w:id="1022"/>
            <w:r>
              <w:rPr>
                <w:rFonts w:ascii="Times New Roman;Times;Serif" w:hAnsi="Times New Roman;Times;Serif"/>
                <w:sz w:val="20"/>
              </w:rPr>
              <w:t>Research and Development expenses including employee costs related to new products</w:t>
            </w:r>
          </w:p>
        </w:tc>
      </w:tr>
    </w:tbl>
    <w:tbl>
      <w:tblPr>
        <w:tblW w:w="10205" w:type="dxa"/>
        <w:jc w:val="left"/>
        <w:tblInd w:w="0" w:type="dxa"/>
        <w:tblLayout w:type="fixed"/>
        <w:tblCellMar>
          <w:top w:w="0" w:type="dxa"/>
          <w:left w:w="0" w:type="dxa"/>
          <w:bottom w:w="0" w:type="dxa"/>
          <w:right w:w="0" w:type="dxa"/>
        </w:tblCellMar>
      </w:tblPr>
      <w:tblGrid>
        <w:gridCol w:w="246"/>
        <w:gridCol w:w="23"/>
        <w:gridCol w:w="9936"/>
      </w:tblGrid>
      <w:tr>
        <w:trPr/>
        <w:tc>
          <w:tcPr>
            <w:tcW w:w="246" w:type="dxa"/>
            <w:tcBorders/>
            <w:vAlign w:val="center"/>
          </w:tcPr>
          <w:p>
            <w:pPr>
              <w:pStyle w:val="TableContents"/>
              <w:bidi w:val="0"/>
              <w:spacing w:before="0" w:after="283"/>
              <w:jc w:val="right"/>
              <w:rPr>
                <w:rFonts w:ascii="Times New Roman;Times;Serif" w:hAnsi="Times New Roman;Times;Serif"/>
                <w:sz w:val="20"/>
              </w:rPr>
            </w:pPr>
            <w:bookmarkStart w:id="1023" w:name="xdx_F0D_zdRHPKZYZESj"/>
            <w:bookmarkEnd w:id="1023"/>
            <w:r>
              <w:rPr>
                <w:rFonts w:ascii="Times New Roman;Times;Serif" w:hAnsi="Times New Roman;Times;Serif"/>
                <w:sz w:val="20"/>
              </w:rPr>
              <w:t>(3)</w:t>
            </w:r>
          </w:p>
        </w:tc>
        <w:tc>
          <w:tcPr>
            <w:tcW w:w="23" w:type="dxa"/>
            <w:tcBorders/>
            <w:vAlign w:val="center"/>
          </w:tcPr>
          <w:p>
            <w:pPr>
              <w:pStyle w:val="TableContents"/>
              <w:bidi w:val="0"/>
              <w:spacing w:before="0" w:after="283"/>
              <w:jc w:val="left"/>
              <w:rPr>
                <w:sz w:val="4"/>
                <w:szCs w:val="4"/>
              </w:rPr>
            </w:pPr>
            <w:r>
              <w:rPr>
                <w:sz w:val="4"/>
                <w:szCs w:val="4"/>
              </w:rPr>
            </w:r>
          </w:p>
        </w:tc>
        <w:tc>
          <w:tcPr>
            <w:tcW w:w="9936" w:type="dxa"/>
            <w:tcBorders/>
            <w:vAlign w:val="center"/>
          </w:tcPr>
          <w:p>
            <w:pPr>
              <w:pStyle w:val="TableContents"/>
              <w:bidi w:val="0"/>
              <w:spacing w:before="0" w:after="283"/>
              <w:jc w:val="both"/>
              <w:rPr>
                <w:rFonts w:ascii="Times New Roman;Times;Serif" w:hAnsi="Times New Roman;Times;Serif"/>
                <w:sz w:val="20"/>
              </w:rPr>
            </w:pPr>
            <w:bookmarkStart w:id="1024" w:name="xdx_F11_zm8kWSuG9yg2"/>
            <w:bookmarkEnd w:id="1024"/>
            <w:r>
              <w:rPr>
                <w:rFonts w:ascii="Times New Roman;Times;Serif" w:hAnsi="Times New Roman;Times;Serif"/>
                <w:sz w:val="20"/>
              </w:rPr>
              <w:t>Administrative and Engineering employee costs along with legal, insurance, professional fees related to administration and other general office expenses</w:t>
            </w:r>
          </w:p>
        </w:tc>
      </w:tr>
    </w:tbl>
    <w:tbl>
      <w:tblPr>
        <w:tblW w:w="6273" w:type="dxa"/>
        <w:jc w:val="left"/>
        <w:tblInd w:w="0" w:type="dxa"/>
        <w:tblLayout w:type="fixed"/>
        <w:tblCellMar>
          <w:top w:w="0" w:type="dxa"/>
          <w:left w:w="0" w:type="dxa"/>
          <w:bottom w:w="0" w:type="dxa"/>
          <w:right w:w="0" w:type="dxa"/>
        </w:tblCellMar>
      </w:tblPr>
      <w:tblGrid>
        <w:gridCol w:w="260"/>
        <w:gridCol w:w="23"/>
        <w:gridCol w:w="5990"/>
      </w:tblGrid>
      <w:tr>
        <w:trPr/>
        <w:tc>
          <w:tcPr>
            <w:tcW w:w="260" w:type="dxa"/>
            <w:tcBorders/>
            <w:vAlign w:val="center"/>
          </w:tcPr>
          <w:p>
            <w:pPr>
              <w:pStyle w:val="TableContents"/>
              <w:bidi w:val="0"/>
              <w:spacing w:before="0" w:after="283"/>
              <w:jc w:val="right"/>
              <w:rPr>
                <w:rFonts w:ascii="Times New Roman;Times;Serif" w:hAnsi="Times New Roman;Times;Serif"/>
                <w:sz w:val="20"/>
              </w:rPr>
            </w:pPr>
            <w:bookmarkStart w:id="1025" w:name="xdx_F08_zRmUnlTx7r1d"/>
            <w:bookmarkEnd w:id="1025"/>
            <w:r>
              <w:rPr>
                <w:rFonts w:ascii="Times New Roman;Times;Serif" w:hAnsi="Times New Roman;Times;Serif"/>
                <w:sz w:val="20"/>
              </w:rPr>
              <w:t>(4)</w:t>
            </w:r>
          </w:p>
        </w:tc>
        <w:tc>
          <w:tcPr>
            <w:tcW w:w="23" w:type="dxa"/>
            <w:tcBorders/>
            <w:vAlign w:val="center"/>
          </w:tcPr>
          <w:p>
            <w:pPr>
              <w:pStyle w:val="TableContents"/>
              <w:bidi w:val="0"/>
              <w:spacing w:before="0" w:after="283"/>
              <w:jc w:val="left"/>
              <w:rPr>
                <w:sz w:val="4"/>
                <w:szCs w:val="4"/>
              </w:rPr>
            </w:pPr>
            <w:r>
              <w:rPr>
                <w:sz w:val="4"/>
                <w:szCs w:val="4"/>
              </w:rPr>
            </w:r>
          </w:p>
        </w:tc>
        <w:tc>
          <w:tcPr>
            <w:tcW w:w="5990" w:type="dxa"/>
            <w:tcBorders/>
            <w:vAlign w:val="center"/>
          </w:tcPr>
          <w:p>
            <w:pPr>
              <w:pStyle w:val="TableContents"/>
              <w:bidi w:val="0"/>
              <w:spacing w:before="0" w:after="283"/>
              <w:jc w:val="both"/>
              <w:rPr>
                <w:rFonts w:ascii="Times New Roman;Times;Serif" w:hAnsi="Times New Roman;Times;Serif"/>
                <w:sz w:val="20"/>
              </w:rPr>
            </w:pPr>
            <w:bookmarkStart w:id="1026" w:name="xdx_F1B_zkInZvzkZJF9"/>
            <w:bookmarkEnd w:id="1026"/>
            <w:r>
              <w:rPr>
                <w:rFonts w:ascii="Times New Roman;Times;Serif" w:hAnsi="Times New Roman;Times;Serif"/>
                <w:sz w:val="20"/>
              </w:rPr>
              <w:t>General sales and marketing employee cost and other marketing expenses</w:t>
            </w:r>
          </w:p>
        </w:tc>
      </w:tr>
    </w:tbl>
    <w:tbl>
      <w:tblPr>
        <w:tblW w:w="6993" w:type="dxa"/>
        <w:jc w:val="left"/>
        <w:tblInd w:w="0" w:type="dxa"/>
        <w:tblLayout w:type="fixed"/>
        <w:tblCellMar>
          <w:top w:w="0" w:type="dxa"/>
          <w:left w:w="0" w:type="dxa"/>
          <w:bottom w:w="0" w:type="dxa"/>
          <w:right w:w="0" w:type="dxa"/>
        </w:tblCellMar>
      </w:tblPr>
      <w:tblGrid>
        <w:gridCol w:w="260"/>
        <w:gridCol w:w="23"/>
        <w:gridCol w:w="6710"/>
      </w:tblGrid>
      <w:tr>
        <w:trPr/>
        <w:tc>
          <w:tcPr>
            <w:tcW w:w="260" w:type="dxa"/>
            <w:tcBorders/>
            <w:vAlign w:val="center"/>
          </w:tcPr>
          <w:p>
            <w:pPr>
              <w:pStyle w:val="TableContents"/>
              <w:bidi w:val="0"/>
              <w:spacing w:before="0" w:after="283"/>
              <w:jc w:val="right"/>
              <w:rPr>
                <w:rFonts w:ascii="Times New Roman;Times;Serif" w:hAnsi="Times New Roman;Times;Serif"/>
                <w:sz w:val="20"/>
              </w:rPr>
            </w:pPr>
            <w:bookmarkStart w:id="1027" w:name="xdx_F06_zbE4FYMrZjIl"/>
            <w:bookmarkEnd w:id="1027"/>
            <w:r>
              <w:rPr>
                <w:rFonts w:ascii="Times New Roman;Times;Serif" w:hAnsi="Times New Roman;Times;Serif"/>
                <w:sz w:val="20"/>
              </w:rPr>
              <w:t>(5)</w:t>
            </w:r>
          </w:p>
        </w:tc>
        <w:tc>
          <w:tcPr>
            <w:tcW w:w="23" w:type="dxa"/>
            <w:tcBorders/>
            <w:vAlign w:val="center"/>
          </w:tcPr>
          <w:p>
            <w:pPr>
              <w:pStyle w:val="TableContents"/>
              <w:bidi w:val="0"/>
              <w:spacing w:before="0" w:after="283"/>
              <w:jc w:val="left"/>
              <w:rPr>
                <w:sz w:val="4"/>
                <w:szCs w:val="4"/>
              </w:rPr>
            </w:pPr>
            <w:r>
              <w:rPr>
                <w:sz w:val="4"/>
                <w:szCs w:val="4"/>
              </w:rPr>
            </w:r>
          </w:p>
        </w:tc>
        <w:tc>
          <w:tcPr>
            <w:tcW w:w="6710" w:type="dxa"/>
            <w:tcBorders/>
            <w:vAlign w:val="center"/>
          </w:tcPr>
          <w:p>
            <w:pPr>
              <w:pStyle w:val="TableContents"/>
              <w:bidi w:val="0"/>
              <w:spacing w:before="0" w:after="283"/>
              <w:jc w:val="both"/>
              <w:rPr>
                <w:rFonts w:ascii="Times New Roman;Times;Serif" w:hAnsi="Times New Roman;Times;Serif"/>
                <w:sz w:val="20"/>
              </w:rPr>
            </w:pPr>
            <w:bookmarkStart w:id="1028" w:name="xdx_F15_zR1E1pqUkivj"/>
            <w:bookmarkEnd w:id="1028"/>
            <w:r>
              <w:rPr>
                <w:rFonts w:ascii="Times New Roman;Times;Serif" w:hAnsi="Times New Roman;Times;Serif"/>
                <w:sz w:val="20"/>
              </w:rPr>
              <w:t>Interest expense related to debt and change in fair market value of warrant liability</w:t>
            </w:r>
          </w:p>
        </w:tc>
      </w:tr>
    </w:tbl>
    <w:p>
      <w:pPr>
        <w:pStyle w:val="TextBody"/>
        <w:bidi w:val="0"/>
        <w:spacing w:before="0" w:after="0"/>
        <w:ind w:left="0" w:right="0" w:hanging="0"/>
        <w:jc w:val="both"/>
        <w:rPr>
          <w:caps w:val="false"/>
          <w:smallCaps w:val="false"/>
        </w:rPr>
      </w:pPr>
      <w:bookmarkStart w:id="1029" w:name="xdx_8A3_z4wLhgZ2Jfsj"/>
      <w:bookmarkEnd w:id="1029"/>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significant customer revenues from the Company’s DTC segment for the six months ended June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from one customer of the Company’s OEM segment represent approximately $</w:t>
      </w:r>
      <w:bookmarkStart w:id="1030" w:name="xdx_90E_eus-gaap--Revenues_pn3n3_c202501"/>
      <w:bookmarkEnd w:id="1030"/>
      <w:r>
        <w:rPr>
          <w:rFonts w:ascii="Times New Roman;Times;Serif" w:hAnsi="Times New Roman;Times;Serif"/>
          <w:b w:val="false"/>
          <w:i w:val="false"/>
          <w:caps w:val="false"/>
          <w:smallCaps w:val="false"/>
          <w:sz w:val="20"/>
        </w:rPr>
        <w:t xml:space="preserve">7,446, or </w:t>
      </w:r>
      <w:bookmarkStart w:id="1031" w:name="xdx_90D_ecustom--PercentageOfRevenues_pi"/>
      <w:bookmarkEnd w:id="1031"/>
      <w:r>
        <w:rPr>
          <w:rFonts w:ascii="Times New Roman;Times;Serif" w:hAnsi="Times New Roman;Times;Serif"/>
          <w:b w:val="false"/>
          <w:i w:val="false"/>
          <w:caps w:val="false"/>
          <w:smallCaps w:val="false"/>
          <w:sz w:val="20"/>
        </w:rPr>
        <w:t>26%, of the Company’s consolidated revenues for the six months ended June 30, 2025.</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Note 14 - Reportable Segments (continued)</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032" w:name="xdx_C0C_gL3SOSRIBSTB-NPDVBV_zCmU6iXHK5E8"/>
      <w:bookmarkEnd w:id="1032"/>
      <w:r>
        <w:rPr>
          <w:rFonts w:ascii="Times New Roman;Times;Serif" w:hAnsi="Times New Roman;Times;Serif"/>
          <w:b w:val="false"/>
          <w:i w:val="false"/>
          <w:caps w:val="false"/>
          <w:smallCaps w:val="false"/>
          <w:sz w:val="20"/>
        </w:rPr>
        <w:t>The following table presents the reportable segments information for the six months ended June 30, 2024:</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033" w:name="xdx_308_134_zhHHI3LYpmD4"/>
      <w:bookmarkStart w:id="1034" w:name="xdx_308_134_zhHHI3LYpmD4"/>
      <w:bookmarkEnd w:id="1034"/>
    </w:p>
    <w:tbl>
      <w:tblPr>
        <w:tblW w:w="9280" w:type="dxa"/>
        <w:jc w:val="left"/>
        <w:tblInd w:w="0" w:type="dxa"/>
        <w:tblLayout w:type="fixed"/>
        <w:tblCellMar>
          <w:top w:w="0" w:type="dxa"/>
          <w:left w:w="0" w:type="dxa"/>
          <w:bottom w:w="0" w:type="dxa"/>
          <w:right w:w="0" w:type="dxa"/>
        </w:tblCellMar>
      </w:tblPr>
      <w:tblGrid>
        <w:gridCol w:w="5015"/>
        <w:gridCol w:w="60"/>
        <w:gridCol w:w="140"/>
        <w:gridCol w:w="680"/>
        <w:gridCol w:w="60"/>
        <w:gridCol w:w="60"/>
        <w:gridCol w:w="140"/>
        <w:gridCol w:w="680"/>
        <w:gridCol w:w="60"/>
        <w:gridCol w:w="60"/>
        <w:gridCol w:w="140"/>
        <w:gridCol w:w="755"/>
        <w:gridCol w:w="365"/>
        <w:gridCol w:w="60"/>
        <w:gridCol w:w="140"/>
        <w:gridCol w:w="755"/>
        <w:gridCol w:w="110"/>
      </w:tblGrid>
      <w:tr>
        <w:trPr/>
        <w:tc>
          <w:tcPr>
            <w:tcW w:w="50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035" w:name="xdx_49A_20240101__20240630__us-gaap--Sta"/>
            <w:bookmarkEnd w:id="1035"/>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DTC</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036" w:name="xdx_492_20240101__20240630__us-gaap--Sta"/>
            <w:bookmarkEnd w:id="1036"/>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OEM</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037" w:name="xdx_497_20240101__20240630__us-gaap--Sta"/>
            <w:bookmarkEnd w:id="1037"/>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Other</w:t>
            </w:r>
          </w:p>
        </w:tc>
        <w:tc>
          <w:tcPr>
            <w:tcW w:w="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038" w:name="xdx_49A_20240101__20240630_zqzYUmC5R3x7"/>
            <w:bookmarkEnd w:id="1038"/>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110" w:type="dxa"/>
            <w:tcBorders/>
            <w:vAlign w:val="center"/>
          </w:tcPr>
          <w:p>
            <w:pPr>
              <w:pStyle w:val="TableContents"/>
              <w:bidi w:val="0"/>
              <w:spacing w:before="0" w:after="283"/>
              <w:jc w:val="left"/>
              <w:rPr/>
            </w:pPr>
            <w:r>
              <w:rPr/>
              <w:t> </w:t>
            </w:r>
          </w:p>
        </w:tc>
      </w:tr>
      <w:tr>
        <w:trPr/>
        <w:tc>
          <w:tcPr>
            <w:tcW w:w="50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bookmarkStart w:id="1039" w:name="xdx_404_eus-gaap--RevenueFromContractWit"/>
            <w:bookmarkEnd w:id="1039"/>
          </w:p>
        </w:tc>
      </w:tr>
      <w:tr>
        <w:trPr/>
        <w:tc>
          <w:tcPr>
            <w:tcW w:w="5015" w:type="dxa"/>
            <w:tcBorders/>
            <w:shd w:fill="CCEEFF" w:val="clear"/>
            <w:vAlign w:val="center"/>
          </w:tcPr>
          <w:p>
            <w:pPr>
              <w:pStyle w:val="TableContents"/>
              <w:bidi w:val="0"/>
              <w:spacing w:before="0" w:after="283"/>
              <w:jc w:val="left"/>
              <w:rPr>
                <w:b/>
              </w:rPr>
            </w:pPr>
            <w:r>
              <w:rPr>
                <w:b/>
              </w:rPr>
              <w:t>Net Sales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11,737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13,976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w:t>
            </w:r>
          </w:p>
        </w:tc>
        <w:tc>
          <w:tcPr>
            <w:tcW w:w="3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25,713</w:t>
            </w:r>
          </w:p>
        </w:tc>
        <w:tc>
          <w:tcPr>
            <w:tcW w:w="110"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3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i/>
              </w:rPr>
            </w:pPr>
            <w:r>
              <w:rPr>
                <w:i/>
              </w:rPr>
              <w:t>Reconciliation of Net Sales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3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040" w:name="xdx_400_ecustom--ReconciliationOfNetSale"/>
            <w:bookmarkEnd w:id="1040"/>
          </w:p>
        </w:tc>
      </w:tr>
      <w:tr>
        <w:trPr/>
        <w:tc>
          <w:tcPr>
            <w:tcW w:w="5015" w:type="dxa"/>
            <w:tcBorders/>
            <w:shd w:fill="FFFFFF" w:val="clear"/>
            <w:vAlign w:val="center"/>
          </w:tcPr>
          <w:p>
            <w:pPr>
              <w:pStyle w:val="TableContents"/>
              <w:bidi w:val="0"/>
              <w:spacing w:before="0" w:after="283"/>
              <w:jc w:val="left"/>
              <w:rPr/>
            </w:pPr>
            <w:r>
              <w:rPr/>
              <w:t>Reconciling items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3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041" w:name="xdx_40C_eus-gaap--Revenues_pn3n3_zZp0e4A"/>
            <w:bookmarkEnd w:id="1041"/>
          </w:p>
        </w:tc>
      </w:tr>
      <w:tr>
        <w:trPr/>
        <w:tc>
          <w:tcPr>
            <w:tcW w:w="5015" w:type="dxa"/>
            <w:tcBorders/>
            <w:shd w:fill="CCEEFF" w:val="clear"/>
            <w:vAlign w:val="center"/>
          </w:tcPr>
          <w:p>
            <w:pPr>
              <w:pStyle w:val="TableContents"/>
              <w:bidi w:val="0"/>
              <w:spacing w:before="0" w:after="283"/>
              <w:jc w:val="left"/>
              <w:rPr/>
            </w:pPr>
            <w:r>
              <w:rPr/>
              <w:t>Consolidated Net Sales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3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25,713</w:t>
            </w:r>
          </w:p>
        </w:tc>
        <w:tc>
          <w:tcPr>
            <w:tcW w:w="110"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3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042" w:name="xdx_403_eus-gaap--CostDirectMaterial_pn3"/>
            <w:bookmarkEnd w:id="1042"/>
          </w:p>
        </w:tc>
      </w:tr>
      <w:tr>
        <w:trPr/>
        <w:tc>
          <w:tcPr>
            <w:tcW w:w="5015" w:type="dxa"/>
            <w:tcBorders/>
            <w:shd w:fill="CCEEFF" w:val="clear"/>
            <w:vAlign w:val="center"/>
          </w:tcPr>
          <w:p>
            <w:pPr>
              <w:pStyle w:val="TableContents"/>
              <w:bidi w:val="0"/>
              <w:spacing w:before="0" w:after="283"/>
              <w:jc w:val="left"/>
              <w:rPr/>
            </w:pPr>
            <w:r>
              <w:rPr/>
              <w:t>Direct material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6,755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8,910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3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15,665</w:t>
            </w:r>
          </w:p>
        </w:tc>
        <w:tc>
          <w:tcPr>
            <w:tcW w:w="110" w:type="dxa"/>
            <w:tcBorders/>
            <w:shd w:fill="CCEEFF" w:val="clear"/>
            <w:vAlign w:val="center"/>
          </w:tcPr>
          <w:p>
            <w:pPr>
              <w:pStyle w:val="TableContents"/>
              <w:bidi w:val="0"/>
              <w:spacing w:before="0" w:after="283"/>
              <w:jc w:val="left"/>
              <w:rPr/>
            </w:pPr>
            <w:r>
              <w:rPr/>
              <w:t> </w:t>
            </w:r>
            <w:bookmarkStart w:id="1043" w:name="xdx_408_eus-gaap--CostDirectLabor_pn3n3_"/>
            <w:bookmarkEnd w:id="1043"/>
          </w:p>
        </w:tc>
      </w:tr>
      <w:tr>
        <w:trPr/>
        <w:tc>
          <w:tcPr>
            <w:tcW w:w="5015" w:type="dxa"/>
            <w:tcBorders/>
            <w:shd w:fill="FFFFFF" w:val="clear"/>
            <w:vAlign w:val="center"/>
          </w:tcPr>
          <w:p>
            <w:pPr>
              <w:pStyle w:val="TableContents"/>
              <w:bidi w:val="0"/>
              <w:spacing w:before="0" w:after="283"/>
              <w:jc w:val="left"/>
              <w:rPr/>
            </w:pPr>
            <w:r>
              <w:rPr/>
              <w:t>Direct labor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732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946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3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1,678</w:t>
            </w:r>
          </w:p>
        </w:tc>
        <w:tc>
          <w:tcPr>
            <w:tcW w:w="110" w:type="dxa"/>
            <w:tcBorders/>
            <w:shd w:fill="FFFFFF" w:val="clear"/>
            <w:vAlign w:val="center"/>
          </w:tcPr>
          <w:p>
            <w:pPr>
              <w:pStyle w:val="TableContents"/>
              <w:bidi w:val="0"/>
              <w:spacing w:before="0" w:after="283"/>
              <w:jc w:val="left"/>
              <w:rPr/>
            </w:pPr>
            <w:r>
              <w:rPr/>
              <w:t> </w:t>
            </w:r>
            <w:bookmarkStart w:id="1044" w:name="xdx_402_eus-gaap--CostOfGoodsAndServices"/>
            <w:bookmarkEnd w:id="1044"/>
          </w:p>
        </w:tc>
      </w:tr>
      <w:tr>
        <w:trPr/>
        <w:tc>
          <w:tcPr>
            <w:tcW w:w="5015" w:type="dxa"/>
            <w:tcBorders/>
            <w:shd w:fill="CCEEFF" w:val="clear"/>
            <w:vAlign w:val="center"/>
          </w:tcPr>
          <w:p>
            <w:pPr>
              <w:pStyle w:val="TableContents"/>
              <w:bidi w:val="0"/>
              <w:spacing w:before="0" w:after="283"/>
              <w:jc w:val="left"/>
              <w:rPr/>
            </w:pPr>
            <w:r>
              <w:rPr/>
              <w:t>Direct overhead and depreciation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938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1,214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3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2,152</w:t>
            </w:r>
          </w:p>
        </w:tc>
        <w:tc>
          <w:tcPr>
            <w:tcW w:w="110"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3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045" w:name="xdx_401_eus-gaap--CostOfGoodsAndServices"/>
            <w:bookmarkEnd w:id="1045"/>
          </w:p>
        </w:tc>
      </w:tr>
      <w:tr>
        <w:trPr/>
        <w:tc>
          <w:tcPr>
            <w:tcW w:w="501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Total Cost of Goods Sold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8,425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11,070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3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19,495</w:t>
            </w:r>
          </w:p>
        </w:tc>
        <w:tc>
          <w:tcPr>
            <w:tcW w:w="110"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3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046" w:name="xdx_405_eus-gaap--GrossProfit_pn3n3_zT6G"/>
            <w:bookmarkEnd w:id="1046"/>
          </w:p>
        </w:tc>
      </w:tr>
      <w:tr>
        <w:trPr/>
        <w:tc>
          <w:tcPr>
            <w:tcW w:w="5015"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3,312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2,906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3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6,218</w:t>
            </w:r>
          </w:p>
        </w:tc>
        <w:tc>
          <w:tcPr>
            <w:tcW w:w="110"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3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b/>
              </w:rPr>
            </w:pPr>
            <w:r>
              <w:rPr>
                <w:b/>
              </w:rPr>
              <w:t>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3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047" w:name="xdx_40D_eus-gaap--ResearchAndDevelopment"/>
            <w:bookmarkEnd w:id="1047"/>
          </w:p>
        </w:tc>
      </w:tr>
      <w:tr>
        <w:trPr/>
        <w:tc>
          <w:tcPr>
            <w:tcW w:w="5015" w:type="dxa"/>
            <w:tcBorders/>
            <w:shd w:fill="FFFFFF" w:val="clear"/>
            <w:vAlign w:val="center"/>
          </w:tcPr>
          <w:p>
            <w:pPr>
              <w:pStyle w:val="TableContents"/>
              <w:bidi w:val="0"/>
              <w:spacing w:before="0" w:after="283"/>
              <w:jc w:val="left"/>
              <w:rPr/>
            </w:pPr>
            <w:r>
              <w:rPr/>
              <w:t>Research &amp; development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2,864</w:t>
            </w:r>
          </w:p>
        </w:tc>
        <w:tc>
          <w:tcPr>
            <w:tcW w:w="365" w:type="dxa"/>
            <w:tcBorders/>
            <w:shd w:fill="FFFFFF" w:val="clear"/>
            <w:vAlign w:val="center"/>
          </w:tcPr>
          <w:p>
            <w:pPr>
              <w:pStyle w:val="TableContents"/>
              <w:bidi w:val="0"/>
              <w:spacing w:before="0" w:after="283"/>
              <w:jc w:val="left"/>
              <w:rPr/>
            </w:pPr>
            <w:bookmarkStart w:id="1048" w:name="xdx_F42_zBvloahuCso5"/>
            <w:bookmarkEnd w:id="1048"/>
            <w:r>
              <w:rPr/>
              <w:t>(1)</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2,864</w:t>
            </w:r>
          </w:p>
        </w:tc>
        <w:tc>
          <w:tcPr>
            <w:tcW w:w="110" w:type="dxa"/>
            <w:tcBorders/>
            <w:shd w:fill="FFFFFF" w:val="clear"/>
            <w:vAlign w:val="center"/>
          </w:tcPr>
          <w:p>
            <w:pPr>
              <w:pStyle w:val="TableContents"/>
              <w:bidi w:val="0"/>
              <w:spacing w:before="0" w:after="283"/>
              <w:jc w:val="left"/>
              <w:rPr/>
            </w:pPr>
            <w:r>
              <w:rPr/>
              <w:t> </w:t>
            </w:r>
            <w:bookmarkStart w:id="1049" w:name="xdx_40B_ecustom--SalesTaxAdjustment_pn3n"/>
            <w:bookmarkEnd w:id="1049"/>
          </w:p>
        </w:tc>
      </w:tr>
      <w:tr>
        <w:trPr/>
        <w:tc>
          <w:tcPr>
            <w:tcW w:w="5015" w:type="dxa"/>
            <w:tcBorders/>
            <w:shd w:fill="CCEEFF" w:val="clear"/>
            <w:vAlign w:val="center"/>
          </w:tcPr>
          <w:p>
            <w:pPr>
              <w:pStyle w:val="TableContents"/>
              <w:bidi w:val="0"/>
              <w:spacing w:before="0" w:after="283"/>
              <w:jc w:val="left"/>
              <w:rPr/>
            </w:pPr>
            <w:r>
              <w:rPr/>
              <w:t>Sales tax adjustment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3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60</w:t>
            </w:r>
          </w:p>
        </w:tc>
        <w:tc>
          <w:tcPr>
            <w:tcW w:w="110" w:type="dxa"/>
            <w:tcBorders/>
            <w:shd w:fill="CCEEFF" w:val="clear"/>
            <w:vAlign w:val="center"/>
          </w:tcPr>
          <w:p>
            <w:pPr>
              <w:pStyle w:val="TableContents"/>
              <w:bidi w:val="0"/>
              <w:spacing w:before="0" w:after="283"/>
              <w:jc w:val="left"/>
              <w:rPr/>
            </w:pPr>
            <w:r>
              <w:rPr/>
              <w:t> </w:t>
            </w:r>
            <w:bookmarkStart w:id="1050" w:name="xdx_40B_ecustom--TransactionFees_pn3n3_z"/>
            <w:bookmarkEnd w:id="1050"/>
          </w:p>
        </w:tc>
      </w:tr>
      <w:tr>
        <w:trPr/>
        <w:tc>
          <w:tcPr>
            <w:tcW w:w="5015" w:type="dxa"/>
            <w:tcBorders/>
            <w:shd w:fill="FFFFFF" w:val="clear"/>
            <w:vAlign w:val="center"/>
          </w:tcPr>
          <w:p>
            <w:pPr>
              <w:pStyle w:val="TableContents"/>
              <w:bidi w:val="0"/>
              <w:spacing w:before="0" w:after="283"/>
              <w:jc w:val="left"/>
              <w:rPr/>
            </w:pPr>
            <w:r>
              <w:rPr/>
              <w:t>Credit card &amp; amazon transaction fees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302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3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302</w:t>
            </w:r>
          </w:p>
        </w:tc>
        <w:tc>
          <w:tcPr>
            <w:tcW w:w="110" w:type="dxa"/>
            <w:tcBorders/>
            <w:shd w:fill="FFFFFF" w:val="clear"/>
            <w:vAlign w:val="center"/>
          </w:tcPr>
          <w:p>
            <w:pPr>
              <w:pStyle w:val="TableContents"/>
              <w:bidi w:val="0"/>
              <w:spacing w:before="0" w:after="283"/>
              <w:jc w:val="left"/>
              <w:rPr/>
            </w:pPr>
            <w:r>
              <w:rPr/>
              <w:t> </w:t>
            </w:r>
            <w:bookmarkStart w:id="1051" w:name="xdx_401_eus-gaap--OtherGeneralAndAdminis"/>
            <w:bookmarkEnd w:id="1051"/>
          </w:p>
        </w:tc>
      </w:tr>
      <w:tr>
        <w:trPr/>
        <w:tc>
          <w:tcPr>
            <w:tcW w:w="5015" w:type="dxa"/>
            <w:tcBorders/>
            <w:shd w:fill="CCEEFF" w:val="clear"/>
            <w:vAlign w:val="center"/>
          </w:tcPr>
          <w:p>
            <w:pPr>
              <w:pStyle w:val="TableContents"/>
              <w:bidi w:val="0"/>
              <w:spacing w:before="0" w:after="283"/>
              <w:jc w:val="left"/>
              <w:rPr/>
            </w:pPr>
            <w:r>
              <w:rPr/>
              <w:t>Other general &amp; administrative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10,155</w:t>
            </w:r>
          </w:p>
        </w:tc>
        <w:tc>
          <w:tcPr>
            <w:tcW w:w="365" w:type="dxa"/>
            <w:tcBorders/>
            <w:shd w:fill="CCEEFF" w:val="clear"/>
            <w:vAlign w:val="center"/>
          </w:tcPr>
          <w:p>
            <w:pPr>
              <w:pStyle w:val="TableContents"/>
              <w:bidi w:val="0"/>
              <w:spacing w:before="0" w:after="283"/>
              <w:jc w:val="left"/>
              <w:rPr/>
            </w:pPr>
            <w:bookmarkStart w:id="1052" w:name="xdx_F4B_zyKZjywFYrV2"/>
            <w:bookmarkEnd w:id="1052"/>
            <w:r>
              <w:rPr/>
              <w:t>(2)</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10,155</w:t>
            </w:r>
          </w:p>
        </w:tc>
        <w:tc>
          <w:tcPr>
            <w:tcW w:w="110" w:type="dxa"/>
            <w:tcBorders/>
            <w:shd w:fill="CCEEFF" w:val="clear"/>
            <w:vAlign w:val="center"/>
          </w:tcPr>
          <w:p>
            <w:pPr>
              <w:pStyle w:val="TableContents"/>
              <w:bidi w:val="0"/>
              <w:spacing w:before="0" w:after="283"/>
              <w:jc w:val="left"/>
              <w:rPr/>
            </w:pPr>
            <w:r>
              <w:rPr/>
              <w:t> </w:t>
            </w:r>
            <w:bookmarkStart w:id="1053" w:name="xdx_408_ecustom--Shipping_pn3n3_zhJ8OSSm"/>
            <w:bookmarkEnd w:id="1053"/>
          </w:p>
        </w:tc>
      </w:tr>
      <w:tr>
        <w:trPr/>
        <w:tc>
          <w:tcPr>
            <w:tcW w:w="5015" w:type="dxa"/>
            <w:tcBorders/>
            <w:shd w:fill="FFFFFF" w:val="clear"/>
            <w:vAlign w:val="center"/>
          </w:tcPr>
          <w:p>
            <w:pPr>
              <w:pStyle w:val="TableContents"/>
              <w:bidi w:val="0"/>
              <w:spacing w:before="0" w:after="283"/>
              <w:jc w:val="left"/>
              <w:rPr/>
            </w:pPr>
            <w:r>
              <w:rPr/>
              <w:t>Shipping</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696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561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3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1,257</w:t>
            </w:r>
          </w:p>
        </w:tc>
        <w:tc>
          <w:tcPr>
            <w:tcW w:w="110" w:type="dxa"/>
            <w:tcBorders/>
            <w:shd w:fill="FFFFFF" w:val="clear"/>
            <w:vAlign w:val="center"/>
          </w:tcPr>
          <w:p>
            <w:pPr>
              <w:pStyle w:val="TableContents"/>
              <w:bidi w:val="0"/>
              <w:spacing w:before="0" w:after="283"/>
              <w:jc w:val="left"/>
              <w:rPr/>
            </w:pPr>
            <w:r>
              <w:rPr/>
              <w:t> </w:t>
            </w:r>
            <w:bookmarkStart w:id="1054" w:name="xdx_40D_ecustom--SalesAndMarketingStockC"/>
            <w:bookmarkEnd w:id="1054"/>
          </w:p>
        </w:tc>
      </w:tr>
      <w:tr>
        <w:trPr/>
        <w:tc>
          <w:tcPr>
            <w:tcW w:w="5015" w:type="dxa"/>
            <w:tcBorders/>
            <w:shd w:fill="CCEEFF" w:val="clear"/>
            <w:vAlign w:val="center"/>
          </w:tcPr>
          <w:p>
            <w:pPr>
              <w:pStyle w:val="TableContents"/>
              <w:bidi w:val="0"/>
              <w:spacing w:before="0" w:after="283"/>
              <w:jc w:val="left"/>
              <w:rPr/>
            </w:pPr>
            <w:r>
              <w:rPr/>
              <w:t>Sales and marketing stock compensation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3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101</w:t>
            </w:r>
          </w:p>
        </w:tc>
        <w:tc>
          <w:tcPr>
            <w:tcW w:w="110" w:type="dxa"/>
            <w:tcBorders/>
            <w:shd w:fill="CCEEFF" w:val="clear"/>
            <w:vAlign w:val="center"/>
          </w:tcPr>
          <w:p>
            <w:pPr>
              <w:pStyle w:val="TableContents"/>
              <w:bidi w:val="0"/>
              <w:spacing w:before="0" w:after="283"/>
              <w:jc w:val="left"/>
              <w:rPr/>
            </w:pPr>
            <w:r>
              <w:rPr/>
              <w:t> </w:t>
            </w:r>
            <w:bookmarkStart w:id="1055" w:name="xdx_40E_ecustom--SalesAndMarketingWages_"/>
            <w:bookmarkEnd w:id="1055"/>
          </w:p>
        </w:tc>
      </w:tr>
      <w:tr>
        <w:trPr/>
        <w:tc>
          <w:tcPr>
            <w:tcW w:w="5015" w:type="dxa"/>
            <w:tcBorders/>
            <w:shd w:fill="FFFFFF" w:val="clear"/>
            <w:vAlign w:val="center"/>
          </w:tcPr>
          <w:p>
            <w:pPr>
              <w:pStyle w:val="TableContents"/>
              <w:bidi w:val="0"/>
              <w:spacing w:before="0" w:after="283"/>
              <w:jc w:val="left"/>
              <w:rPr/>
            </w:pPr>
            <w:r>
              <w:rPr/>
              <w:t>Sales and marketing wages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416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738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3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1,154</w:t>
            </w:r>
          </w:p>
        </w:tc>
        <w:tc>
          <w:tcPr>
            <w:tcW w:w="110" w:type="dxa"/>
            <w:tcBorders/>
            <w:shd w:fill="FFFFFF" w:val="clear"/>
            <w:vAlign w:val="center"/>
          </w:tcPr>
          <w:p>
            <w:pPr>
              <w:pStyle w:val="TableContents"/>
              <w:bidi w:val="0"/>
              <w:spacing w:before="0" w:after="283"/>
              <w:jc w:val="left"/>
              <w:rPr/>
            </w:pPr>
            <w:r>
              <w:rPr/>
              <w:t> </w:t>
            </w:r>
            <w:bookmarkStart w:id="1056" w:name="xdx_405_ecustom--MarketingSpend_pn3n3_zE"/>
            <w:bookmarkEnd w:id="1056"/>
          </w:p>
        </w:tc>
      </w:tr>
      <w:tr>
        <w:trPr/>
        <w:tc>
          <w:tcPr>
            <w:tcW w:w="5015" w:type="dxa"/>
            <w:tcBorders/>
            <w:shd w:fill="CCEEFF" w:val="clear"/>
            <w:vAlign w:val="center"/>
          </w:tcPr>
          <w:p>
            <w:pPr>
              <w:pStyle w:val="TableContents"/>
              <w:bidi w:val="0"/>
              <w:spacing w:before="0" w:after="283"/>
              <w:jc w:val="left"/>
              <w:rPr/>
            </w:pPr>
            <w:r>
              <w:rPr/>
              <w:t>Marketing spend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629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3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866</w:t>
            </w:r>
          </w:p>
        </w:tc>
        <w:tc>
          <w:tcPr>
            <w:tcW w:w="110" w:type="dxa"/>
            <w:tcBorders/>
            <w:shd w:fill="CCEEFF" w:val="clear"/>
            <w:vAlign w:val="center"/>
          </w:tcPr>
          <w:p>
            <w:pPr>
              <w:pStyle w:val="TableContents"/>
              <w:bidi w:val="0"/>
              <w:spacing w:before="0" w:after="283"/>
              <w:jc w:val="left"/>
              <w:rPr/>
            </w:pPr>
            <w:r>
              <w:rPr/>
              <w:t> </w:t>
            </w:r>
            <w:bookmarkStart w:id="1057" w:name="xdx_404_ecustom--Rent_pn3n3_ze2hRWOCgau"/>
            <w:bookmarkEnd w:id="1057"/>
          </w:p>
        </w:tc>
      </w:tr>
      <w:tr>
        <w:trPr/>
        <w:tc>
          <w:tcPr>
            <w:tcW w:w="5015" w:type="dxa"/>
            <w:tcBorders/>
            <w:shd w:fill="FFFFFF" w:val="clear"/>
            <w:vAlign w:val="center"/>
          </w:tcPr>
          <w:p>
            <w:pPr>
              <w:pStyle w:val="TableContents"/>
              <w:bidi w:val="0"/>
              <w:spacing w:before="0" w:after="283"/>
              <w:jc w:val="left"/>
              <w:rPr/>
            </w:pPr>
            <w:r>
              <w:rPr/>
              <w:t>Rent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3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36</w:t>
            </w:r>
          </w:p>
        </w:tc>
        <w:tc>
          <w:tcPr>
            <w:tcW w:w="110" w:type="dxa"/>
            <w:tcBorders/>
            <w:shd w:fill="FFFFFF" w:val="clear"/>
            <w:vAlign w:val="center"/>
          </w:tcPr>
          <w:p>
            <w:pPr>
              <w:pStyle w:val="TableContents"/>
              <w:bidi w:val="0"/>
              <w:spacing w:before="0" w:after="283"/>
              <w:jc w:val="left"/>
              <w:rPr/>
            </w:pPr>
            <w:r>
              <w:rPr/>
              <w:t> </w:t>
            </w:r>
            <w:bookmarkStart w:id="1058" w:name="xdx_401_ecustom--UnallocatedSalesAndMark"/>
            <w:bookmarkEnd w:id="1058"/>
          </w:p>
        </w:tc>
      </w:tr>
      <w:tr>
        <w:trPr/>
        <w:tc>
          <w:tcPr>
            <w:tcW w:w="5015" w:type="dxa"/>
            <w:tcBorders/>
            <w:shd w:fill="CCEEFF" w:val="clear"/>
            <w:vAlign w:val="center"/>
          </w:tcPr>
          <w:p>
            <w:pPr>
              <w:pStyle w:val="TableContents"/>
              <w:bidi w:val="0"/>
              <w:spacing w:before="0" w:after="283"/>
              <w:jc w:val="left"/>
              <w:rPr/>
            </w:pPr>
            <w:r>
              <w:rPr/>
              <w:t>Unallocated sales and marketing stock compensation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657</w:t>
            </w:r>
          </w:p>
        </w:tc>
        <w:tc>
          <w:tcPr>
            <w:tcW w:w="365" w:type="dxa"/>
            <w:tcBorders/>
            <w:shd w:fill="CCEEFF" w:val="clear"/>
            <w:vAlign w:val="center"/>
          </w:tcPr>
          <w:p>
            <w:pPr>
              <w:pStyle w:val="TableContents"/>
              <w:bidi w:val="0"/>
              <w:spacing w:before="0" w:after="283"/>
              <w:jc w:val="left"/>
              <w:rPr/>
            </w:pPr>
            <w:bookmarkStart w:id="1059" w:name="xdx_F45_zZGXeTYkGgwk"/>
            <w:bookmarkEnd w:id="1059"/>
            <w:r>
              <w:rPr/>
              <w:t>(3)</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657</w:t>
            </w:r>
          </w:p>
        </w:tc>
        <w:tc>
          <w:tcPr>
            <w:tcW w:w="110" w:type="dxa"/>
            <w:tcBorders/>
            <w:shd w:fill="CCEEFF" w:val="clear"/>
            <w:vAlign w:val="center"/>
          </w:tcPr>
          <w:p>
            <w:pPr>
              <w:pStyle w:val="TableContents"/>
              <w:bidi w:val="0"/>
              <w:spacing w:before="0" w:after="283"/>
              <w:jc w:val="left"/>
              <w:rPr/>
            </w:pPr>
            <w:r>
              <w:rPr/>
              <w:t> </w:t>
            </w:r>
            <w:bookmarkStart w:id="1060" w:name="xdx_404_ecustom--UnallocatedSalesAndMark"/>
            <w:bookmarkEnd w:id="1060"/>
          </w:p>
        </w:tc>
      </w:tr>
      <w:tr>
        <w:trPr/>
        <w:tc>
          <w:tcPr>
            <w:tcW w:w="5015" w:type="dxa"/>
            <w:tcBorders/>
            <w:shd w:fill="FFFFFF" w:val="clear"/>
            <w:vAlign w:val="center"/>
          </w:tcPr>
          <w:p>
            <w:pPr>
              <w:pStyle w:val="TableContents"/>
              <w:bidi w:val="0"/>
              <w:spacing w:before="0" w:after="283"/>
              <w:jc w:val="left"/>
              <w:rPr/>
            </w:pPr>
            <w:r>
              <w:rPr/>
              <w:t>Unallocated sales and marketing wages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25</w:t>
            </w:r>
          </w:p>
        </w:tc>
        <w:tc>
          <w:tcPr>
            <w:tcW w:w="365" w:type="dxa"/>
            <w:tcBorders/>
            <w:shd w:fill="FFFFFF" w:val="clear"/>
            <w:vAlign w:val="center"/>
          </w:tcPr>
          <w:p>
            <w:pPr>
              <w:pStyle w:val="TableContents"/>
              <w:bidi w:val="0"/>
              <w:spacing w:before="0" w:after="283"/>
              <w:jc w:val="left"/>
              <w:rPr/>
            </w:pPr>
            <w:bookmarkStart w:id="1061" w:name="xdx_F40_zMo6PdACAoj1"/>
            <w:bookmarkEnd w:id="1061"/>
            <w:r>
              <w:rPr/>
              <w:t>(3)</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25</w:t>
            </w:r>
          </w:p>
        </w:tc>
        <w:tc>
          <w:tcPr>
            <w:tcW w:w="110" w:type="dxa"/>
            <w:tcBorders/>
            <w:shd w:fill="FFFFFF" w:val="clear"/>
            <w:vAlign w:val="center"/>
          </w:tcPr>
          <w:p>
            <w:pPr>
              <w:pStyle w:val="TableContents"/>
              <w:bidi w:val="0"/>
              <w:spacing w:before="0" w:after="283"/>
              <w:jc w:val="left"/>
              <w:rPr/>
            </w:pPr>
            <w:r>
              <w:rPr/>
              <w:t> </w:t>
            </w:r>
            <w:bookmarkStart w:id="1062" w:name="xdx_40C_eus-gaap--OtherSellingAndMarketi"/>
            <w:bookmarkEnd w:id="1062"/>
          </w:p>
        </w:tc>
      </w:tr>
      <w:tr>
        <w:trPr/>
        <w:tc>
          <w:tcPr>
            <w:tcW w:w="5015" w:type="dxa"/>
            <w:tcBorders/>
            <w:shd w:fill="CCEEFF" w:val="clear"/>
            <w:vAlign w:val="center"/>
          </w:tcPr>
          <w:p>
            <w:pPr>
              <w:pStyle w:val="TableContents"/>
              <w:bidi w:val="0"/>
              <w:spacing w:before="0" w:after="283"/>
              <w:jc w:val="left"/>
              <w:rPr/>
            </w:pPr>
            <w:r>
              <w:rPr/>
              <w:t>Other sales &amp; marketing</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1,329</w:t>
            </w:r>
          </w:p>
        </w:tc>
        <w:tc>
          <w:tcPr>
            <w:tcW w:w="365" w:type="dxa"/>
            <w:tcBorders/>
            <w:shd w:fill="CCEEFF" w:val="clear"/>
            <w:vAlign w:val="center"/>
          </w:tcPr>
          <w:p>
            <w:pPr>
              <w:pStyle w:val="TableContents"/>
              <w:bidi w:val="0"/>
              <w:spacing w:before="0" w:after="283"/>
              <w:jc w:val="left"/>
              <w:rPr/>
            </w:pPr>
            <w:bookmarkStart w:id="1063" w:name="xdx_F43_zGSo9hyjH3da"/>
            <w:bookmarkEnd w:id="1063"/>
            <w:r>
              <w:rPr/>
              <w:t>(3)</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1,329</w:t>
            </w:r>
          </w:p>
        </w:tc>
        <w:tc>
          <w:tcPr>
            <w:tcW w:w="110"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3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064" w:name="xdx_402_eus-gaap--OperatingExpenses_pn3n"/>
            <w:bookmarkEnd w:id="1064"/>
          </w:p>
        </w:tc>
      </w:tr>
      <w:tr>
        <w:trPr/>
        <w:tc>
          <w:tcPr>
            <w:tcW w:w="501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Total 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2,160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1,616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15,030</w:t>
            </w:r>
          </w:p>
        </w:tc>
        <w:tc>
          <w:tcPr>
            <w:tcW w:w="3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18,806</w:t>
            </w:r>
          </w:p>
        </w:tc>
        <w:tc>
          <w:tcPr>
            <w:tcW w:w="110"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3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065" w:name="xdx_40D_eus-gaap--OperatingIncomeLoss_pn"/>
            <w:bookmarkEnd w:id="1065"/>
          </w:p>
        </w:tc>
      </w:tr>
      <w:tr>
        <w:trPr/>
        <w:tc>
          <w:tcPr>
            <w:tcW w:w="501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Loss from Operations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1,152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1,290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(15,030</w:t>
            </w:r>
          </w:p>
        </w:tc>
        <w:tc>
          <w:tcPr>
            <w:tcW w:w="36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(12,588</w:t>
            </w:r>
          </w:p>
        </w:tc>
        <w:tc>
          <w:tcPr>
            <w:tcW w:w="110" w:type="dxa"/>
            <w:tcBorders/>
            <w:shd w:fill="CCEEFF" w:val="clear"/>
            <w:vAlign w:val="center"/>
          </w:tcPr>
          <w:p>
            <w:pPr>
              <w:pStyle w:val="TableContents"/>
              <w:bidi w:val="0"/>
              <w:spacing w:before="0" w:after="283"/>
              <w:jc w:val="left"/>
              <w:rPr/>
            </w:pPr>
            <w:r>
              <w:rPr/>
              <w:t>)</w:t>
            </w:r>
          </w:p>
        </w:tc>
      </w:tr>
      <w:tr>
        <w:trPr/>
        <w:tc>
          <w:tcPr>
            <w:tcW w:w="50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3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066" w:name="xdx_405_eus-gaap--OtherNonoperatingIncom"/>
            <w:bookmarkEnd w:id="1066"/>
          </w:p>
        </w:tc>
      </w:tr>
      <w:tr>
        <w:trPr/>
        <w:tc>
          <w:tcPr>
            <w:tcW w:w="5015" w:type="dxa"/>
            <w:tcBorders/>
            <w:shd w:fill="CCEEFF" w:val="clear"/>
            <w:vAlign w:val="center"/>
          </w:tcPr>
          <w:p>
            <w:pPr>
              <w:pStyle w:val="TableContents"/>
              <w:bidi w:val="0"/>
              <w:spacing w:before="0" w:after="283"/>
              <w:jc w:val="left"/>
              <w:rPr/>
            </w:pPr>
            <w:r>
              <w:rPr/>
              <w:t>Other income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(23</w:t>
            </w:r>
          </w:p>
        </w:tc>
        <w:tc>
          <w:tcPr>
            <w:tcW w:w="36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(23</w:t>
            </w:r>
          </w:p>
        </w:tc>
        <w:tc>
          <w:tcPr>
            <w:tcW w:w="110" w:type="dxa"/>
            <w:tcBorders/>
            <w:shd w:fill="CCEEFF" w:val="clear"/>
            <w:vAlign w:val="center"/>
          </w:tcPr>
          <w:p>
            <w:pPr>
              <w:pStyle w:val="TableContents"/>
              <w:bidi w:val="0"/>
              <w:spacing w:before="0" w:after="283"/>
              <w:jc w:val="left"/>
              <w:rPr/>
            </w:pPr>
            <w:r>
              <w:rPr/>
              <w:t>)</w:t>
            </w:r>
            <w:bookmarkStart w:id="1067" w:name="xdx_406_eus-gaap--InterestExpenseNonoper"/>
            <w:bookmarkEnd w:id="1067"/>
          </w:p>
        </w:tc>
      </w:tr>
      <w:tr>
        <w:trPr/>
        <w:tc>
          <w:tcPr>
            <w:tcW w:w="5015" w:type="dxa"/>
            <w:tcBorders/>
            <w:shd w:fill="FFFFFF" w:val="clear"/>
            <w:vAlign w:val="center"/>
          </w:tcPr>
          <w:p>
            <w:pPr>
              <w:pStyle w:val="TableContents"/>
              <w:bidi w:val="0"/>
              <w:spacing w:before="0" w:after="283"/>
              <w:jc w:val="left"/>
              <w:rPr/>
            </w:pPr>
            <w:r>
              <w:rPr/>
              <w:t>Interest expense,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(9,638</w:t>
            </w:r>
          </w:p>
        </w:tc>
        <w:tc>
          <w:tcPr>
            <w:tcW w:w="365" w:type="dxa"/>
            <w:tcBorders/>
            <w:shd w:fill="FFFFFF" w:val="clear"/>
            <w:vAlign w:val="center"/>
          </w:tcPr>
          <w:p>
            <w:pPr>
              <w:pStyle w:val="TableContents"/>
              <w:bidi w:val="0"/>
              <w:spacing w:before="0" w:after="283"/>
              <w:jc w:val="left"/>
              <w:rPr/>
            </w:pPr>
            <w:r>
              <w:rPr/>
              <w:t>)</w:t>
            </w:r>
            <w:bookmarkStart w:id="1068" w:name="xdx_F44_zUO8tx8VIA7"/>
            <w:bookmarkEnd w:id="1068"/>
            <w:r>
              <w:rPr/>
              <w:t>(4)</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(9,638</w:t>
            </w:r>
          </w:p>
        </w:tc>
        <w:tc>
          <w:tcPr>
            <w:tcW w:w="110" w:type="dxa"/>
            <w:tcBorders/>
            <w:shd w:fill="FFFFFF" w:val="clear"/>
            <w:vAlign w:val="center"/>
          </w:tcPr>
          <w:p>
            <w:pPr>
              <w:pStyle w:val="TableContents"/>
              <w:bidi w:val="0"/>
              <w:spacing w:before="0" w:after="283"/>
              <w:jc w:val="left"/>
              <w:rPr/>
            </w:pPr>
            <w:r>
              <w:rPr/>
              <w:t>)</w:t>
            </w:r>
            <w:bookmarkStart w:id="1069" w:name="xdx_408_eus-gaap--FairValueAdjustmentOfW"/>
            <w:bookmarkEnd w:id="1069"/>
          </w:p>
        </w:tc>
      </w:tr>
      <w:tr>
        <w:trPr/>
        <w:tc>
          <w:tcPr>
            <w:tcW w:w="5015" w:type="dxa"/>
            <w:tcBorders/>
            <w:shd w:fill="CCEEFF" w:val="clear"/>
            <w:vAlign w:val="center"/>
          </w:tcPr>
          <w:p>
            <w:pPr>
              <w:pStyle w:val="TableContents"/>
              <w:bidi w:val="0"/>
              <w:spacing w:before="0" w:after="283"/>
              <w:jc w:val="left"/>
              <w:rPr/>
            </w:pPr>
            <w:r>
              <w:rPr/>
              <w:t>Change in FMV of warrant liability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(1,745</w:t>
            </w:r>
          </w:p>
        </w:tc>
        <w:tc>
          <w:tcPr>
            <w:tcW w:w="365" w:type="dxa"/>
            <w:tcBorders/>
            <w:shd w:fill="CCEEFF" w:val="clear"/>
            <w:vAlign w:val="center"/>
          </w:tcPr>
          <w:p>
            <w:pPr>
              <w:pStyle w:val="TableContents"/>
              <w:bidi w:val="0"/>
              <w:spacing w:before="0" w:after="283"/>
              <w:jc w:val="left"/>
              <w:rPr/>
            </w:pPr>
            <w:r>
              <w:rPr/>
              <w:t>)</w:t>
            </w:r>
            <w:bookmarkStart w:id="1070" w:name="xdx_F4F_zvEJjVj0pXMe"/>
            <w:bookmarkEnd w:id="1070"/>
            <w:r>
              <w:rPr/>
              <w:t>(4)</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(1,745</w:t>
            </w:r>
          </w:p>
        </w:tc>
        <w:tc>
          <w:tcPr>
            <w:tcW w:w="110" w:type="dxa"/>
            <w:tcBorders/>
            <w:shd w:fill="CCEEFF" w:val="clear"/>
            <w:vAlign w:val="center"/>
          </w:tcPr>
          <w:p>
            <w:pPr>
              <w:pStyle w:val="TableContents"/>
              <w:bidi w:val="0"/>
              <w:spacing w:before="0" w:after="283"/>
              <w:jc w:val="left"/>
              <w:rPr/>
            </w:pPr>
            <w:r>
              <w:rPr/>
              <w:t>)</w:t>
            </w:r>
          </w:p>
        </w:tc>
      </w:tr>
      <w:tr>
        <w:trPr/>
        <w:tc>
          <w:tcPr>
            <w:tcW w:w="50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3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071" w:name="xdx_404_eus-gaap--NonoperatingIncomeExpe"/>
            <w:bookmarkEnd w:id="1071"/>
          </w:p>
        </w:tc>
      </w:tr>
      <w:tr>
        <w:trPr/>
        <w:tc>
          <w:tcPr>
            <w:tcW w:w="501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Total Other Income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(11,406</w:t>
            </w:r>
          </w:p>
        </w:tc>
        <w:tc>
          <w:tcPr>
            <w:tcW w:w="36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(11,406</w:t>
            </w:r>
          </w:p>
        </w:tc>
        <w:tc>
          <w:tcPr>
            <w:tcW w:w="110" w:type="dxa"/>
            <w:tcBorders/>
            <w:shd w:fill="CCEEFF" w:val="clear"/>
            <w:vAlign w:val="center"/>
          </w:tcPr>
          <w:p>
            <w:pPr>
              <w:pStyle w:val="TableContents"/>
              <w:bidi w:val="0"/>
              <w:spacing w:before="0" w:after="283"/>
              <w:jc w:val="left"/>
              <w:rPr/>
            </w:pPr>
            <w:r>
              <w:rPr/>
              <w:t>)</w:t>
            </w:r>
          </w:p>
        </w:tc>
      </w:tr>
      <w:tr>
        <w:trPr/>
        <w:tc>
          <w:tcPr>
            <w:tcW w:w="50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3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072" w:name="xdx_404_eus-gaap--IncomeLossFromContinui"/>
            <w:bookmarkEnd w:id="1072"/>
          </w:p>
        </w:tc>
      </w:tr>
      <w:tr>
        <w:trPr/>
        <w:tc>
          <w:tcPr>
            <w:tcW w:w="5015" w:type="dxa"/>
            <w:tcBorders/>
            <w:shd w:fill="CCEEFF" w:val="clear"/>
            <w:vAlign w:val="center"/>
          </w:tcPr>
          <w:p>
            <w:pPr>
              <w:pStyle w:val="TableContents"/>
              <w:bidi w:val="0"/>
              <w:spacing w:before="0" w:after="283"/>
              <w:jc w:val="left"/>
              <w:rPr>
                <w:b/>
              </w:rPr>
            </w:pPr>
            <w:r>
              <w:rPr>
                <w:b/>
              </w:rPr>
              <w:t>Net Loss before taxes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1,152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1,290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(26,436</w:t>
            </w:r>
          </w:p>
        </w:tc>
        <w:tc>
          <w:tcPr>
            <w:tcW w:w="36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(23,994</w:t>
            </w:r>
          </w:p>
        </w:tc>
        <w:tc>
          <w:tcPr>
            <w:tcW w:w="110" w:type="dxa"/>
            <w:tcBorders/>
            <w:shd w:fill="CCEEFF" w:val="clear"/>
            <w:vAlign w:val="center"/>
          </w:tcPr>
          <w:p>
            <w:pPr>
              <w:pStyle w:val="TableContents"/>
              <w:bidi w:val="0"/>
              <w:spacing w:before="0" w:after="283"/>
              <w:jc w:val="left"/>
              <w:rPr/>
            </w:pPr>
            <w:r>
              <w:rPr/>
              <w:t>)</w:t>
            </w:r>
          </w:p>
        </w:tc>
      </w:tr>
      <w:tr>
        <w:trPr/>
        <w:tc>
          <w:tcPr>
            <w:tcW w:w="50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3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073" w:name="xdx_403_eus-gaap--IncomeTaxExpenseBenefi"/>
            <w:bookmarkEnd w:id="1073"/>
          </w:p>
        </w:tc>
      </w:tr>
      <w:tr>
        <w:trPr/>
        <w:tc>
          <w:tcPr>
            <w:tcW w:w="5015" w:type="dxa"/>
            <w:tcBorders/>
            <w:shd w:fill="CCEEFF" w:val="clear"/>
            <w:vAlign w:val="center"/>
          </w:tcPr>
          <w:p>
            <w:pPr>
              <w:pStyle w:val="TableContents"/>
              <w:bidi w:val="0"/>
              <w:spacing w:before="0" w:after="283"/>
              <w:jc w:val="left"/>
              <w:rPr>
                <w:b/>
              </w:rPr>
            </w:pPr>
            <w:r>
              <w:rPr>
                <w:b/>
              </w:rPr>
              <w:t>Income Tax Benefit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3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3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074" w:name="xdx_405_eus-gaap--NetIncomeLoss_pn3n3_zz"/>
            <w:bookmarkEnd w:id="1074"/>
          </w:p>
        </w:tc>
      </w:tr>
      <w:tr>
        <w:trPr/>
        <w:tc>
          <w:tcPr>
            <w:tcW w:w="5015" w:type="dxa"/>
            <w:tcBorders/>
            <w:shd w:fill="CCEEFF" w:val="clear"/>
            <w:vAlign w:val="center"/>
          </w:tcPr>
          <w:p>
            <w:pPr>
              <w:pStyle w:val="TableContents"/>
              <w:bidi w:val="0"/>
              <w:spacing w:before="0" w:after="283"/>
              <w:jc w:val="left"/>
              <w:rPr>
                <w:b/>
              </w:rPr>
            </w:pPr>
            <w:r>
              <w:rPr>
                <w:b/>
              </w:rPr>
              <w:t>Net Income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1,152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1,290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(26,436</w:t>
            </w:r>
          </w:p>
        </w:tc>
        <w:tc>
          <w:tcPr>
            <w:tcW w:w="36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(23,994</w:t>
            </w:r>
          </w:p>
        </w:tc>
        <w:tc>
          <w:tcPr>
            <w:tcW w:w="110" w:type="dxa"/>
            <w:tcBorders/>
            <w:shd w:fill="CCEEFF" w:val="clear"/>
            <w:vAlign w:val="center"/>
          </w:tcPr>
          <w:p>
            <w:pPr>
              <w:pStyle w:val="TableContents"/>
              <w:bidi w:val="0"/>
              <w:spacing w:before="0" w:after="283"/>
              <w:jc w:val="left"/>
              <w:rPr/>
            </w:pPr>
            <w:r>
              <w:rPr/>
              <w:t>)</w:t>
            </w:r>
          </w:p>
        </w:tc>
      </w:tr>
      <w:tr>
        <w:trPr/>
        <w:tc>
          <w:tcPr>
            <w:tcW w:w="50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3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i/>
              </w:rPr>
            </w:pPr>
            <w:r>
              <w:rPr>
                <w:i/>
              </w:rPr>
              <w:t>Reconciliation of net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3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075" w:name="xdx_40F_ecustom--NetIncomeLossReconcilin"/>
            <w:bookmarkEnd w:id="1075"/>
          </w:p>
        </w:tc>
      </w:tr>
      <w:tr>
        <w:trPr/>
        <w:tc>
          <w:tcPr>
            <w:tcW w:w="5015" w:type="dxa"/>
            <w:tcBorders/>
            <w:shd w:fill="FFFFFF" w:val="clear"/>
            <w:vAlign w:val="center"/>
          </w:tcPr>
          <w:p>
            <w:pPr>
              <w:pStyle w:val="TableContents"/>
              <w:bidi w:val="0"/>
              <w:spacing w:before="0" w:after="283"/>
              <w:jc w:val="left"/>
              <w:rPr/>
            </w:pPr>
            <w:r>
              <w:rPr/>
              <w:t>Reconciling items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3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076" w:name="xdx_403_eus-gaap--NetIncomeLossAvailable"/>
            <w:bookmarkEnd w:id="1076"/>
          </w:p>
        </w:tc>
      </w:tr>
      <w:tr>
        <w:trPr/>
        <w:tc>
          <w:tcPr>
            <w:tcW w:w="5015" w:type="dxa"/>
            <w:tcBorders/>
            <w:shd w:fill="CCEEFF" w:val="clear"/>
            <w:vAlign w:val="center"/>
          </w:tcPr>
          <w:p>
            <w:pPr>
              <w:pStyle w:val="TableContents"/>
              <w:bidi w:val="0"/>
              <w:spacing w:before="0" w:after="283"/>
              <w:jc w:val="left"/>
              <w:rPr/>
            </w:pPr>
            <w:r>
              <w:rPr/>
              <w:t>Consolidated net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3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(23,994</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center"/>
        <w:rPr>
          <w:caps/>
        </w:rPr>
      </w:pPr>
      <w:r>
        <w:rPr>
          <w:caps/>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Note 14 - Reportable Segments (continued)</w:t>
      </w:r>
    </w:p>
    <w:p>
      <w:pPr>
        <w:pStyle w:val="TextBody"/>
        <w:bidi w:val="0"/>
        <w:spacing w:before="0" w:after="0"/>
        <w:ind w:left="0" w:right="0" w:hanging="0"/>
        <w:jc w:val="both"/>
        <w:rPr>
          <w:caps/>
        </w:rPr>
      </w:pPr>
      <w:r>
        <w:rPr>
          <w:caps/>
        </w:rPr>
        <w:t> </w:t>
      </w:r>
    </w:p>
    <w:tbl>
      <w:tblPr>
        <w:tblW w:w="7383" w:type="dxa"/>
        <w:jc w:val="left"/>
        <w:tblInd w:w="0" w:type="dxa"/>
        <w:tblLayout w:type="fixed"/>
        <w:tblCellMar>
          <w:top w:w="0" w:type="dxa"/>
          <w:left w:w="0" w:type="dxa"/>
          <w:bottom w:w="0" w:type="dxa"/>
          <w:right w:w="0" w:type="dxa"/>
        </w:tblCellMar>
      </w:tblPr>
      <w:tblGrid>
        <w:gridCol w:w="260"/>
        <w:gridCol w:w="23"/>
        <w:gridCol w:w="7100"/>
      </w:tblGrid>
      <w:tr>
        <w:trPr/>
        <w:tc>
          <w:tcPr>
            <w:tcW w:w="260" w:type="dxa"/>
            <w:tcBorders/>
            <w:vAlign w:val="center"/>
          </w:tcPr>
          <w:p>
            <w:pPr>
              <w:pStyle w:val="TableContents"/>
              <w:bidi w:val="0"/>
              <w:spacing w:before="0" w:after="283"/>
              <w:jc w:val="right"/>
              <w:rPr>
                <w:rFonts w:ascii="Times New Roman;Times;Serif" w:hAnsi="Times New Roman;Times;Serif"/>
                <w:sz w:val="20"/>
              </w:rPr>
            </w:pPr>
            <w:bookmarkStart w:id="1077" w:name="xdx_F03_zD6ix30wGpw2"/>
            <w:bookmarkEnd w:id="1077"/>
            <w:r>
              <w:rPr>
                <w:rFonts w:ascii="Times New Roman;Times;Serif" w:hAnsi="Times New Roman;Times;Serif"/>
                <w:sz w:val="20"/>
              </w:rPr>
              <w:t>(1)</w:t>
            </w:r>
          </w:p>
        </w:tc>
        <w:tc>
          <w:tcPr>
            <w:tcW w:w="23" w:type="dxa"/>
            <w:tcBorders/>
            <w:vAlign w:val="center"/>
          </w:tcPr>
          <w:p>
            <w:pPr>
              <w:pStyle w:val="TableContents"/>
              <w:bidi w:val="0"/>
              <w:spacing w:before="0" w:after="283"/>
              <w:jc w:val="left"/>
              <w:rPr>
                <w:sz w:val="4"/>
                <w:szCs w:val="4"/>
              </w:rPr>
            </w:pPr>
            <w:r>
              <w:rPr>
                <w:sz w:val="4"/>
                <w:szCs w:val="4"/>
              </w:rPr>
            </w:r>
          </w:p>
        </w:tc>
        <w:tc>
          <w:tcPr>
            <w:tcW w:w="7100" w:type="dxa"/>
            <w:tcBorders/>
            <w:vAlign w:val="center"/>
          </w:tcPr>
          <w:p>
            <w:pPr>
              <w:pStyle w:val="TableContents"/>
              <w:bidi w:val="0"/>
              <w:spacing w:before="0" w:after="283"/>
              <w:jc w:val="both"/>
              <w:rPr>
                <w:rFonts w:ascii="Times New Roman;Times;Serif" w:hAnsi="Times New Roman;Times;Serif"/>
                <w:sz w:val="20"/>
              </w:rPr>
            </w:pPr>
            <w:bookmarkStart w:id="1078" w:name="xdx_F13_zvxqEPJaeSd7"/>
            <w:bookmarkEnd w:id="1078"/>
            <w:r>
              <w:rPr>
                <w:rFonts w:ascii="Times New Roman;Times;Serif" w:hAnsi="Times New Roman;Times;Serif"/>
                <w:sz w:val="20"/>
              </w:rPr>
              <w:t>Research and Development expenses including employee costs related to new products</w:t>
            </w:r>
          </w:p>
        </w:tc>
      </w:tr>
    </w:tbl>
    <w:tbl>
      <w:tblPr>
        <w:tblW w:w="10205" w:type="dxa"/>
        <w:jc w:val="left"/>
        <w:tblInd w:w="0" w:type="dxa"/>
        <w:tblLayout w:type="fixed"/>
        <w:tblCellMar>
          <w:top w:w="0" w:type="dxa"/>
          <w:left w:w="0" w:type="dxa"/>
          <w:bottom w:w="0" w:type="dxa"/>
          <w:right w:w="0" w:type="dxa"/>
        </w:tblCellMar>
      </w:tblPr>
      <w:tblGrid>
        <w:gridCol w:w="246"/>
        <w:gridCol w:w="23"/>
        <w:gridCol w:w="9936"/>
      </w:tblGrid>
      <w:tr>
        <w:trPr/>
        <w:tc>
          <w:tcPr>
            <w:tcW w:w="246" w:type="dxa"/>
            <w:tcBorders/>
            <w:vAlign w:val="center"/>
          </w:tcPr>
          <w:p>
            <w:pPr>
              <w:pStyle w:val="TableContents"/>
              <w:bidi w:val="0"/>
              <w:spacing w:before="0" w:after="283"/>
              <w:jc w:val="right"/>
              <w:rPr>
                <w:rFonts w:ascii="Times New Roman;Times;Serif" w:hAnsi="Times New Roman;Times;Serif"/>
                <w:sz w:val="20"/>
              </w:rPr>
            </w:pPr>
            <w:bookmarkStart w:id="1079" w:name="xdx_F09_zdo36m9hzW9i"/>
            <w:bookmarkEnd w:id="1079"/>
            <w:r>
              <w:rPr>
                <w:rFonts w:ascii="Times New Roman;Times;Serif" w:hAnsi="Times New Roman;Times;Serif"/>
                <w:sz w:val="20"/>
              </w:rPr>
              <w:t>(2)</w:t>
            </w:r>
          </w:p>
        </w:tc>
        <w:tc>
          <w:tcPr>
            <w:tcW w:w="23" w:type="dxa"/>
            <w:tcBorders/>
            <w:vAlign w:val="center"/>
          </w:tcPr>
          <w:p>
            <w:pPr>
              <w:pStyle w:val="TableContents"/>
              <w:bidi w:val="0"/>
              <w:spacing w:before="0" w:after="283"/>
              <w:jc w:val="left"/>
              <w:rPr>
                <w:sz w:val="4"/>
                <w:szCs w:val="4"/>
              </w:rPr>
            </w:pPr>
            <w:r>
              <w:rPr>
                <w:sz w:val="4"/>
                <w:szCs w:val="4"/>
              </w:rPr>
            </w:r>
          </w:p>
        </w:tc>
        <w:tc>
          <w:tcPr>
            <w:tcW w:w="9936" w:type="dxa"/>
            <w:tcBorders/>
            <w:vAlign w:val="center"/>
          </w:tcPr>
          <w:p>
            <w:pPr>
              <w:pStyle w:val="TableContents"/>
              <w:bidi w:val="0"/>
              <w:spacing w:before="0" w:after="283"/>
              <w:jc w:val="both"/>
              <w:rPr>
                <w:rFonts w:ascii="Times New Roman;Times;Serif" w:hAnsi="Times New Roman;Times;Serif"/>
                <w:sz w:val="20"/>
              </w:rPr>
            </w:pPr>
            <w:bookmarkStart w:id="1080" w:name="xdx_F19_zStR9H7Qa0Si"/>
            <w:bookmarkEnd w:id="1080"/>
            <w:r>
              <w:rPr>
                <w:rFonts w:ascii="Times New Roman;Times;Serif" w:hAnsi="Times New Roman;Times;Serif"/>
                <w:sz w:val="20"/>
              </w:rPr>
              <w:t>Administrative and Engineering employee costs along with legal, insurance, professional fees related to administration and other general office expenses</w:t>
            </w:r>
          </w:p>
        </w:tc>
      </w:tr>
    </w:tbl>
    <w:tbl>
      <w:tblPr>
        <w:tblW w:w="6273" w:type="dxa"/>
        <w:jc w:val="left"/>
        <w:tblInd w:w="0" w:type="dxa"/>
        <w:tblLayout w:type="fixed"/>
        <w:tblCellMar>
          <w:top w:w="0" w:type="dxa"/>
          <w:left w:w="0" w:type="dxa"/>
          <w:bottom w:w="0" w:type="dxa"/>
          <w:right w:w="0" w:type="dxa"/>
        </w:tblCellMar>
      </w:tblPr>
      <w:tblGrid>
        <w:gridCol w:w="260"/>
        <w:gridCol w:w="23"/>
        <w:gridCol w:w="5990"/>
      </w:tblGrid>
      <w:tr>
        <w:trPr/>
        <w:tc>
          <w:tcPr>
            <w:tcW w:w="260" w:type="dxa"/>
            <w:tcBorders/>
            <w:vAlign w:val="center"/>
          </w:tcPr>
          <w:p>
            <w:pPr>
              <w:pStyle w:val="TableContents"/>
              <w:bidi w:val="0"/>
              <w:spacing w:before="0" w:after="283"/>
              <w:jc w:val="right"/>
              <w:rPr>
                <w:rFonts w:ascii="Times New Roman;Times;Serif" w:hAnsi="Times New Roman;Times;Serif"/>
                <w:sz w:val="20"/>
              </w:rPr>
            </w:pPr>
            <w:bookmarkStart w:id="1081" w:name="xdx_F06_z4QIUSFywobj"/>
            <w:bookmarkEnd w:id="1081"/>
            <w:r>
              <w:rPr>
                <w:rFonts w:ascii="Times New Roman;Times;Serif" w:hAnsi="Times New Roman;Times;Serif"/>
                <w:sz w:val="20"/>
              </w:rPr>
              <w:t>(3)</w:t>
            </w:r>
          </w:p>
        </w:tc>
        <w:tc>
          <w:tcPr>
            <w:tcW w:w="23" w:type="dxa"/>
            <w:tcBorders/>
            <w:vAlign w:val="center"/>
          </w:tcPr>
          <w:p>
            <w:pPr>
              <w:pStyle w:val="TableContents"/>
              <w:bidi w:val="0"/>
              <w:spacing w:before="0" w:after="283"/>
              <w:jc w:val="left"/>
              <w:rPr>
                <w:sz w:val="4"/>
                <w:szCs w:val="4"/>
              </w:rPr>
            </w:pPr>
            <w:r>
              <w:rPr>
                <w:sz w:val="4"/>
                <w:szCs w:val="4"/>
              </w:rPr>
            </w:r>
          </w:p>
        </w:tc>
        <w:tc>
          <w:tcPr>
            <w:tcW w:w="5990" w:type="dxa"/>
            <w:tcBorders/>
            <w:vAlign w:val="center"/>
          </w:tcPr>
          <w:p>
            <w:pPr>
              <w:pStyle w:val="TableContents"/>
              <w:bidi w:val="0"/>
              <w:spacing w:before="0" w:after="283"/>
              <w:jc w:val="both"/>
              <w:rPr>
                <w:rFonts w:ascii="Times New Roman;Times;Serif" w:hAnsi="Times New Roman;Times;Serif"/>
                <w:sz w:val="20"/>
              </w:rPr>
            </w:pPr>
            <w:bookmarkStart w:id="1082" w:name="xdx_F17_z5IFxvjvmlX"/>
            <w:bookmarkEnd w:id="1082"/>
            <w:r>
              <w:rPr>
                <w:rFonts w:ascii="Times New Roman;Times;Serif" w:hAnsi="Times New Roman;Times;Serif"/>
                <w:sz w:val="20"/>
              </w:rPr>
              <w:t>General sales and marketing employee cost and other marketing expenses</w:t>
            </w:r>
          </w:p>
        </w:tc>
      </w:tr>
    </w:tbl>
    <w:tbl>
      <w:tblPr>
        <w:tblW w:w="6993" w:type="dxa"/>
        <w:jc w:val="left"/>
        <w:tblInd w:w="0" w:type="dxa"/>
        <w:tblLayout w:type="fixed"/>
        <w:tblCellMar>
          <w:top w:w="0" w:type="dxa"/>
          <w:left w:w="0" w:type="dxa"/>
          <w:bottom w:w="0" w:type="dxa"/>
          <w:right w:w="0" w:type="dxa"/>
        </w:tblCellMar>
      </w:tblPr>
      <w:tblGrid>
        <w:gridCol w:w="260"/>
        <w:gridCol w:w="23"/>
        <w:gridCol w:w="6710"/>
      </w:tblGrid>
      <w:tr>
        <w:trPr/>
        <w:tc>
          <w:tcPr>
            <w:tcW w:w="260" w:type="dxa"/>
            <w:tcBorders/>
            <w:vAlign w:val="center"/>
          </w:tcPr>
          <w:p>
            <w:pPr>
              <w:pStyle w:val="TableContents"/>
              <w:bidi w:val="0"/>
              <w:spacing w:before="0" w:after="283"/>
              <w:jc w:val="right"/>
              <w:rPr>
                <w:rFonts w:ascii="Times New Roman;Times;Serif" w:hAnsi="Times New Roman;Times;Serif"/>
                <w:sz w:val="20"/>
              </w:rPr>
            </w:pPr>
            <w:bookmarkStart w:id="1083" w:name="xdx_F0E_zloziuEK0cf3"/>
            <w:bookmarkEnd w:id="1083"/>
            <w:r>
              <w:rPr>
                <w:rFonts w:ascii="Times New Roman;Times;Serif" w:hAnsi="Times New Roman;Times;Serif"/>
                <w:sz w:val="20"/>
              </w:rPr>
              <w:t>(4)</w:t>
            </w:r>
          </w:p>
        </w:tc>
        <w:tc>
          <w:tcPr>
            <w:tcW w:w="23" w:type="dxa"/>
            <w:tcBorders/>
            <w:vAlign w:val="center"/>
          </w:tcPr>
          <w:p>
            <w:pPr>
              <w:pStyle w:val="TableContents"/>
              <w:bidi w:val="0"/>
              <w:spacing w:before="0" w:after="283"/>
              <w:jc w:val="left"/>
              <w:rPr>
                <w:sz w:val="4"/>
                <w:szCs w:val="4"/>
              </w:rPr>
            </w:pPr>
            <w:r>
              <w:rPr>
                <w:sz w:val="4"/>
                <w:szCs w:val="4"/>
              </w:rPr>
            </w:r>
          </w:p>
        </w:tc>
        <w:tc>
          <w:tcPr>
            <w:tcW w:w="6710" w:type="dxa"/>
            <w:tcBorders/>
            <w:vAlign w:val="center"/>
          </w:tcPr>
          <w:p>
            <w:pPr>
              <w:pStyle w:val="TableContents"/>
              <w:bidi w:val="0"/>
              <w:spacing w:before="0" w:after="283"/>
              <w:jc w:val="both"/>
              <w:rPr>
                <w:rFonts w:ascii="Times New Roman;Times;Serif" w:hAnsi="Times New Roman;Times;Serif"/>
                <w:sz w:val="20"/>
              </w:rPr>
            </w:pPr>
            <w:bookmarkStart w:id="1084" w:name="xdx_F10_zYsd5bw2L4Ik"/>
            <w:bookmarkEnd w:id="1084"/>
            <w:r>
              <w:rPr>
                <w:rFonts w:ascii="Times New Roman;Times;Serif" w:hAnsi="Times New Roman;Times;Serif"/>
                <w:sz w:val="20"/>
              </w:rPr>
              <w:t>Interest expense related to debt and change in fair market value of warrant liability</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caps w:val="false"/>
          <w:smallCaps w:val="false"/>
        </w:rPr>
      </w:pPr>
      <w:bookmarkStart w:id="1085" w:name="xdx_C07_gL3SOSRIBSTB-NPDVBV_zRkzuh6DU1Aj"/>
      <w:bookmarkEnd w:id="1085"/>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significant customer revenues from the Company’s DTC segment for the six months ended June 30,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from one customer of the Company’s OEM segment represent approximately $</w:t>
      </w:r>
      <w:bookmarkStart w:id="1086" w:name="xdx_90F_eus-gaap--Revenues_pn3n3_c202401"/>
      <w:bookmarkEnd w:id="1086"/>
      <w:r>
        <w:rPr>
          <w:rFonts w:ascii="Times New Roman;Times;Serif" w:hAnsi="Times New Roman;Times;Serif"/>
          <w:b w:val="false"/>
          <w:i w:val="false"/>
          <w:caps w:val="false"/>
          <w:smallCaps w:val="false"/>
          <w:sz w:val="20"/>
        </w:rPr>
        <w:t xml:space="preserve">3,526, or </w:t>
      </w:r>
      <w:bookmarkStart w:id="1087" w:name="xdx_904_ecustom--PercentageOfRevenues_pi"/>
      <w:bookmarkEnd w:id="1087"/>
      <w:r>
        <w:rPr>
          <w:rFonts w:ascii="Times New Roman;Times;Serif" w:hAnsi="Times New Roman;Times;Serif"/>
          <w:b w:val="false"/>
          <w:i w:val="false"/>
          <w:caps w:val="false"/>
          <w:smallCaps w:val="false"/>
          <w:sz w:val="20"/>
        </w:rPr>
        <w:t>14%, of the Company’s consolidated revenues for the six months ended June 30, 2024.</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Note 14 - Reportable Segments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088" w:name="xdx_C06_gL3SOSRIBSTB-NPDVBV_zve3ZXeEQsmg"/>
      <w:bookmarkEnd w:id="1088"/>
      <w:r>
        <w:rPr>
          <w:rFonts w:ascii="Times New Roman;Times;Serif" w:hAnsi="Times New Roman;Times;Serif"/>
          <w:b w:val="false"/>
          <w:i w:val="false"/>
          <w:caps w:val="false"/>
          <w:smallCaps w:val="false"/>
          <w:sz w:val="20"/>
        </w:rPr>
        <w:t>The following table presents the reportable segments information for the three months ended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089" w:name="xdx_30D_134_zm9gxMo6MkYd"/>
      <w:bookmarkStart w:id="1090" w:name="xdx_30D_134_zm9gxMo6MkYd"/>
      <w:bookmarkEnd w:id="1090"/>
    </w:p>
    <w:tbl>
      <w:tblPr>
        <w:tblW w:w="8965" w:type="dxa"/>
        <w:jc w:val="left"/>
        <w:tblInd w:w="0" w:type="dxa"/>
        <w:tblLayout w:type="fixed"/>
        <w:tblCellMar>
          <w:top w:w="0" w:type="dxa"/>
          <w:left w:w="0" w:type="dxa"/>
          <w:bottom w:w="0" w:type="dxa"/>
          <w:right w:w="0" w:type="dxa"/>
        </w:tblCellMar>
      </w:tblPr>
      <w:tblGrid>
        <w:gridCol w:w="5015"/>
        <w:gridCol w:w="60"/>
        <w:gridCol w:w="140"/>
        <w:gridCol w:w="560"/>
        <w:gridCol w:w="60"/>
        <w:gridCol w:w="60"/>
        <w:gridCol w:w="140"/>
        <w:gridCol w:w="680"/>
        <w:gridCol w:w="60"/>
        <w:gridCol w:w="60"/>
        <w:gridCol w:w="140"/>
        <w:gridCol w:w="635"/>
        <w:gridCol w:w="365"/>
        <w:gridCol w:w="60"/>
        <w:gridCol w:w="140"/>
        <w:gridCol w:w="680"/>
        <w:gridCol w:w="110"/>
      </w:tblGrid>
      <w:tr>
        <w:trPr/>
        <w:tc>
          <w:tcPr>
            <w:tcW w:w="50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091" w:name="xdx_49B_20250401__20250630__us-gaap--Sta"/>
            <w:bookmarkEnd w:id="1091"/>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DTC</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092" w:name="xdx_49B_20250401__20250630__us-gaap--Sta"/>
            <w:bookmarkEnd w:id="1092"/>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OEM</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093" w:name="xdx_498_20250401__20250630__us-gaap--Sta"/>
            <w:bookmarkEnd w:id="1093"/>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Other</w:t>
            </w:r>
          </w:p>
        </w:tc>
        <w:tc>
          <w:tcPr>
            <w:tcW w:w="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094" w:name="xdx_49A_20250401__20250630_z22S24uG4GHk"/>
            <w:bookmarkEnd w:id="1094"/>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110" w:type="dxa"/>
            <w:tcBorders/>
            <w:vAlign w:val="center"/>
          </w:tcPr>
          <w:p>
            <w:pPr>
              <w:pStyle w:val="TableContents"/>
              <w:bidi w:val="0"/>
              <w:spacing w:before="0" w:after="283"/>
              <w:jc w:val="left"/>
              <w:rPr/>
            </w:pPr>
            <w:r>
              <w:rPr/>
              <w:t> </w:t>
            </w:r>
          </w:p>
        </w:tc>
      </w:tr>
      <w:tr>
        <w:trPr/>
        <w:tc>
          <w:tcPr>
            <w:tcW w:w="50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bookmarkStart w:id="1095" w:name="xdx_404_eus-gaap--RevenueFromContractWit"/>
            <w:bookmarkEnd w:id="1095"/>
          </w:p>
        </w:tc>
      </w:tr>
      <w:tr>
        <w:trPr/>
        <w:tc>
          <w:tcPr>
            <w:tcW w:w="5015" w:type="dxa"/>
            <w:tcBorders/>
            <w:shd w:fill="CCEEFF" w:val="clear"/>
            <w:vAlign w:val="center"/>
          </w:tcPr>
          <w:p>
            <w:pPr>
              <w:pStyle w:val="TableContents"/>
              <w:bidi w:val="0"/>
              <w:spacing w:before="0" w:after="283"/>
              <w:jc w:val="left"/>
              <w:rPr>
                <w:b/>
              </w:rPr>
            </w:pPr>
            <w:r>
              <w:rPr>
                <w:b/>
              </w:rPr>
              <w:t>Net Sales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5,947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10,051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250</w:t>
            </w:r>
          </w:p>
        </w:tc>
        <w:tc>
          <w:tcPr>
            <w:tcW w:w="365" w:type="dxa"/>
            <w:tcBorders/>
            <w:shd w:fill="CCEEFF" w:val="clear"/>
            <w:vAlign w:val="center"/>
          </w:tcPr>
          <w:p>
            <w:pPr>
              <w:pStyle w:val="TableContents"/>
              <w:bidi w:val="0"/>
              <w:spacing w:before="0" w:after="283"/>
              <w:jc w:val="left"/>
              <w:rPr/>
            </w:pPr>
            <w:bookmarkStart w:id="1096" w:name="xdx_F4C_zgCUxIVGQiN1"/>
            <w:bookmarkEnd w:id="1096"/>
            <w:r>
              <w:rPr/>
              <w:t>(1)</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16,248</w:t>
            </w:r>
          </w:p>
        </w:tc>
        <w:tc>
          <w:tcPr>
            <w:tcW w:w="110"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3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i/>
              </w:rPr>
            </w:pPr>
            <w:r>
              <w:rPr>
                <w:i/>
              </w:rPr>
              <w:t>Reconciliation of Net Sales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3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097" w:name="xdx_400_ecustom--ReconciliationOfNetSale"/>
            <w:bookmarkEnd w:id="1097"/>
          </w:p>
        </w:tc>
      </w:tr>
      <w:tr>
        <w:trPr/>
        <w:tc>
          <w:tcPr>
            <w:tcW w:w="5015" w:type="dxa"/>
            <w:tcBorders/>
            <w:shd w:fill="FFFFFF" w:val="clear"/>
            <w:vAlign w:val="center"/>
          </w:tcPr>
          <w:p>
            <w:pPr>
              <w:pStyle w:val="TableContents"/>
              <w:bidi w:val="0"/>
              <w:spacing w:before="0" w:after="283"/>
              <w:jc w:val="left"/>
              <w:rPr/>
            </w:pPr>
            <w:r>
              <w:rPr/>
              <w:t>Reconciling items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3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098" w:name="xdx_40C_eus-gaap--Revenues_pn3n3_zflT6fx"/>
            <w:bookmarkEnd w:id="1098"/>
          </w:p>
        </w:tc>
      </w:tr>
      <w:tr>
        <w:trPr/>
        <w:tc>
          <w:tcPr>
            <w:tcW w:w="5015" w:type="dxa"/>
            <w:tcBorders/>
            <w:shd w:fill="CCEEFF" w:val="clear"/>
            <w:vAlign w:val="center"/>
          </w:tcPr>
          <w:p>
            <w:pPr>
              <w:pStyle w:val="TableContents"/>
              <w:bidi w:val="0"/>
              <w:spacing w:before="0" w:after="283"/>
              <w:jc w:val="left"/>
              <w:rPr/>
            </w:pPr>
            <w:r>
              <w:rPr/>
              <w:t>Consolidated Net Sales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3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16,248</w:t>
            </w:r>
          </w:p>
        </w:tc>
        <w:tc>
          <w:tcPr>
            <w:tcW w:w="110"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3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099" w:name="xdx_403_eus-gaap--CostDirectMaterial_pn3"/>
            <w:bookmarkEnd w:id="1099"/>
          </w:p>
        </w:tc>
      </w:tr>
      <w:tr>
        <w:trPr/>
        <w:tc>
          <w:tcPr>
            <w:tcW w:w="5015" w:type="dxa"/>
            <w:tcBorders/>
            <w:shd w:fill="CCEEFF" w:val="clear"/>
            <w:vAlign w:val="center"/>
          </w:tcPr>
          <w:p>
            <w:pPr>
              <w:pStyle w:val="TableContents"/>
              <w:bidi w:val="0"/>
              <w:spacing w:before="0" w:after="283"/>
              <w:jc w:val="left"/>
              <w:rPr/>
            </w:pPr>
            <w:r>
              <w:rPr/>
              <w:t>Direct material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3,599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6,093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w:t>
            </w:r>
          </w:p>
        </w:tc>
        <w:tc>
          <w:tcPr>
            <w:tcW w:w="3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9,692</w:t>
            </w:r>
          </w:p>
        </w:tc>
        <w:tc>
          <w:tcPr>
            <w:tcW w:w="110" w:type="dxa"/>
            <w:tcBorders/>
            <w:shd w:fill="CCEEFF" w:val="clear"/>
            <w:vAlign w:val="center"/>
          </w:tcPr>
          <w:p>
            <w:pPr>
              <w:pStyle w:val="TableContents"/>
              <w:bidi w:val="0"/>
              <w:spacing w:before="0" w:after="283"/>
              <w:jc w:val="left"/>
              <w:rPr/>
            </w:pPr>
            <w:r>
              <w:rPr/>
              <w:t> </w:t>
            </w:r>
            <w:bookmarkStart w:id="1100" w:name="xdx_408_eus-gaap--CostDirectLabor_pn3n3_"/>
            <w:bookmarkEnd w:id="1100"/>
          </w:p>
        </w:tc>
      </w:tr>
      <w:tr>
        <w:trPr/>
        <w:tc>
          <w:tcPr>
            <w:tcW w:w="5015" w:type="dxa"/>
            <w:tcBorders/>
            <w:shd w:fill="FFFFFF" w:val="clear"/>
            <w:vAlign w:val="center"/>
          </w:tcPr>
          <w:p>
            <w:pPr>
              <w:pStyle w:val="TableContents"/>
              <w:bidi w:val="0"/>
              <w:spacing w:before="0" w:after="283"/>
              <w:jc w:val="left"/>
              <w:rPr/>
            </w:pPr>
            <w:r>
              <w:rPr/>
              <w:t>Direct labor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370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504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w:t>
            </w:r>
          </w:p>
        </w:tc>
        <w:tc>
          <w:tcPr>
            <w:tcW w:w="3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874</w:t>
            </w:r>
          </w:p>
        </w:tc>
        <w:tc>
          <w:tcPr>
            <w:tcW w:w="110" w:type="dxa"/>
            <w:tcBorders/>
            <w:shd w:fill="FFFFFF" w:val="clear"/>
            <w:vAlign w:val="center"/>
          </w:tcPr>
          <w:p>
            <w:pPr>
              <w:pStyle w:val="TableContents"/>
              <w:bidi w:val="0"/>
              <w:spacing w:before="0" w:after="283"/>
              <w:jc w:val="left"/>
              <w:rPr/>
            </w:pPr>
            <w:r>
              <w:rPr/>
              <w:t> </w:t>
            </w:r>
            <w:bookmarkStart w:id="1101" w:name="xdx_402_eus-gaap--CostOfGoodsAndServices"/>
            <w:bookmarkEnd w:id="1101"/>
          </w:p>
        </w:tc>
      </w:tr>
      <w:tr>
        <w:trPr/>
        <w:tc>
          <w:tcPr>
            <w:tcW w:w="5015" w:type="dxa"/>
            <w:tcBorders/>
            <w:shd w:fill="CCEEFF" w:val="clear"/>
            <w:vAlign w:val="center"/>
          </w:tcPr>
          <w:p>
            <w:pPr>
              <w:pStyle w:val="TableContents"/>
              <w:bidi w:val="0"/>
              <w:spacing w:before="0" w:after="283"/>
              <w:jc w:val="left"/>
              <w:rPr/>
            </w:pPr>
            <w:r>
              <w:rPr/>
              <w:t>Direct overhead and depreciation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pPr>
            <w:r>
              <w:rPr/>
              <w:t>457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620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3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1,077</w:t>
            </w:r>
          </w:p>
        </w:tc>
        <w:tc>
          <w:tcPr>
            <w:tcW w:w="110"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3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102" w:name="xdx_401_eus-gaap--CostOfGoodsAndServices"/>
            <w:bookmarkEnd w:id="1102"/>
          </w:p>
        </w:tc>
      </w:tr>
      <w:tr>
        <w:trPr/>
        <w:tc>
          <w:tcPr>
            <w:tcW w:w="501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Total Cost of Goods Sold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4,426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7,217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w:t>
            </w:r>
          </w:p>
        </w:tc>
        <w:tc>
          <w:tcPr>
            <w:tcW w:w="3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11,643</w:t>
            </w:r>
          </w:p>
        </w:tc>
        <w:tc>
          <w:tcPr>
            <w:tcW w:w="110"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3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103" w:name="xdx_405_eus-gaap--GrossProfit_pn3n3_zbzl"/>
            <w:bookmarkEnd w:id="1103"/>
          </w:p>
        </w:tc>
      </w:tr>
      <w:tr>
        <w:trPr/>
        <w:tc>
          <w:tcPr>
            <w:tcW w:w="5015"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1,521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2,834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250</w:t>
            </w:r>
          </w:p>
        </w:tc>
        <w:tc>
          <w:tcPr>
            <w:tcW w:w="3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4,605</w:t>
            </w:r>
          </w:p>
        </w:tc>
        <w:tc>
          <w:tcPr>
            <w:tcW w:w="110"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3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b/>
              </w:rPr>
            </w:pPr>
            <w:r>
              <w:rPr>
                <w:b/>
              </w:rPr>
              <w:t>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3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104" w:name="xdx_403_eus-gaap--ResearchAndDevelopment"/>
            <w:bookmarkEnd w:id="1104"/>
          </w:p>
        </w:tc>
      </w:tr>
      <w:tr>
        <w:trPr/>
        <w:tc>
          <w:tcPr>
            <w:tcW w:w="5015" w:type="dxa"/>
            <w:tcBorders/>
            <w:shd w:fill="FFFFFF" w:val="clear"/>
            <w:vAlign w:val="center"/>
          </w:tcPr>
          <w:p>
            <w:pPr>
              <w:pStyle w:val="TableContents"/>
              <w:bidi w:val="0"/>
              <w:spacing w:before="0" w:after="283"/>
              <w:jc w:val="left"/>
              <w:rPr/>
            </w:pPr>
            <w:r>
              <w:rPr/>
              <w:t>Research &amp; development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692</w:t>
            </w:r>
          </w:p>
        </w:tc>
        <w:tc>
          <w:tcPr>
            <w:tcW w:w="365" w:type="dxa"/>
            <w:tcBorders/>
            <w:shd w:fill="FFFFFF" w:val="clear"/>
            <w:vAlign w:val="center"/>
          </w:tcPr>
          <w:p>
            <w:pPr>
              <w:pStyle w:val="TableContents"/>
              <w:bidi w:val="0"/>
              <w:spacing w:before="0" w:after="283"/>
              <w:jc w:val="left"/>
              <w:rPr/>
            </w:pPr>
            <w:bookmarkStart w:id="1105" w:name="xdx_F48_zjr9csi4gRob"/>
            <w:bookmarkEnd w:id="1105"/>
            <w:r>
              <w:rPr/>
              <w:t>(2)</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692</w:t>
            </w:r>
          </w:p>
        </w:tc>
        <w:tc>
          <w:tcPr>
            <w:tcW w:w="110" w:type="dxa"/>
            <w:tcBorders/>
            <w:shd w:fill="FFFFFF" w:val="clear"/>
            <w:vAlign w:val="center"/>
          </w:tcPr>
          <w:p>
            <w:pPr>
              <w:pStyle w:val="TableContents"/>
              <w:bidi w:val="0"/>
              <w:spacing w:before="0" w:after="283"/>
              <w:jc w:val="left"/>
              <w:rPr/>
            </w:pPr>
            <w:r>
              <w:rPr/>
              <w:t> </w:t>
            </w:r>
            <w:bookmarkStart w:id="1106" w:name="xdx_40B_ecustom--SalesTaxAdjustment_pn3n"/>
            <w:bookmarkEnd w:id="1106"/>
          </w:p>
        </w:tc>
      </w:tr>
      <w:tr>
        <w:trPr/>
        <w:tc>
          <w:tcPr>
            <w:tcW w:w="5015" w:type="dxa"/>
            <w:tcBorders/>
            <w:shd w:fill="CCEEFF" w:val="clear"/>
            <w:vAlign w:val="center"/>
          </w:tcPr>
          <w:p>
            <w:pPr>
              <w:pStyle w:val="TableContents"/>
              <w:bidi w:val="0"/>
              <w:spacing w:before="0" w:after="283"/>
              <w:jc w:val="left"/>
              <w:rPr/>
            </w:pPr>
            <w:r>
              <w:rPr/>
              <w:t>Sales tax adjustment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w:t>
            </w:r>
          </w:p>
        </w:tc>
        <w:tc>
          <w:tcPr>
            <w:tcW w:w="3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1107" w:name="xdx_40B_ecustom--TransactionFees_pn3n3_z"/>
            <w:bookmarkEnd w:id="1107"/>
          </w:p>
        </w:tc>
      </w:tr>
      <w:tr>
        <w:trPr/>
        <w:tc>
          <w:tcPr>
            <w:tcW w:w="5015" w:type="dxa"/>
            <w:tcBorders/>
            <w:shd w:fill="FFFFFF" w:val="clear"/>
            <w:vAlign w:val="center"/>
          </w:tcPr>
          <w:p>
            <w:pPr>
              <w:pStyle w:val="TableContents"/>
              <w:bidi w:val="0"/>
              <w:spacing w:before="0" w:after="283"/>
              <w:jc w:val="left"/>
              <w:rPr/>
            </w:pPr>
            <w:r>
              <w:rPr/>
              <w:t>Credit card &amp; amazon transaction fees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144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w:t>
            </w:r>
          </w:p>
        </w:tc>
        <w:tc>
          <w:tcPr>
            <w:tcW w:w="3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144</w:t>
            </w:r>
          </w:p>
        </w:tc>
        <w:tc>
          <w:tcPr>
            <w:tcW w:w="110" w:type="dxa"/>
            <w:tcBorders/>
            <w:shd w:fill="FFFFFF" w:val="clear"/>
            <w:vAlign w:val="center"/>
          </w:tcPr>
          <w:p>
            <w:pPr>
              <w:pStyle w:val="TableContents"/>
              <w:bidi w:val="0"/>
              <w:spacing w:before="0" w:after="283"/>
              <w:jc w:val="left"/>
              <w:rPr/>
            </w:pPr>
            <w:r>
              <w:rPr/>
              <w:t> </w:t>
            </w:r>
            <w:bookmarkStart w:id="1108" w:name="xdx_401_eus-gaap--OtherGeneralAndAdminis"/>
            <w:bookmarkEnd w:id="1108"/>
          </w:p>
        </w:tc>
      </w:tr>
      <w:tr>
        <w:trPr/>
        <w:tc>
          <w:tcPr>
            <w:tcW w:w="5015" w:type="dxa"/>
            <w:tcBorders/>
            <w:shd w:fill="CCEEFF" w:val="clear"/>
            <w:vAlign w:val="center"/>
          </w:tcPr>
          <w:p>
            <w:pPr>
              <w:pStyle w:val="TableContents"/>
              <w:bidi w:val="0"/>
              <w:spacing w:before="0" w:after="283"/>
              <w:jc w:val="left"/>
              <w:rPr/>
            </w:pPr>
            <w:r>
              <w:rPr/>
              <w:t>Other general &amp; administrative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4,475</w:t>
            </w:r>
          </w:p>
        </w:tc>
        <w:tc>
          <w:tcPr>
            <w:tcW w:w="365" w:type="dxa"/>
            <w:tcBorders/>
            <w:shd w:fill="CCEEFF" w:val="clear"/>
            <w:vAlign w:val="center"/>
          </w:tcPr>
          <w:p>
            <w:pPr>
              <w:pStyle w:val="TableContents"/>
              <w:bidi w:val="0"/>
              <w:spacing w:before="0" w:after="283"/>
              <w:jc w:val="left"/>
              <w:rPr/>
            </w:pPr>
            <w:bookmarkStart w:id="1109" w:name="xdx_F4F_zxAfE2agAEMd"/>
            <w:bookmarkEnd w:id="1109"/>
            <w:r>
              <w:rPr/>
              <w:t>(3)</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4,475</w:t>
            </w:r>
          </w:p>
        </w:tc>
        <w:tc>
          <w:tcPr>
            <w:tcW w:w="110" w:type="dxa"/>
            <w:tcBorders/>
            <w:shd w:fill="CCEEFF" w:val="clear"/>
            <w:vAlign w:val="center"/>
          </w:tcPr>
          <w:p>
            <w:pPr>
              <w:pStyle w:val="TableContents"/>
              <w:bidi w:val="0"/>
              <w:spacing w:before="0" w:after="283"/>
              <w:jc w:val="left"/>
              <w:rPr/>
            </w:pPr>
            <w:r>
              <w:rPr/>
              <w:t> </w:t>
            </w:r>
            <w:bookmarkStart w:id="1110" w:name="xdx_408_ecustom--Shipping_pn3n3_z6oxUbpx"/>
            <w:bookmarkEnd w:id="1110"/>
          </w:p>
        </w:tc>
      </w:tr>
      <w:tr>
        <w:trPr/>
        <w:tc>
          <w:tcPr>
            <w:tcW w:w="5015" w:type="dxa"/>
            <w:tcBorders/>
            <w:shd w:fill="FFFFFF" w:val="clear"/>
            <w:vAlign w:val="center"/>
          </w:tcPr>
          <w:p>
            <w:pPr>
              <w:pStyle w:val="TableContents"/>
              <w:bidi w:val="0"/>
              <w:spacing w:before="0" w:after="283"/>
              <w:jc w:val="left"/>
              <w:rPr/>
            </w:pPr>
            <w:r>
              <w:rPr/>
              <w:t>Shipping</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472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292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w:t>
            </w:r>
          </w:p>
        </w:tc>
        <w:tc>
          <w:tcPr>
            <w:tcW w:w="3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764</w:t>
            </w:r>
          </w:p>
        </w:tc>
        <w:tc>
          <w:tcPr>
            <w:tcW w:w="110" w:type="dxa"/>
            <w:tcBorders/>
            <w:shd w:fill="FFFFFF" w:val="clear"/>
            <w:vAlign w:val="center"/>
          </w:tcPr>
          <w:p>
            <w:pPr>
              <w:pStyle w:val="TableContents"/>
              <w:bidi w:val="0"/>
              <w:spacing w:before="0" w:after="283"/>
              <w:jc w:val="left"/>
              <w:rPr/>
            </w:pPr>
            <w:r>
              <w:rPr/>
              <w:t> </w:t>
            </w:r>
            <w:bookmarkStart w:id="1111" w:name="xdx_40A_ecustom--SalesAndMarketingStockC"/>
            <w:bookmarkEnd w:id="1111"/>
          </w:p>
        </w:tc>
      </w:tr>
      <w:tr>
        <w:trPr/>
        <w:tc>
          <w:tcPr>
            <w:tcW w:w="5015" w:type="dxa"/>
            <w:tcBorders/>
            <w:shd w:fill="CCEEFF" w:val="clear"/>
            <w:vAlign w:val="center"/>
          </w:tcPr>
          <w:p>
            <w:pPr>
              <w:pStyle w:val="TableContents"/>
              <w:bidi w:val="0"/>
              <w:spacing w:before="0" w:after="283"/>
              <w:jc w:val="left"/>
              <w:rPr/>
            </w:pPr>
            <w:r>
              <w:rPr/>
              <w:t>Sales and marketing stock compensation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w:t>
            </w:r>
          </w:p>
        </w:tc>
        <w:tc>
          <w:tcPr>
            <w:tcW w:w="3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45</w:t>
            </w:r>
          </w:p>
        </w:tc>
        <w:tc>
          <w:tcPr>
            <w:tcW w:w="110" w:type="dxa"/>
            <w:tcBorders/>
            <w:shd w:fill="CCEEFF" w:val="clear"/>
            <w:vAlign w:val="center"/>
          </w:tcPr>
          <w:p>
            <w:pPr>
              <w:pStyle w:val="TableContents"/>
              <w:bidi w:val="0"/>
              <w:spacing w:before="0" w:after="283"/>
              <w:jc w:val="left"/>
              <w:rPr/>
            </w:pPr>
            <w:r>
              <w:rPr/>
              <w:t> </w:t>
            </w:r>
            <w:bookmarkStart w:id="1112" w:name="xdx_40E_ecustom--SalesAndMarketingWages_"/>
            <w:bookmarkEnd w:id="1112"/>
          </w:p>
        </w:tc>
      </w:tr>
      <w:tr>
        <w:trPr/>
        <w:tc>
          <w:tcPr>
            <w:tcW w:w="5015" w:type="dxa"/>
            <w:tcBorders/>
            <w:shd w:fill="FFFFFF" w:val="clear"/>
            <w:vAlign w:val="center"/>
          </w:tcPr>
          <w:p>
            <w:pPr>
              <w:pStyle w:val="TableContents"/>
              <w:bidi w:val="0"/>
              <w:spacing w:before="0" w:after="283"/>
              <w:jc w:val="left"/>
              <w:rPr/>
            </w:pPr>
            <w:r>
              <w:rPr/>
              <w:t>Sales and marketing wages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178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354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w:t>
            </w:r>
          </w:p>
        </w:tc>
        <w:tc>
          <w:tcPr>
            <w:tcW w:w="3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532</w:t>
            </w:r>
          </w:p>
        </w:tc>
        <w:tc>
          <w:tcPr>
            <w:tcW w:w="110" w:type="dxa"/>
            <w:tcBorders/>
            <w:shd w:fill="FFFFFF" w:val="clear"/>
            <w:vAlign w:val="center"/>
          </w:tcPr>
          <w:p>
            <w:pPr>
              <w:pStyle w:val="TableContents"/>
              <w:bidi w:val="0"/>
              <w:spacing w:before="0" w:after="283"/>
              <w:jc w:val="left"/>
              <w:rPr/>
            </w:pPr>
            <w:r>
              <w:rPr/>
              <w:t> </w:t>
            </w:r>
            <w:bookmarkStart w:id="1113" w:name="xdx_405_ecustom--MarketingSpend_pn3n3_z8"/>
            <w:bookmarkEnd w:id="1113"/>
          </w:p>
        </w:tc>
      </w:tr>
      <w:tr>
        <w:trPr/>
        <w:tc>
          <w:tcPr>
            <w:tcW w:w="5015" w:type="dxa"/>
            <w:tcBorders/>
            <w:shd w:fill="CCEEFF" w:val="clear"/>
            <w:vAlign w:val="center"/>
          </w:tcPr>
          <w:p>
            <w:pPr>
              <w:pStyle w:val="TableContents"/>
              <w:bidi w:val="0"/>
              <w:spacing w:before="0" w:after="283"/>
              <w:jc w:val="left"/>
              <w:rPr/>
            </w:pPr>
            <w:r>
              <w:rPr/>
              <w:t>Marketing spend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648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w:t>
            </w:r>
          </w:p>
        </w:tc>
        <w:tc>
          <w:tcPr>
            <w:tcW w:w="3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697</w:t>
            </w:r>
          </w:p>
        </w:tc>
        <w:tc>
          <w:tcPr>
            <w:tcW w:w="110" w:type="dxa"/>
            <w:tcBorders/>
            <w:shd w:fill="CCEEFF" w:val="clear"/>
            <w:vAlign w:val="center"/>
          </w:tcPr>
          <w:p>
            <w:pPr>
              <w:pStyle w:val="TableContents"/>
              <w:bidi w:val="0"/>
              <w:spacing w:before="0" w:after="283"/>
              <w:jc w:val="left"/>
              <w:rPr/>
            </w:pPr>
            <w:r>
              <w:rPr/>
              <w:t> </w:t>
            </w:r>
            <w:bookmarkStart w:id="1114" w:name="xdx_404_ecustom--Rent_pn3n3_zKrFeq8m8xh5"/>
            <w:bookmarkEnd w:id="1114"/>
          </w:p>
        </w:tc>
      </w:tr>
      <w:tr>
        <w:trPr/>
        <w:tc>
          <w:tcPr>
            <w:tcW w:w="5015" w:type="dxa"/>
            <w:tcBorders/>
            <w:shd w:fill="FFFFFF" w:val="clear"/>
            <w:vAlign w:val="center"/>
          </w:tcPr>
          <w:p>
            <w:pPr>
              <w:pStyle w:val="TableContents"/>
              <w:bidi w:val="0"/>
              <w:spacing w:before="0" w:after="283"/>
              <w:jc w:val="left"/>
              <w:rPr/>
            </w:pPr>
            <w:r>
              <w:rPr/>
              <w:t>Rent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w:t>
            </w:r>
          </w:p>
        </w:tc>
        <w:tc>
          <w:tcPr>
            <w:tcW w:w="3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18</w:t>
            </w:r>
          </w:p>
        </w:tc>
        <w:tc>
          <w:tcPr>
            <w:tcW w:w="110" w:type="dxa"/>
            <w:tcBorders/>
            <w:shd w:fill="FFFFFF" w:val="clear"/>
            <w:vAlign w:val="center"/>
          </w:tcPr>
          <w:p>
            <w:pPr>
              <w:pStyle w:val="TableContents"/>
              <w:bidi w:val="0"/>
              <w:spacing w:before="0" w:after="283"/>
              <w:jc w:val="left"/>
              <w:rPr/>
            </w:pPr>
            <w:r>
              <w:rPr/>
              <w:t> </w:t>
            </w:r>
            <w:bookmarkStart w:id="1115" w:name="xdx_401_ecustom--UnallocatedSalesAndMark"/>
            <w:bookmarkEnd w:id="1115"/>
          </w:p>
        </w:tc>
      </w:tr>
      <w:tr>
        <w:trPr/>
        <w:tc>
          <w:tcPr>
            <w:tcW w:w="5015" w:type="dxa"/>
            <w:tcBorders/>
            <w:shd w:fill="CCEEFF" w:val="clear"/>
            <w:vAlign w:val="center"/>
          </w:tcPr>
          <w:p>
            <w:pPr>
              <w:pStyle w:val="TableContents"/>
              <w:bidi w:val="0"/>
              <w:spacing w:before="0" w:after="283"/>
              <w:jc w:val="left"/>
              <w:rPr/>
            </w:pPr>
            <w:r>
              <w:rPr/>
              <w:t>Unallocated sales and marketing stock compensation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332</w:t>
            </w:r>
          </w:p>
        </w:tc>
        <w:tc>
          <w:tcPr>
            <w:tcW w:w="365" w:type="dxa"/>
            <w:tcBorders/>
            <w:shd w:fill="CCEEFF" w:val="clear"/>
            <w:vAlign w:val="center"/>
          </w:tcPr>
          <w:p>
            <w:pPr>
              <w:pStyle w:val="TableContents"/>
              <w:bidi w:val="0"/>
              <w:spacing w:before="0" w:after="283"/>
              <w:jc w:val="left"/>
              <w:rPr/>
            </w:pPr>
            <w:bookmarkStart w:id="1116" w:name="xdx_F48_zSWQwBxgDdoh"/>
            <w:bookmarkEnd w:id="1116"/>
            <w:r>
              <w:rPr/>
              <w:t>(4)</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332</w:t>
            </w:r>
          </w:p>
        </w:tc>
        <w:tc>
          <w:tcPr>
            <w:tcW w:w="110" w:type="dxa"/>
            <w:tcBorders/>
            <w:shd w:fill="CCEEFF" w:val="clear"/>
            <w:vAlign w:val="center"/>
          </w:tcPr>
          <w:p>
            <w:pPr>
              <w:pStyle w:val="TableContents"/>
              <w:bidi w:val="0"/>
              <w:spacing w:before="0" w:after="283"/>
              <w:jc w:val="left"/>
              <w:rPr/>
            </w:pPr>
            <w:r>
              <w:rPr/>
              <w:t> </w:t>
            </w:r>
            <w:bookmarkStart w:id="1117" w:name="xdx_404_ecustom--UnallocatedSalesAndMark"/>
            <w:bookmarkEnd w:id="1117"/>
          </w:p>
        </w:tc>
      </w:tr>
      <w:tr>
        <w:trPr/>
        <w:tc>
          <w:tcPr>
            <w:tcW w:w="5015" w:type="dxa"/>
            <w:tcBorders/>
            <w:shd w:fill="FFFFFF" w:val="clear"/>
            <w:vAlign w:val="center"/>
          </w:tcPr>
          <w:p>
            <w:pPr>
              <w:pStyle w:val="TableContents"/>
              <w:bidi w:val="0"/>
              <w:spacing w:before="0" w:after="283"/>
              <w:jc w:val="left"/>
              <w:rPr/>
            </w:pPr>
            <w:r>
              <w:rPr/>
              <w:t>Unallocated sales and marketing wages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17</w:t>
            </w:r>
          </w:p>
        </w:tc>
        <w:tc>
          <w:tcPr>
            <w:tcW w:w="365" w:type="dxa"/>
            <w:tcBorders/>
            <w:shd w:fill="FFFFFF" w:val="clear"/>
            <w:vAlign w:val="center"/>
          </w:tcPr>
          <w:p>
            <w:pPr>
              <w:pStyle w:val="TableContents"/>
              <w:bidi w:val="0"/>
              <w:spacing w:before="0" w:after="283"/>
              <w:jc w:val="left"/>
              <w:rPr/>
            </w:pPr>
            <w:bookmarkStart w:id="1118" w:name="xdx_F45_zjy7BAg1gRY1"/>
            <w:bookmarkEnd w:id="1118"/>
            <w:r>
              <w:rPr/>
              <w:t>(4)</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17</w:t>
            </w:r>
          </w:p>
        </w:tc>
        <w:tc>
          <w:tcPr>
            <w:tcW w:w="110" w:type="dxa"/>
            <w:tcBorders/>
            <w:shd w:fill="FFFFFF" w:val="clear"/>
            <w:vAlign w:val="center"/>
          </w:tcPr>
          <w:p>
            <w:pPr>
              <w:pStyle w:val="TableContents"/>
              <w:bidi w:val="0"/>
              <w:spacing w:before="0" w:after="283"/>
              <w:jc w:val="left"/>
              <w:rPr/>
            </w:pPr>
            <w:r>
              <w:rPr/>
              <w:t> </w:t>
            </w:r>
            <w:bookmarkStart w:id="1119" w:name="xdx_40C_eus-gaap--OtherSellingAndMarketi"/>
            <w:bookmarkEnd w:id="1119"/>
          </w:p>
        </w:tc>
      </w:tr>
      <w:tr>
        <w:trPr/>
        <w:tc>
          <w:tcPr>
            <w:tcW w:w="5015" w:type="dxa"/>
            <w:tcBorders/>
            <w:shd w:fill="CCEEFF" w:val="clear"/>
            <w:vAlign w:val="center"/>
          </w:tcPr>
          <w:p>
            <w:pPr>
              <w:pStyle w:val="TableContents"/>
              <w:bidi w:val="0"/>
              <w:spacing w:before="0" w:after="283"/>
              <w:jc w:val="left"/>
              <w:rPr/>
            </w:pPr>
            <w:r>
              <w:rPr/>
              <w:t>Other sales &amp; marketing</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170</w:t>
            </w:r>
          </w:p>
        </w:tc>
        <w:tc>
          <w:tcPr>
            <w:tcW w:w="365" w:type="dxa"/>
            <w:tcBorders/>
            <w:shd w:fill="CCEEFF" w:val="clear"/>
            <w:vAlign w:val="center"/>
          </w:tcPr>
          <w:p>
            <w:pPr>
              <w:pStyle w:val="TableContents"/>
              <w:bidi w:val="0"/>
              <w:spacing w:before="0" w:after="283"/>
              <w:jc w:val="left"/>
              <w:rPr/>
            </w:pPr>
            <w:bookmarkStart w:id="1120" w:name="xdx_F49_z8pCJnBzQjQl"/>
            <w:bookmarkEnd w:id="1120"/>
            <w:r>
              <w:rPr/>
              <w:t>(4)</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170</w:t>
            </w:r>
          </w:p>
        </w:tc>
        <w:tc>
          <w:tcPr>
            <w:tcW w:w="110"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3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121" w:name="xdx_406_eus-gaap--OperatingExpenses_pn3n"/>
            <w:bookmarkEnd w:id="1121"/>
          </w:p>
        </w:tc>
      </w:tr>
      <w:tr>
        <w:trPr/>
        <w:tc>
          <w:tcPr>
            <w:tcW w:w="501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Total 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1,463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737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5,686</w:t>
            </w:r>
          </w:p>
        </w:tc>
        <w:tc>
          <w:tcPr>
            <w:tcW w:w="3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7,886</w:t>
            </w:r>
          </w:p>
        </w:tc>
        <w:tc>
          <w:tcPr>
            <w:tcW w:w="110"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3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122" w:name="xdx_40B_eus-gaap--OperatingIncomeLoss_pn"/>
            <w:bookmarkEnd w:id="1122"/>
          </w:p>
        </w:tc>
      </w:tr>
      <w:tr>
        <w:trPr/>
        <w:tc>
          <w:tcPr>
            <w:tcW w:w="5015" w:type="dxa"/>
            <w:tcBorders/>
            <w:shd w:fill="CCEEFF" w:val="clear"/>
            <w:vAlign w:val="center"/>
          </w:tcPr>
          <w:p>
            <w:pPr>
              <w:pStyle w:val="TableContents"/>
              <w:bidi w:val="0"/>
              <w:spacing w:before="0" w:after="283"/>
              <w:jc w:val="left"/>
              <w:rPr/>
            </w:pPr>
            <w:r>
              <w:rPr/>
              <w:t>Loss from operations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2,097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(5,436</w:t>
            </w:r>
          </w:p>
        </w:tc>
        <w:tc>
          <w:tcPr>
            <w:tcW w:w="36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(3,281</w:t>
            </w:r>
          </w:p>
        </w:tc>
        <w:tc>
          <w:tcPr>
            <w:tcW w:w="110" w:type="dxa"/>
            <w:tcBorders/>
            <w:shd w:fill="CCEEFF" w:val="clear"/>
            <w:vAlign w:val="center"/>
          </w:tcPr>
          <w:p>
            <w:pPr>
              <w:pStyle w:val="TableContents"/>
              <w:bidi w:val="0"/>
              <w:spacing w:before="0" w:after="283"/>
              <w:jc w:val="left"/>
              <w:rPr/>
            </w:pPr>
            <w:r>
              <w:rPr/>
              <w:t>)</w:t>
            </w:r>
          </w:p>
        </w:tc>
      </w:tr>
      <w:tr>
        <w:trPr/>
        <w:tc>
          <w:tcPr>
            <w:tcW w:w="50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3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123" w:name="xdx_40F_eus-gaap--InterestExpenseNonoper"/>
            <w:bookmarkEnd w:id="1123"/>
          </w:p>
        </w:tc>
      </w:tr>
      <w:tr>
        <w:trPr/>
        <w:tc>
          <w:tcPr>
            <w:tcW w:w="5015" w:type="dxa"/>
            <w:tcBorders/>
            <w:shd w:fill="CCEEFF" w:val="clear"/>
            <w:vAlign w:val="center"/>
          </w:tcPr>
          <w:p>
            <w:pPr>
              <w:pStyle w:val="TableContents"/>
              <w:bidi w:val="0"/>
              <w:spacing w:before="0" w:after="283"/>
              <w:jc w:val="left"/>
              <w:rPr/>
            </w:pPr>
            <w:r>
              <w:rPr/>
              <w:t>Interest expense,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(5,442</w:t>
            </w:r>
          </w:p>
        </w:tc>
        <w:tc>
          <w:tcPr>
            <w:tcW w:w="365" w:type="dxa"/>
            <w:tcBorders/>
            <w:shd w:fill="CCEEFF" w:val="clear"/>
            <w:vAlign w:val="center"/>
          </w:tcPr>
          <w:p>
            <w:pPr>
              <w:pStyle w:val="TableContents"/>
              <w:bidi w:val="0"/>
              <w:spacing w:before="0" w:after="283"/>
              <w:jc w:val="left"/>
              <w:rPr/>
            </w:pPr>
            <w:r>
              <w:rPr/>
              <w:t>)</w:t>
            </w:r>
            <w:bookmarkStart w:id="1124" w:name="xdx_F41_zxHn1udb4OR1"/>
            <w:bookmarkEnd w:id="1124"/>
            <w:r>
              <w:rPr/>
              <w:t>(5)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(5,442</w:t>
            </w:r>
          </w:p>
        </w:tc>
        <w:tc>
          <w:tcPr>
            <w:tcW w:w="110" w:type="dxa"/>
            <w:tcBorders/>
            <w:shd w:fill="CCEEFF" w:val="clear"/>
            <w:vAlign w:val="center"/>
          </w:tcPr>
          <w:p>
            <w:pPr>
              <w:pStyle w:val="TableContents"/>
              <w:bidi w:val="0"/>
              <w:spacing w:before="0" w:after="283"/>
              <w:jc w:val="left"/>
              <w:rPr/>
            </w:pPr>
            <w:r>
              <w:rPr/>
              <w:t>)</w:t>
            </w:r>
            <w:bookmarkStart w:id="1125" w:name="xdx_40D_eus-gaap--FairValueAdjustmentOfW"/>
            <w:bookmarkEnd w:id="1125"/>
          </w:p>
        </w:tc>
      </w:tr>
      <w:tr>
        <w:trPr/>
        <w:tc>
          <w:tcPr>
            <w:tcW w:w="5015" w:type="dxa"/>
            <w:tcBorders/>
            <w:shd w:fill="FFFFFF" w:val="clear"/>
            <w:vAlign w:val="center"/>
          </w:tcPr>
          <w:p>
            <w:pPr>
              <w:pStyle w:val="TableContents"/>
              <w:bidi w:val="0"/>
              <w:spacing w:before="0" w:after="283"/>
              <w:jc w:val="left"/>
              <w:rPr/>
            </w:pPr>
            <w:r>
              <w:rPr/>
              <w:t>Change in FMV of warrant liability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1,689</w:t>
            </w:r>
          </w:p>
        </w:tc>
        <w:tc>
          <w:tcPr>
            <w:tcW w:w="365" w:type="dxa"/>
            <w:tcBorders/>
            <w:shd w:fill="FFFFFF" w:val="clear"/>
            <w:vAlign w:val="center"/>
          </w:tcPr>
          <w:p>
            <w:pPr>
              <w:pStyle w:val="TableContents"/>
              <w:bidi w:val="0"/>
              <w:spacing w:before="0" w:after="283"/>
              <w:jc w:val="left"/>
              <w:rPr/>
            </w:pPr>
            <w:bookmarkStart w:id="1126" w:name="xdx_F4B_zO2IdDZYUL48"/>
            <w:bookmarkEnd w:id="1126"/>
            <w:r>
              <w:rPr/>
              <w:t>(5)</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1,689</w:t>
            </w:r>
          </w:p>
        </w:tc>
        <w:tc>
          <w:tcPr>
            <w:tcW w:w="110"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3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127" w:name="xdx_40F_eus-gaap--NonoperatingIncomeExpe"/>
            <w:bookmarkEnd w:id="1127"/>
          </w:p>
        </w:tc>
      </w:tr>
      <w:tr>
        <w:trPr/>
        <w:tc>
          <w:tcPr>
            <w:tcW w:w="501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Total Other Income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(3,753</w:t>
            </w:r>
          </w:p>
        </w:tc>
        <w:tc>
          <w:tcPr>
            <w:tcW w:w="36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(3,753</w:t>
            </w:r>
          </w:p>
        </w:tc>
        <w:tc>
          <w:tcPr>
            <w:tcW w:w="110" w:type="dxa"/>
            <w:tcBorders/>
            <w:shd w:fill="FFFFFF" w:val="clear"/>
            <w:vAlign w:val="center"/>
          </w:tcPr>
          <w:p>
            <w:pPr>
              <w:pStyle w:val="TableContents"/>
              <w:bidi w:val="0"/>
              <w:spacing w:before="0" w:after="283"/>
              <w:jc w:val="left"/>
              <w:rPr/>
            </w:pPr>
            <w:r>
              <w:rPr/>
              <w:t>)</w:t>
            </w:r>
          </w:p>
        </w:tc>
      </w:tr>
      <w:tr>
        <w:trPr/>
        <w:tc>
          <w:tcPr>
            <w:tcW w:w="50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3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128" w:name="xdx_40F_eus-gaap--IncomeLossFromContinui"/>
            <w:bookmarkEnd w:id="1128"/>
          </w:p>
        </w:tc>
      </w:tr>
      <w:tr>
        <w:trPr/>
        <w:tc>
          <w:tcPr>
            <w:tcW w:w="5015" w:type="dxa"/>
            <w:tcBorders/>
            <w:shd w:fill="FFFFFF" w:val="clear"/>
            <w:vAlign w:val="center"/>
          </w:tcPr>
          <w:p>
            <w:pPr>
              <w:pStyle w:val="TableContents"/>
              <w:bidi w:val="0"/>
              <w:spacing w:before="0" w:after="283"/>
              <w:jc w:val="left"/>
              <w:rPr>
                <w:b/>
              </w:rPr>
            </w:pPr>
            <w:r>
              <w:rPr>
                <w:b/>
              </w:rPr>
              <w:t>Net Loss Before Taxes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2,097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(9,189</w:t>
            </w:r>
          </w:p>
        </w:tc>
        <w:tc>
          <w:tcPr>
            <w:tcW w:w="36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(7,034</w:t>
            </w:r>
          </w:p>
        </w:tc>
        <w:tc>
          <w:tcPr>
            <w:tcW w:w="110" w:type="dxa"/>
            <w:tcBorders/>
            <w:shd w:fill="FFFFFF" w:val="clear"/>
            <w:vAlign w:val="center"/>
          </w:tcPr>
          <w:p>
            <w:pPr>
              <w:pStyle w:val="TableContents"/>
              <w:bidi w:val="0"/>
              <w:spacing w:before="0" w:after="283"/>
              <w:jc w:val="left"/>
              <w:rPr/>
            </w:pPr>
            <w:r>
              <w:rPr/>
              <w:t>)</w:t>
            </w:r>
          </w:p>
        </w:tc>
      </w:tr>
      <w:tr>
        <w:trPr/>
        <w:tc>
          <w:tcPr>
            <w:tcW w:w="50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3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129" w:name="xdx_409_eus-gaap--IncomeTaxExpenseBenefi"/>
            <w:bookmarkEnd w:id="1129"/>
          </w:p>
        </w:tc>
      </w:tr>
      <w:tr>
        <w:trPr/>
        <w:tc>
          <w:tcPr>
            <w:tcW w:w="5015" w:type="dxa"/>
            <w:tcBorders/>
            <w:shd w:fill="FFFFFF" w:val="clear"/>
            <w:vAlign w:val="center"/>
          </w:tcPr>
          <w:p>
            <w:pPr>
              <w:pStyle w:val="TableContents"/>
              <w:bidi w:val="0"/>
              <w:spacing w:before="0" w:after="283"/>
              <w:jc w:val="left"/>
              <w:rPr>
                <w:b/>
              </w:rPr>
            </w:pPr>
            <w:r>
              <w:rPr>
                <w:b/>
              </w:rPr>
              <w:t>Income Tax Benefit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3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3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130" w:name="xdx_40D_eus-gaap--NetIncomeLoss_pn3n3_zp"/>
            <w:bookmarkEnd w:id="1130"/>
          </w:p>
        </w:tc>
      </w:tr>
      <w:tr>
        <w:trPr/>
        <w:tc>
          <w:tcPr>
            <w:tcW w:w="5015" w:type="dxa"/>
            <w:tcBorders/>
            <w:shd w:fill="FFFFFF" w:val="clear"/>
            <w:vAlign w:val="center"/>
          </w:tcPr>
          <w:p>
            <w:pPr>
              <w:pStyle w:val="TableContents"/>
              <w:bidi w:val="0"/>
              <w:spacing w:before="0" w:after="283"/>
              <w:jc w:val="left"/>
              <w:rPr>
                <w:b/>
              </w:rPr>
            </w:pPr>
            <w:r>
              <w:rPr>
                <w:b/>
              </w:rPr>
              <w:t>Net Income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2,097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(9,189</w:t>
            </w:r>
          </w:p>
        </w:tc>
        <w:tc>
          <w:tcPr>
            <w:tcW w:w="36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(7,034</w:t>
            </w:r>
          </w:p>
        </w:tc>
        <w:tc>
          <w:tcPr>
            <w:tcW w:w="110" w:type="dxa"/>
            <w:tcBorders/>
            <w:shd w:fill="FFFFFF" w:val="clear"/>
            <w:vAlign w:val="center"/>
          </w:tcPr>
          <w:p>
            <w:pPr>
              <w:pStyle w:val="TableContents"/>
              <w:bidi w:val="0"/>
              <w:spacing w:before="0" w:after="283"/>
              <w:jc w:val="left"/>
              <w:rPr/>
            </w:pPr>
            <w:r>
              <w:rPr/>
              <w:t>)</w:t>
            </w:r>
          </w:p>
        </w:tc>
      </w:tr>
      <w:tr>
        <w:trPr/>
        <w:tc>
          <w:tcPr>
            <w:tcW w:w="50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3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i/>
              </w:rPr>
            </w:pPr>
            <w:r>
              <w:rPr>
                <w:i/>
              </w:rPr>
              <w:t>Reconciliation of net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3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131" w:name="xdx_406_ecustom--NetIncomeLossReconcilin"/>
            <w:bookmarkEnd w:id="1131"/>
          </w:p>
        </w:tc>
      </w:tr>
      <w:tr>
        <w:trPr/>
        <w:tc>
          <w:tcPr>
            <w:tcW w:w="5015" w:type="dxa"/>
            <w:tcBorders/>
            <w:shd w:fill="CCEEFF" w:val="clear"/>
            <w:vAlign w:val="center"/>
          </w:tcPr>
          <w:p>
            <w:pPr>
              <w:pStyle w:val="TableContents"/>
              <w:bidi w:val="0"/>
              <w:spacing w:before="0" w:after="283"/>
              <w:jc w:val="left"/>
              <w:rPr/>
            </w:pPr>
            <w:r>
              <w:rPr/>
              <w:t>Reconciling items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3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1132" w:name="xdx_407_eus-gaap--NetIncomeLossAvailable"/>
            <w:bookmarkEnd w:id="1132"/>
          </w:p>
        </w:tc>
      </w:tr>
      <w:tr>
        <w:trPr/>
        <w:tc>
          <w:tcPr>
            <w:tcW w:w="5015" w:type="dxa"/>
            <w:tcBorders/>
            <w:shd w:fill="FFFFFF" w:val="clear"/>
            <w:vAlign w:val="center"/>
          </w:tcPr>
          <w:p>
            <w:pPr>
              <w:pStyle w:val="TableContents"/>
              <w:bidi w:val="0"/>
              <w:spacing w:before="0" w:after="283"/>
              <w:jc w:val="left"/>
              <w:rPr/>
            </w:pPr>
            <w:r>
              <w:rPr/>
              <w:t>Consolidated net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3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(7,034</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center"/>
        <w:rPr>
          <w:caps/>
        </w:rPr>
      </w:pPr>
      <w:r>
        <w:rPr>
          <w:caps/>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Note 14 - Reportable Segments (continued)</w:t>
      </w:r>
    </w:p>
    <w:p>
      <w:pPr>
        <w:pStyle w:val="TextBody"/>
        <w:bidi w:val="0"/>
        <w:spacing w:before="0" w:after="0"/>
        <w:ind w:left="0" w:right="0" w:hanging="0"/>
        <w:jc w:val="both"/>
        <w:rPr>
          <w:caps/>
        </w:rPr>
      </w:pPr>
      <w:r>
        <w:rPr>
          <w:caps/>
        </w:rPr>
        <w:t> </w:t>
      </w:r>
    </w:p>
    <w:tbl>
      <w:tblPr>
        <w:tblW w:w="6963" w:type="dxa"/>
        <w:jc w:val="left"/>
        <w:tblInd w:w="0" w:type="dxa"/>
        <w:tblLayout w:type="fixed"/>
        <w:tblCellMar>
          <w:top w:w="0" w:type="dxa"/>
          <w:left w:w="0" w:type="dxa"/>
          <w:bottom w:w="0" w:type="dxa"/>
          <w:right w:w="0" w:type="dxa"/>
        </w:tblCellMar>
      </w:tblPr>
      <w:tblGrid>
        <w:gridCol w:w="260"/>
        <w:gridCol w:w="23"/>
        <w:gridCol w:w="6680"/>
      </w:tblGrid>
      <w:tr>
        <w:trPr/>
        <w:tc>
          <w:tcPr>
            <w:tcW w:w="260" w:type="dxa"/>
            <w:tcBorders/>
            <w:vAlign w:val="center"/>
          </w:tcPr>
          <w:p>
            <w:pPr>
              <w:pStyle w:val="TableContents"/>
              <w:bidi w:val="0"/>
              <w:spacing w:before="0" w:after="283"/>
              <w:jc w:val="right"/>
              <w:rPr>
                <w:rFonts w:ascii="Times New Roman;Times;Serif" w:hAnsi="Times New Roman;Times;Serif"/>
                <w:sz w:val="20"/>
              </w:rPr>
            </w:pPr>
            <w:bookmarkStart w:id="1133" w:name="xdx_F0F_z29FqlLEXcX"/>
            <w:bookmarkEnd w:id="1133"/>
            <w:r>
              <w:rPr>
                <w:rFonts w:ascii="Times New Roman;Times;Serif" w:hAnsi="Times New Roman;Times;Serif"/>
                <w:sz w:val="20"/>
              </w:rPr>
              <w:t>(1)</w:t>
            </w:r>
          </w:p>
        </w:tc>
        <w:tc>
          <w:tcPr>
            <w:tcW w:w="23" w:type="dxa"/>
            <w:tcBorders/>
            <w:vAlign w:val="center"/>
          </w:tcPr>
          <w:p>
            <w:pPr>
              <w:pStyle w:val="TableContents"/>
              <w:bidi w:val="0"/>
              <w:spacing w:before="0" w:after="283"/>
              <w:jc w:val="left"/>
              <w:rPr>
                <w:sz w:val="4"/>
                <w:szCs w:val="4"/>
              </w:rPr>
            </w:pPr>
            <w:r>
              <w:rPr>
                <w:sz w:val="4"/>
                <w:szCs w:val="4"/>
              </w:rPr>
            </w:r>
          </w:p>
        </w:tc>
        <w:tc>
          <w:tcPr>
            <w:tcW w:w="6680" w:type="dxa"/>
            <w:tcBorders/>
            <w:vAlign w:val="center"/>
          </w:tcPr>
          <w:p>
            <w:pPr>
              <w:pStyle w:val="TableContents"/>
              <w:bidi w:val="0"/>
              <w:spacing w:before="0" w:after="283"/>
              <w:jc w:val="both"/>
              <w:rPr>
                <w:rFonts w:ascii="Times New Roman;Times;Serif" w:hAnsi="Times New Roman;Times;Serif"/>
                <w:sz w:val="20"/>
              </w:rPr>
            </w:pPr>
            <w:bookmarkStart w:id="1134" w:name="xdx_F1B_zkY7QOMOvR6"/>
            <w:bookmarkEnd w:id="1134"/>
            <w:r>
              <w:rPr>
                <w:rFonts w:ascii="Times New Roman;Times;Serif" w:hAnsi="Times New Roman;Times;Serif"/>
                <w:sz w:val="20"/>
              </w:rPr>
              <w:t>Licensing Revenue which is not considered a segment as it is currently immaterial</w:t>
            </w:r>
          </w:p>
        </w:tc>
      </w:tr>
    </w:tbl>
    <w:tbl>
      <w:tblPr>
        <w:tblW w:w="7383" w:type="dxa"/>
        <w:jc w:val="left"/>
        <w:tblInd w:w="0" w:type="dxa"/>
        <w:tblLayout w:type="fixed"/>
        <w:tblCellMar>
          <w:top w:w="0" w:type="dxa"/>
          <w:left w:w="0" w:type="dxa"/>
          <w:bottom w:w="0" w:type="dxa"/>
          <w:right w:w="0" w:type="dxa"/>
        </w:tblCellMar>
      </w:tblPr>
      <w:tblGrid>
        <w:gridCol w:w="260"/>
        <w:gridCol w:w="23"/>
        <w:gridCol w:w="7100"/>
      </w:tblGrid>
      <w:tr>
        <w:trPr/>
        <w:tc>
          <w:tcPr>
            <w:tcW w:w="260" w:type="dxa"/>
            <w:tcBorders/>
            <w:vAlign w:val="center"/>
          </w:tcPr>
          <w:p>
            <w:pPr>
              <w:pStyle w:val="TableContents"/>
              <w:bidi w:val="0"/>
              <w:spacing w:before="0" w:after="283"/>
              <w:jc w:val="right"/>
              <w:rPr>
                <w:rFonts w:ascii="Times New Roman;Times;Serif" w:hAnsi="Times New Roman;Times;Serif"/>
                <w:sz w:val="20"/>
              </w:rPr>
            </w:pPr>
            <w:bookmarkStart w:id="1135" w:name="xdx_F0A_zmpjmsf7nDZ5"/>
            <w:bookmarkEnd w:id="1135"/>
            <w:r>
              <w:rPr>
                <w:rFonts w:ascii="Times New Roman;Times;Serif" w:hAnsi="Times New Roman;Times;Serif"/>
                <w:sz w:val="20"/>
              </w:rPr>
              <w:t>(2)</w:t>
            </w:r>
          </w:p>
        </w:tc>
        <w:tc>
          <w:tcPr>
            <w:tcW w:w="23" w:type="dxa"/>
            <w:tcBorders/>
            <w:vAlign w:val="center"/>
          </w:tcPr>
          <w:p>
            <w:pPr>
              <w:pStyle w:val="TableContents"/>
              <w:bidi w:val="0"/>
              <w:spacing w:before="0" w:after="283"/>
              <w:jc w:val="left"/>
              <w:rPr>
                <w:sz w:val="4"/>
                <w:szCs w:val="4"/>
              </w:rPr>
            </w:pPr>
            <w:r>
              <w:rPr>
                <w:sz w:val="4"/>
                <w:szCs w:val="4"/>
              </w:rPr>
            </w:r>
          </w:p>
        </w:tc>
        <w:tc>
          <w:tcPr>
            <w:tcW w:w="7100" w:type="dxa"/>
            <w:tcBorders/>
            <w:vAlign w:val="center"/>
          </w:tcPr>
          <w:p>
            <w:pPr>
              <w:pStyle w:val="TableContents"/>
              <w:bidi w:val="0"/>
              <w:spacing w:before="0" w:after="283"/>
              <w:jc w:val="both"/>
              <w:rPr>
                <w:rFonts w:ascii="Times New Roman;Times;Serif" w:hAnsi="Times New Roman;Times;Serif"/>
                <w:sz w:val="20"/>
              </w:rPr>
            </w:pPr>
            <w:bookmarkStart w:id="1136" w:name="xdx_F1C_zWV2Qpb3ETya"/>
            <w:bookmarkEnd w:id="1136"/>
            <w:r>
              <w:rPr>
                <w:rFonts w:ascii="Times New Roman;Times;Serif" w:hAnsi="Times New Roman;Times;Serif"/>
                <w:sz w:val="20"/>
              </w:rPr>
              <w:t>Research and Development expenses including employee costs related to new products</w:t>
            </w:r>
          </w:p>
        </w:tc>
      </w:tr>
    </w:tbl>
    <w:tbl>
      <w:tblPr>
        <w:tblW w:w="10205" w:type="dxa"/>
        <w:jc w:val="left"/>
        <w:tblInd w:w="0" w:type="dxa"/>
        <w:tblLayout w:type="fixed"/>
        <w:tblCellMar>
          <w:top w:w="0" w:type="dxa"/>
          <w:left w:w="0" w:type="dxa"/>
          <w:bottom w:w="0" w:type="dxa"/>
          <w:right w:w="0" w:type="dxa"/>
        </w:tblCellMar>
      </w:tblPr>
      <w:tblGrid>
        <w:gridCol w:w="246"/>
        <w:gridCol w:w="23"/>
        <w:gridCol w:w="9936"/>
      </w:tblGrid>
      <w:tr>
        <w:trPr/>
        <w:tc>
          <w:tcPr>
            <w:tcW w:w="246" w:type="dxa"/>
            <w:tcBorders/>
            <w:vAlign w:val="center"/>
          </w:tcPr>
          <w:p>
            <w:pPr>
              <w:pStyle w:val="TableContents"/>
              <w:bidi w:val="0"/>
              <w:spacing w:before="0" w:after="283"/>
              <w:jc w:val="right"/>
              <w:rPr>
                <w:rFonts w:ascii="Times New Roman;Times;Serif" w:hAnsi="Times New Roman;Times;Serif"/>
                <w:sz w:val="20"/>
              </w:rPr>
            </w:pPr>
            <w:bookmarkStart w:id="1137" w:name="xdx_F0F_zlenpC6jN3Rg"/>
            <w:bookmarkEnd w:id="1137"/>
            <w:r>
              <w:rPr>
                <w:rFonts w:ascii="Times New Roman;Times;Serif" w:hAnsi="Times New Roman;Times;Serif"/>
                <w:sz w:val="20"/>
              </w:rPr>
              <w:t>(3)</w:t>
            </w:r>
          </w:p>
        </w:tc>
        <w:tc>
          <w:tcPr>
            <w:tcW w:w="23" w:type="dxa"/>
            <w:tcBorders/>
            <w:vAlign w:val="center"/>
          </w:tcPr>
          <w:p>
            <w:pPr>
              <w:pStyle w:val="TableContents"/>
              <w:bidi w:val="0"/>
              <w:spacing w:before="0" w:after="283"/>
              <w:jc w:val="left"/>
              <w:rPr>
                <w:sz w:val="4"/>
                <w:szCs w:val="4"/>
              </w:rPr>
            </w:pPr>
            <w:r>
              <w:rPr>
                <w:sz w:val="4"/>
                <w:szCs w:val="4"/>
              </w:rPr>
            </w:r>
          </w:p>
        </w:tc>
        <w:tc>
          <w:tcPr>
            <w:tcW w:w="9936" w:type="dxa"/>
            <w:tcBorders/>
            <w:vAlign w:val="center"/>
          </w:tcPr>
          <w:p>
            <w:pPr>
              <w:pStyle w:val="TableContents"/>
              <w:bidi w:val="0"/>
              <w:spacing w:before="0" w:after="283"/>
              <w:jc w:val="both"/>
              <w:rPr>
                <w:rFonts w:ascii="Times New Roman;Times;Serif" w:hAnsi="Times New Roman;Times;Serif"/>
                <w:sz w:val="20"/>
              </w:rPr>
            </w:pPr>
            <w:bookmarkStart w:id="1138" w:name="xdx_F10_z9RsFHhTyuse"/>
            <w:bookmarkEnd w:id="1138"/>
            <w:r>
              <w:rPr>
                <w:rFonts w:ascii="Times New Roman;Times;Serif" w:hAnsi="Times New Roman;Times;Serif"/>
                <w:sz w:val="20"/>
              </w:rPr>
              <w:t>Administrative and Engineering employee costs along with legal, insurance, professional fees related to administration and other general office expenses</w:t>
            </w:r>
          </w:p>
        </w:tc>
      </w:tr>
    </w:tbl>
    <w:tbl>
      <w:tblPr>
        <w:tblW w:w="6273" w:type="dxa"/>
        <w:jc w:val="left"/>
        <w:tblInd w:w="0" w:type="dxa"/>
        <w:tblLayout w:type="fixed"/>
        <w:tblCellMar>
          <w:top w:w="0" w:type="dxa"/>
          <w:left w:w="0" w:type="dxa"/>
          <w:bottom w:w="0" w:type="dxa"/>
          <w:right w:w="0" w:type="dxa"/>
        </w:tblCellMar>
      </w:tblPr>
      <w:tblGrid>
        <w:gridCol w:w="260"/>
        <w:gridCol w:w="23"/>
        <w:gridCol w:w="5990"/>
      </w:tblGrid>
      <w:tr>
        <w:trPr/>
        <w:tc>
          <w:tcPr>
            <w:tcW w:w="260" w:type="dxa"/>
            <w:tcBorders/>
            <w:vAlign w:val="center"/>
          </w:tcPr>
          <w:p>
            <w:pPr>
              <w:pStyle w:val="TableContents"/>
              <w:bidi w:val="0"/>
              <w:spacing w:before="0" w:after="283"/>
              <w:jc w:val="right"/>
              <w:rPr>
                <w:rFonts w:ascii="Times New Roman;Times;Serif" w:hAnsi="Times New Roman;Times;Serif"/>
                <w:sz w:val="20"/>
              </w:rPr>
            </w:pPr>
            <w:bookmarkStart w:id="1139" w:name="xdx_F0D_z03iYRnqvZre"/>
            <w:bookmarkEnd w:id="1139"/>
            <w:r>
              <w:rPr>
                <w:rFonts w:ascii="Times New Roman;Times;Serif" w:hAnsi="Times New Roman;Times;Serif"/>
                <w:sz w:val="20"/>
              </w:rPr>
              <w:t>(4)</w:t>
            </w:r>
          </w:p>
        </w:tc>
        <w:tc>
          <w:tcPr>
            <w:tcW w:w="23" w:type="dxa"/>
            <w:tcBorders/>
            <w:vAlign w:val="center"/>
          </w:tcPr>
          <w:p>
            <w:pPr>
              <w:pStyle w:val="TableContents"/>
              <w:bidi w:val="0"/>
              <w:spacing w:before="0" w:after="283"/>
              <w:jc w:val="left"/>
              <w:rPr>
                <w:sz w:val="4"/>
                <w:szCs w:val="4"/>
              </w:rPr>
            </w:pPr>
            <w:r>
              <w:rPr>
                <w:sz w:val="4"/>
                <w:szCs w:val="4"/>
              </w:rPr>
            </w:r>
          </w:p>
        </w:tc>
        <w:tc>
          <w:tcPr>
            <w:tcW w:w="5990" w:type="dxa"/>
            <w:tcBorders/>
            <w:vAlign w:val="center"/>
          </w:tcPr>
          <w:p>
            <w:pPr>
              <w:pStyle w:val="TableContents"/>
              <w:bidi w:val="0"/>
              <w:spacing w:before="0" w:after="283"/>
              <w:jc w:val="both"/>
              <w:rPr>
                <w:rFonts w:ascii="Times New Roman;Times;Serif" w:hAnsi="Times New Roman;Times;Serif"/>
                <w:sz w:val="20"/>
              </w:rPr>
            </w:pPr>
            <w:bookmarkStart w:id="1140" w:name="xdx_F14_z5Kefcqh7kGe"/>
            <w:bookmarkEnd w:id="1140"/>
            <w:r>
              <w:rPr>
                <w:rFonts w:ascii="Times New Roman;Times;Serif" w:hAnsi="Times New Roman;Times;Serif"/>
                <w:sz w:val="20"/>
              </w:rPr>
              <w:t>General sales and marketing employee cost and other marketing expenses</w:t>
            </w:r>
          </w:p>
        </w:tc>
      </w:tr>
    </w:tbl>
    <w:tbl>
      <w:tblPr>
        <w:tblW w:w="6993" w:type="dxa"/>
        <w:jc w:val="left"/>
        <w:tblInd w:w="0" w:type="dxa"/>
        <w:tblLayout w:type="fixed"/>
        <w:tblCellMar>
          <w:top w:w="0" w:type="dxa"/>
          <w:left w:w="0" w:type="dxa"/>
          <w:bottom w:w="0" w:type="dxa"/>
          <w:right w:w="0" w:type="dxa"/>
        </w:tblCellMar>
      </w:tblPr>
      <w:tblGrid>
        <w:gridCol w:w="260"/>
        <w:gridCol w:w="23"/>
        <w:gridCol w:w="6710"/>
      </w:tblGrid>
      <w:tr>
        <w:trPr/>
        <w:tc>
          <w:tcPr>
            <w:tcW w:w="260" w:type="dxa"/>
            <w:tcBorders/>
            <w:vAlign w:val="center"/>
          </w:tcPr>
          <w:p>
            <w:pPr>
              <w:pStyle w:val="TableContents"/>
              <w:bidi w:val="0"/>
              <w:spacing w:before="0" w:after="283"/>
              <w:jc w:val="right"/>
              <w:rPr>
                <w:rFonts w:ascii="Times New Roman;Times;Serif" w:hAnsi="Times New Roman;Times;Serif"/>
                <w:sz w:val="20"/>
              </w:rPr>
            </w:pPr>
            <w:bookmarkStart w:id="1141" w:name="xdx_F00_zAHWq3slK0i2"/>
            <w:bookmarkEnd w:id="1141"/>
            <w:r>
              <w:rPr>
                <w:rFonts w:ascii="Times New Roman;Times;Serif" w:hAnsi="Times New Roman;Times;Serif"/>
                <w:sz w:val="20"/>
              </w:rPr>
              <w:t>(5)</w:t>
            </w:r>
          </w:p>
        </w:tc>
        <w:tc>
          <w:tcPr>
            <w:tcW w:w="23" w:type="dxa"/>
            <w:tcBorders/>
            <w:vAlign w:val="center"/>
          </w:tcPr>
          <w:p>
            <w:pPr>
              <w:pStyle w:val="TableContents"/>
              <w:bidi w:val="0"/>
              <w:spacing w:before="0" w:after="283"/>
              <w:jc w:val="left"/>
              <w:rPr>
                <w:sz w:val="4"/>
                <w:szCs w:val="4"/>
              </w:rPr>
            </w:pPr>
            <w:r>
              <w:rPr>
                <w:sz w:val="4"/>
                <w:szCs w:val="4"/>
              </w:rPr>
            </w:r>
          </w:p>
        </w:tc>
        <w:tc>
          <w:tcPr>
            <w:tcW w:w="6710" w:type="dxa"/>
            <w:tcBorders/>
            <w:vAlign w:val="center"/>
          </w:tcPr>
          <w:p>
            <w:pPr>
              <w:pStyle w:val="TableContents"/>
              <w:bidi w:val="0"/>
              <w:spacing w:before="0" w:after="283"/>
              <w:jc w:val="both"/>
              <w:rPr>
                <w:rFonts w:ascii="Times New Roman;Times;Serif" w:hAnsi="Times New Roman;Times;Serif"/>
                <w:sz w:val="20"/>
              </w:rPr>
            </w:pPr>
            <w:bookmarkStart w:id="1142" w:name="xdx_F17_zVechHMbzeeh"/>
            <w:bookmarkEnd w:id="1142"/>
            <w:r>
              <w:rPr>
                <w:rFonts w:ascii="Times New Roman;Times;Serif" w:hAnsi="Times New Roman;Times;Serif"/>
                <w:sz w:val="20"/>
              </w:rPr>
              <w:t>Interest expense related to debt and change in fair market value of warrant liability</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caps w:val="false"/>
          <w:smallCaps w:val="false"/>
        </w:rPr>
      </w:pPr>
      <w:bookmarkStart w:id="1143" w:name="xdx_C08_gL3SOSRIBSTB-NPDVBV_zu67mn0TS853"/>
      <w:bookmarkEnd w:id="1143"/>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significant customer revenues from the Company’s DTC segment for the three months ended June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from one customer of the Company’s OEM segment represent approximately $</w:t>
      </w:r>
      <w:bookmarkStart w:id="1144" w:name="xdx_909_eus-gaap--Revenues_pn3n3_c202504"/>
      <w:bookmarkEnd w:id="1144"/>
      <w:r>
        <w:rPr>
          <w:rFonts w:ascii="Times New Roman;Times;Serif" w:hAnsi="Times New Roman;Times;Serif"/>
          <w:b w:val="false"/>
          <w:i w:val="false"/>
          <w:caps w:val="false"/>
          <w:smallCaps w:val="false"/>
          <w:sz w:val="20"/>
        </w:rPr>
        <w:t xml:space="preserve">5,147, or </w:t>
      </w:r>
      <w:bookmarkStart w:id="1145" w:name="xdx_907_ecustom--PercentageOfRevenues_pi"/>
      <w:bookmarkEnd w:id="1145"/>
      <w:r>
        <w:rPr>
          <w:rFonts w:ascii="Times New Roman;Times;Serif" w:hAnsi="Times New Roman;Times;Serif"/>
          <w:b w:val="false"/>
          <w:i w:val="false"/>
          <w:caps w:val="false"/>
          <w:smallCaps w:val="false"/>
          <w:sz w:val="20"/>
        </w:rPr>
        <w:t>32%, of the Company’s consolidated revenues for the three months ended June 30, 2025.</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Note 14 - Reportable Segments (continued)</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146" w:name="xdx_C0C_gL3SOSRIBSTB-NPDVBV_zoAqBdrGPwEa"/>
      <w:bookmarkEnd w:id="1146"/>
      <w:r>
        <w:rPr>
          <w:rFonts w:ascii="Times New Roman;Times;Serif" w:hAnsi="Times New Roman;Times;Serif"/>
          <w:b w:val="false"/>
          <w:i w:val="false"/>
          <w:caps w:val="false"/>
          <w:smallCaps w:val="false"/>
          <w:sz w:val="20"/>
        </w:rPr>
        <w:t>The following table presents the reportable segments information for the three months ended June 30,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147" w:name="xdx_30A_134_zUWtlR4wXlQb"/>
      <w:bookmarkStart w:id="1148" w:name="xdx_30A_134_zUWtlR4wXlQb"/>
      <w:bookmarkEnd w:id="1148"/>
    </w:p>
    <w:tbl>
      <w:tblPr>
        <w:tblW w:w="9040" w:type="dxa"/>
        <w:jc w:val="left"/>
        <w:tblInd w:w="0" w:type="dxa"/>
        <w:tblLayout w:type="fixed"/>
        <w:tblCellMar>
          <w:top w:w="0" w:type="dxa"/>
          <w:left w:w="0" w:type="dxa"/>
          <w:bottom w:w="0" w:type="dxa"/>
          <w:right w:w="0" w:type="dxa"/>
        </w:tblCellMar>
      </w:tblPr>
      <w:tblGrid>
        <w:gridCol w:w="5015"/>
        <w:gridCol w:w="60"/>
        <w:gridCol w:w="140"/>
        <w:gridCol w:w="560"/>
        <w:gridCol w:w="60"/>
        <w:gridCol w:w="60"/>
        <w:gridCol w:w="140"/>
        <w:gridCol w:w="560"/>
        <w:gridCol w:w="60"/>
        <w:gridCol w:w="60"/>
        <w:gridCol w:w="140"/>
        <w:gridCol w:w="755"/>
        <w:gridCol w:w="365"/>
        <w:gridCol w:w="60"/>
        <w:gridCol w:w="140"/>
        <w:gridCol w:w="755"/>
        <w:gridCol w:w="110"/>
      </w:tblGrid>
      <w:tr>
        <w:trPr/>
        <w:tc>
          <w:tcPr>
            <w:tcW w:w="50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49" w:name="xdx_49E_20240401__20240630__us-gaap--Sta"/>
            <w:bookmarkEnd w:id="1149"/>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DTC</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50" w:name="xdx_49A_20240401__20240630__us-gaap--Sta"/>
            <w:bookmarkEnd w:id="1150"/>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OEM</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51" w:name="xdx_497_20240401__20240630__us-gaap--Sta"/>
            <w:bookmarkEnd w:id="1151"/>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Other</w:t>
            </w:r>
          </w:p>
        </w:tc>
        <w:tc>
          <w:tcPr>
            <w:tcW w:w="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52" w:name="xdx_497_20240401__20240630_ze4nBsxh1rk9"/>
            <w:bookmarkEnd w:id="1152"/>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110" w:type="dxa"/>
            <w:tcBorders/>
            <w:vAlign w:val="center"/>
          </w:tcPr>
          <w:p>
            <w:pPr>
              <w:pStyle w:val="TableContents"/>
              <w:bidi w:val="0"/>
              <w:spacing w:before="0" w:after="283"/>
              <w:jc w:val="left"/>
              <w:rPr/>
            </w:pPr>
            <w:r>
              <w:rPr/>
              <w:t> </w:t>
            </w:r>
          </w:p>
        </w:tc>
      </w:tr>
      <w:tr>
        <w:trPr/>
        <w:tc>
          <w:tcPr>
            <w:tcW w:w="50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bookmarkStart w:id="1153" w:name="xdx_404_eus-gaap--RevenueFromContractWit"/>
            <w:bookmarkEnd w:id="1153"/>
          </w:p>
        </w:tc>
      </w:tr>
      <w:tr>
        <w:trPr/>
        <w:tc>
          <w:tcPr>
            <w:tcW w:w="5015" w:type="dxa"/>
            <w:tcBorders/>
            <w:shd w:fill="CCEEFF" w:val="clear"/>
            <w:vAlign w:val="center"/>
          </w:tcPr>
          <w:p>
            <w:pPr>
              <w:pStyle w:val="TableContents"/>
              <w:bidi w:val="0"/>
              <w:spacing w:before="0" w:after="283"/>
              <w:jc w:val="left"/>
              <w:rPr>
                <w:b/>
              </w:rPr>
            </w:pPr>
            <w:r>
              <w:rPr>
                <w:b/>
              </w:rPr>
              <w:t>Net Sales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6,534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6,674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w:t>
            </w:r>
          </w:p>
        </w:tc>
        <w:tc>
          <w:tcPr>
            <w:tcW w:w="3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13,208</w:t>
            </w:r>
          </w:p>
        </w:tc>
        <w:tc>
          <w:tcPr>
            <w:tcW w:w="110"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3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i/>
              </w:rPr>
            </w:pPr>
            <w:r>
              <w:rPr>
                <w:i/>
              </w:rPr>
              <w:t>Reconciliation of Net Sales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3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154" w:name="xdx_400_ecustom--ReconciliationOfNetSale"/>
            <w:bookmarkEnd w:id="1154"/>
          </w:p>
        </w:tc>
      </w:tr>
      <w:tr>
        <w:trPr/>
        <w:tc>
          <w:tcPr>
            <w:tcW w:w="5015" w:type="dxa"/>
            <w:tcBorders/>
            <w:shd w:fill="FFFFFF" w:val="clear"/>
            <w:vAlign w:val="center"/>
          </w:tcPr>
          <w:p>
            <w:pPr>
              <w:pStyle w:val="TableContents"/>
              <w:bidi w:val="0"/>
              <w:spacing w:before="0" w:after="283"/>
              <w:jc w:val="left"/>
              <w:rPr/>
            </w:pPr>
            <w:r>
              <w:rPr/>
              <w:t>Reconciling items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3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155" w:name="xdx_40C_eus-gaap--Revenues_pn3n3_zRZlxv9"/>
            <w:bookmarkEnd w:id="1155"/>
          </w:p>
        </w:tc>
      </w:tr>
      <w:tr>
        <w:trPr/>
        <w:tc>
          <w:tcPr>
            <w:tcW w:w="5015" w:type="dxa"/>
            <w:tcBorders/>
            <w:shd w:fill="CCEEFF" w:val="clear"/>
            <w:vAlign w:val="center"/>
          </w:tcPr>
          <w:p>
            <w:pPr>
              <w:pStyle w:val="TableContents"/>
              <w:bidi w:val="0"/>
              <w:spacing w:before="0" w:after="283"/>
              <w:jc w:val="left"/>
              <w:rPr/>
            </w:pPr>
            <w:r>
              <w:rPr/>
              <w:t>Consolidated Net Sales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3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13,208</w:t>
            </w:r>
          </w:p>
        </w:tc>
        <w:tc>
          <w:tcPr>
            <w:tcW w:w="110"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3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156" w:name="xdx_403_eus-gaap--CostDirectMaterial_pn3"/>
            <w:bookmarkEnd w:id="1156"/>
          </w:p>
        </w:tc>
      </w:tr>
      <w:tr>
        <w:trPr/>
        <w:tc>
          <w:tcPr>
            <w:tcW w:w="5015" w:type="dxa"/>
            <w:tcBorders/>
            <w:shd w:fill="CCEEFF" w:val="clear"/>
            <w:vAlign w:val="center"/>
          </w:tcPr>
          <w:p>
            <w:pPr>
              <w:pStyle w:val="TableContents"/>
              <w:bidi w:val="0"/>
              <w:spacing w:before="0" w:after="283"/>
              <w:jc w:val="left"/>
              <w:rPr/>
            </w:pPr>
            <w:r>
              <w:rPr/>
              <w:t>Direct material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3,818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4,379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3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8,197</w:t>
            </w:r>
          </w:p>
        </w:tc>
        <w:tc>
          <w:tcPr>
            <w:tcW w:w="110" w:type="dxa"/>
            <w:tcBorders/>
            <w:shd w:fill="CCEEFF" w:val="clear"/>
            <w:vAlign w:val="center"/>
          </w:tcPr>
          <w:p>
            <w:pPr>
              <w:pStyle w:val="TableContents"/>
              <w:bidi w:val="0"/>
              <w:spacing w:before="0" w:after="283"/>
              <w:jc w:val="left"/>
              <w:rPr/>
            </w:pPr>
            <w:r>
              <w:rPr/>
              <w:t> </w:t>
            </w:r>
            <w:bookmarkStart w:id="1157" w:name="xdx_408_eus-gaap--CostDirectLabor_pn3n3_"/>
            <w:bookmarkEnd w:id="1157"/>
          </w:p>
        </w:tc>
      </w:tr>
      <w:tr>
        <w:trPr/>
        <w:tc>
          <w:tcPr>
            <w:tcW w:w="5015" w:type="dxa"/>
            <w:tcBorders/>
            <w:shd w:fill="FFFFFF" w:val="clear"/>
            <w:vAlign w:val="center"/>
          </w:tcPr>
          <w:p>
            <w:pPr>
              <w:pStyle w:val="TableContents"/>
              <w:bidi w:val="0"/>
              <w:spacing w:before="0" w:after="283"/>
              <w:jc w:val="left"/>
              <w:rPr/>
            </w:pPr>
            <w:r>
              <w:rPr/>
              <w:t>Direct labor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362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447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3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809</w:t>
            </w:r>
          </w:p>
        </w:tc>
        <w:tc>
          <w:tcPr>
            <w:tcW w:w="110" w:type="dxa"/>
            <w:tcBorders/>
            <w:shd w:fill="FFFFFF" w:val="clear"/>
            <w:vAlign w:val="center"/>
          </w:tcPr>
          <w:p>
            <w:pPr>
              <w:pStyle w:val="TableContents"/>
              <w:bidi w:val="0"/>
              <w:spacing w:before="0" w:after="283"/>
              <w:jc w:val="left"/>
              <w:rPr/>
            </w:pPr>
            <w:r>
              <w:rPr/>
              <w:t> </w:t>
            </w:r>
            <w:bookmarkStart w:id="1158" w:name="xdx_402_eus-gaap--CostOfGoodsAndServices"/>
            <w:bookmarkEnd w:id="1158"/>
          </w:p>
        </w:tc>
      </w:tr>
      <w:tr>
        <w:trPr/>
        <w:tc>
          <w:tcPr>
            <w:tcW w:w="5015" w:type="dxa"/>
            <w:tcBorders/>
            <w:shd w:fill="CCEEFF" w:val="clear"/>
            <w:vAlign w:val="center"/>
          </w:tcPr>
          <w:p>
            <w:pPr>
              <w:pStyle w:val="TableContents"/>
              <w:bidi w:val="0"/>
              <w:spacing w:before="0" w:after="283"/>
              <w:jc w:val="left"/>
              <w:rPr/>
            </w:pPr>
            <w:r>
              <w:rPr/>
              <w:t>Direct overhead and depreciation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pPr>
            <w:r>
              <w:rPr/>
              <w:t>462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pPr>
            <w:r>
              <w:rPr/>
              <w:t>573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3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1,035</w:t>
            </w:r>
          </w:p>
        </w:tc>
        <w:tc>
          <w:tcPr>
            <w:tcW w:w="110"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3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159" w:name="xdx_401_eus-gaap--CostOfGoodsAndServices"/>
            <w:bookmarkEnd w:id="1159"/>
          </w:p>
        </w:tc>
      </w:tr>
      <w:tr>
        <w:trPr/>
        <w:tc>
          <w:tcPr>
            <w:tcW w:w="501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Total Cost of Goods Sold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4,642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5,399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3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10,041</w:t>
            </w:r>
          </w:p>
        </w:tc>
        <w:tc>
          <w:tcPr>
            <w:tcW w:w="110"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3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160" w:name="xdx_405_eus-gaap--GrossProfit_pn3n3_zdP3"/>
            <w:bookmarkEnd w:id="1160"/>
          </w:p>
        </w:tc>
      </w:tr>
      <w:tr>
        <w:trPr/>
        <w:tc>
          <w:tcPr>
            <w:tcW w:w="5015"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1,892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1,275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3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3,167</w:t>
            </w:r>
          </w:p>
        </w:tc>
        <w:tc>
          <w:tcPr>
            <w:tcW w:w="110"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3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b/>
              </w:rPr>
            </w:pPr>
            <w:r>
              <w:rPr>
                <w:b/>
              </w:rPr>
              <w:t>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3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161" w:name="xdx_40D_eus-gaap--ResearchAndDevelopment"/>
            <w:bookmarkEnd w:id="1161"/>
          </w:p>
        </w:tc>
      </w:tr>
      <w:tr>
        <w:trPr/>
        <w:tc>
          <w:tcPr>
            <w:tcW w:w="5015" w:type="dxa"/>
            <w:tcBorders/>
            <w:shd w:fill="FFFFFF" w:val="clear"/>
            <w:vAlign w:val="center"/>
          </w:tcPr>
          <w:p>
            <w:pPr>
              <w:pStyle w:val="TableContents"/>
              <w:bidi w:val="0"/>
              <w:spacing w:before="0" w:after="283"/>
              <w:jc w:val="left"/>
              <w:rPr/>
            </w:pPr>
            <w:r>
              <w:rPr/>
              <w:t>Research &amp; development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1,531</w:t>
            </w:r>
          </w:p>
        </w:tc>
        <w:tc>
          <w:tcPr>
            <w:tcW w:w="365" w:type="dxa"/>
            <w:tcBorders/>
            <w:shd w:fill="FFFFFF" w:val="clear"/>
            <w:vAlign w:val="center"/>
          </w:tcPr>
          <w:p>
            <w:pPr>
              <w:pStyle w:val="TableContents"/>
              <w:bidi w:val="0"/>
              <w:spacing w:before="0" w:after="283"/>
              <w:jc w:val="left"/>
              <w:rPr/>
            </w:pPr>
            <w:bookmarkStart w:id="1162" w:name="xdx_F47_zTaXgTZlsDLb"/>
            <w:bookmarkEnd w:id="1162"/>
            <w:r>
              <w:rPr/>
              <w:t>(1)</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1,531</w:t>
            </w:r>
          </w:p>
        </w:tc>
        <w:tc>
          <w:tcPr>
            <w:tcW w:w="110" w:type="dxa"/>
            <w:tcBorders/>
            <w:shd w:fill="FFFFFF" w:val="clear"/>
            <w:vAlign w:val="center"/>
          </w:tcPr>
          <w:p>
            <w:pPr>
              <w:pStyle w:val="TableContents"/>
              <w:bidi w:val="0"/>
              <w:spacing w:before="0" w:after="283"/>
              <w:jc w:val="left"/>
              <w:rPr/>
            </w:pPr>
            <w:r>
              <w:rPr/>
              <w:t> </w:t>
            </w:r>
            <w:bookmarkStart w:id="1163" w:name="xdx_40B_ecustom--SalesTaxAdjustment_pn3n"/>
            <w:bookmarkEnd w:id="1163"/>
          </w:p>
        </w:tc>
      </w:tr>
      <w:tr>
        <w:trPr/>
        <w:tc>
          <w:tcPr>
            <w:tcW w:w="5015" w:type="dxa"/>
            <w:tcBorders/>
            <w:shd w:fill="CCEEFF" w:val="clear"/>
            <w:vAlign w:val="center"/>
          </w:tcPr>
          <w:p>
            <w:pPr>
              <w:pStyle w:val="TableContents"/>
              <w:bidi w:val="0"/>
              <w:spacing w:before="0" w:after="283"/>
              <w:jc w:val="left"/>
              <w:rPr/>
            </w:pPr>
            <w:r>
              <w:rPr/>
              <w:t>Sales tax adjustment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3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61</w:t>
            </w:r>
          </w:p>
        </w:tc>
        <w:tc>
          <w:tcPr>
            <w:tcW w:w="110" w:type="dxa"/>
            <w:tcBorders/>
            <w:shd w:fill="CCEEFF" w:val="clear"/>
            <w:vAlign w:val="center"/>
          </w:tcPr>
          <w:p>
            <w:pPr>
              <w:pStyle w:val="TableContents"/>
              <w:bidi w:val="0"/>
              <w:spacing w:before="0" w:after="283"/>
              <w:jc w:val="left"/>
              <w:rPr/>
            </w:pPr>
            <w:r>
              <w:rPr/>
              <w:t> </w:t>
            </w:r>
            <w:bookmarkStart w:id="1164" w:name="xdx_40B_ecustom--TransactionFees_pn3n3_z"/>
            <w:bookmarkEnd w:id="1164"/>
          </w:p>
        </w:tc>
      </w:tr>
      <w:tr>
        <w:trPr/>
        <w:tc>
          <w:tcPr>
            <w:tcW w:w="5015" w:type="dxa"/>
            <w:tcBorders/>
            <w:shd w:fill="FFFFFF" w:val="clear"/>
            <w:vAlign w:val="center"/>
          </w:tcPr>
          <w:p>
            <w:pPr>
              <w:pStyle w:val="TableContents"/>
              <w:bidi w:val="0"/>
              <w:spacing w:before="0" w:after="283"/>
              <w:jc w:val="left"/>
              <w:rPr/>
            </w:pPr>
            <w:r>
              <w:rPr/>
              <w:t>Credit card &amp; amazon transaction fees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155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3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155</w:t>
            </w:r>
          </w:p>
        </w:tc>
        <w:tc>
          <w:tcPr>
            <w:tcW w:w="110" w:type="dxa"/>
            <w:tcBorders/>
            <w:shd w:fill="FFFFFF" w:val="clear"/>
            <w:vAlign w:val="center"/>
          </w:tcPr>
          <w:p>
            <w:pPr>
              <w:pStyle w:val="TableContents"/>
              <w:bidi w:val="0"/>
              <w:spacing w:before="0" w:after="283"/>
              <w:jc w:val="left"/>
              <w:rPr/>
            </w:pPr>
            <w:r>
              <w:rPr/>
              <w:t> </w:t>
            </w:r>
            <w:bookmarkStart w:id="1165" w:name="xdx_401_eus-gaap--OtherGeneralAndAdminis"/>
            <w:bookmarkEnd w:id="1165"/>
          </w:p>
        </w:tc>
      </w:tr>
      <w:tr>
        <w:trPr/>
        <w:tc>
          <w:tcPr>
            <w:tcW w:w="5015" w:type="dxa"/>
            <w:tcBorders/>
            <w:shd w:fill="CCEEFF" w:val="clear"/>
            <w:vAlign w:val="center"/>
          </w:tcPr>
          <w:p>
            <w:pPr>
              <w:pStyle w:val="TableContents"/>
              <w:bidi w:val="0"/>
              <w:spacing w:before="0" w:after="283"/>
              <w:jc w:val="left"/>
              <w:rPr/>
            </w:pPr>
            <w:r>
              <w:rPr/>
              <w:t>Other general &amp; administrative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5,488</w:t>
            </w:r>
          </w:p>
        </w:tc>
        <w:tc>
          <w:tcPr>
            <w:tcW w:w="365" w:type="dxa"/>
            <w:tcBorders/>
            <w:shd w:fill="CCEEFF" w:val="clear"/>
            <w:vAlign w:val="center"/>
          </w:tcPr>
          <w:p>
            <w:pPr>
              <w:pStyle w:val="TableContents"/>
              <w:bidi w:val="0"/>
              <w:spacing w:before="0" w:after="283"/>
              <w:jc w:val="left"/>
              <w:rPr/>
            </w:pPr>
            <w:bookmarkStart w:id="1166" w:name="xdx_F48_zsWnuVkuNJq5"/>
            <w:bookmarkEnd w:id="1166"/>
            <w:r>
              <w:rPr/>
              <w:t>(2)</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5,488</w:t>
            </w:r>
          </w:p>
        </w:tc>
        <w:tc>
          <w:tcPr>
            <w:tcW w:w="110" w:type="dxa"/>
            <w:tcBorders/>
            <w:shd w:fill="CCEEFF" w:val="clear"/>
            <w:vAlign w:val="center"/>
          </w:tcPr>
          <w:p>
            <w:pPr>
              <w:pStyle w:val="TableContents"/>
              <w:bidi w:val="0"/>
              <w:spacing w:before="0" w:after="283"/>
              <w:jc w:val="left"/>
              <w:rPr/>
            </w:pPr>
            <w:r>
              <w:rPr/>
              <w:t> </w:t>
            </w:r>
            <w:bookmarkStart w:id="1167" w:name="xdx_408_ecustom--Shipping_pn3n3_zUBkBZ1r"/>
            <w:bookmarkEnd w:id="1167"/>
          </w:p>
        </w:tc>
      </w:tr>
      <w:tr>
        <w:trPr/>
        <w:tc>
          <w:tcPr>
            <w:tcW w:w="5015" w:type="dxa"/>
            <w:tcBorders/>
            <w:shd w:fill="FFFFFF" w:val="clear"/>
            <w:vAlign w:val="center"/>
          </w:tcPr>
          <w:p>
            <w:pPr>
              <w:pStyle w:val="TableContents"/>
              <w:bidi w:val="0"/>
              <w:spacing w:before="0" w:after="283"/>
              <w:jc w:val="left"/>
              <w:rPr/>
            </w:pPr>
            <w:r>
              <w:rPr/>
              <w:t>Shipping</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401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281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3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682</w:t>
            </w:r>
          </w:p>
        </w:tc>
        <w:tc>
          <w:tcPr>
            <w:tcW w:w="110" w:type="dxa"/>
            <w:tcBorders/>
            <w:shd w:fill="FFFFFF" w:val="clear"/>
            <w:vAlign w:val="center"/>
          </w:tcPr>
          <w:p>
            <w:pPr>
              <w:pStyle w:val="TableContents"/>
              <w:bidi w:val="0"/>
              <w:spacing w:before="0" w:after="283"/>
              <w:jc w:val="left"/>
              <w:rPr/>
            </w:pPr>
            <w:r>
              <w:rPr/>
              <w:t> </w:t>
            </w:r>
            <w:bookmarkStart w:id="1168" w:name="xdx_40D_ecustom--SalesAndMarketingStockC"/>
            <w:bookmarkEnd w:id="1168"/>
          </w:p>
        </w:tc>
      </w:tr>
      <w:tr>
        <w:trPr/>
        <w:tc>
          <w:tcPr>
            <w:tcW w:w="5015" w:type="dxa"/>
            <w:tcBorders/>
            <w:shd w:fill="CCEEFF" w:val="clear"/>
            <w:vAlign w:val="center"/>
          </w:tcPr>
          <w:p>
            <w:pPr>
              <w:pStyle w:val="TableContents"/>
              <w:bidi w:val="0"/>
              <w:spacing w:before="0" w:after="283"/>
              <w:jc w:val="left"/>
              <w:rPr/>
            </w:pPr>
            <w:r>
              <w:rPr/>
              <w:t>Sales and marketing stock compensation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3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52</w:t>
            </w:r>
          </w:p>
        </w:tc>
        <w:tc>
          <w:tcPr>
            <w:tcW w:w="110" w:type="dxa"/>
            <w:tcBorders/>
            <w:shd w:fill="CCEEFF" w:val="clear"/>
            <w:vAlign w:val="center"/>
          </w:tcPr>
          <w:p>
            <w:pPr>
              <w:pStyle w:val="TableContents"/>
              <w:bidi w:val="0"/>
              <w:spacing w:before="0" w:after="283"/>
              <w:jc w:val="left"/>
              <w:rPr/>
            </w:pPr>
            <w:r>
              <w:rPr/>
              <w:t> </w:t>
            </w:r>
            <w:bookmarkStart w:id="1169" w:name="xdx_40E_ecustom--SalesAndMarketingWages_"/>
            <w:bookmarkEnd w:id="1169"/>
          </w:p>
        </w:tc>
      </w:tr>
      <w:tr>
        <w:trPr/>
        <w:tc>
          <w:tcPr>
            <w:tcW w:w="5015" w:type="dxa"/>
            <w:tcBorders/>
            <w:shd w:fill="FFFFFF" w:val="clear"/>
            <w:vAlign w:val="center"/>
          </w:tcPr>
          <w:p>
            <w:pPr>
              <w:pStyle w:val="TableContents"/>
              <w:bidi w:val="0"/>
              <w:spacing w:before="0" w:after="283"/>
              <w:jc w:val="left"/>
              <w:rPr/>
            </w:pPr>
            <w:r>
              <w:rPr/>
              <w:t>Sales and marketing wages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252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385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3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637</w:t>
            </w:r>
          </w:p>
        </w:tc>
        <w:tc>
          <w:tcPr>
            <w:tcW w:w="110" w:type="dxa"/>
            <w:tcBorders/>
            <w:shd w:fill="FFFFFF" w:val="clear"/>
            <w:vAlign w:val="center"/>
          </w:tcPr>
          <w:p>
            <w:pPr>
              <w:pStyle w:val="TableContents"/>
              <w:bidi w:val="0"/>
              <w:spacing w:before="0" w:after="283"/>
              <w:jc w:val="left"/>
              <w:rPr/>
            </w:pPr>
            <w:r>
              <w:rPr/>
              <w:t> </w:t>
            </w:r>
            <w:bookmarkStart w:id="1170" w:name="xdx_405_ecustom--MarketingSpend_pn3n3_zN"/>
            <w:bookmarkEnd w:id="1170"/>
          </w:p>
        </w:tc>
      </w:tr>
      <w:tr>
        <w:trPr/>
        <w:tc>
          <w:tcPr>
            <w:tcW w:w="5015" w:type="dxa"/>
            <w:tcBorders/>
            <w:shd w:fill="CCEEFF" w:val="clear"/>
            <w:vAlign w:val="center"/>
          </w:tcPr>
          <w:p>
            <w:pPr>
              <w:pStyle w:val="TableContents"/>
              <w:bidi w:val="0"/>
              <w:spacing w:before="0" w:after="283"/>
              <w:jc w:val="left"/>
              <w:rPr/>
            </w:pPr>
            <w:r>
              <w:rPr/>
              <w:t>Marketing spend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254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3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367</w:t>
            </w:r>
          </w:p>
        </w:tc>
        <w:tc>
          <w:tcPr>
            <w:tcW w:w="110" w:type="dxa"/>
            <w:tcBorders/>
            <w:shd w:fill="CCEEFF" w:val="clear"/>
            <w:vAlign w:val="center"/>
          </w:tcPr>
          <w:p>
            <w:pPr>
              <w:pStyle w:val="TableContents"/>
              <w:bidi w:val="0"/>
              <w:spacing w:before="0" w:after="283"/>
              <w:jc w:val="left"/>
              <w:rPr/>
            </w:pPr>
            <w:r>
              <w:rPr/>
              <w:t> </w:t>
            </w:r>
            <w:bookmarkStart w:id="1171" w:name="xdx_404_ecustom--Rent_pn3n3_zEW558MrAxG1"/>
            <w:bookmarkEnd w:id="1171"/>
          </w:p>
        </w:tc>
      </w:tr>
      <w:tr>
        <w:trPr/>
        <w:tc>
          <w:tcPr>
            <w:tcW w:w="5015" w:type="dxa"/>
            <w:tcBorders/>
            <w:shd w:fill="FFFFFF" w:val="clear"/>
            <w:vAlign w:val="center"/>
          </w:tcPr>
          <w:p>
            <w:pPr>
              <w:pStyle w:val="TableContents"/>
              <w:bidi w:val="0"/>
              <w:spacing w:before="0" w:after="283"/>
              <w:jc w:val="left"/>
              <w:rPr/>
            </w:pPr>
            <w:r>
              <w:rPr/>
              <w:t>Rent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3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19</w:t>
            </w:r>
          </w:p>
        </w:tc>
        <w:tc>
          <w:tcPr>
            <w:tcW w:w="110" w:type="dxa"/>
            <w:tcBorders/>
            <w:shd w:fill="FFFFFF" w:val="clear"/>
            <w:vAlign w:val="center"/>
          </w:tcPr>
          <w:p>
            <w:pPr>
              <w:pStyle w:val="TableContents"/>
              <w:bidi w:val="0"/>
              <w:spacing w:before="0" w:after="283"/>
              <w:jc w:val="left"/>
              <w:rPr/>
            </w:pPr>
            <w:r>
              <w:rPr/>
              <w:t> </w:t>
            </w:r>
            <w:bookmarkStart w:id="1172" w:name="xdx_401_ecustom--UnallocatedSalesAndMark"/>
            <w:bookmarkEnd w:id="1172"/>
          </w:p>
        </w:tc>
      </w:tr>
      <w:tr>
        <w:trPr/>
        <w:tc>
          <w:tcPr>
            <w:tcW w:w="5015" w:type="dxa"/>
            <w:tcBorders/>
            <w:shd w:fill="CCEEFF" w:val="clear"/>
            <w:vAlign w:val="center"/>
          </w:tcPr>
          <w:p>
            <w:pPr>
              <w:pStyle w:val="TableContents"/>
              <w:bidi w:val="0"/>
              <w:spacing w:before="0" w:after="283"/>
              <w:jc w:val="left"/>
              <w:rPr/>
            </w:pPr>
            <w:r>
              <w:rPr/>
              <w:t>Unallocated sales and marketing stock compensation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268</w:t>
            </w:r>
          </w:p>
        </w:tc>
        <w:tc>
          <w:tcPr>
            <w:tcW w:w="365" w:type="dxa"/>
            <w:tcBorders/>
            <w:shd w:fill="CCEEFF" w:val="clear"/>
            <w:vAlign w:val="center"/>
          </w:tcPr>
          <w:p>
            <w:pPr>
              <w:pStyle w:val="TableContents"/>
              <w:bidi w:val="0"/>
              <w:spacing w:before="0" w:after="283"/>
              <w:jc w:val="left"/>
              <w:rPr/>
            </w:pPr>
            <w:bookmarkStart w:id="1173" w:name="xdx_F47_zOexIWqYxQP"/>
            <w:bookmarkEnd w:id="1173"/>
            <w:r>
              <w:rPr/>
              <w:t>(3)</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268</w:t>
            </w:r>
          </w:p>
        </w:tc>
        <w:tc>
          <w:tcPr>
            <w:tcW w:w="110" w:type="dxa"/>
            <w:tcBorders/>
            <w:shd w:fill="CCEEFF" w:val="clear"/>
            <w:vAlign w:val="center"/>
          </w:tcPr>
          <w:p>
            <w:pPr>
              <w:pStyle w:val="TableContents"/>
              <w:bidi w:val="0"/>
              <w:spacing w:before="0" w:after="283"/>
              <w:jc w:val="left"/>
              <w:rPr/>
            </w:pPr>
            <w:r>
              <w:rPr/>
              <w:t> </w:t>
            </w:r>
            <w:bookmarkStart w:id="1174" w:name="xdx_404_ecustom--UnallocatedSalesAndMark"/>
            <w:bookmarkEnd w:id="1174"/>
          </w:p>
        </w:tc>
      </w:tr>
      <w:tr>
        <w:trPr/>
        <w:tc>
          <w:tcPr>
            <w:tcW w:w="5015" w:type="dxa"/>
            <w:tcBorders/>
            <w:shd w:fill="FFFFFF" w:val="clear"/>
            <w:vAlign w:val="center"/>
          </w:tcPr>
          <w:p>
            <w:pPr>
              <w:pStyle w:val="TableContents"/>
              <w:bidi w:val="0"/>
              <w:spacing w:before="0" w:after="283"/>
              <w:jc w:val="left"/>
              <w:rPr/>
            </w:pPr>
            <w:r>
              <w:rPr/>
              <w:t>Unallocated sales and marketing wages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14</w:t>
            </w:r>
          </w:p>
        </w:tc>
        <w:tc>
          <w:tcPr>
            <w:tcW w:w="365" w:type="dxa"/>
            <w:tcBorders/>
            <w:shd w:fill="FFFFFF" w:val="clear"/>
            <w:vAlign w:val="center"/>
          </w:tcPr>
          <w:p>
            <w:pPr>
              <w:pStyle w:val="TableContents"/>
              <w:bidi w:val="0"/>
              <w:spacing w:before="0" w:after="283"/>
              <w:jc w:val="left"/>
              <w:rPr/>
            </w:pPr>
            <w:bookmarkStart w:id="1175" w:name="xdx_F42_zlQOKCz60qW5"/>
            <w:bookmarkEnd w:id="1175"/>
            <w:r>
              <w:rPr/>
              <w:t>(3)</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14</w:t>
            </w:r>
          </w:p>
        </w:tc>
        <w:tc>
          <w:tcPr>
            <w:tcW w:w="110" w:type="dxa"/>
            <w:tcBorders/>
            <w:shd w:fill="FFFFFF" w:val="clear"/>
            <w:vAlign w:val="center"/>
          </w:tcPr>
          <w:p>
            <w:pPr>
              <w:pStyle w:val="TableContents"/>
              <w:bidi w:val="0"/>
              <w:spacing w:before="0" w:after="283"/>
              <w:jc w:val="left"/>
              <w:rPr/>
            </w:pPr>
            <w:r>
              <w:rPr/>
              <w:t> </w:t>
            </w:r>
            <w:bookmarkStart w:id="1176" w:name="xdx_40C_eus-gaap--OtherSellingAndMarketi"/>
            <w:bookmarkEnd w:id="1176"/>
          </w:p>
        </w:tc>
      </w:tr>
      <w:tr>
        <w:trPr/>
        <w:tc>
          <w:tcPr>
            <w:tcW w:w="5015" w:type="dxa"/>
            <w:tcBorders/>
            <w:shd w:fill="CCEEFF" w:val="clear"/>
            <w:vAlign w:val="center"/>
          </w:tcPr>
          <w:p>
            <w:pPr>
              <w:pStyle w:val="TableContents"/>
              <w:bidi w:val="0"/>
              <w:spacing w:before="0" w:after="283"/>
              <w:jc w:val="left"/>
              <w:rPr/>
            </w:pPr>
            <w:r>
              <w:rPr/>
              <w:t>Other sales &amp; marketing</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642</w:t>
            </w:r>
          </w:p>
        </w:tc>
        <w:tc>
          <w:tcPr>
            <w:tcW w:w="365" w:type="dxa"/>
            <w:tcBorders/>
            <w:shd w:fill="CCEEFF" w:val="clear"/>
            <w:vAlign w:val="center"/>
          </w:tcPr>
          <w:p>
            <w:pPr>
              <w:pStyle w:val="TableContents"/>
              <w:bidi w:val="0"/>
              <w:spacing w:before="0" w:after="283"/>
              <w:jc w:val="left"/>
              <w:rPr/>
            </w:pPr>
            <w:bookmarkStart w:id="1177" w:name="xdx_F41_zTC5jkGkHgJ6"/>
            <w:bookmarkEnd w:id="1177"/>
            <w:r>
              <w:rPr/>
              <w:t>(3)</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642</w:t>
            </w:r>
          </w:p>
        </w:tc>
        <w:tc>
          <w:tcPr>
            <w:tcW w:w="110"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3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178" w:name="xdx_402_eus-gaap--OperatingExpenses_pn3n"/>
            <w:bookmarkEnd w:id="1178"/>
          </w:p>
        </w:tc>
      </w:tr>
      <w:tr>
        <w:trPr/>
        <w:tc>
          <w:tcPr>
            <w:tcW w:w="501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Total 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1,151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822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7,943</w:t>
            </w:r>
          </w:p>
        </w:tc>
        <w:tc>
          <w:tcPr>
            <w:tcW w:w="3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9,916</w:t>
            </w:r>
          </w:p>
        </w:tc>
        <w:tc>
          <w:tcPr>
            <w:tcW w:w="110"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3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179" w:name="xdx_40D_eus-gaap--OperatingIncomeLoss_pn"/>
            <w:bookmarkEnd w:id="1179"/>
          </w:p>
        </w:tc>
      </w:tr>
      <w:tr>
        <w:trPr/>
        <w:tc>
          <w:tcPr>
            <w:tcW w:w="501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Loss from Operations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741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453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(7,943</w:t>
            </w:r>
          </w:p>
        </w:tc>
        <w:tc>
          <w:tcPr>
            <w:tcW w:w="36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(6,749</w:t>
            </w:r>
          </w:p>
        </w:tc>
        <w:tc>
          <w:tcPr>
            <w:tcW w:w="110" w:type="dxa"/>
            <w:tcBorders/>
            <w:shd w:fill="CCEEFF" w:val="clear"/>
            <w:vAlign w:val="center"/>
          </w:tcPr>
          <w:p>
            <w:pPr>
              <w:pStyle w:val="TableContents"/>
              <w:bidi w:val="0"/>
              <w:spacing w:before="0" w:after="283"/>
              <w:jc w:val="left"/>
              <w:rPr/>
            </w:pPr>
            <w:r>
              <w:rPr/>
              <w:t>)</w:t>
            </w:r>
          </w:p>
        </w:tc>
      </w:tr>
      <w:tr>
        <w:trPr/>
        <w:tc>
          <w:tcPr>
            <w:tcW w:w="50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3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180" w:name="xdx_405_eus-gaap--OtherNonoperatingIncom"/>
            <w:bookmarkEnd w:id="1180"/>
          </w:p>
        </w:tc>
      </w:tr>
      <w:tr>
        <w:trPr/>
        <w:tc>
          <w:tcPr>
            <w:tcW w:w="5015" w:type="dxa"/>
            <w:tcBorders/>
            <w:shd w:fill="CCEEFF" w:val="clear"/>
            <w:vAlign w:val="center"/>
          </w:tcPr>
          <w:p>
            <w:pPr>
              <w:pStyle w:val="TableContents"/>
              <w:bidi w:val="0"/>
              <w:spacing w:before="0" w:after="283"/>
              <w:jc w:val="left"/>
              <w:rPr/>
            </w:pPr>
            <w:r>
              <w:rPr/>
              <w:t>Other income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(19</w:t>
            </w:r>
          </w:p>
        </w:tc>
        <w:tc>
          <w:tcPr>
            <w:tcW w:w="36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(19</w:t>
            </w:r>
          </w:p>
        </w:tc>
        <w:tc>
          <w:tcPr>
            <w:tcW w:w="110" w:type="dxa"/>
            <w:tcBorders/>
            <w:shd w:fill="CCEEFF" w:val="clear"/>
            <w:vAlign w:val="center"/>
          </w:tcPr>
          <w:p>
            <w:pPr>
              <w:pStyle w:val="TableContents"/>
              <w:bidi w:val="0"/>
              <w:spacing w:before="0" w:after="283"/>
              <w:jc w:val="left"/>
              <w:rPr/>
            </w:pPr>
            <w:r>
              <w:rPr/>
              <w:t>)</w:t>
            </w:r>
            <w:bookmarkStart w:id="1181" w:name="xdx_406_eus-gaap--InterestExpenseNonoper"/>
            <w:bookmarkEnd w:id="1181"/>
          </w:p>
        </w:tc>
      </w:tr>
      <w:tr>
        <w:trPr/>
        <w:tc>
          <w:tcPr>
            <w:tcW w:w="5015" w:type="dxa"/>
            <w:tcBorders/>
            <w:shd w:fill="FFFFFF" w:val="clear"/>
            <w:vAlign w:val="center"/>
          </w:tcPr>
          <w:p>
            <w:pPr>
              <w:pStyle w:val="TableContents"/>
              <w:bidi w:val="0"/>
              <w:spacing w:before="0" w:after="283"/>
              <w:jc w:val="left"/>
              <w:rPr/>
            </w:pPr>
            <w:r>
              <w:rPr/>
              <w:t>Interest expense,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(4,878</w:t>
            </w:r>
          </w:p>
        </w:tc>
        <w:tc>
          <w:tcPr>
            <w:tcW w:w="365" w:type="dxa"/>
            <w:tcBorders/>
            <w:shd w:fill="FFFFFF" w:val="clear"/>
            <w:vAlign w:val="center"/>
          </w:tcPr>
          <w:p>
            <w:pPr>
              <w:pStyle w:val="TableContents"/>
              <w:bidi w:val="0"/>
              <w:spacing w:before="0" w:after="283"/>
              <w:jc w:val="left"/>
              <w:rPr/>
            </w:pPr>
            <w:r>
              <w:rPr/>
              <w:t>)</w:t>
            </w:r>
            <w:bookmarkStart w:id="1182" w:name="xdx_F41_zYvsKgGUISJf"/>
            <w:bookmarkEnd w:id="1182"/>
            <w:r>
              <w:rPr/>
              <w:t>(4)</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(4,878</w:t>
            </w:r>
          </w:p>
        </w:tc>
        <w:tc>
          <w:tcPr>
            <w:tcW w:w="110" w:type="dxa"/>
            <w:tcBorders/>
            <w:shd w:fill="FFFFFF" w:val="clear"/>
            <w:vAlign w:val="center"/>
          </w:tcPr>
          <w:p>
            <w:pPr>
              <w:pStyle w:val="TableContents"/>
              <w:bidi w:val="0"/>
              <w:spacing w:before="0" w:after="283"/>
              <w:jc w:val="left"/>
              <w:rPr/>
            </w:pPr>
            <w:r>
              <w:rPr/>
              <w:t>)</w:t>
            </w:r>
            <w:bookmarkStart w:id="1183" w:name="xdx_408_eus-gaap--FairValueAdjustmentOfW"/>
            <w:bookmarkEnd w:id="1183"/>
          </w:p>
        </w:tc>
      </w:tr>
      <w:tr>
        <w:trPr/>
        <w:tc>
          <w:tcPr>
            <w:tcW w:w="5015" w:type="dxa"/>
            <w:tcBorders/>
            <w:shd w:fill="CCEEFF" w:val="clear"/>
            <w:vAlign w:val="center"/>
          </w:tcPr>
          <w:p>
            <w:pPr>
              <w:pStyle w:val="TableContents"/>
              <w:bidi w:val="0"/>
              <w:spacing w:before="0" w:after="283"/>
              <w:jc w:val="left"/>
              <w:rPr/>
            </w:pPr>
            <w:r>
              <w:rPr/>
              <w:t>Change in FMV of warrant liability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(1,981</w:t>
            </w:r>
          </w:p>
        </w:tc>
        <w:tc>
          <w:tcPr>
            <w:tcW w:w="365" w:type="dxa"/>
            <w:tcBorders/>
            <w:shd w:fill="CCEEFF" w:val="clear"/>
            <w:vAlign w:val="center"/>
          </w:tcPr>
          <w:p>
            <w:pPr>
              <w:pStyle w:val="TableContents"/>
              <w:bidi w:val="0"/>
              <w:spacing w:before="0" w:after="283"/>
              <w:jc w:val="left"/>
              <w:rPr/>
            </w:pPr>
            <w:r>
              <w:rPr/>
              <w:t>)</w:t>
            </w:r>
            <w:bookmarkStart w:id="1184" w:name="xdx_F49_ztyq8QrMo0kc"/>
            <w:bookmarkEnd w:id="1184"/>
            <w:r>
              <w:rPr/>
              <w:t>(4)</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(1,981</w:t>
            </w:r>
          </w:p>
        </w:tc>
        <w:tc>
          <w:tcPr>
            <w:tcW w:w="110" w:type="dxa"/>
            <w:tcBorders/>
            <w:shd w:fill="CCEEFF" w:val="clear"/>
            <w:vAlign w:val="center"/>
          </w:tcPr>
          <w:p>
            <w:pPr>
              <w:pStyle w:val="TableContents"/>
              <w:bidi w:val="0"/>
              <w:spacing w:before="0" w:after="283"/>
              <w:jc w:val="left"/>
              <w:rPr/>
            </w:pPr>
            <w:r>
              <w:rPr/>
              <w:t>)</w:t>
            </w:r>
          </w:p>
        </w:tc>
      </w:tr>
      <w:tr>
        <w:trPr/>
        <w:tc>
          <w:tcPr>
            <w:tcW w:w="50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3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185" w:name="xdx_404_eus-gaap--NonoperatingIncomeExpe"/>
            <w:bookmarkEnd w:id="1185"/>
          </w:p>
        </w:tc>
      </w:tr>
      <w:tr>
        <w:trPr/>
        <w:tc>
          <w:tcPr>
            <w:tcW w:w="501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Total Other Income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(6,878</w:t>
            </w:r>
          </w:p>
        </w:tc>
        <w:tc>
          <w:tcPr>
            <w:tcW w:w="36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(6,878</w:t>
            </w:r>
          </w:p>
        </w:tc>
        <w:tc>
          <w:tcPr>
            <w:tcW w:w="110" w:type="dxa"/>
            <w:tcBorders/>
            <w:shd w:fill="CCEEFF" w:val="clear"/>
            <w:vAlign w:val="center"/>
          </w:tcPr>
          <w:p>
            <w:pPr>
              <w:pStyle w:val="TableContents"/>
              <w:bidi w:val="0"/>
              <w:spacing w:before="0" w:after="283"/>
              <w:jc w:val="left"/>
              <w:rPr/>
            </w:pPr>
            <w:r>
              <w:rPr/>
              <w:t>)</w:t>
            </w:r>
          </w:p>
        </w:tc>
      </w:tr>
      <w:tr>
        <w:trPr/>
        <w:tc>
          <w:tcPr>
            <w:tcW w:w="50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3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186" w:name="xdx_404_eus-gaap--IncomeLossFromContinui"/>
            <w:bookmarkEnd w:id="1186"/>
          </w:p>
        </w:tc>
      </w:tr>
      <w:tr>
        <w:trPr/>
        <w:tc>
          <w:tcPr>
            <w:tcW w:w="5015" w:type="dxa"/>
            <w:tcBorders/>
            <w:shd w:fill="CCEEFF" w:val="clear"/>
            <w:vAlign w:val="center"/>
          </w:tcPr>
          <w:p>
            <w:pPr>
              <w:pStyle w:val="TableContents"/>
              <w:bidi w:val="0"/>
              <w:spacing w:before="0" w:after="283"/>
              <w:jc w:val="left"/>
              <w:rPr>
                <w:b/>
              </w:rPr>
            </w:pPr>
            <w:r>
              <w:rPr>
                <w:b/>
              </w:rPr>
              <w:t>Net Loss before taxes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pPr>
            <w:r>
              <w:rPr/>
              <w:t>741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pPr>
            <w:r>
              <w:rPr/>
              <w:t>453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(14,821</w:t>
            </w:r>
          </w:p>
        </w:tc>
        <w:tc>
          <w:tcPr>
            <w:tcW w:w="36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(13,627</w:t>
            </w:r>
          </w:p>
        </w:tc>
        <w:tc>
          <w:tcPr>
            <w:tcW w:w="110" w:type="dxa"/>
            <w:tcBorders/>
            <w:shd w:fill="CCEEFF" w:val="clear"/>
            <w:vAlign w:val="center"/>
          </w:tcPr>
          <w:p>
            <w:pPr>
              <w:pStyle w:val="TableContents"/>
              <w:bidi w:val="0"/>
              <w:spacing w:before="0" w:after="283"/>
              <w:jc w:val="left"/>
              <w:rPr/>
            </w:pPr>
            <w:r>
              <w:rPr/>
              <w:t>)</w:t>
            </w:r>
          </w:p>
        </w:tc>
      </w:tr>
      <w:tr>
        <w:trPr/>
        <w:tc>
          <w:tcPr>
            <w:tcW w:w="50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3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187" w:name="xdx_403_eus-gaap--IncomeTaxExpenseBenefi"/>
            <w:bookmarkEnd w:id="1187"/>
          </w:p>
        </w:tc>
      </w:tr>
      <w:tr>
        <w:trPr/>
        <w:tc>
          <w:tcPr>
            <w:tcW w:w="5015" w:type="dxa"/>
            <w:tcBorders/>
            <w:shd w:fill="CCEEFF" w:val="clear"/>
            <w:vAlign w:val="center"/>
          </w:tcPr>
          <w:p>
            <w:pPr>
              <w:pStyle w:val="TableContents"/>
              <w:bidi w:val="0"/>
              <w:spacing w:before="0" w:after="283"/>
              <w:jc w:val="left"/>
              <w:rPr>
                <w:b/>
              </w:rPr>
            </w:pPr>
            <w:r>
              <w:rPr>
                <w:b/>
              </w:rPr>
              <w:t>Income Tax Benefit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3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3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188" w:name="xdx_405_eus-gaap--NetIncomeLoss_pn3n3_zf"/>
            <w:bookmarkEnd w:id="1188"/>
          </w:p>
        </w:tc>
      </w:tr>
      <w:tr>
        <w:trPr/>
        <w:tc>
          <w:tcPr>
            <w:tcW w:w="5015" w:type="dxa"/>
            <w:tcBorders/>
            <w:shd w:fill="CCEEFF" w:val="clear"/>
            <w:vAlign w:val="center"/>
          </w:tcPr>
          <w:p>
            <w:pPr>
              <w:pStyle w:val="TableContents"/>
              <w:bidi w:val="0"/>
              <w:spacing w:before="0" w:after="283"/>
              <w:jc w:val="left"/>
              <w:rPr>
                <w:b/>
              </w:rPr>
            </w:pPr>
            <w:r>
              <w:rPr>
                <w:b/>
              </w:rPr>
              <w:t>Net Income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pPr>
            <w:r>
              <w:rPr/>
              <w:t>741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pPr>
            <w:r>
              <w:rPr/>
              <w:t>453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(14,821</w:t>
            </w:r>
          </w:p>
        </w:tc>
        <w:tc>
          <w:tcPr>
            <w:tcW w:w="36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(13,627</w:t>
            </w:r>
          </w:p>
        </w:tc>
        <w:tc>
          <w:tcPr>
            <w:tcW w:w="110" w:type="dxa"/>
            <w:tcBorders/>
            <w:shd w:fill="CCEEFF" w:val="clear"/>
            <w:vAlign w:val="center"/>
          </w:tcPr>
          <w:p>
            <w:pPr>
              <w:pStyle w:val="TableContents"/>
              <w:bidi w:val="0"/>
              <w:spacing w:before="0" w:after="283"/>
              <w:jc w:val="left"/>
              <w:rPr/>
            </w:pPr>
            <w:r>
              <w:rPr/>
              <w:t>)</w:t>
            </w:r>
          </w:p>
        </w:tc>
      </w:tr>
      <w:tr>
        <w:trPr/>
        <w:tc>
          <w:tcPr>
            <w:tcW w:w="50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3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i/>
              </w:rPr>
            </w:pPr>
            <w:r>
              <w:rPr>
                <w:i/>
              </w:rPr>
              <w:t>Reconciliation of net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3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189" w:name="xdx_40F_ecustom--NetIncomeLossReconcilin"/>
            <w:bookmarkEnd w:id="1189"/>
          </w:p>
        </w:tc>
      </w:tr>
      <w:tr>
        <w:trPr/>
        <w:tc>
          <w:tcPr>
            <w:tcW w:w="5015" w:type="dxa"/>
            <w:tcBorders/>
            <w:shd w:fill="FFFFFF" w:val="clear"/>
            <w:vAlign w:val="center"/>
          </w:tcPr>
          <w:p>
            <w:pPr>
              <w:pStyle w:val="TableContents"/>
              <w:bidi w:val="0"/>
              <w:spacing w:before="0" w:after="283"/>
              <w:jc w:val="left"/>
              <w:rPr/>
            </w:pPr>
            <w:r>
              <w:rPr/>
              <w:t>Reconciling items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3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190" w:name="xdx_403_eus-gaap--NetIncomeLossAvailable"/>
            <w:bookmarkEnd w:id="1190"/>
          </w:p>
        </w:tc>
      </w:tr>
      <w:tr>
        <w:trPr/>
        <w:tc>
          <w:tcPr>
            <w:tcW w:w="5015" w:type="dxa"/>
            <w:tcBorders/>
            <w:shd w:fill="CCEEFF" w:val="clear"/>
            <w:vAlign w:val="center"/>
          </w:tcPr>
          <w:p>
            <w:pPr>
              <w:pStyle w:val="TableContents"/>
              <w:bidi w:val="0"/>
              <w:spacing w:before="0" w:after="283"/>
              <w:jc w:val="left"/>
              <w:rPr/>
            </w:pPr>
            <w:r>
              <w:rPr/>
              <w:t>Consolidated net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3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(13,627</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center"/>
        <w:rPr>
          <w:caps/>
        </w:rPr>
      </w:pPr>
      <w:r>
        <w:rPr>
          <w:caps/>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Dragonfly Energy Holdings Corp.</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 thousands, except share and per share data)</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Note 14 - Reportable Segments (continued)</w:t>
      </w:r>
    </w:p>
    <w:p>
      <w:pPr>
        <w:pStyle w:val="TextBody"/>
        <w:bidi w:val="0"/>
        <w:spacing w:before="0" w:after="0"/>
        <w:ind w:left="0" w:right="0" w:hanging="0"/>
        <w:jc w:val="both"/>
        <w:rPr>
          <w:caps/>
        </w:rPr>
      </w:pPr>
      <w:r>
        <w:rPr>
          <w:caps/>
        </w:rPr>
        <w:t> </w:t>
      </w:r>
    </w:p>
    <w:tbl>
      <w:tblPr>
        <w:tblW w:w="7383" w:type="dxa"/>
        <w:jc w:val="left"/>
        <w:tblInd w:w="0" w:type="dxa"/>
        <w:tblLayout w:type="fixed"/>
        <w:tblCellMar>
          <w:top w:w="0" w:type="dxa"/>
          <w:left w:w="0" w:type="dxa"/>
          <w:bottom w:w="0" w:type="dxa"/>
          <w:right w:w="0" w:type="dxa"/>
        </w:tblCellMar>
      </w:tblPr>
      <w:tblGrid>
        <w:gridCol w:w="260"/>
        <w:gridCol w:w="23"/>
        <w:gridCol w:w="7100"/>
      </w:tblGrid>
      <w:tr>
        <w:trPr/>
        <w:tc>
          <w:tcPr>
            <w:tcW w:w="260" w:type="dxa"/>
            <w:tcBorders/>
            <w:vAlign w:val="center"/>
          </w:tcPr>
          <w:p>
            <w:pPr>
              <w:pStyle w:val="TableContents"/>
              <w:bidi w:val="0"/>
              <w:spacing w:before="0" w:after="283"/>
              <w:jc w:val="right"/>
              <w:rPr>
                <w:rFonts w:ascii="Times New Roman;Times;Serif" w:hAnsi="Times New Roman;Times;Serif"/>
                <w:sz w:val="20"/>
              </w:rPr>
            </w:pPr>
            <w:bookmarkStart w:id="1191" w:name="xdx_F02_zGMWJYHa08x1"/>
            <w:bookmarkEnd w:id="1191"/>
            <w:r>
              <w:rPr>
                <w:rFonts w:ascii="Times New Roman;Times;Serif" w:hAnsi="Times New Roman;Times;Serif"/>
                <w:sz w:val="20"/>
              </w:rPr>
              <w:t>(1)</w:t>
            </w:r>
          </w:p>
        </w:tc>
        <w:tc>
          <w:tcPr>
            <w:tcW w:w="23" w:type="dxa"/>
            <w:tcBorders/>
            <w:vAlign w:val="center"/>
          </w:tcPr>
          <w:p>
            <w:pPr>
              <w:pStyle w:val="TableContents"/>
              <w:bidi w:val="0"/>
              <w:spacing w:before="0" w:after="283"/>
              <w:jc w:val="left"/>
              <w:rPr>
                <w:sz w:val="4"/>
                <w:szCs w:val="4"/>
              </w:rPr>
            </w:pPr>
            <w:r>
              <w:rPr>
                <w:sz w:val="4"/>
                <w:szCs w:val="4"/>
              </w:rPr>
            </w:r>
          </w:p>
        </w:tc>
        <w:tc>
          <w:tcPr>
            <w:tcW w:w="7100" w:type="dxa"/>
            <w:tcBorders/>
            <w:vAlign w:val="center"/>
          </w:tcPr>
          <w:p>
            <w:pPr>
              <w:pStyle w:val="TableContents"/>
              <w:bidi w:val="0"/>
              <w:spacing w:before="0" w:after="283"/>
              <w:jc w:val="both"/>
              <w:rPr>
                <w:rFonts w:ascii="Times New Roman;Times;Serif" w:hAnsi="Times New Roman;Times;Serif"/>
                <w:sz w:val="20"/>
              </w:rPr>
            </w:pPr>
            <w:bookmarkStart w:id="1192" w:name="xdx_F1B_zMlFvhqpwB3j"/>
            <w:bookmarkEnd w:id="1192"/>
            <w:r>
              <w:rPr>
                <w:rFonts w:ascii="Times New Roman;Times;Serif" w:hAnsi="Times New Roman;Times;Serif"/>
                <w:sz w:val="20"/>
              </w:rPr>
              <w:t>Research and Development expenses including employee costs related to new products</w:t>
            </w:r>
          </w:p>
        </w:tc>
      </w:tr>
    </w:tbl>
    <w:tbl>
      <w:tblPr>
        <w:tblW w:w="10205" w:type="dxa"/>
        <w:jc w:val="left"/>
        <w:tblInd w:w="0" w:type="dxa"/>
        <w:tblLayout w:type="fixed"/>
        <w:tblCellMar>
          <w:top w:w="0" w:type="dxa"/>
          <w:left w:w="0" w:type="dxa"/>
          <w:bottom w:w="0" w:type="dxa"/>
          <w:right w:w="0" w:type="dxa"/>
        </w:tblCellMar>
      </w:tblPr>
      <w:tblGrid>
        <w:gridCol w:w="246"/>
        <w:gridCol w:w="23"/>
        <w:gridCol w:w="9936"/>
      </w:tblGrid>
      <w:tr>
        <w:trPr/>
        <w:tc>
          <w:tcPr>
            <w:tcW w:w="246" w:type="dxa"/>
            <w:tcBorders/>
            <w:vAlign w:val="center"/>
          </w:tcPr>
          <w:p>
            <w:pPr>
              <w:pStyle w:val="TableContents"/>
              <w:bidi w:val="0"/>
              <w:spacing w:before="0" w:after="283"/>
              <w:jc w:val="right"/>
              <w:rPr>
                <w:rFonts w:ascii="Times New Roman;Times;Serif" w:hAnsi="Times New Roman;Times;Serif"/>
                <w:sz w:val="20"/>
              </w:rPr>
            </w:pPr>
            <w:bookmarkStart w:id="1193" w:name="xdx_F0E_zElh66chOdAg"/>
            <w:bookmarkEnd w:id="1193"/>
            <w:r>
              <w:rPr>
                <w:rFonts w:ascii="Times New Roman;Times;Serif" w:hAnsi="Times New Roman;Times;Serif"/>
                <w:sz w:val="20"/>
              </w:rPr>
              <w:t>(2)</w:t>
            </w:r>
          </w:p>
        </w:tc>
        <w:tc>
          <w:tcPr>
            <w:tcW w:w="23" w:type="dxa"/>
            <w:tcBorders/>
            <w:vAlign w:val="center"/>
          </w:tcPr>
          <w:p>
            <w:pPr>
              <w:pStyle w:val="TableContents"/>
              <w:bidi w:val="0"/>
              <w:spacing w:before="0" w:after="283"/>
              <w:jc w:val="left"/>
              <w:rPr>
                <w:sz w:val="4"/>
                <w:szCs w:val="4"/>
              </w:rPr>
            </w:pPr>
            <w:r>
              <w:rPr>
                <w:sz w:val="4"/>
                <w:szCs w:val="4"/>
              </w:rPr>
            </w:r>
          </w:p>
        </w:tc>
        <w:tc>
          <w:tcPr>
            <w:tcW w:w="9936" w:type="dxa"/>
            <w:tcBorders/>
            <w:vAlign w:val="center"/>
          </w:tcPr>
          <w:p>
            <w:pPr>
              <w:pStyle w:val="TableContents"/>
              <w:bidi w:val="0"/>
              <w:spacing w:before="0" w:after="283"/>
              <w:jc w:val="both"/>
              <w:rPr>
                <w:rFonts w:ascii="Times New Roman;Times;Serif" w:hAnsi="Times New Roman;Times;Serif"/>
                <w:sz w:val="20"/>
              </w:rPr>
            </w:pPr>
            <w:bookmarkStart w:id="1194" w:name="xdx_F12_ztmM1d30MSVh"/>
            <w:bookmarkEnd w:id="1194"/>
            <w:r>
              <w:rPr>
                <w:rFonts w:ascii="Times New Roman;Times;Serif" w:hAnsi="Times New Roman;Times;Serif"/>
                <w:sz w:val="20"/>
              </w:rPr>
              <w:t>Administrative and Engineering employee costs along with legal, insurance, professional fees related to administration and other general office expenses</w:t>
            </w:r>
          </w:p>
        </w:tc>
      </w:tr>
    </w:tbl>
    <w:tbl>
      <w:tblPr>
        <w:tblW w:w="6273" w:type="dxa"/>
        <w:jc w:val="left"/>
        <w:tblInd w:w="0" w:type="dxa"/>
        <w:tblLayout w:type="fixed"/>
        <w:tblCellMar>
          <w:top w:w="0" w:type="dxa"/>
          <w:left w:w="0" w:type="dxa"/>
          <w:bottom w:w="0" w:type="dxa"/>
          <w:right w:w="0" w:type="dxa"/>
        </w:tblCellMar>
      </w:tblPr>
      <w:tblGrid>
        <w:gridCol w:w="260"/>
        <w:gridCol w:w="23"/>
        <w:gridCol w:w="5990"/>
      </w:tblGrid>
      <w:tr>
        <w:trPr/>
        <w:tc>
          <w:tcPr>
            <w:tcW w:w="260" w:type="dxa"/>
            <w:tcBorders/>
            <w:vAlign w:val="center"/>
          </w:tcPr>
          <w:p>
            <w:pPr>
              <w:pStyle w:val="TableContents"/>
              <w:bidi w:val="0"/>
              <w:spacing w:before="0" w:after="283"/>
              <w:jc w:val="right"/>
              <w:rPr>
                <w:rFonts w:ascii="Times New Roman;Times;Serif" w:hAnsi="Times New Roman;Times;Serif"/>
                <w:sz w:val="20"/>
              </w:rPr>
            </w:pPr>
            <w:bookmarkStart w:id="1195" w:name="xdx_F07_znEktO65iIL6"/>
            <w:bookmarkEnd w:id="1195"/>
            <w:r>
              <w:rPr>
                <w:rFonts w:ascii="Times New Roman;Times;Serif" w:hAnsi="Times New Roman;Times;Serif"/>
                <w:sz w:val="20"/>
              </w:rPr>
              <w:t>(3)</w:t>
            </w:r>
          </w:p>
        </w:tc>
        <w:tc>
          <w:tcPr>
            <w:tcW w:w="23" w:type="dxa"/>
            <w:tcBorders/>
            <w:vAlign w:val="center"/>
          </w:tcPr>
          <w:p>
            <w:pPr>
              <w:pStyle w:val="TableContents"/>
              <w:bidi w:val="0"/>
              <w:spacing w:before="0" w:after="283"/>
              <w:jc w:val="left"/>
              <w:rPr>
                <w:sz w:val="4"/>
                <w:szCs w:val="4"/>
              </w:rPr>
            </w:pPr>
            <w:r>
              <w:rPr>
                <w:sz w:val="4"/>
                <w:szCs w:val="4"/>
              </w:rPr>
            </w:r>
          </w:p>
        </w:tc>
        <w:tc>
          <w:tcPr>
            <w:tcW w:w="5990" w:type="dxa"/>
            <w:tcBorders/>
            <w:vAlign w:val="center"/>
          </w:tcPr>
          <w:p>
            <w:pPr>
              <w:pStyle w:val="TableContents"/>
              <w:bidi w:val="0"/>
              <w:spacing w:before="0" w:after="283"/>
              <w:jc w:val="both"/>
              <w:rPr>
                <w:rFonts w:ascii="Times New Roman;Times;Serif" w:hAnsi="Times New Roman;Times;Serif"/>
                <w:sz w:val="20"/>
              </w:rPr>
            </w:pPr>
            <w:bookmarkStart w:id="1196" w:name="xdx_F19_zIqlVLJ4Uye2"/>
            <w:bookmarkEnd w:id="1196"/>
            <w:r>
              <w:rPr>
                <w:rFonts w:ascii="Times New Roman;Times;Serif" w:hAnsi="Times New Roman;Times;Serif"/>
                <w:sz w:val="20"/>
              </w:rPr>
              <w:t>General sales and marketing employee cost and other marketing expenses</w:t>
            </w:r>
          </w:p>
        </w:tc>
      </w:tr>
    </w:tbl>
    <w:tbl>
      <w:tblPr>
        <w:tblW w:w="6993" w:type="dxa"/>
        <w:jc w:val="left"/>
        <w:tblInd w:w="0" w:type="dxa"/>
        <w:tblLayout w:type="fixed"/>
        <w:tblCellMar>
          <w:top w:w="0" w:type="dxa"/>
          <w:left w:w="0" w:type="dxa"/>
          <w:bottom w:w="0" w:type="dxa"/>
          <w:right w:w="0" w:type="dxa"/>
        </w:tblCellMar>
      </w:tblPr>
      <w:tblGrid>
        <w:gridCol w:w="260"/>
        <w:gridCol w:w="23"/>
        <w:gridCol w:w="6710"/>
      </w:tblGrid>
      <w:tr>
        <w:trPr/>
        <w:tc>
          <w:tcPr>
            <w:tcW w:w="260" w:type="dxa"/>
            <w:tcBorders/>
            <w:vAlign w:val="center"/>
          </w:tcPr>
          <w:p>
            <w:pPr>
              <w:pStyle w:val="TableContents"/>
              <w:bidi w:val="0"/>
              <w:spacing w:before="0" w:after="283"/>
              <w:jc w:val="right"/>
              <w:rPr>
                <w:rFonts w:ascii="Times New Roman;Times;Serif" w:hAnsi="Times New Roman;Times;Serif"/>
                <w:sz w:val="20"/>
              </w:rPr>
            </w:pPr>
            <w:bookmarkStart w:id="1197" w:name="xdx_F0E_z3XhuCCvzS43"/>
            <w:bookmarkEnd w:id="1197"/>
            <w:r>
              <w:rPr>
                <w:rFonts w:ascii="Times New Roman;Times;Serif" w:hAnsi="Times New Roman;Times;Serif"/>
                <w:sz w:val="20"/>
              </w:rPr>
              <w:t>(4)</w:t>
            </w:r>
          </w:p>
        </w:tc>
        <w:tc>
          <w:tcPr>
            <w:tcW w:w="23" w:type="dxa"/>
            <w:tcBorders/>
            <w:vAlign w:val="center"/>
          </w:tcPr>
          <w:p>
            <w:pPr>
              <w:pStyle w:val="TableContents"/>
              <w:bidi w:val="0"/>
              <w:spacing w:before="0" w:after="283"/>
              <w:jc w:val="left"/>
              <w:rPr>
                <w:sz w:val="4"/>
                <w:szCs w:val="4"/>
              </w:rPr>
            </w:pPr>
            <w:r>
              <w:rPr>
                <w:sz w:val="4"/>
                <w:szCs w:val="4"/>
              </w:rPr>
            </w:r>
          </w:p>
        </w:tc>
        <w:tc>
          <w:tcPr>
            <w:tcW w:w="6710" w:type="dxa"/>
            <w:tcBorders/>
            <w:vAlign w:val="center"/>
          </w:tcPr>
          <w:p>
            <w:pPr>
              <w:pStyle w:val="TableContents"/>
              <w:bidi w:val="0"/>
              <w:spacing w:before="0" w:after="283"/>
              <w:jc w:val="both"/>
              <w:rPr>
                <w:rFonts w:ascii="Times New Roman;Times;Serif" w:hAnsi="Times New Roman;Times;Serif"/>
                <w:sz w:val="20"/>
              </w:rPr>
            </w:pPr>
            <w:bookmarkStart w:id="1198" w:name="xdx_F16_z0mtXVQurgza"/>
            <w:bookmarkEnd w:id="1198"/>
            <w:r>
              <w:rPr>
                <w:rFonts w:ascii="Times New Roman;Times;Serif" w:hAnsi="Times New Roman;Times;Serif"/>
                <w:sz w:val="20"/>
              </w:rPr>
              <w:t>Interest expense related to debt and change in fair market value of warrant liability</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caps w:val="false"/>
          <w:smallCaps w:val="false"/>
        </w:rPr>
      </w:pPr>
      <w:bookmarkStart w:id="1199" w:name="xdx_C09_gL3SOSRIBSTB-NPDVBV_zrOa8YkJvC3i"/>
      <w:bookmarkEnd w:id="1199"/>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significant customer revenues from the Company’s DTC segment for the three months ended June 30,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from one customer of the Company’s OEM segment represent approximately $</w:t>
      </w:r>
      <w:bookmarkStart w:id="1200" w:name="xdx_90E_eus-gaap--Revenues_pn3n3_c202404"/>
      <w:bookmarkEnd w:id="1200"/>
      <w:r>
        <w:rPr>
          <w:rFonts w:ascii="Times New Roman;Times;Serif" w:hAnsi="Times New Roman;Times;Serif"/>
          <w:b w:val="false"/>
          <w:i w:val="false"/>
          <w:caps w:val="false"/>
          <w:smallCaps w:val="false"/>
          <w:sz w:val="20"/>
        </w:rPr>
        <w:t xml:space="preserve">1,561, or </w:t>
      </w:r>
      <w:bookmarkStart w:id="1201" w:name="xdx_90E_ecustom--PercentageOfRevenues_pi"/>
      <w:bookmarkEnd w:id="1201"/>
      <w:r>
        <w:rPr>
          <w:rFonts w:ascii="Times New Roman;Times;Serif" w:hAnsi="Times New Roman;Times;Serif"/>
          <w:b w:val="false"/>
          <w:i w:val="false"/>
          <w:caps w:val="false"/>
          <w:smallCaps w:val="false"/>
          <w:sz w:val="20"/>
        </w:rPr>
        <w:t>12%, of the Company’s consolidated revenues for the three months ended June 30,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bookmarkStart w:id="1202" w:name="xdx_804_eus-gaap--SubsequentEventsTextBl"/>
      <w:bookmarkEnd w:id="1202"/>
      <w:r>
        <w:rPr>
          <w:rFonts w:ascii="Times New Roman;Times;Serif" w:hAnsi="Times New Roman;Times;Serif"/>
          <w:b/>
          <w:i w:val="false"/>
          <w:caps/>
          <w:sz w:val="20"/>
        </w:rPr>
        <w:t xml:space="preserve">Note 15 - </w:t>
      </w:r>
      <w:bookmarkStart w:id="1203" w:name="xdx_827_z0CkhiIqGt6e"/>
      <w:bookmarkEnd w:id="1203"/>
      <w:r>
        <w:rPr>
          <w:rFonts w:ascii="Times New Roman;Times;Serif" w:hAnsi="Times New Roman;Times;Serif"/>
          <w:b/>
          <w:i w:val="false"/>
          <w:caps/>
          <w:sz w:val="20"/>
        </w:rPr>
        <w:t>Subsequent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Series A Preferred Stock Exchange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July 20, 2025, the Company entered into a Settlement and Release Agreement (the “Release Agreement”) with the holder of the outstanding shares of Series A Preferred Stock. Pursuant to the terms of the Release Agreement, the Company issued and delivered </w:t>
      </w:r>
      <w:bookmarkStart w:id="1204" w:name="xdx_90A_eus-gaap--StockIssuedDuringPerio"/>
      <w:bookmarkEnd w:id="1204"/>
      <w:r>
        <w:rPr>
          <w:rFonts w:ascii="Times New Roman;Times;Serif" w:hAnsi="Times New Roman;Times;Serif"/>
          <w:b w:val="false"/>
          <w:i w:val="false"/>
          <w:caps w:val="false"/>
          <w:smallCaps w:val="false"/>
          <w:sz w:val="20"/>
        </w:rPr>
        <w:t>2,100,000 shares of common stock to the holder and the holder surrendered to the Company all of the outstanding shares of Series A Preferred Stock. In addition, under the Release Agreement, upon the issuance of the shares of common stock, the Company’s obligations under the Purchase Agreement, the Certificate of Designation governing the Series A Preferred Stock and the other agreements entered into in connection with the offering of the Series A Preferred Stock were satisfied in full and the Purchase Agreement and the other agreements were deemed terminated and any remaining shares of Series A Preferred Stock that were outstanding or deemed to be outstanding were deemed cancelled and no longer outstanding. The Company has no further obligation to issue any shares of common stock or Series A Preferred Stock to the holder under the Purchase Agreement or otherwise. Under the Release Agreement, each party also provided a full release to the other party.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Public Offering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July 30, 2025, the Company entered into an underwriting agreement with Canaccord Genuity LLC, as underwriter, relating to an underwritten public offering of </w:t>
      </w:r>
      <w:bookmarkStart w:id="1205" w:name="xdx_90E_eus-gaap--SaleOfStockNumberOfSha"/>
      <w:bookmarkEnd w:id="1205"/>
      <w:r>
        <w:rPr>
          <w:rFonts w:ascii="Times New Roman;Times;Serif" w:hAnsi="Times New Roman;Times;Serif"/>
          <w:b w:val="false"/>
          <w:i w:val="false"/>
          <w:caps w:val="false"/>
          <w:smallCaps w:val="false"/>
          <w:sz w:val="20"/>
        </w:rPr>
        <w:t>21,980,000 shares of common stock, at a price to the public of $</w:t>
      </w:r>
      <w:bookmarkStart w:id="1206" w:name="xdx_902_eus-gaap--SaleOfStockPricePerSha"/>
      <w:bookmarkEnd w:id="1206"/>
      <w:r>
        <w:rPr>
          <w:rFonts w:ascii="Times New Roman;Times;Serif" w:hAnsi="Times New Roman;Times;Serif"/>
          <w:b w:val="false"/>
          <w:i w:val="false"/>
          <w:caps w:val="false"/>
          <w:smallCaps w:val="false"/>
          <w:sz w:val="20"/>
        </w:rPr>
        <w:t>0.25 per share. On July 31, 2025, the Company completed the public offering raising gross proceed of approximately $</w:t>
      </w:r>
      <w:bookmarkStart w:id="1207" w:name="xdx_900_eus-gaap--ProceedsFromIssuanceIn"/>
      <w:bookmarkEnd w:id="1207"/>
      <w:r>
        <w:rPr>
          <w:rFonts w:ascii="Times New Roman;Times;Serif" w:hAnsi="Times New Roman;Times;Serif"/>
          <w:b w:val="false"/>
          <w:i w:val="false"/>
          <w:caps w:val="false"/>
          <w:smallCaps w:val="false"/>
          <w:sz w:val="20"/>
        </w:rPr>
        <w:t>5.5 million and net proceeds of $</w:t>
      </w:r>
      <w:bookmarkStart w:id="1208" w:name="xdx_90F_eus-gaap--PaymentsForUnderwritin"/>
      <w:bookmarkEnd w:id="1208"/>
      <w:r>
        <w:rPr>
          <w:rFonts w:ascii="Times New Roman;Times;Serif" w:hAnsi="Times New Roman;Times;Serif"/>
          <w:b w:val="false"/>
          <w:i w:val="false"/>
          <w:caps w:val="false"/>
          <w:smallCaps w:val="false"/>
          <w:sz w:val="20"/>
        </w:rPr>
        <w:t>5.035 million after deducting underwriting discounts and commissions and other estimated offering expenses payable by the Company.</w:t>
      </w:r>
    </w:p>
    <w:p>
      <w:pPr>
        <w:pStyle w:val="TextBody"/>
        <w:shd w:fill="FFFFFF" w:val="clear"/>
        <w:bidi w:val="0"/>
        <w:spacing w:before="0" w:after="0"/>
        <w:ind w:left="0" w:right="0" w:hanging="0"/>
        <w:jc w:val="both"/>
        <w:rPr>
          <w:caps w:val="false"/>
          <w:smallCaps w:val="false"/>
        </w:rPr>
      </w:pPr>
      <w:bookmarkStart w:id="1209" w:name="xdx_812_zhsG6YG6vUXc"/>
      <w:bookmarkEnd w:id="1209"/>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210" w:name="a_006"/>
      <w:bookmarkEnd w:id="1210"/>
      <w:r>
        <w:rPr>
          <w:rFonts w:ascii="Times New Roman;Times;Serif" w:hAnsi="Times New Roman;Times;Serif"/>
          <w:b/>
          <w:i w:val="false"/>
          <w:caps w:val="false"/>
          <w:smallCaps w:val="false"/>
          <w:sz w:val="20"/>
        </w:rPr>
        <w:t>ITEM 2. MANAGEMENT’S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References in this report (the “Quarterly Report”) to “we,” “us,” “our” or the “Company” refer to Dragonfly Energy Holdings Corp., a Nevada corporation. References to “Legacy Dragonfly” refer to Dragonfly Energy Corp., a Nevada corporation and one of our wholly-owned subsidiaries. The following discussion and analysis of the Company’s financial condition and results of operations should be read in conjunction with the unaudited condensed consolidated financial statements and the notes thereto contained elsewhere in this Quarterly Report. Certain information contained in the discussion and analysis set forth below includes forward-looking statements that involve risks and uncertainties.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 a result of the completion of the Business Combination (as defined herein), the financial statements of Legacy Dragonfly are now the financial statements of us. Prior to the Business Combination, we had no operating assets but, upon consummation of the Business Combination, the business and operating assets of Legacy Dragonfly acquired by us became our sole business and operating assets. Accordingly, the financial statements of Legacy Dragonfly and their respective subsidiaries as they existed prior to the Business Combination and reflecting the sole business and operating assets of the Company going forward, are now the financial statements of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discussion and analysis of our financial condition and results of operations should be read together with our financial statements and the related notes and the other financial information included elsewhere in this Quarterly Report and with our audited consolidated financial statements (and notes thereto) for the year ended December 31, 2024 included in our Annual Report on Form 10-K filed with the Securities and Exchange Commission (the “SEC”) on March 31, 2025 (the “Annual Report”), particularly those under “Risk Factors.” This discussion contains forward-looking statements that involve risks and uncertainties. Our actual results could differ materially from those anticipated in these forward-looking statements as a result of various factors, including those discussed below and elsewhere in this Quarterly Report. We undertake no obligation to update these forward-looking statements to reflect events or circumstances after the date of this report or to reflect actual outcomes.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Cautionary Note Regarding Forward Looking-Statements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Quarterly Report on Form 10-Q contains forward-looking statements made pursuant to the safe harbor provisions of the Private Securities Litigation Reform Act of 1995 under Section 27A of the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and Section 21E of the Securities Exchange Act of 1934, as amended. Forward-looking statements include statements with respect to our beliefs, plans, objectives, goals, expectations, anticipations, assumptions, estimates, intentions and future performance, and involve known and unknown risks, uncertainties and other factors, which may be beyond our control, and which may cause our actual results, performance or achievements to be materially different from future results, performance or achievements expressed or implied by such forward-looking statements. All statements other than statements of historical fact are statements that could be forward-looking statements. You can identify these forward-looking statements through our use of words such as “may,” “can,” “anticipate,” “assume,” “should,” “indicate,” “would,” “believe,” “contemplate,” “expect,” “seek,” “estimate,” “continue,” “plan,” “point to,” “project,” “predict,” “could,” “intend,” “target,” “potential” and other similar words and expressions of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a number of important factors that could cause the actual results to differ materially from those expressed in any forward-looking statement made by us. These factors include, but are not limited to:</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service our outstanding indebtedness and comply with the financial covenants in our loan agreement, the failure of which could allow our lenders to accelerate payment under our loan agreement, which would have a material adverse effect on our ability to operate and could require us, among other things, to reduce operations, sell off our assets, seek the protection of bankruptcy courts or shut down our operations and dissolve;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raise additional capital to fund our operations;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successfully increase market penetration into target markets;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cure any listing deficiencies and maintain the listing of our common stock and Public Warrants on the Nasdaq Capital Market;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addressable markets that we intend to target do not grow as expected;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for events or circumstances that result in our failure to timely achieve the anticipated benefits of our customer arrangements with THOR Industries and its affiliate brands (including Keystone RV Company (“Keystone”)), including Keystone’s decision in July 2023, that, due to weaker demand for its products and its subsequent focus on reducing costs, it would no longer install our storage solutions as standard equipment, but rather return to offering those solutions as an option to dealers and consumers;</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generate revenue from future product sales in our existing markets or new markets that we enter, including the trucking and industrials markets, and our ability to achieve and maintain profitability;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loss of any members of our senior management team or other key personnel;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loss of any relationships with key suppliers, including suppliers in China;</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loss of any relationships with key customers;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protect our patents and other intellectual property;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engage target customers and successfully retain these customers for future orders;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failure to successfully optimize solid-state cells or to produce commercially viable solid-state cells in a timely manner or at all, or to scale to mass production;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failure to produce lithium battery cells in the United States in a timely manner or at all, or to scale to mass production;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failure to timely achieve the anticipated benefits of our recent licensing arrangement with Stryten Energy LLC (“Stryten”);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applicable laws or regulations, including changes in the rates of tariffs or any adjustments to the amounts payable by us to customs as a result of improperly identifying the applicable tariff rate payable on our products;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possibility that we may be adversely affected by other economic, business and/or competitive factors (including an economic slowdown or inflationary pressures);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sell the desired amounts of shares of common stock at desired prices under our committed equity facility;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accuracy of our projections and estimates regarding our expenses, capital requirements, cash utilization, and need for additional financing;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developments relating to our competitors and our industry;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reliance on two suppliers for our lithium iron phosphate cells and a single supplier for the manufacture of our battery management system;</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current dependence on one manufacturing facility;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impact of global and macroeconomic conditions, including economic, political and social instability, including the Russia-Ukraine conflict, the India-Pakistan conflict and Hamas’ attack on Israel, and their effects on our operations.</w:t>
            </w:r>
          </w:p>
        </w:tc>
      </w:tr>
    </w:tbl>
    <w:p>
      <w:pPr>
        <w:pStyle w:val="TextBody"/>
        <w:bidi w:val="0"/>
        <w:spacing w:before="0" w:after="0"/>
        <w:ind w:left="324"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does not represent an exhaustive list of matters that may be covered by the forward-looking statements contained herein or risk factors that we are faced with that may cause our actual results to differ from those anticipated in such forward-looking statements. Please see “</w:t>
      </w:r>
      <w:r>
        <w:rPr>
          <w:rFonts w:ascii="Times New Roman;Times;Serif" w:hAnsi="Times New Roman;Times;Serif"/>
          <w:b w:val="false"/>
          <w:i/>
          <w:caps w:val="false"/>
          <w:smallCaps w:val="false"/>
          <w:sz w:val="20"/>
        </w:rPr>
        <w:t>Part I-Item 1A-Risk Factors</w:t>
      </w:r>
      <w:r>
        <w:rPr>
          <w:rFonts w:ascii="Times New Roman;Times;Serif" w:hAnsi="Times New Roman;Times;Serif"/>
          <w:b w:val="false"/>
          <w:i w:val="false"/>
          <w:caps w:val="false"/>
          <w:smallCaps w:val="false"/>
          <w:sz w:val="20"/>
        </w:rPr>
        <w:t>” of our Annual Report and in this Quarterly Report for additional risks which could adversely impact our business and financial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forward-looking statements are expressly qualified in their entirety by this cautionary notice. You are cautioned not to place undue reliance on any forward-looking statements, which speak only as of the date of this Quarterly Report or the date of the document incorporated by reference into this report. We have no obligation, and expressly disclaims any obligation, to update, revise or correct any of the forward-looking statements, whether as a result of new information, future events or otherwise. We have expressed our expectations, beliefs and projections in good faith and believe they have a reasonable basis. However, we cannot assure you that our expectations, beliefs or projections will result or be achieved or accomplished.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manufacturer of non-toxic deep cycle lithium-ion batteries that caters to customers in the consumer industry (including the recreational vehicle (“RV”), marine vessel, solar and off-grid residence industries), and trucking, industrial and energy storage markets, with proprietary, patented and disruptive battery cell manufacturing and non-flammable solid-state cell technology currently under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2020, we have sold over 350,000 batteries. For the quarters ended June 30, 2025, and June 30, 2024, we sold 12,134 and 11,526 batteries, respectively, and had $16.2 million and $13.2 million in net sales, respectively. For the six months ended June 30, 2025 and June 30, 2024, we sold 22,979 and 22,624 batteries, respectively, and had $29.6 million and $25.7 million in net sales, respectively. We currently offer several lines of batteries across our two brands, each differentiated by size, power and capacity, consisting of seven different models, which come with an option for internal heat for cold temperature operation or an option for wireless communication using our Dragonfly IntelLigence feature. We primarily sell “Battle Born” branded batteries directly to consumers (“DTC”) and “Dragonfly” branded batteries to original equipment manufacturers (“OEMs”).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increase in sales is a reflection of a slight recovery in the motorized RV market and increased market penetration as compared to prior quarter and prior year. Although our existing RV OEM customers have only slightly increased their year-over-year production rates, the incorporation of lithium storage systems has accelerated faster than the increase in RV units shipped. This is in contrast to the de-contenting trend that had occurred over the previous 18 months. DTC sales remained relatively flat, indicating generally constant consumer sentiment in the space.</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second quarter of 2025, we continued to implement our corporate optimization initiative, prioritizing product development to drive near term revenue and profit. For instance, this strategic shift is accelerating our development of purpose-built solutions for the trucking and industrial markets, resulting in the recent launch of our Battle Born DualFlow Power Pack, a practical, cost-effective hybrid electrification solution for the trucking industry.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source the lithium iron phosphate (“LFP”) cells incorporated into our batteries from a limited number of carefully selected suppliers that can meet our demanding quality standards and with whom we have developed long-term relationships.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supplement our battery offerings, we are also a reseller of accessories for battery systems. These include chargers, inverters, monitors, controllers and other system accessories from brands such as Victron Energy, Progressive Dynamics, Magnum Energy and Sterling Power. Pursuant to the Asset Purchase Agreement dated April 22, 2022 by and among us and Thomason Jones Company, LLC (“Thomason Jones”) and the other parties thereto, we also acquired the assets, including the Wakespeed Offshore brand (“Wakespeed”) of Thomason Jones, allowing us to include our own alternator regulator in systems that we sell.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our conventional LFP batteries, we have been developing proprietary dry electrode cell manufacturing processes and solid-state cell technology. We believe that our solid-state technology design allows for a much safer, more efficient battery cell that we believe will be a key differentiator in the energy storage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2023, we completed the construction of our proprietary and patented cell electrode manufacturing pilot line. Our patented dry deposition process is chemistry agnostic – meaning it can produce battery cells across a variety of chemistries – and is less capital intensive, uses less energy, and can produce cells in a smaller manufacturing footprint, leading to a lower total cost of manufacturing. In August 2023, we successfully demonstrated the ability to produce anode material at scale using this manufacturing process and did the same with cathode material in October 2023. We have since produced sample cells using PFAS-free binders and automotive-grade electrode loadings and C-rates, and are now working on the design and deployment of scaled-up coating equipment that can be applied to a GWh-scale factory, reflecting the shift in industry priorities from cell performance to cost-effective scalability.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2025, we had cash totaling $2.7 million. Our net loss for the quarter ended June 30, 2025 was $7.0 million and our net loss for the quarter ended June 30, 2024 was $13.6 million. In addition, in April 2025, we completed the second closing of shares of our Series A Convertible Preferred Stock, par value $0.0001 per share (the “Series A Preferred Stock”) which provided us with additional net proceeds of $4.2 million. On July 30, 2025, we entered into an underwriting agreement with Canaccord Genuity LLC, as underwriter, relating to an underwritten public offering (the “2025 Public Offering”) of 21,980,000 shares of common stock, at a price to the public of $0.25 per share. On July 31, 2025, we completed the 2025 Public Offering raising gross proceed of approximately $5.5 million and net proceeds of $5.035 million after deducting underwriting discounts and commissions and other estimated offering expenses payable by us. As discussed under “—</w:t>
      </w:r>
      <w:r>
        <w:rPr>
          <w:rFonts w:ascii="Times New Roman;Times;Serif" w:hAnsi="Times New Roman;Times;Serif"/>
          <w:b w:val="false"/>
          <w:i/>
          <w:caps w:val="false"/>
          <w:smallCaps w:val="false"/>
          <w:sz w:val="20"/>
        </w:rPr>
        <w:t>Liquidity and Capital Resources</w:t>
      </w:r>
      <w:r>
        <w:rPr>
          <w:rFonts w:ascii="Times New Roman;Times;Serif" w:hAnsi="Times New Roman;Times;Serif"/>
          <w:b w:val="false"/>
          <w:i w:val="false"/>
          <w:caps w:val="false"/>
          <w:smallCaps w:val="false"/>
          <w:sz w:val="20"/>
        </w:rPr>
        <w:t>” below we expect that we will need to raise additional funds, including through the use of the ChEF Equity Facility (as defined below) and the issuance of equity, equity-related or debt securities or by obtaining additional credit from financial institutions to fund, together with our principal sources of liquidity, ongoing costs. If such financings are not available, or if the terms of such financings are less desirable than we expect, we may be forced to take actions to reduce our capital or operating expenditures, including not seeking potential acquisition opportunities, eliminating redundancies, or reducing or delaying our production facility expansions, reduce operations, sell off our assets, seek the protection of bankruptcy courts or shut down our operations and dissolve.</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License Agreement with Stryten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29, 2024, Legacy Dragonfly and Battle Born Battery Products, LLC (“Battle Born LLC”), a wholly-owned subsidiary of Legacy Dragonfly, entered into a License Agreement (the “License Agreement”) with Stryten. Pursuant to the License Agreement, Battle Born LLC granted Stryten an exclusive, worldwide license to use certain trademarks relating to Legacy Dragonfly’s lithium-ion battery brand, Battle Born Batteries® (the “Licensed Trademarks”) for business-to-business sales of batteries to customers within the following markets: (i) automative, (ii) marine, (iii) powersports, (iv) lawn and garden, (v) golf cart, and (vi) military and defense (such industries, the “Stryten Market”). In exchange for the licensing rights, Stryten agreed to pay Battle Born LLC an initial licensing fee of $5,000,000 (the “Initial Licensing Fee”), which was paid on August 29,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License Agreement provides for mid-single digit royalty payments based on net sales using the Licensed Trademarks, with a tiered structure reaching up to $25,000,000, at which point Stryten will be required to pay a nominal annual license fee. Additional fees will apply for battery design and contract manufacturing services outside of the License Agreement. The License Agreement is perpetual in term, unless terminated by: (i) Battle Born LLC if Stryten fails to pay the royalty payments required by the License Agreement and such royalty payments remain unpaid thirty (30) days after notice of such overdue payments (provided that Battle Born LLC uses reasonable efforts to discuss such overdue payments with Stryten), or (ii) either party (x) if the other party materially breaches the License Agreement and fails to cure such material breach within thirty (30) days of notice of such breach, (y) upon the occurrence of certain bankruptcy-related events, or (z) under certain circumstances, if the aggregate royalty payments received by Battle Born LLC under the License Agreement are less than $15,000,000 after five (5)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Earnout Merger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initial merger consideration in connection with our business combination, up to 4,444,445 additional shares of common stock (“</w:t>
      </w:r>
      <w:r>
        <w:rPr>
          <w:rFonts w:ascii="Times New Roman;Times;Serif" w:hAnsi="Times New Roman;Times;Serif"/>
          <w:b/>
          <w:i w:val="false"/>
          <w:caps w:val="false"/>
          <w:smallCaps w:val="false"/>
          <w:sz w:val="20"/>
        </w:rPr>
        <w:t>Earnout Shares</w:t>
      </w:r>
      <w:r>
        <w:rPr>
          <w:rFonts w:ascii="Times New Roman;Times;Serif" w:hAnsi="Times New Roman;Times;Serif"/>
          <w:b w:val="false"/>
          <w:i w:val="false"/>
          <w:caps w:val="false"/>
          <w:smallCaps w:val="false"/>
          <w:sz w:val="20"/>
        </w:rPr>
        <w:t>”) may be issued based on achieving specified milestones in three tranches: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9"/>
        <w:gridCol w:w="9981"/>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8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Tranche (1,666,667 shares): Issuable if 2023 total audited revenue is at least $250 million and audited operating income is at least $35 million. This milestone was not achieved for 2023.</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8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Second Tranche (1,388,889 shares): Issuable if the volume-weighted average trading price of common stock reaches $202.50 over any 20 trading days within a 30-day period, on or before December 31, 2026.</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8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Third Tranche (1,388,889 shares): Issuable if the volume-weighted average trading price of common stock reaches $292.50 over any 20 trading days within a 30-day period, on or before December 31, 2028.</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change of control occurs during the second or third earnout periods, unachieved milestones will be automatically deemed satisfied if the share price at the time of the transaction meets or exceeds $202.50 for the second period or $292.50 for the third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ChEF Equity Facility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Chardan Capital Markets LLC, a New York limited liability company (“CCM LLC”) entered into a purchase agreement (as amended, the “ChEF Purchase Agreement”) and a Registration Rights Agreement in connection with our merger in October 2022 (the “Business Combination”). Pursuant to the Original Purchase Agreement, we have the right to sell to CCM LLC an amount of shares of common stock, up to a maximum aggregate purchase price of $150 million, pursuant to the terms of the ChEF Purchase Agreement (the “ChEF Equity Facility”), subject to certain restrictions set forth in the Term Loan Agreement. The ChEF Purchase Agreement terminates in December 2025. In connection with the 2025 Public Offering, we agreed not to sell shares of our common stock for a period of 90 days following the closing of the offering, subject to certain exceptions .</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May 2024 Private Placement</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13, 2024, we received a waiver (the “May 2024 Waiver”) from the Term Loan Lenders in regards to our compliance with the Tests (the “Tests”) as of the last day of the quarter ended March 31, 2024. The May 2024 Waiver provided for a one-time issuance of penny warrants (the “May 2024 Penny Warrants”) to purchase up to 283,334 shares of our common stock (the “May 2024 Penny Warrant Shares”), at an exercise price of $0.09 per share, in connection with the Term Loan Lender’s agreement to waive the Tests under the Term Loan for the quarter ended March 31, 2024. The May 2024 Penny Warrants were immediately exercisable upon issuance and will expire ten years from the date of issuance.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June 2024 Private Placement and First Amendment to Term Loan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28, 2024, we received a limited waiver and first amendment (the “First Amendment”) to the Term Loan Agreement from the Term Loan Lenders in regards to our compliance with the Tests as of the last day of the quarter ended June 30, 2024. The First Amendment provided for a one-time issuance of penny warrants (the “June 2024 Penny Warrants”) to purchase up to 233,334 shares of our common stock (the “June 2024 Penny Warrant Shares”), at an exercise price of $0.09 per share, in connection with the Term Loan Lender’s agreement to waive the Tests under the Term Loan for the quarter ended June 30, 2024. The June 2024 Penny Warrants were immediately exercisable upon issuance and will expire ten years from the date of issuance.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First Amendment (i) reduced the liquidity requirement under the Term Loan to be $3.5 million as of the last day of the month ended June 30, 2024, and $10.0 million as of the last day of each fiscal month thereafter commencing with the fiscal month ended July 31, 2024 and (ii) provided for the interest to be paid on the Payment Date (as defined in the Term Loan Agreement) occurred on July 1, 2024 to be solely payable-in-kind.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Second Amendment to Term Loan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License Agreement, on July 29, 2024, us, Legacy Dragonfly and Battle Born LLC entered into a Limited Waiver, Consent and Second Amendment to the Term Loan, Guarantee and Security Agreement (the “Second Amendment”) with the Term Loan Lenders under our Original Term Loan Agreement (as defined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Second Amendment, the Term Loan Lenders (i) consented to the transactions contemplated by the License Agreement and the Trademark Transfer Agreement and (ii) agreed to waive the mandatory prepayment under the Term Loan Agreement that would have been due to the Term Loan Lenders under the Loan Agreement upon Battle Born LLC’s receipt of the Initial Licensing Fee.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Amendment, Battle Born LLC entered into a Joinder Agreement with the Term Loan Lenders (the “Joinder”) whereby Battle Born LLC became a guarantor and credit party to the Term Loan Agreement.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September 2024 Private Placement and Third Amendment to the Term Loan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30, 2024, we received a limited waiver and third amendment (the “Third Amendment”) to the Term Loan Agreement from the Term Loan Lenders in regards to our compliance with the Tests as of the last day of the quarter ended September 30, 2024. The Third Amendment provided for a one-time issuance of penny warrants (the “September 2024 Penny Warrants”) to purchase up to 333,334 shares of our common stock (the “September 2024 Penny Warrant Shares”), at an exercise price of $0.09 per share, in connection with the Term Loan Lender’s agreement to waive the Tests under the Term Loan for the quarter ended September 30, 2024. The September 2024 Penny Warrants were immediately exercisable upon issuance and will expire ten years from the date of issuance.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Third Amendment (i) reduced the liquidity requirement under the Term Loan to be $7.0 million as of the last day of the month ended September 30, 2024, and $10.0 million as of the last day of each fiscal month thereafter commencing with the fiscal month ended July 31, 2024 and (ii) on October 1, 2024, interest is payable (a) $1,500,000 in cash pro rata benefit of the Lenders and (b) the remaining interest in-kind, to be capitalized and added to the principal. For Payment Dates occurring on or after January 1, 2025 (including interest accruing from October 1, 2024, through December 31, 2024), all interest shall be paid in cash at a rate equal to Adjusted Term SOFR (as defined in the Term Loan Agreement) plus the Applicable Margin (as defined in the Term Loan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December 2024 Private Placement and Fourth Amendment to the Term Loan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31, 2024, we received a limited waiver and fourth amendment (the “Fourth Amendment”) to the Term Loan Agreement from the Term Loan Lenders in regards to our compliance with the Tests as of the last day of the quarter ended December 31, 2024. The Fourth Amendment provided for a one-time issuance of penny warrants (the “December 2024 Penny Warrants”) to purchase up to 350,000 shares of our common stock (the “December 2024 Penny Warrant Shares”), at an exercise price of $0.01 per share, in connection with the Term Loan Lender’s agreement to waive the Tests under the Term Loan for the quarter ended December 31, 2024. The December 2024 Penny Warrants will be exercisable at such time that we obtain the Warrant Issuance Shareholder Approval (as defined below) and will expire ten years from the date of issuance.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Fourth Amendment (i) reduced the liquidity requirement under the Term Loan to be $3.5 million as of the last day of the month ended December 31, 2024, and $10.0 million as of the last day of each fiscal month thereafter commencing with the fiscal month ended January 31, 2025 and (ii) on January 1, 2025, interest is payable in-kind, to be capitalized and added to the principal. For Payment Dates occurring on or after April 1, 2025 (including interest accruing from January 1, 2025, through March 31, 2025), all interest shall be paid in cash at a rate equal to Adjusted Term SOFR plus the Applicable Margin.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Fourth Amendment, we agreed to use commercially reasonable efforts to obtain shareholder approval for the issuance of up to 1,400,000 shares of common stock underlying penny warrants issued to the Term Loan Lenders on and after the date of the Fourth Amendment, including the December 2024 Penny Warrant Shares and the Accrued Warrant Shares (as defined below), in accordance with Rules 5635(b) and 5635(d) of the Nasdaq Stock Market (the “Warrant Issuance Shareholder Approval”). Further, we agreed to issue the Term Loan Lenders additional penny warrants (the “Accrued Penny Warrants”) exercisable for a number of shares of common stock pursuant to the formula set forth in the Fourth Amendment (the “Accrued Warrant Shares”) upon the earlier to occur of (i) five business days after the end of the Waiver Period (as defined below) or (ii) five business days prior to the effectiveness of a Change of Control (as defined in the Term Loan Agreement), in which such Accrued Penny Warrants would not be exercisable prior to receipt of the Warrant Issuance Shareholder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Fourth Amendment, the Term Loan Lenders agreed to temporarily suspend the Term Loan Lenders’ rights under Section 4(b) of the Penny Warrants to receive additional warrant shares in connection with the issuances by us of shares of common stock pursuant to the ChEF Equity Facility during the Waiver Period. In addition, the Fourth Amendment: (i) provided for the interest to be paid on the Payment Date (as defined in the Term Loan Agreement) occurring on January 1, 2025 to be payable partly in cash and the remainder payable-in-kind as set forth in the Amendment; and (ii) reduced the liquidity requirement under the Term Loan Agreement to be $3.5 million as of the last day of the fiscal month ended December 31, 2024.</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February 2025 Registered Direct Offering and Concurrent Private Placement, Fifth Amendment to Term Loan Agreement and April 2025 Private Placement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26, 2025, we entered into a securities purchase agreement with a single institutional investor, pursuant to which we sold in a registered direct offering (the “Registered Direct Offering”) 180 shares of Series A Preferred Stock, at a price of $10,000 per share, initially convertible into shares of our common stock, at a conversion price of $2.332 per share of common stock. The Series A Preferred Stock is also convertible by the investor at an adjusted conversion price, subject to the applicable floor price, which is based on a discount to the market price of our common stock as set forth in the certificate of designation for the Series A Preferred Stock. The floor price for the Series A Preferred Stock sold in the Registered Direct Offering is $1.00.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Concurrently with the sale of the Series A Preferred Stock in the Registered Direct Offering, in a private placement offering pursuant to the Purchase Agreement (the “Private Placement” and, together with the Registered Direct Offering, the “Offerings”), we sold, at the initial closing of the Private Placement (the “Initial Closing”), (i) an additional 170 shares of Series A Preferred Stock at the same offering price as the Series A Preferred Stock offered in the Registered Direct Offering, initially convertible into shares of common stock at a conversion price of $2.332 per share, and (ii) warrants (the “Private Placement Convertible Preferred Warrants”) to purchase up to an aggregate of 4,000 shares of Series A Preferred Stock (the “Private Placement Warrant Shares”), with an exercise price of $10,000 per share of Series A Preferred Stock, and a term as described below. The floor price for the Series A Preferred Stock sold in the Private Placement is $0.424.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price under each Private Placement Convertible Preferred Warrant will be $10,000 per share of Series A Preferred Stock. Each Private Placement Convertible Preferred Warrant will be exercisable for 200 shares of Series A Preferred Stock in minimum increments of $500,000. The Private Placement Convertible Preferred Warrants will have a term beginning on the issuance date and ending on or prior to the earlier of (i) the thirty-three (33) month anniversary of the date the shares of common stock issued or issuable upon the conversion of the Series A Preferred Stock issued in the concurrent Private Placement are registered for resale (“Registration Effectiveness”) pursuant to an effective registration statement under the Securities Act of 1933, as amended, (the “Securities Act”) (such date, the “Registration Effectiveness Date”) and (ii) (A) the consummation of a Change of Control (as defined in the certificate of designation) and (B) the consummation of a redemption of the then outstanding Series A Preferred Stock in full. The exercise price and number of shares of Series A Preferred Stock issuable upon exercise are subject to appropriate adjustment in the event of share dividends, share splits, reorganizations or similar events affecting shares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Private Placement Convertible Preferred Warrants, we have a call right upon the occurrence of certain events. No earlier than two (2) months following the Registration Effectiveness Date and (2) the most recent conversion or exercise in full of a Private Placement Convertible Preferred Warrant, (i) the VWAP for each of twenty (20) trading days (the “Measurement Period”) exceeds $3.00, (ii) the average daily volume for such Measurement Period exceeds $300,000 per trading day, (iii) the aggregate stated value of the then outstanding Series A Preferred Stock is less than or equal to $1,500,000, (iv) the Private Placement Warrant Shares are registered for resale pursuant to an effective registration statement and (v) there has not been an Equity Conditions Failure (as defined in the certificate of designation), then we may, within one (1) trading day of the end of such Measurement Period, call for cancellation of all or any portion of the Private Placement Convertible Preferred Warrant for which a notice to exercise has not yet been delivered and require the holder to exercise in part or in full the number of shares of Series A Preferred Stock set forth in an irrevocable written notice (a “Call Notice”) for consideration equal to the applicable number of Series A Preferred Stock issuable upon exercise or cancellation of the Private Placement Convertible Preferred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upon receipt of stockholder approval pursuant to the rules of Nasdaq for certain shares of common stock issuable upon conversion of the Series A Preferred Stock and the Registration Effectiveness, the investor will be automatically required to purchase for $4.5 million (the “Second Closing”) an additional 450 shares of Series A Preferred Stock (the “Second Closing Preferred Shares”). The Second Closing Preferred Shares are identical to the Series A Preferred Stock offered in the Registered Direct Offering and sold in the initial closing of the Private Placement, other than the conversion price and the floor price which was determined at the time of the Second Closing based on the Nasdaq minimum price. On April 28, 2025, pursuant to the Purchase Agreement, we sold to the Purchaser, in the Second Closing 450 Preferred Shares at a price of $10,000 per share, initially convertible into shares of common stock at a conversion price of $0.594 per share. The floor price for the Series A Preferred Stock issued in the Second Closing is $0.10902.</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net proceeds to us from the Initial Offerings and the Second Offering, after deducting the placement agent’s fees and expenses and estimated offering expenses, were approximately $3.2 million and $4.2, respectively, excluding the net proceeds, if any, from the exercise of the Private Placement Convertible Preferred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condition precedent to the closing of the Initial Offerings, on February 26, 2025, we entered into the Fifth Amendment (the “Fifth Amendment”) to the Term Loan Agreement with the Term Loan Lenders. Under the Fifth Amendment, the Term Loan Lenders agreed to, among other matters (i) receive no principal or interest payments under the Term Loan Agreement through March 31, 2026, and (ii) remove certain financial covenant tests under the Term Loan, provided that we maintain cash and cash equivalents equal to at least $2.5 million through such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Fifth Amendment, we agreed to make certain mandatory prepayments on the Term Loan upon the occurrence of certain events. We are obligated to make a mandatory prepayment of the Term Loan equal to (i) 100% of the net cash proceeds of certain equity issuances by us made on or after the announcement of a Change of Control (as defined in the Term Loan Agreement), and (ii) 20% of the net cash proceeds of certain equity issuances by us made prior to the announcement of a Change of Control.</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entry into the Fifth Amendment, we issued to the Term Loan Lenders 330,000 penny warrants (the “February 2025 Penny Warrants”) to purchase shares of our common stock at an exercise price of $0.01 per share on the date of the Initial Closing in connection with the waiver of the antidilution provisions in the existing penny warrants held by the Term Loan Lenders with respect to the shares of Series A Preferred Stock issued at the closing of the Registered Direct Offering and the initial closing of the Private Placement. We also agreed to increase the number of shares subject to the Warrant Issuance Shareholder Approval (as defined in the Term Loan Agreement) from 1,400,000 to 3,130,000. Further, we and the Term Loan Lenders agreed to waive the antidilution provisions in the existing penny warrants held by the Lenders with respect to the Private Placement Convertible Preferred Warrants issued at the initial closing of the Private Placement and the shares of Series A Preferred Stock issued at the Second Closing on the condition that we will issue to the Term Loan Lenders a number of penny warrants which will be determined by the parties within five (5) trading days after the end of each fiscal quarter after the Second Closing. We have also agreed that (i) sales of common Stock pursuant to the ChEF Equity Facility shall not exceed 5% of the average daily traded volume of our common stock on any Eligible Market (as defined in the Certificate of Designations), (ii) no share of common stock shall be issued pursuant to the ChEF Equity Facility at a price per share less than the greater of (x) 150% of the Floor Price and (y) $1.00 and (iii) the aggregate proceeds of sales of common stock pursuant to the ChEF Equity Facility shall not exceed $12.0 million; provided, that, with respect to clause (i), such percentage shall increase to 7% after the Registration Effectiveness Date.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23, 2025, we and the holder of Private Placement Convertible Preferred Warrants agreed to cancel such holder’s Private Placement Convertible Preferred Warrants to purchase up to an aggregate of 4,000 shares of Series A Preferred Stock, with an exercise price of $10,000 per share of Series A Preferred Stock. As a result, the Private Placement Convertible Preferred Warrants are no longer outstanding.</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20, 2025, we entered into a Settlement and Release Agreement (the “Release Agreement”) with the holder of the outstanding shares of Series A Preferred Stock. Pursuant to the terms of the Release Agreement, we issued and delivered 2,100,000 shares of common stock to the holder and the holder surrendered to the Company all of the outstanding shares of Series A Preferred Stock. In addition, under the Release Agreement, upon the issuance of the shares of common stock, our obligations under the Purchase Agreement, the Certificate of Designation governing the Series A Preferred Stock and the other agreements entered into in connection with the offering of the Series A Preferred Stock were satisfied in full and the Purchase Agreement and the other agreements were deemed terminated and any remaining shares of Series A Preferred Stock that were outstanding or deemed to be outstanding were deemed cancelled and no longer outstanding. We have no further obligation to issue any shares of common stock or Series A Preferred Stock to the holder under the Purchase Agreement or otherwise. Under the Release Agreement, each party also provided a full release to the other party.</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52</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Change in Board of Directors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our efforts to reduce expenses, our Board of Directors approved reducing the size of the Board to five members, and in connection therewith, on May 6, 2025 and May 7, 2025 respectively, Dr. Karina Montilla Edmonds and Mr. Jonathan Bellows resigned as members of the Board, effective immediately. Subsequently, on May 30, 2025, Rick Parod resigned as a member of the Board, effective immediately. As a result of the resignations, the Board currently has four directors.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2025 Public Offering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30, 2025, we entered into an underwriting agreement with Canaccord Genuity LLC, as underwriter, relating to an underwritten public offering of 21,980,000 shares of common stock, at a price to the public of $0.25 per share. On July 31, 2025, we completed the 2025 Public Offering raising gross proceed of approximately $5.5 million and net proceeds of $5.035 million after deducting underwriting discounts and commissions and other estimated offering expenses payable by us.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Factors Affecting Our Operating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financial position and results of operations depend to a significant extent on the following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End Market Consumers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demand for our products ultimately depends on demand from consumers in our current end markets. We generate sales through (1) DTC and (2) through OEMs, particularly in the RV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increasing proportion of our sales has been and is expected to continue to be derived from sales to RV OEMs, driven by continued efforts to develop and expand sales to RV OEMs with whom we have longstanding relationships. Our RV OEM sales have been on a purchase order basis, without firm revenue commitments, and we expect that this will likely continue to be the case. Therefore, future RV OEM sales will be subject to risks and uncertainties, including the number of RVs these OEMs manufacture and sell, which in turn may be driven by the expectations these OEMs have around end market consumer demand.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Demand from end market consumers is impacted by a number of factors, including travel restrictions, fuel costs and energy demands (including an increasing trend towards the use of green energy), as well as overall macro-economic conditions and inflation. Sales of our batteries have benefited from the increased adoption of the RV lifestyle, the demand for and inclusion of additional appliances and electronics in RVs, and the accelerating trend of solar power adoption among RV customers. However, macro-economic conditions and increased competition from imported battery packs have led to a decrease in direct to consumer sales. We have addressed this decrease through product diversification by the release of our Dragonfly IntelLigence feature, as well as more targeted marketing efforts to increase the efficiency of our marketing spend. We expect that direct to consumer sales will remain relatively flat through 2025. However, we expect growth among our existing RV OEM customers due to an overall increase in RV shipments as our customers expanding the number of models that will include our battery systems in the new model year. Moreover, we expect increased revenue through our market diversification efforts – especially in our industrials market, including industrial solar and oil and gas, as well as the trucking market, in which we have been piloting our systems with fleets for the last two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strategy includes plans to expand into new end markets that we have identified as opportunities for our LFP batteries, including, rail, specialty and work vehicles, material handling, solar integration, and emergency and standby power, in the medium term, and data centers, telecom and distributed on-grid storage in the longer term. We believe that our current LFP batteries and, eventually, our solid-state batteries, will be well-suited to supplant traditional lead-acid batteries as a reliable power source for the variety of low power density uses required in these markets (such as powering the increasing number of on-board tools needed in emergency vehicles). The success of this strategy requires (1) continued growth of these addressable markets in line with our expectations and (2) our ability to successfully enter these markets. We expect to incur significant marketing costs understanding these new markets, and researching and targeting customers in these end markets, which may not result in sales. If we fail to execute on this growth strategy in accordance with our expectations, our sales growth would be limited to the growth of existing products and existing end markets.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Supply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rely on two carefully selected cell manufacturers located in China, and a single supplier, also located in China, to manufacture our proprietary battery management system. Our close working relationships with our China-based LFP cell suppliers, reflected in our ability to increase our purchase order volumes (qualifying us for related volume-based discounts) and order and receive delivery of cells in anticipation of required demand, has helped us moderate increased supply-related costs associated with inflation, currency fluctuations and U.S. government tariffs imposed on our imported battery cells and to avoid potential shipment delays. To mitigate against potential adverse production events, we opted to build our inventory of key components, such as battery cells. However, as many of the supply chain challenges and delays that were prevalent over the last several years have eased, we are actively working down our inventory to more appropriate safety stock levels.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our battery chemistry and active steps we have taken to manage our inventory levels, we have not been subject to the shortages or price impacts that have been present for manufacturers of nickel manganese cobalt and nickel cobalt aluminum batteries. As we look toward the production of our solid-state cells, we have signed a Commercial Offtake Agreement with a lithium mining company located in Nevada for the supply of lithium, which we expect will enable us to further manage our cost of goods over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Product and Customer Mix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product sales consist of sales of seven different models of LFP batteries, along with accessories for battery systems (individually or bundled). These products are sold to different customer types (e.g., consumers, OEMs and distributors) and at different prices and involve varying levels of costs. In any particular period, changes in the mix and volume of particular products sold and the prices of those products relative to other products will impact our average selling price and our cost of goods sold. Despite our work to moderate increased supply-related costs, the price of our products may also increase as a result of increases in the cost of components due to inflation, currency fluctuations and tariffs. OEM sales typically result in lower average selling prices and related margins, which could result in margin erosion, negatively impact our growth or require us to raise our prices. However, this reduction is typically offset by the benefits of increased sales volumes. Sales of third-party sourced accessories typically have lower related margin. We expect accessory sales to increase as we further develop full-system design expertise and product offerings and consumers increasingly demand more sophisticated systems, rather than simple drop-in replacements. In addition to the impacts attributable to the general sales mix across our products and accessories, our results of operations are impacted by the relative margins of products sold. As we continue to introduce new products at varying price points, our overall gross margin may vary from period to period as a result of changes in product and customer mix.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Production Capacity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battery assembly currently takes place at our 390,240 square foot headquarters and manufacturing facility located in Reno, Nevada. While the lease for the 99,000 facility is continuing, no manufacturing is taking place in this location. We currently operate three LFP battery production lines. Consistent with our operating history, we plan to continue to automate additional aspects of our battery production lines. Our existing facility has the capacity to add up to four additional LFP battery production lines and construct and operate a pilot production line for our solid-state cells, all designed to maximize the capacity of our manufacturing facility. Although our automation efforts are expected to reduce our costs of goods, we may not fully recognize the anticipated savings when planned and could experience additional costs or disruptions to our production activities. We have also focused on optimizing our manufacturing efficiency and throughput, enabling us to increase our production capacity without the need for increased headcount.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Competition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compete with traditional lead-acid battery manufacturers and lithium-ion battery manufacturers, who primarily either import their products or components or manufacture products under a private label. As we continue to expand into new markets, develop new products and move towards production of our own conventional LFP cells and, in the longer term, solid state cells, we will experience competition with a wider range of companies. These competitors may have greater resources than we do and may be able to devote greater resources to the development of their current and future technologies. Our competitors may be able to source materials and components at lower costs, which may require us to evaluate measures to reduce our own costs, lower the price of our products or increase sales volumes in order to maintain our expected levels of profitability.</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Research and Development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research and development is currently primarily focused on the scaling our proprietary dry electrode process for domestic production of full LFP cells. Although we have reallocated resources from the advanced manufacturing of solid-state lithium-ion batteries in order to focus on conventional cells, we expect to return to the solid-state chemistry as capital becomes more available for these longer term projects.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Components of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sales are primarily generated from the sale of our LFP batteries to OEMs and directly to consumers, as well as chargers and other accessories, either individually or bundled.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Goods Sold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goods sold includes the cost of cells and other components of our LFP batteries, labor and overhead, logistics and freight costs, and depreciation of manufacturing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Gross Profit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calculated as net sales less cost of goods sold, may vary between periods and is primarily affected by various factors including average selling prices, product costs, product mix and customer mix.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Research and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costs include personnel-related expenses for scientists, experienced engineers and technicians as well as the material and supplies to support the development of new products and our solid-state technology.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and administrative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costs include personnel-related expenses attributable to our executive, finance, human resources, and information technology organizations, certain facility costs, and fees for professional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Selling and marketing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and marketing costs include outbound freight, personnel-related expenses, as well as trade show, industry event, marketing, customer support, and other indirect costs. We expect to continue to make the necessary sales and marketing investments to enable the execution of our strategy, which includes expanding into additional end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Total Other Income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(expense) consists primarily of interest expense, the change in fair value of the warrant liability and amortization of debt issuance costs.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Comparisons for the Three months ended June 30, 2025, and June 30,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our results of operations for the three months ended June 30, 2025 and June 30, 2024. This data should be read together with our financial statements and related notes included elsewhere in this Quarterly Report, and is qualified in its entirety by reference to such financial statements and related notes.</w:t>
      </w:r>
    </w:p>
    <w:p>
      <w:pPr>
        <w:pStyle w:val="TextBody"/>
        <w:bidi w:val="0"/>
        <w:spacing w:before="0" w:after="0"/>
        <w:ind w:left="0" w:right="0" w:hanging="0"/>
        <w:jc w:val="both"/>
        <w:rPr>
          <w:caps w:val="false"/>
          <w:smallCaps w:val="false"/>
        </w:rPr>
      </w:pPr>
      <w:r>
        <w:rPr>
          <w:caps w:val="false"/>
          <w:smallCaps w:val="false"/>
        </w:rPr>
        <w:t> </w:t>
      </w:r>
    </w:p>
    <w:tbl>
      <w:tblPr>
        <w:tblW w:w="9308" w:type="dxa"/>
        <w:jc w:val="left"/>
        <w:tblInd w:w="0" w:type="dxa"/>
        <w:tblLayout w:type="fixed"/>
        <w:tblCellMar>
          <w:top w:w="0" w:type="dxa"/>
          <w:left w:w="0" w:type="dxa"/>
          <w:bottom w:w="0" w:type="dxa"/>
          <w:right w:w="0" w:type="dxa"/>
        </w:tblCellMar>
      </w:tblPr>
      <w:tblGrid>
        <w:gridCol w:w="4460"/>
        <w:gridCol w:w="60"/>
        <w:gridCol w:w="140"/>
        <w:gridCol w:w="680"/>
        <w:gridCol w:w="95"/>
        <w:gridCol w:w="60"/>
        <w:gridCol w:w="119"/>
        <w:gridCol w:w="1130"/>
        <w:gridCol w:w="95"/>
        <w:gridCol w:w="60"/>
        <w:gridCol w:w="140"/>
        <w:gridCol w:w="755"/>
        <w:gridCol w:w="95"/>
        <w:gridCol w:w="60"/>
        <w:gridCol w:w="107"/>
        <w:gridCol w:w="1142"/>
        <w:gridCol w:w="110"/>
      </w:tblGrid>
      <w:tr>
        <w:trPr/>
        <w:tc>
          <w:tcPr>
            <w:tcW w:w="44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678"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Three months ended June 30,</w:t>
            </w:r>
          </w:p>
        </w:tc>
        <w:tc>
          <w:tcPr>
            <w:tcW w:w="110" w:type="dxa"/>
            <w:tcBorders/>
            <w:vAlign w:val="center"/>
          </w:tcPr>
          <w:p>
            <w:pPr>
              <w:pStyle w:val="TableContents"/>
              <w:bidi w:val="0"/>
              <w:spacing w:before="0" w:after="283"/>
              <w:jc w:val="left"/>
              <w:rPr/>
            </w:pPr>
            <w:r>
              <w:rPr/>
              <w:t> </w:t>
            </w:r>
          </w:p>
        </w:tc>
      </w:tr>
      <w:tr>
        <w:trPr/>
        <w:tc>
          <w:tcPr>
            <w:tcW w:w="44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Net Sales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Net Sales</w:t>
            </w:r>
          </w:p>
        </w:tc>
        <w:tc>
          <w:tcPr>
            <w:tcW w:w="110" w:type="dxa"/>
            <w:tcBorders/>
            <w:vAlign w:val="center"/>
          </w:tcPr>
          <w:p>
            <w:pPr>
              <w:pStyle w:val="TableContents"/>
              <w:bidi w:val="0"/>
              <w:spacing w:before="0" w:after="283"/>
              <w:jc w:val="left"/>
              <w:rPr/>
            </w:pPr>
            <w:r>
              <w:rPr/>
              <w:t> </w:t>
            </w:r>
          </w:p>
        </w:tc>
      </w:tr>
      <w:tr>
        <w:trPr/>
        <w:tc>
          <w:tcPr>
            <w:tcW w:w="44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678" w:type="dxa"/>
            <w:gridSpan w:val="14"/>
            <w:tcBorders/>
            <w:vAlign w:val="center"/>
          </w:tcPr>
          <w:p>
            <w:pPr>
              <w:pStyle w:val="TableContents"/>
              <w:bidi w:val="0"/>
              <w:spacing w:before="0" w:after="283"/>
              <w:jc w:val="center"/>
              <w:rPr>
                <w:b/>
              </w:rPr>
            </w:pPr>
            <w:r>
              <w:rPr>
                <w:b/>
              </w:rPr>
              <w:t>(in thousands)</w:t>
            </w:r>
          </w:p>
        </w:tc>
        <w:tc>
          <w:tcPr>
            <w:tcW w:w="110" w:type="dxa"/>
            <w:tcBorders/>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b/>
              </w:rPr>
            </w:pPr>
            <w:r>
              <w:rPr>
                <w:b/>
              </w:rPr>
              <w:t>Net Sales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16,248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13,208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142" w:type="dxa"/>
            <w:tcBorders/>
            <w:shd w:fill="CCEEFF" w:val="clear"/>
            <w:vAlign w:val="center"/>
          </w:tcPr>
          <w:p>
            <w:pPr>
              <w:pStyle w:val="TableContents"/>
              <w:bidi w:val="0"/>
              <w:spacing w:before="0" w:after="283"/>
              <w:jc w:val="right"/>
              <w:rPr/>
            </w:pPr>
            <w:r>
              <w:rPr/>
              <w:t>100.0</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pPr>
            <w:r>
              <w:rPr/>
              <w:t>Cost of Goods Sold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11,643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FFFFFF" w:val="clear"/>
            <w:tcMar>
              <w:bottom w:w="28" w:type="dxa"/>
            </w:tcMar>
            <w:vAlign w:val="center"/>
          </w:tcPr>
          <w:p>
            <w:pPr>
              <w:pStyle w:val="TableContents"/>
              <w:bidi w:val="0"/>
              <w:spacing w:before="0" w:after="283"/>
              <w:jc w:val="right"/>
              <w:rPr/>
            </w:pPr>
            <w:r>
              <w:rPr/>
              <w:t>71.7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10,041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42" w:type="dxa"/>
            <w:tcBorders>
              <w:bottom w:val="single" w:sz="8" w:space="0" w:color="000000"/>
            </w:tcBorders>
            <w:shd w:fill="FFFFFF" w:val="clear"/>
            <w:tcMar>
              <w:bottom w:w="28" w:type="dxa"/>
            </w:tcMar>
            <w:vAlign w:val="center"/>
          </w:tcPr>
          <w:p>
            <w:pPr>
              <w:pStyle w:val="TableContents"/>
              <w:bidi w:val="0"/>
              <w:spacing w:before="0" w:after="283"/>
              <w:jc w:val="right"/>
              <w:rPr/>
            </w:pPr>
            <w:r>
              <w:rPr/>
              <w:t>76.0</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4,605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28.3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3,167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142" w:type="dxa"/>
            <w:tcBorders/>
            <w:shd w:fill="CCEEFF" w:val="clear"/>
            <w:vAlign w:val="center"/>
          </w:tcPr>
          <w:p>
            <w:pPr>
              <w:pStyle w:val="TableContents"/>
              <w:bidi w:val="0"/>
              <w:spacing w:before="0" w:after="283"/>
              <w:jc w:val="right"/>
              <w:rPr/>
            </w:pPr>
            <w:r>
              <w:rPr/>
              <w:t>24.0</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pPr>
            <w:r>
              <w:rPr/>
              <w:t>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142"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692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1,531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142" w:type="dxa"/>
            <w:tcBorders/>
            <w:shd w:fill="CCEEFF" w:val="clear"/>
            <w:vAlign w:val="center"/>
          </w:tcPr>
          <w:p>
            <w:pPr>
              <w:pStyle w:val="TableContents"/>
              <w:bidi w:val="0"/>
              <w:spacing w:before="0" w:after="283"/>
              <w:jc w:val="right"/>
              <w:rPr/>
            </w:pPr>
            <w:r>
              <w:rPr/>
              <w:t>11.6</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pPr>
            <w:r>
              <w:rPr/>
              <w:t>General and administrative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4,619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28.4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5,704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142" w:type="dxa"/>
            <w:tcBorders/>
            <w:shd w:fill="FFFFFF" w:val="clear"/>
            <w:vAlign w:val="center"/>
          </w:tcPr>
          <w:p>
            <w:pPr>
              <w:pStyle w:val="TableContents"/>
              <w:bidi w:val="0"/>
              <w:spacing w:before="0" w:after="283"/>
              <w:jc w:val="right"/>
              <w:rPr/>
            </w:pPr>
            <w:r>
              <w:rPr/>
              <w:t>43.2</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pPr>
            <w:r>
              <w:rPr/>
              <w:t>Sales and marketing</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2,575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pPr>
            <w:r>
              <w:rPr/>
              <w:t>15.8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2,681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42" w:type="dxa"/>
            <w:tcBorders>
              <w:bottom w:val="single" w:sz="8" w:space="0" w:color="000000"/>
            </w:tcBorders>
            <w:shd w:fill="CCEEFF" w:val="clear"/>
            <w:tcMar>
              <w:bottom w:w="28" w:type="dxa"/>
            </w:tcMar>
            <w:vAlign w:val="center"/>
          </w:tcPr>
          <w:p>
            <w:pPr>
              <w:pStyle w:val="TableContents"/>
              <w:bidi w:val="0"/>
              <w:spacing w:before="0" w:after="283"/>
              <w:jc w:val="right"/>
              <w:rPr/>
            </w:pPr>
            <w:r>
              <w:rPr/>
              <w:t>20.3</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b/>
              </w:rPr>
            </w:pPr>
            <w:r>
              <w:rPr>
                <w:b/>
              </w:rPr>
              <w:t>Total 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7,886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FFFFFF" w:val="clear"/>
            <w:tcMar>
              <w:bottom w:w="28" w:type="dxa"/>
            </w:tcMar>
            <w:vAlign w:val="center"/>
          </w:tcPr>
          <w:p>
            <w:pPr>
              <w:pStyle w:val="TableContents"/>
              <w:bidi w:val="0"/>
              <w:spacing w:before="0" w:after="283"/>
              <w:jc w:val="right"/>
              <w:rPr/>
            </w:pPr>
            <w:r>
              <w:rPr/>
              <w:t>48.5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9,916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42" w:type="dxa"/>
            <w:tcBorders>
              <w:bottom w:val="single" w:sz="8" w:space="0" w:color="000000"/>
            </w:tcBorders>
            <w:shd w:fill="FFFFFF" w:val="clear"/>
            <w:tcMar>
              <w:bottom w:w="28" w:type="dxa"/>
            </w:tcMar>
            <w:vAlign w:val="center"/>
          </w:tcPr>
          <w:p>
            <w:pPr>
              <w:pStyle w:val="TableContents"/>
              <w:bidi w:val="0"/>
              <w:spacing w:before="0" w:after="283"/>
              <w:jc w:val="right"/>
              <w:rPr/>
            </w:pPr>
            <w:r>
              <w:rPr/>
              <w:t>75.1</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b/>
              </w:rPr>
            </w:pPr>
            <w:r>
              <w:rPr>
                <w:b/>
              </w:rPr>
              <w:t>Loss From Operations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(3,281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(20.2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(6,749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142" w:type="dxa"/>
            <w:tcBorders/>
            <w:shd w:fill="CCEEFF" w:val="clear"/>
            <w:vAlign w:val="center"/>
          </w:tcPr>
          <w:p>
            <w:pPr>
              <w:pStyle w:val="TableContents"/>
              <w:bidi w:val="0"/>
              <w:spacing w:before="0" w:after="283"/>
              <w:jc w:val="right"/>
              <w:rPr/>
            </w:pPr>
            <w:r>
              <w:rPr/>
              <w:t>(51.1</w:t>
            </w:r>
          </w:p>
        </w:tc>
        <w:tc>
          <w:tcPr>
            <w:tcW w:w="110" w:type="dxa"/>
            <w:tcBorders/>
            <w:shd w:fill="CCEEFF" w:val="clear"/>
            <w:vAlign w:val="center"/>
          </w:tcPr>
          <w:p>
            <w:pPr>
              <w:pStyle w:val="TableContents"/>
              <w:bidi w:val="0"/>
              <w:spacing w:before="0" w:after="283"/>
              <w:jc w:val="left"/>
              <w:rPr/>
            </w:pPr>
            <w:r>
              <w:rPr/>
              <w:t>)</w:t>
            </w:r>
          </w:p>
        </w:tc>
      </w:tr>
      <w:tr>
        <w:trPr/>
        <w:tc>
          <w:tcPr>
            <w:tcW w:w="4460" w:type="dxa"/>
            <w:tcBorders/>
            <w:shd w:fill="FFFFFF" w:val="clear"/>
            <w:vAlign w:val="center"/>
          </w:tcPr>
          <w:p>
            <w:pPr>
              <w:pStyle w:val="TableContents"/>
              <w:bidi w:val="0"/>
              <w:spacing w:before="0" w:after="283"/>
              <w:jc w:val="left"/>
              <w:rPr/>
            </w:pPr>
            <w:r>
              <w:rPr/>
              <w:t>Other Income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142"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pPr>
            <w:r>
              <w:rPr/>
              <w:t>Interest expense,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(5,442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(33.5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(4,878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142" w:type="dxa"/>
            <w:tcBorders/>
            <w:shd w:fill="CCEEFF" w:val="clear"/>
            <w:vAlign w:val="center"/>
          </w:tcPr>
          <w:p>
            <w:pPr>
              <w:pStyle w:val="TableContents"/>
              <w:bidi w:val="0"/>
              <w:spacing w:before="0" w:after="283"/>
              <w:jc w:val="right"/>
              <w:rPr/>
            </w:pPr>
            <w:r>
              <w:rPr/>
              <w:t>(37.0</w:t>
            </w:r>
          </w:p>
        </w:tc>
        <w:tc>
          <w:tcPr>
            <w:tcW w:w="110" w:type="dxa"/>
            <w:tcBorders/>
            <w:shd w:fill="CCEEFF" w:val="clear"/>
            <w:vAlign w:val="center"/>
          </w:tcPr>
          <w:p>
            <w:pPr>
              <w:pStyle w:val="TableContents"/>
              <w:bidi w:val="0"/>
              <w:spacing w:before="0" w:after="283"/>
              <w:jc w:val="left"/>
              <w:rPr/>
            </w:pPr>
            <w:r>
              <w:rPr/>
              <w:t>)</w:t>
            </w:r>
          </w:p>
        </w:tc>
      </w:tr>
      <w:tr>
        <w:trPr/>
        <w:tc>
          <w:tcPr>
            <w:tcW w:w="4460" w:type="dxa"/>
            <w:tcBorders/>
            <w:shd w:fill="FFFFFF" w:val="clear"/>
            <w:vAlign w:val="center"/>
          </w:tcPr>
          <w:p>
            <w:pPr>
              <w:pStyle w:val="TableContents"/>
              <w:bidi w:val="0"/>
              <w:spacing w:before="0" w:after="283"/>
              <w:jc w:val="left"/>
              <w:rPr/>
            </w:pPr>
            <w:r>
              <w:rPr/>
              <w:t>Other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142" w:type="dxa"/>
            <w:tcBorders/>
            <w:shd w:fill="FFFFFF" w:val="clear"/>
            <w:vAlign w:val="center"/>
          </w:tcPr>
          <w:p>
            <w:pPr>
              <w:pStyle w:val="TableContents"/>
              <w:bidi w:val="0"/>
              <w:spacing w:before="0" w:after="283"/>
              <w:jc w:val="right"/>
              <w:rPr/>
            </w:pPr>
            <w:r>
              <w:rPr/>
              <w:t>(0.1</w:t>
            </w:r>
          </w:p>
        </w:tc>
        <w:tc>
          <w:tcPr>
            <w:tcW w:w="110" w:type="dxa"/>
            <w:tcBorders/>
            <w:shd w:fill="FFFFFF" w:val="clear"/>
            <w:vAlign w:val="center"/>
          </w:tcPr>
          <w:p>
            <w:pPr>
              <w:pStyle w:val="TableContents"/>
              <w:bidi w:val="0"/>
              <w:spacing w:before="0" w:after="283"/>
              <w:jc w:val="left"/>
              <w:rPr/>
            </w:pPr>
            <w:r>
              <w:rPr/>
              <w:t>)</w:t>
            </w:r>
          </w:p>
        </w:tc>
      </w:tr>
      <w:tr>
        <w:trPr/>
        <w:tc>
          <w:tcPr>
            <w:tcW w:w="4460" w:type="dxa"/>
            <w:tcBorders/>
            <w:shd w:fill="CCEEFF" w:val="clear"/>
            <w:vAlign w:val="center"/>
          </w:tcPr>
          <w:p>
            <w:pPr>
              <w:pStyle w:val="TableContents"/>
              <w:bidi w:val="0"/>
              <w:spacing w:before="0" w:after="283"/>
              <w:jc w:val="left"/>
              <w:rPr/>
            </w:pPr>
            <w:r>
              <w:rPr/>
              <w:t>Change in fair market value of warrant liability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1,689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pPr>
            <w:r>
              <w:rPr/>
              <w:t>10.4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(1,981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0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42" w:type="dxa"/>
            <w:tcBorders>
              <w:bottom w:val="single" w:sz="8" w:space="0" w:color="000000"/>
            </w:tcBorders>
            <w:shd w:fill="CCEEFF" w:val="clear"/>
            <w:tcMar>
              <w:bottom w:w="28" w:type="dxa"/>
            </w:tcMar>
            <w:vAlign w:val="center"/>
          </w:tcPr>
          <w:p>
            <w:pPr>
              <w:pStyle w:val="TableContents"/>
              <w:bidi w:val="0"/>
              <w:spacing w:before="0" w:after="283"/>
              <w:jc w:val="right"/>
              <w:rPr/>
            </w:pPr>
            <w:r>
              <w:rPr/>
              <w:t>(15.0</w:t>
            </w:r>
          </w:p>
        </w:tc>
        <w:tc>
          <w:tcPr>
            <w:tcW w:w="110" w:type="dxa"/>
            <w:tcBorders/>
            <w:shd w:fill="CCEEFF" w:val="clear"/>
            <w:vAlign w:val="center"/>
          </w:tcPr>
          <w:p>
            <w:pPr>
              <w:pStyle w:val="TableContents"/>
              <w:bidi w:val="0"/>
              <w:spacing w:before="0" w:after="283"/>
              <w:jc w:val="left"/>
              <w:rPr/>
            </w:pPr>
            <w:r>
              <w:rPr/>
              <w:t>)</w:t>
            </w:r>
          </w:p>
        </w:tc>
      </w:tr>
      <w:tr>
        <w:trPr/>
        <w:tc>
          <w:tcPr>
            <w:tcW w:w="4460" w:type="dxa"/>
            <w:tcBorders/>
            <w:shd w:fill="FFFFFF" w:val="clear"/>
            <w:vAlign w:val="center"/>
          </w:tcPr>
          <w:p>
            <w:pPr>
              <w:pStyle w:val="TableContents"/>
              <w:bidi w:val="0"/>
              <w:spacing w:before="0" w:after="283"/>
              <w:jc w:val="left"/>
              <w:rPr>
                <w:b/>
              </w:rPr>
            </w:pPr>
            <w:r>
              <w:rPr>
                <w:b/>
              </w:rPr>
              <w:t>Total Other Expense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(3,753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FFFFFF" w:val="clear"/>
            <w:tcMar>
              <w:bottom w:w="28" w:type="dxa"/>
            </w:tcMar>
            <w:vAlign w:val="center"/>
          </w:tcPr>
          <w:p>
            <w:pPr>
              <w:pStyle w:val="TableContents"/>
              <w:bidi w:val="0"/>
              <w:spacing w:before="0" w:after="283"/>
              <w:jc w:val="right"/>
              <w:rPr/>
            </w:pPr>
            <w:r>
              <w:rPr/>
              <w:t>(23.1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(6,878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0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42" w:type="dxa"/>
            <w:tcBorders>
              <w:bottom w:val="single" w:sz="8" w:space="0" w:color="000000"/>
            </w:tcBorders>
            <w:shd w:fill="FFFFFF" w:val="clear"/>
            <w:tcMar>
              <w:bottom w:w="28" w:type="dxa"/>
            </w:tcMar>
            <w:vAlign w:val="center"/>
          </w:tcPr>
          <w:p>
            <w:pPr>
              <w:pStyle w:val="TableContents"/>
              <w:bidi w:val="0"/>
              <w:spacing w:before="0" w:after="283"/>
              <w:jc w:val="right"/>
              <w:rPr/>
            </w:pPr>
            <w:r>
              <w:rPr/>
              <w:t>(52.1</w:t>
            </w:r>
          </w:p>
        </w:tc>
        <w:tc>
          <w:tcPr>
            <w:tcW w:w="110" w:type="dxa"/>
            <w:tcBorders/>
            <w:shd w:fill="FFFFFF" w:val="clear"/>
            <w:vAlign w:val="center"/>
          </w:tcPr>
          <w:p>
            <w:pPr>
              <w:pStyle w:val="TableContents"/>
              <w:bidi w:val="0"/>
              <w:spacing w:before="0" w:after="283"/>
              <w:jc w:val="left"/>
              <w:rPr/>
            </w:pPr>
            <w:r>
              <w:rPr/>
              <w:t>)</w:t>
            </w:r>
          </w:p>
        </w:tc>
      </w:tr>
      <w:tr>
        <w:trPr/>
        <w:tc>
          <w:tcPr>
            <w:tcW w:w="4460" w:type="dxa"/>
            <w:tcBorders/>
            <w:shd w:fill="CCEEFF" w:val="clear"/>
            <w:vAlign w:val="center"/>
          </w:tcPr>
          <w:p>
            <w:pPr>
              <w:pStyle w:val="TableContents"/>
              <w:bidi w:val="0"/>
              <w:spacing w:before="0" w:after="283"/>
              <w:jc w:val="left"/>
              <w:rPr>
                <w:b/>
              </w:rPr>
            </w:pPr>
            <w:r>
              <w:rPr>
                <w:b/>
              </w:rPr>
              <w:t>Loss Before Taxes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(7,034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(43.3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(13,627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142" w:type="dxa"/>
            <w:tcBorders/>
            <w:shd w:fill="CCEEFF" w:val="clear"/>
            <w:vAlign w:val="center"/>
          </w:tcPr>
          <w:p>
            <w:pPr>
              <w:pStyle w:val="TableContents"/>
              <w:bidi w:val="0"/>
              <w:spacing w:before="0" w:after="283"/>
              <w:jc w:val="right"/>
              <w:rPr/>
            </w:pPr>
            <w:r>
              <w:rPr/>
              <w:t>(103.2</w:t>
            </w:r>
          </w:p>
        </w:tc>
        <w:tc>
          <w:tcPr>
            <w:tcW w:w="110" w:type="dxa"/>
            <w:tcBorders/>
            <w:shd w:fill="CCEEFF" w:val="clear"/>
            <w:vAlign w:val="center"/>
          </w:tcPr>
          <w:p>
            <w:pPr>
              <w:pStyle w:val="TableContents"/>
              <w:bidi w:val="0"/>
              <w:spacing w:before="0" w:after="283"/>
              <w:jc w:val="left"/>
              <w:rPr/>
            </w:pPr>
            <w:r>
              <w:rPr/>
              <w:t>)</w:t>
            </w:r>
          </w:p>
        </w:tc>
      </w:tr>
      <w:tr>
        <w:trPr/>
        <w:tc>
          <w:tcPr>
            <w:tcW w:w="4460" w:type="dxa"/>
            <w:tcBorders/>
            <w:shd w:fill="FFFFFF" w:val="clear"/>
            <w:vAlign w:val="center"/>
          </w:tcPr>
          <w:p>
            <w:pPr>
              <w:pStyle w:val="TableContents"/>
              <w:bidi w:val="0"/>
              <w:spacing w:before="0" w:after="283"/>
              <w:jc w:val="left"/>
              <w:rPr>
                <w:b/>
              </w:rPr>
            </w:pPr>
            <w:r>
              <w:rPr>
                <w:b/>
              </w:rPr>
              <w:t>Income Tax Benefit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4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b/>
              </w:rPr>
            </w:pPr>
            <w:r>
              <w:rPr>
                <w:b/>
              </w:rPr>
              <w:t>Net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(7,034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double" w:sz="6" w:space="0" w:color="000000"/>
            </w:tcBorders>
            <w:shd w:fill="CCEEFF" w:val="clear"/>
            <w:tcMar>
              <w:bottom w:w="28" w:type="dxa"/>
            </w:tcMar>
            <w:vAlign w:val="center"/>
          </w:tcPr>
          <w:p>
            <w:pPr>
              <w:pStyle w:val="TableContents"/>
              <w:bidi w:val="0"/>
              <w:spacing w:before="0" w:after="283"/>
              <w:jc w:val="right"/>
              <w:rPr/>
            </w:pPr>
            <w:r>
              <w:rPr/>
              <w:t>(43.3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(13,627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0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42" w:type="dxa"/>
            <w:tcBorders>
              <w:bottom w:val="double" w:sz="6" w:space="0" w:color="000000"/>
            </w:tcBorders>
            <w:shd w:fill="CCEEFF" w:val="clear"/>
            <w:tcMar>
              <w:bottom w:w="28" w:type="dxa"/>
            </w:tcMar>
            <w:vAlign w:val="center"/>
          </w:tcPr>
          <w:p>
            <w:pPr>
              <w:pStyle w:val="TableContents"/>
              <w:bidi w:val="0"/>
              <w:spacing w:before="0" w:after="283"/>
              <w:jc w:val="right"/>
              <w:rPr/>
            </w:pPr>
            <w:r>
              <w:rPr/>
              <w:t>(103.2</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4537" w:type="dxa"/>
        <w:jc w:val="left"/>
        <w:tblInd w:w="0" w:type="dxa"/>
        <w:tblLayout w:type="fixed"/>
        <w:tblCellMar>
          <w:top w:w="0" w:type="dxa"/>
          <w:left w:w="0" w:type="dxa"/>
          <w:bottom w:w="0" w:type="dxa"/>
          <w:right w:w="0" w:type="dxa"/>
        </w:tblCellMar>
      </w:tblPr>
      <w:tblGrid>
        <w:gridCol w:w="1370"/>
        <w:gridCol w:w="60"/>
        <w:gridCol w:w="252"/>
        <w:gridCol w:w="1228"/>
        <w:gridCol w:w="108"/>
        <w:gridCol w:w="108"/>
        <w:gridCol w:w="108"/>
        <w:gridCol w:w="1228"/>
        <w:gridCol w:w="75"/>
      </w:tblGrid>
      <w:tr>
        <w:trPr/>
        <w:tc>
          <w:tcPr>
            <w:tcW w:w="13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03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June 30,</w:t>
            </w:r>
          </w:p>
        </w:tc>
        <w:tc>
          <w:tcPr>
            <w:tcW w:w="75" w:type="dxa"/>
            <w:tcBorders/>
            <w:vAlign w:val="center"/>
          </w:tcPr>
          <w:p>
            <w:pPr>
              <w:pStyle w:val="TableContents"/>
              <w:bidi w:val="0"/>
              <w:spacing w:before="0" w:after="283"/>
              <w:jc w:val="left"/>
              <w:rPr/>
            </w:pPr>
            <w:r>
              <w:rPr/>
              <w:t> </w:t>
            </w:r>
          </w:p>
        </w:tc>
      </w:tr>
      <w:tr>
        <w:trPr/>
        <w:tc>
          <w:tcPr>
            <w:tcW w:w="13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08"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33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13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032" w:type="dxa"/>
            <w:gridSpan w:val="6"/>
            <w:tcBorders/>
            <w:vAlign w:val="center"/>
          </w:tcPr>
          <w:p>
            <w:pPr>
              <w:pStyle w:val="TableContents"/>
              <w:bidi w:val="0"/>
              <w:spacing w:before="0" w:after="283"/>
              <w:jc w:val="center"/>
              <w:rPr>
                <w:b/>
              </w:rPr>
            </w:pPr>
            <w:r>
              <w:rPr>
                <w:b/>
              </w:rPr>
              <w:t>(in thousands)</w:t>
            </w:r>
          </w:p>
        </w:tc>
        <w:tc>
          <w:tcPr>
            <w:tcW w:w="75" w:type="dxa"/>
            <w:tcBorders/>
            <w:vAlign w:val="center"/>
          </w:tcPr>
          <w:p>
            <w:pPr>
              <w:pStyle w:val="TableContents"/>
              <w:bidi w:val="0"/>
              <w:spacing w:before="0" w:after="283"/>
              <w:jc w:val="left"/>
              <w:rPr/>
            </w:pPr>
            <w:r>
              <w:rPr/>
              <w:t> </w:t>
            </w:r>
          </w:p>
        </w:tc>
      </w:tr>
      <w:tr>
        <w:trPr/>
        <w:tc>
          <w:tcPr>
            <w:tcW w:w="1370" w:type="dxa"/>
            <w:tcBorders/>
            <w:shd w:fill="CCEEFF" w:val="clear"/>
            <w:vAlign w:val="center"/>
          </w:tcPr>
          <w:p>
            <w:pPr>
              <w:pStyle w:val="TableContents"/>
              <w:bidi w:val="0"/>
              <w:spacing w:before="0" w:after="283"/>
              <w:jc w:val="left"/>
              <w:rPr/>
            </w:pPr>
            <w:r>
              <w:rPr/>
              <w:t>DTC</w:t>
            </w:r>
          </w:p>
        </w:tc>
        <w:tc>
          <w:tcPr>
            <w:tcW w:w="6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228" w:type="dxa"/>
            <w:tcBorders/>
            <w:shd w:fill="CCEEFF" w:val="clear"/>
            <w:vAlign w:val="center"/>
          </w:tcPr>
          <w:p>
            <w:pPr>
              <w:pStyle w:val="TableContents"/>
              <w:bidi w:val="0"/>
              <w:spacing w:before="0" w:after="283"/>
              <w:jc w:val="right"/>
              <w:rPr/>
            </w:pPr>
            <w:r>
              <w:rPr/>
              <w:t>5,948</w:t>
            </w:r>
          </w:p>
        </w:tc>
        <w:tc>
          <w:tcPr>
            <w:tcW w:w="108"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228" w:type="dxa"/>
            <w:tcBorders/>
            <w:shd w:fill="CCEEFF" w:val="clear"/>
            <w:vAlign w:val="center"/>
          </w:tcPr>
          <w:p>
            <w:pPr>
              <w:pStyle w:val="TableContents"/>
              <w:bidi w:val="0"/>
              <w:spacing w:before="0" w:after="283"/>
              <w:jc w:val="right"/>
              <w:rPr/>
            </w:pPr>
            <w:r>
              <w:rPr/>
              <w:t>6,534</w:t>
            </w:r>
          </w:p>
        </w:tc>
        <w:tc>
          <w:tcPr>
            <w:tcW w:w="75" w:type="dxa"/>
            <w:tcBorders/>
            <w:shd w:fill="CCEEFF" w:val="clear"/>
            <w:vAlign w:val="center"/>
          </w:tcPr>
          <w:p>
            <w:pPr>
              <w:pStyle w:val="TableContents"/>
              <w:bidi w:val="0"/>
              <w:spacing w:before="0" w:after="283"/>
              <w:jc w:val="left"/>
              <w:rPr/>
            </w:pPr>
            <w:r>
              <w:rPr/>
              <w:t> </w:t>
            </w:r>
          </w:p>
        </w:tc>
      </w:tr>
      <w:tr>
        <w:trPr/>
        <w:tc>
          <w:tcPr>
            <w:tcW w:w="1370" w:type="dxa"/>
            <w:tcBorders/>
            <w:shd w:fill="FFFFFF" w:val="clear"/>
            <w:vAlign w:val="center"/>
          </w:tcPr>
          <w:p>
            <w:pPr>
              <w:pStyle w:val="TableContents"/>
              <w:bidi w:val="0"/>
              <w:spacing w:before="0" w:after="283"/>
              <w:jc w:val="left"/>
              <w:rPr/>
            </w:pPr>
            <w:r>
              <w:rPr/>
              <w:t>% Net Sales</w:t>
            </w:r>
          </w:p>
        </w:tc>
        <w:tc>
          <w:tcPr>
            <w:tcW w:w="60"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1228" w:type="dxa"/>
            <w:tcBorders/>
            <w:shd w:fill="FFFFFF" w:val="clear"/>
            <w:vAlign w:val="center"/>
          </w:tcPr>
          <w:p>
            <w:pPr>
              <w:pStyle w:val="TableContents"/>
              <w:bidi w:val="0"/>
              <w:spacing w:before="0" w:after="283"/>
              <w:jc w:val="right"/>
              <w:rPr/>
            </w:pPr>
            <w:r>
              <w:rPr/>
              <w:t>36.6</w:t>
            </w:r>
          </w:p>
        </w:tc>
        <w:tc>
          <w:tcPr>
            <w:tcW w:w="108"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1228" w:type="dxa"/>
            <w:tcBorders/>
            <w:shd w:fill="FFFFFF" w:val="clear"/>
            <w:vAlign w:val="center"/>
          </w:tcPr>
          <w:p>
            <w:pPr>
              <w:pStyle w:val="TableContents"/>
              <w:bidi w:val="0"/>
              <w:spacing w:before="0" w:after="283"/>
              <w:jc w:val="right"/>
              <w:rPr/>
            </w:pPr>
            <w:r>
              <w:rPr/>
              <w:t>49.5</w:t>
            </w:r>
          </w:p>
        </w:tc>
        <w:tc>
          <w:tcPr>
            <w:tcW w:w="75" w:type="dxa"/>
            <w:tcBorders/>
            <w:shd w:fill="FFFFFF" w:val="clear"/>
            <w:vAlign w:val="center"/>
          </w:tcPr>
          <w:p>
            <w:pPr>
              <w:pStyle w:val="TableContents"/>
              <w:bidi w:val="0"/>
              <w:spacing w:before="0" w:after="283"/>
              <w:jc w:val="left"/>
              <w:rPr/>
            </w:pPr>
            <w:r>
              <w:rPr/>
              <w:t> </w:t>
            </w:r>
          </w:p>
        </w:tc>
      </w:tr>
      <w:tr>
        <w:trPr/>
        <w:tc>
          <w:tcPr>
            <w:tcW w:w="1370" w:type="dxa"/>
            <w:tcBorders/>
            <w:shd w:fill="CCEEFF" w:val="clear"/>
            <w:vAlign w:val="center"/>
          </w:tcPr>
          <w:p>
            <w:pPr>
              <w:pStyle w:val="TableContents"/>
              <w:bidi w:val="0"/>
              <w:spacing w:before="0" w:after="283"/>
              <w:jc w:val="left"/>
              <w:rPr/>
            </w:pPr>
            <w:r>
              <w:rPr/>
              <w:t>OEM</w:t>
            </w:r>
          </w:p>
        </w:tc>
        <w:tc>
          <w:tcPr>
            <w:tcW w:w="6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228" w:type="dxa"/>
            <w:tcBorders/>
            <w:shd w:fill="CCEEFF" w:val="clear"/>
            <w:vAlign w:val="center"/>
          </w:tcPr>
          <w:p>
            <w:pPr>
              <w:pStyle w:val="TableContents"/>
              <w:bidi w:val="0"/>
              <w:spacing w:before="0" w:after="283"/>
              <w:jc w:val="right"/>
              <w:rPr/>
            </w:pPr>
            <w:r>
              <w:rPr/>
              <w:t>10,050</w:t>
            </w:r>
          </w:p>
        </w:tc>
        <w:tc>
          <w:tcPr>
            <w:tcW w:w="108"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228" w:type="dxa"/>
            <w:tcBorders/>
            <w:shd w:fill="CCEEFF" w:val="clear"/>
            <w:vAlign w:val="center"/>
          </w:tcPr>
          <w:p>
            <w:pPr>
              <w:pStyle w:val="TableContents"/>
              <w:bidi w:val="0"/>
              <w:spacing w:before="0" w:after="283"/>
              <w:jc w:val="right"/>
              <w:rPr/>
            </w:pPr>
            <w:r>
              <w:rPr/>
              <w:t>6,674</w:t>
            </w:r>
          </w:p>
        </w:tc>
        <w:tc>
          <w:tcPr>
            <w:tcW w:w="75" w:type="dxa"/>
            <w:tcBorders/>
            <w:shd w:fill="CCEEFF" w:val="clear"/>
            <w:vAlign w:val="center"/>
          </w:tcPr>
          <w:p>
            <w:pPr>
              <w:pStyle w:val="TableContents"/>
              <w:bidi w:val="0"/>
              <w:spacing w:before="0" w:after="283"/>
              <w:jc w:val="left"/>
              <w:rPr/>
            </w:pPr>
            <w:r>
              <w:rPr/>
              <w:t> </w:t>
            </w:r>
          </w:p>
        </w:tc>
      </w:tr>
      <w:tr>
        <w:trPr/>
        <w:tc>
          <w:tcPr>
            <w:tcW w:w="1370" w:type="dxa"/>
            <w:tcBorders/>
            <w:shd w:fill="FFFFFF" w:val="clear"/>
            <w:vAlign w:val="center"/>
          </w:tcPr>
          <w:p>
            <w:pPr>
              <w:pStyle w:val="TableContents"/>
              <w:bidi w:val="0"/>
              <w:spacing w:before="0" w:after="283"/>
              <w:jc w:val="left"/>
              <w:rPr/>
            </w:pPr>
            <w:r>
              <w:rPr/>
              <w:t>% Net Sales</w:t>
            </w:r>
          </w:p>
        </w:tc>
        <w:tc>
          <w:tcPr>
            <w:tcW w:w="60"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1228" w:type="dxa"/>
            <w:tcBorders/>
            <w:shd w:fill="FFFFFF" w:val="clear"/>
            <w:vAlign w:val="center"/>
          </w:tcPr>
          <w:p>
            <w:pPr>
              <w:pStyle w:val="TableContents"/>
              <w:bidi w:val="0"/>
              <w:spacing w:before="0" w:after="283"/>
              <w:jc w:val="right"/>
              <w:rPr/>
            </w:pPr>
            <w:r>
              <w:rPr/>
              <w:t>61.9</w:t>
            </w:r>
          </w:p>
        </w:tc>
        <w:tc>
          <w:tcPr>
            <w:tcW w:w="108"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1228" w:type="dxa"/>
            <w:tcBorders/>
            <w:shd w:fill="FFFFFF" w:val="clear"/>
            <w:vAlign w:val="center"/>
          </w:tcPr>
          <w:p>
            <w:pPr>
              <w:pStyle w:val="TableContents"/>
              <w:bidi w:val="0"/>
              <w:spacing w:before="0" w:after="283"/>
              <w:jc w:val="right"/>
              <w:rPr/>
            </w:pPr>
            <w:r>
              <w:rPr/>
              <w:t>50.5</w:t>
            </w:r>
          </w:p>
        </w:tc>
        <w:tc>
          <w:tcPr>
            <w:tcW w:w="75" w:type="dxa"/>
            <w:tcBorders/>
            <w:shd w:fill="FFFFFF" w:val="clear"/>
            <w:vAlign w:val="center"/>
          </w:tcPr>
          <w:p>
            <w:pPr>
              <w:pStyle w:val="TableContents"/>
              <w:bidi w:val="0"/>
              <w:spacing w:before="0" w:after="283"/>
              <w:jc w:val="left"/>
              <w:rPr/>
            </w:pPr>
            <w:r>
              <w:rPr/>
              <w:t> </w:t>
            </w:r>
          </w:p>
        </w:tc>
      </w:tr>
      <w:tr>
        <w:trPr/>
        <w:tc>
          <w:tcPr>
            <w:tcW w:w="1370" w:type="dxa"/>
            <w:tcBorders/>
            <w:shd w:fill="CCEEFF" w:val="clear"/>
            <w:vAlign w:val="center"/>
          </w:tcPr>
          <w:p>
            <w:pPr>
              <w:pStyle w:val="TableContents"/>
              <w:bidi w:val="0"/>
              <w:spacing w:before="0" w:after="283"/>
              <w:jc w:val="left"/>
              <w:rPr/>
            </w:pPr>
            <w:r>
              <w:rPr/>
              <w:t>Licensing Fee</w:t>
            </w:r>
          </w:p>
        </w:tc>
        <w:tc>
          <w:tcPr>
            <w:tcW w:w="6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228" w:type="dxa"/>
            <w:tcBorders/>
            <w:shd w:fill="CCEEFF" w:val="clear"/>
            <w:vAlign w:val="center"/>
          </w:tcPr>
          <w:p>
            <w:pPr>
              <w:pStyle w:val="TableContents"/>
              <w:bidi w:val="0"/>
              <w:spacing w:before="0" w:after="283"/>
              <w:jc w:val="right"/>
              <w:rPr/>
            </w:pPr>
            <w:r>
              <w:rPr/>
              <w:t>250</w:t>
            </w:r>
          </w:p>
        </w:tc>
        <w:tc>
          <w:tcPr>
            <w:tcW w:w="108"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228"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1370" w:type="dxa"/>
            <w:tcBorders/>
            <w:shd w:fill="FFFFFF" w:val="clear"/>
            <w:vAlign w:val="center"/>
          </w:tcPr>
          <w:p>
            <w:pPr>
              <w:pStyle w:val="TableContents"/>
              <w:bidi w:val="0"/>
              <w:spacing w:before="0" w:after="283"/>
              <w:jc w:val="left"/>
              <w:rPr/>
            </w:pPr>
            <w:r>
              <w:rPr/>
              <w:t>% Net Sales</w:t>
            </w:r>
          </w:p>
        </w:tc>
        <w:tc>
          <w:tcPr>
            <w:tcW w:w="60"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1228" w:type="dxa"/>
            <w:tcBorders/>
            <w:shd w:fill="FFFFFF" w:val="clear"/>
            <w:vAlign w:val="center"/>
          </w:tcPr>
          <w:p>
            <w:pPr>
              <w:pStyle w:val="TableContents"/>
              <w:bidi w:val="0"/>
              <w:spacing w:before="0" w:after="283"/>
              <w:jc w:val="right"/>
              <w:rPr/>
            </w:pPr>
            <w:r>
              <w:rPr/>
              <w:t>1.5</w:t>
            </w:r>
          </w:p>
        </w:tc>
        <w:tc>
          <w:tcPr>
            <w:tcW w:w="108"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1228"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1370" w:type="dxa"/>
            <w:tcBorders/>
            <w:shd w:fill="CCEEFF" w:val="clear"/>
            <w:vAlign w:val="center"/>
          </w:tcPr>
          <w:p>
            <w:pPr>
              <w:pStyle w:val="TableContents"/>
              <w:bidi w:val="0"/>
              <w:spacing w:before="0" w:after="283"/>
              <w:jc w:val="left"/>
              <w:rPr/>
            </w:pPr>
            <w:r>
              <w:rPr/>
              <w:t>Net Sales</w:t>
            </w:r>
          </w:p>
        </w:tc>
        <w:tc>
          <w:tcPr>
            <w:tcW w:w="60" w:type="dxa"/>
            <w:tcBorders/>
            <w:shd w:fill="CCEEFF" w:val="clear"/>
            <w:vAlign w:val="center"/>
          </w:tcPr>
          <w:p>
            <w:pPr>
              <w:pStyle w:val="TableContents"/>
              <w:bidi w:val="0"/>
              <w:spacing w:before="0" w:after="283"/>
              <w:jc w:val="left"/>
              <w:rPr/>
            </w:pPr>
            <w:r>
              <w:rPr/>
              <w:t> </w:t>
            </w:r>
          </w:p>
        </w:tc>
        <w:tc>
          <w:tcPr>
            <w:tcW w:w="252"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228" w:type="dxa"/>
            <w:tcBorders>
              <w:bottom w:val="single" w:sz="8" w:space="0" w:color="000000"/>
            </w:tcBorders>
            <w:shd w:fill="CCEEFF" w:val="clear"/>
            <w:tcMar>
              <w:bottom w:w="28" w:type="dxa"/>
            </w:tcMar>
            <w:vAlign w:val="center"/>
          </w:tcPr>
          <w:p>
            <w:pPr>
              <w:pStyle w:val="TableContents"/>
              <w:bidi w:val="0"/>
              <w:spacing w:before="0" w:after="283"/>
              <w:jc w:val="right"/>
              <w:rPr/>
            </w:pPr>
            <w:r>
              <w:rPr/>
              <w:t>16,248</w:t>
            </w:r>
          </w:p>
        </w:tc>
        <w:tc>
          <w:tcPr>
            <w:tcW w:w="108"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0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8" w:type="dxa"/>
            <w:tcBorders>
              <w:bottom w:val="single" w:sz="8" w:space="0" w:color="000000"/>
            </w:tcBorders>
            <w:shd w:fill="CCEEFF" w:val="clear"/>
            <w:tcMar>
              <w:bottom w:w="28" w:type="dxa"/>
            </w:tcMar>
            <w:vAlign w:val="center"/>
          </w:tcPr>
          <w:p>
            <w:pPr>
              <w:pStyle w:val="TableContents"/>
              <w:bidi w:val="0"/>
              <w:spacing w:before="0" w:after="283"/>
              <w:jc w:val="right"/>
              <w:rPr/>
            </w:pPr>
            <w:r>
              <w:rPr/>
              <w:t>13,208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sales increased by 3.0 million, or 23.0%, to $16.2 million for the three months ended June 30, 2025, as compared to $13.2 million for the three months ended June 30, 2024. This increase was primarily due to higher OEM battery and accessory sales of new models to existing customers and licensing revenue which is part of the Stryten agreement entered into the second half of 2024. We expect our sales to increase in the coming quarters as our customers expand the number of models they include our battery systems in for the new model year and our entrance into new markets, trucking and industrials, with new product offerings.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Goods Sold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goods sold increased by $1.6 million, or 16.0%, to $11.6 million for the three months ended June 30, 2025, as compared to $10.0 million for the three months ended June 30, 2024. This increase was primarily due to higher unit volume partially offset by lower material costs associated with consuming lower-priced inventory, resulting in a $1.6 million increase in product cost. We expect our Cost of Goods Sold to increase in conjunction with the anticipated increase in revenue along with increased product costs related to higher tariffs over the next 12 months.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Gross Profit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increased by $1.4 million, or 45.4%, to $4.6 million for the three months ended June 30, 2025, as compared to $3.2 million for the three months ended June 30, 2024. The increase in gross profit was primarily due to a higher unit volume of sales partially offset by consumption of lower-priced inventory.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Research and Development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decreased by $0.8 million, or 54.7%, to $0.7 million for the three months ended June 30, 2025, as compared to $1.5 million for the three months ended June 30, 2024. The decrease was primarily a result of lower wage expense in the amount of $0.6 million due to change in bonus accrual and reduced headcount. We expect Research and Development expenses to be lower than last year as we change our focus from Solid State to Product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and Administrative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decreased by $1.1 million, or 19.0%, to $4.6 million for the three months ended June 30, 2025, as compared to $5.7 million for the three months ended June 30, 2024. This decrease was primarily due to a decrease in legal and professional services of $1.5 million. Offsetting these lower costs is an increase wage expense due to increased headcount associated with the focus on product development and an increase in depreciation related to tenant improvements on the new facility. We expect General and Administrative Expenses, as a percentage of revenue, to be relatively stable over the next 12 months.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Selling and Marketing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expenses decreased by $0.1 million, or 4.0%, to $2.6 million for the three months ended June 30, 2025, as compared to $2.7 million for the three months ended June 30, 2024. This decrease was primarily due to lower employee-related costs in the amount of $0.3 million partially offset by higher shipping costs in the amount of $0.2 million related to an increase in sales volume. We expect our Selling and Marketing Expenses to be relatively stable over the next 12 months.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Total Other (Expense)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 totaled $3.8 million for the three months ended June 30, 2025 as compared to total other expense of $6.9 million for the three months ended June 30, 2024. Other expense of $3.8 million in three months ended June 30, 2025 was comprised primarily of interest expense of $5.4 million related to our debt securities partially offset by a change in fair market value of warrant liability in the amount of $1.7 million. The $6.9 million of other expense in three months ended June 30, 2024 was comprised primarily of interest expense of $4.9 million related to our debt securities and a negative change in fair market value of warrant liability in the amount of $2.0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 (Benefit) Expense</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was no tax expense recorded for the three months ended June 30, 2025 or the three months ended June 30, 2024. Based on available evidence as of June 30, 2025 and June 30, 2024, management believes it is more likely than not that some or all the deferred tax assets will not be realized. Accordingly, we established a 100% valuation allowance. As a result of the full valuation allowance, we did not record a tax benefit during the three months ended June 30, 2025 or the three months ended June 30, 2024.</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Loss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experienced a net loss of $7.0 million for the three months ended June 30, 2025, as compared to net loss of $13.6 million for the three months ended June 30, 2024. As described above, this result was driven by higher sales, consumption of lower-priced inventory, lower operating expenses, and a decrease in other income (due to the change in fair market value of our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Comparisons for the Six months ended June 30, 2025 and June 30,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our results of operations for the six months ended June 30, 2025, and the six months ended June 30, 2024. This data should be read together with our financial statements and related notes included elsewhere in this Quarterly Report, and is qualified in its entirety by reference to such financial statements and related notes.</w:t>
      </w:r>
    </w:p>
    <w:p>
      <w:pPr>
        <w:pStyle w:val="TextBody"/>
        <w:bidi w:val="0"/>
        <w:spacing w:before="0" w:after="0"/>
        <w:ind w:left="0" w:right="0" w:hanging="0"/>
        <w:jc w:val="both"/>
        <w:rPr>
          <w:caps w:val="false"/>
          <w:smallCaps w:val="false"/>
        </w:rPr>
      </w:pPr>
      <w:r>
        <w:rPr>
          <w:caps w:val="false"/>
          <w:smallCaps w:val="false"/>
        </w:rPr>
        <w:t> </w:t>
      </w:r>
    </w:p>
    <w:tbl>
      <w:tblPr>
        <w:tblW w:w="9383" w:type="dxa"/>
        <w:jc w:val="left"/>
        <w:tblInd w:w="0" w:type="dxa"/>
        <w:tblLayout w:type="fixed"/>
        <w:tblCellMar>
          <w:top w:w="0" w:type="dxa"/>
          <w:left w:w="0" w:type="dxa"/>
          <w:bottom w:w="0" w:type="dxa"/>
          <w:right w:w="0" w:type="dxa"/>
        </w:tblCellMar>
      </w:tblPr>
      <w:tblGrid>
        <w:gridCol w:w="4460"/>
        <w:gridCol w:w="60"/>
        <w:gridCol w:w="140"/>
        <w:gridCol w:w="755"/>
        <w:gridCol w:w="95"/>
        <w:gridCol w:w="60"/>
        <w:gridCol w:w="119"/>
        <w:gridCol w:w="1130"/>
        <w:gridCol w:w="95"/>
        <w:gridCol w:w="60"/>
        <w:gridCol w:w="140"/>
        <w:gridCol w:w="755"/>
        <w:gridCol w:w="95"/>
        <w:gridCol w:w="60"/>
        <w:gridCol w:w="119"/>
        <w:gridCol w:w="1130"/>
        <w:gridCol w:w="110"/>
      </w:tblGrid>
      <w:tr>
        <w:trPr/>
        <w:tc>
          <w:tcPr>
            <w:tcW w:w="4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53"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Six months ended June 30,</w:t>
            </w:r>
          </w:p>
        </w:tc>
        <w:tc>
          <w:tcPr>
            <w:tcW w:w="110" w:type="dxa"/>
            <w:tcBorders/>
            <w:vAlign w:val="center"/>
          </w:tcPr>
          <w:p>
            <w:pPr>
              <w:pStyle w:val="TableContents"/>
              <w:bidi w:val="0"/>
              <w:spacing w:before="0" w:after="283"/>
              <w:jc w:val="left"/>
              <w:rPr/>
            </w:pPr>
            <w:r>
              <w:rPr/>
              <w:t> </w:t>
            </w:r>
          </w:p>
        </w:tc>
      </w:tr>
      <w:tr>
        <w:trPr/>
        <w:tc>
          <w:tcPr>
            <w:tcW w:w="4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Net Sales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Net Sales</w:t>
            </w:r>
          </w:p>
        </w:tc>
        <w:tc>
          <w:tcPr>
            <w:tcW w:w="110" w:type="dxa"/>
            <w:tcBorders/>
            <w:vAlign w:val="center"/>
          </w:tcPr>
          <w:p>
            <w:pPr>
              <w:pStyle w:val="TableContents"/>
              <w:bidi w:val="0"/>
              <w:spacing w:before="0" w:after="283"/>
              <w:jc w:val="left"/>
              <w:rPr/>
            </w:pPr>
            <w:r>
              <w:rPr/>
              <w:t> </w:t>
            </w:r>
          </w:p>
        </w:tc>
      </w:tr>
      <w:tr>
        <w:trPr/>
        <w:tc>
          <w:tcPr>
            <w:tcW w:w="4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53" w:type="dxa"/>
            <w:gridSpan w:val="14"/>
            <w:tcBorders/>
            <w:vAlign w:val="center"/>
          </w:tcPr>
          <w:p>
            <w:pPr>
              <w:pStyle w:val="TableContents"/>
              <w:bidi w:val="0"/>
              <w:spacing w:before="0" w:after="283"/>
              <w:jc w:val="center"/>
              <w:rPr>
                <w:b/>
              </w:rPr>
            </w:pPr>
            <w:r>
              <w:rPr>
                <w:b/>
              </w:rPr>
              <w:t>(in thousands)</w:t>
            </w:r>
          </w:p>
        </w:tc>
        <w:tc>
          <w:tcPr>
            <w:tcW w:w="110" w:type="dxa"/>
            <w:tcBorders/>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b/>
              </w:rPr>
            </w:pPr>
            <w:r>
              <w:rPr>
                <w:b/>
              </w:rPr>
              <w:t>Net Sales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29,604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25,713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100.0</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pPr>
            <w:r>
              <w:rPr/>
              <w:t>Cost of Goods Sold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21,071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FFFFFF" w:val="clear"/>
            <w:tcMar>
              <w:bottom w:w="28" w:type="dxa"/>
            </w:tcMar>
            <w:vAlign w:val="center"/>
          </w:tcPr>
          <w:p>
            <w:pPr>
              <w:pStyle w:val="TableContents"/>
              <w:bidi w:val="0"/>
              <w:spacing w:before="0" w:after="283"/>
              <w:jc w:val="right"/>
              <w:rPr/>
            </w:pPr>
            <w:r>
              <w:rPr/>
              <w:t>71.2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19,495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FFFFFF" w:val="clear"/>
            <w:tcMar>
              <w:bottom w:w="28" w:type="dxa"/>
            </w:tcMar>
            <w:vAlign w:val="center"/>
          </w:tcPr>
          <w:p>
            <w:pPr>
              <w:pStyle w:val="TableContents"/>
              <w:bidi w:val="0"/>
              <w:spacing w:before="0" w:after="283"/>
              <w:jc w:val="right"/>
              <w:rPr/>
            </w:pPr>
            <w:r>
              <w:rPr/>
              <w:t>75.8</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8,533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28.8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6,218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24.2</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pPr>
            <w:r>
              <w:rPr/>
              <w:t>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1,692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2,864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11.1</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pPr>
            <w:r>
              <w:rPr/>
              <w:t>General and administrative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10,976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37.1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10,517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40.9</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pPr>
            <w:r>
              <w:rPr/>
              <w:t>Sales and marketing</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5,060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pPr>
            <w:r>
              <w:rPr/>
              <w:t>17.1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5,425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pPr>
            <w:r>
              <w:rPr/>
              <w:t>21.1</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b/>
              </w:rPr>
            </w:pPr>
            <w:r>
              <w:rPr>
                <w:b/>
              </w:rPr>
              <w:t>Total 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17,728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FFFFFF" w:val="clear"/>
            <w:tcMar>
              <w:bottom w:w="28" w:type="dxa"/>
            </w:tcMar>
            <w:vAlign w:val="center"/>
          </w:tcPr>
          <w:p>
            <w:pPr>
              <w:pStyle w:val="TableContents"/>
              <w:bidi w:val="0"/>
              <w:spacing w:before="0" w:after="283"/>
              <w:jc w:val="right"/>
              <w:rPr/>
            </w:pPr>
            <w:r>
              <w:rPr/>
              <w:t>59.9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18,806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FFFFFF" w:val="clear"/>
            <w:tcMar>
              <w:bottom w:w="28" w:type="dxa"/>
            </w:tcMar>
            <w:vAlign w:val="center"/>
          </w:tcPr>
          <w:p>
            <w:pPr>
              <w:pStyle w:val="TableContents"/>
              <w:bidi w:val="0"/>
              <w:spacing w:before="0" w:after="283"/>
              <w:jc w:val="right"/>
              <w:rPr/>
            </w:pPr>
            <w:r>
              <w:rPr/>
              <w:t>73.1</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b/>
              </w:rPr>
            </w:pPr>
            <w:r>
              <w:rPr>
                <w:b/>
              </w:rPr>
              <w:t>(Loss) From Operations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(9,195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(31.1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(12,588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(48.9</w:t>
            </w:r>
          </w:p>
        </w:tc>
        <w:tc>
          <w:tcPr>
            <w:tcW w:w="110" w:type="dxa"/>
            <w:tcBorders/>
            <w:shd w:fill="CCEEFF" w:val="clear"/>
            <w:vAlign w:val="center"/>
          </w:tcPr>
          <w:p>
            <w:pPr>
              <w:pStyle w:val="TableContents"/>
              <w:bidi w:val="0"/>
              <w:spacing w:before="0" w:after="283"/>
              <w:jc w:val="left"/>
              <w:rPr/>
            </w:pPr>
            <w:r>
              <w:rPr/>
              <w:t>)</w:t>
            </w:r>
          </w:p>
        </w:tc>
      </w:tr>
      <w:tr>
        <w:trPr/>
        <w:tc>
          <w:tcPr>
            <w:tcW w:w="4460" w:type="dxa"/>
            <w:tcBorders/>
            <w:shd w:fill="FFFFFF" w:val="clear"/>
            <w:vAlign w:val="center"/>
          </w:tcPr>
          <w:p>
            <w:pPr>
              <w:pStyle w:val="TableContents"/>
              <w:bidi w:val="0"/>
              <w:spacing w:before="0" w:after="283"/>
              <w:jc w:val="left"/>
              <w:rPr/>
            </w:pPr>
            <w:r>
              <w:rPr/>
              <w:t>Other Income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pPr>
            <w:r>
              <w:rPr/>
              <w:t>Interest expense,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(10,143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(34.3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(9,638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(37.5</w:t>
            </w:r>
          </w:p>
        </w:tc>
        <w:tc>
          <w:tcPr>
            <w:tcW w:w="110" w:type="dxa"/>
            <w:tcBorders/>
            <w:shd w:fill="FFFFFF" w:val="clear"/>
            <w:vAlign w:val="center"/>
          </w:tcPr>
          <w:p>
            <w:pPr>
              <w:pStyle w:val="TableContents"/>
              <w:bidi w:val="0"/>
              <w:spacing w:before="0" w:after="283"/>
              <w:jc w:val="left"/>
              <w:rPr/>
            </w:pPr>
            <w:r>
              <w:rPr/>
              <w:t>)</w:t>
            </w:r>
          </w:p>
        </w:tc>
      </w:tr>
      <w:tr>
        <w:trPr/>
        <w:tc>
          <w:tcPr>
            <w:tcW w:w="4460" w:type="dxa"/>
            <w:tcBorders/>
            <w:shd w:fill="CCEEFF" w:val="clear"/>
            <w:vAlign w:val="center"/>
          </w:tcPr>
          <w:p>
            <w:pPr>
              <w:pStyle w:val="TableContents"/>
              <w:bidi w:val="0"/>
              <w:spacing w:before="0" w:after="283"/>
              <w:jc w:val="left"/>
              <w:rPr/>
            </w:pPr>
            <w:r>
              <w:rPr/>
              <w:t>Other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(0.1</w:t>
            </w:r>
          </w:p>
        </w:tc>
        <w:tc>
          <w:tcPr>
            <w:tcW w:w="110" w:type="dxa"/>
            <w:tcBorders/>
            <w:shd w:fill="CCEEFF" w:val="clear"/>
            <w:vAlign w:val="center"/>
          </w:tcPr>
          <w:p>
            <w:pPr>
              <w:pStyle w:val="TableContents"/>
              <w:bidi w:val="0"/>
              <w:spacing w:before="0" w:after="283"/>
              <w:jc w:val="left"/>
              <w:rPr/>
            </w:pPr>
            <w:r>
              <w:rPr/>
              <w:t>)</w:t>
            </w:r>
          </w:p>
        </w:tc>
      </w:tr>
      <w:tr>
        <w:trPr/>
        <w:tc>
          <w:tcPr>
            <w:tcW w:w="4460" w:type="dxa"/>
            <w:tcBorders/>
            <w:shd w:fill="FFFFFF" w:val="clear"/>
            <w:vAlign w:val="center"/>
          </w:tcPr>
          <w:p>
            <w:pPr>
              <w:pStyle w:val="TableContents"/>
              <w:bidi w:val="0"/>
              <w:spacing w:before="0" w:after="283"/>
              <w:jc w:val="left"/>
              <w:rPr/>
            </w:pPr>
            <w:r>
              <w:rPr/>
              <w:t>Change in fair market value of warrant liability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5,507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FFFFFF" w:val="clear"/>
            <w:tcMar>
              <w:bottom w:w="28" w:type="dxa"/>
            </w:tcMar>
            <w:vAlign w:val="center"/>
          </w:tcPr>
          <w:p>
            <w:pPr>
              <w:pStyle w:val="TableContents"/>
              <w:bidi w:val="0"/>
              <w:spacing w:before="0" w:after="283"/>
              <w:jc w:val="right"/>
              <w:rPr/>
            </w:pPr>
            <w:r>
              <w:rPr/>
              <w:t>18.6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(1,745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1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FFFFFF" w:val="clear"/>
            <w:tcMar>
              <w:bottom w:w="28" w:type="dxa"/>
            </w:tcMar>
            <w:vAlign w:val="center"/>
          </w:tcPr>
          <w:p>
            <w:pPr>
              <w:pStyle w:val="TableContents"/>
              <w:bidi w:val="0"/>
              <w:spacing w:before="0" w:after="283"/>
              <w:jc w:val="right"/>
              <w:rPr/>
            </w:pPr>
            <w:r>
              <w:rPr/>
              <w:t>(6.8</w:t>
            </w:r>
          </w:p>
        </w:tc>
        <w:tc>
          <w:tcPr>
            <w:tcW w:w="110" w:type="dxa"/>
            <w:tcBorders/>
            <w:shd w:fill="FFFFFF" w:val="clear"/>
            <w:vAlign w:val="center"/>
          </w:tcPr>
          <w:p>
            <w:pPr>
              <w:pStyle w:val="TableContents"/>
              <w:bidi w:val="0"/>
              <w:spacing w:before="0" w:after="283"/>
              <w:jc w:val="left"/>
              <w:rPr/>
            </w:pPr>
            <w:r>
              <w:rPr/>
              <w:t>)</w:t>
            </w:r>
          </w:p>
        </w:tc>
      </w:tr>
      <w:tr>
        <w:trPr/>
        <w:tc>
          <w:tcPr>
            <w:tcW w:w="4460" w:type="dxa"/>
            <w:tcBorders/>
            <w:shd w:fill="CCEEFF" w:val="clear"/>
            <w:vAlign w:val="center"/>
          </w:tcPr>
          <w:p>
            <w:pPr>
              <w:pStyle w:val="TableContents"/>
              <w:bidi w:val="0"/>
              <w:spacing w:before="0" w:after="283"/>
              <w:jc w:val="left"/>
              <w:rPr>
                <w:b/>
              </w:rPr>
            </w:pPr>
            <w:r>
              <w:rPr>
                <w:b/>
              </w:rPr>
              <w:t>Total Other (Expense) Income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(4,636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pPr>
            <w:r>
              <w:rPr/>
              <w:t>(15.7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(11,406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pPr>
            <w:r>
              <w:rPr/>
              <w:t>(44.4</w:t>
            </w:r>
          </w:p>
        </w:tc>
        <w:tc>
          <w:tcPr>
            <w:tcW w:w="110" w:type="dxa"/>
            <w:tcBorders/>
            <w:shd w:fill="CCEEFF" w:val="clear"/>
            <w:vAlign w:val="center"/>
          </w:tcPr>
          <w:p>
            <w:pPr>
              <w:pStyle w:val="TableContents"/>
              <w:bidi w:val="0"/>
              <w:spacing w:before="0" w:after="283"/>
              <w:jc w:val="left"/>
              <w:rPr/>
            </w:pPr>
            <w:r>
              <w:rPr/>
              <w:t>)</w:t>
            </w:r>
          </w:p>
        </w:tc>
      </w:tr>
      <w:tr>
        <w:trPr/>
        <w:tc>
          <w:tcPr>
            <w:tcW w:w="4460" w:type="dxa"/>
            <w:tcBorders/>
            <w:shd w:fill="FFFFFF" w:val="clear"/>
            <w:vAlign w:val="center"/>
          </w:tcPr>
          <w:p>
            <w:pPr>
              <w:pStyle w:val="TableContents"/>
              <w:bidi w:val="0"/>
              <w:spacing w:before="0" w:after="283"/>
              <w:jc w:val="left"/>
              <w:rPr>
                <w:b/>
              </w:rPr>
            </w:pPr>
            <w:r>
              <w:rPr>
                <w:b/>
              </w:rPr>
              <w:t>Loss Before Taxes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(13,831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(46.7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(23,994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pPr>
            <w:r>
              <w:rPr/>
              <w:t>(93.3</w:t>
            </w:r>
          </w:p>
        </w:tc>
        <w:tc>
          <w:tcPr>
            <w:tcW w:w="110" w:type="dxa"/>
            <w:tcBorders/>
            <w:shd w:fill="FFFFFF" w:val="clear"/>
            <w:vAlign w:val="center"/>
          </w:tcPr>
          <w:p>
            <w:pPr>
              <w:pStyle w:val="TableContents"/>
              <w:bidi w:val="0"/>
              <w:spacing w:before="0" w:after="283"/>
              <w:jc w:val="left"/>
              <w:rPr/>
            </w:pPr>
            <w:r>
              <w:rPr/>
              <w:t>)</w:t>
            </w:r>
          </w:p>
        </w:tc>
      </w:tr>
      <w:tr>
        <w:trPr/>
        <w:tc>
          <w:tcPr>
            <w:tcW w:w="4460" w:type="dxa"/>
            <w:tcBorders/>
            <w:shd w:fill="CCEEFF" w:val="clear"/>
            <w:vAlign w:val="center"/>
          </w:tcPr>
          <w:p>
            <w:pPr>
              <w:pStyle w:val="TableContents"/>
              <w:bidi w:val="0"/>
              <w:spacing w:before="0" w:after="283"/>
              <w:jc w:val="left"/>
              <w:rPr>
                <w:b/>
              </w:rPr>
            </w:pPr>
            <w:r>
              <w:rPr>
                <w:b/>
              </w:rPr>
              <w:t>Income Tax Benefit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b/>
              </w:rPr>
            </w:pPr>
            <w:r>
              <w:rPr>
                <w:b/>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pPr>
            <w:r>
              <w:rPr/>
              <w:t>(13,831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1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double" w:sz="6" w:space="0" w:color="000000"/>
            </w:tcBorders>
            <w:shd w:fill="FFFFFF" w:val="clear"/>
            <w:tcMar>
              <w:bottom w:w="28" w:type="dxa"/>
            </w:tcMar>
            <w:vAlign w:val="center"/>
          </w:tcPr>
          <w:p>
            <w:pPr>
              <w:pStyle w:val="TableContents"/>
              <w:bidi w:val="0"/>
              <w:spacing w:before="0" w:after="283"/>
              <w:jc w:val="right"/>
              <w:rPr/>
            </w:pPr>
            <w:r>
              <w:rPr/>
              <w:t>(46.7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pPr>
            <w:r>
              <w:rPr/>
              <w:t>(23,994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1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double" w:sz="6" w:space="0" w:color="000000"/>
            </w:tcBorders>
            <w:shd w:fill="FFFFFF" w:val="clear"/>
            <w:tcMar>
              <w:bottom w:w="28" w:type="dxa"/>
            </w:tcMar>
            <w:vAlign w:val="center"/>
          </w:tcPr>
          <w:p>
            <w:pPr>
              <w:pStyle w:val="TableContents"/>
              <w:bidi w:val="0"/>
              <w:spacing w:before="0" w:after="283"/>
              <w:jc w:val="right"/>
              <w:rPr/>
            </w:pPr>
            <w:r>
              <w:rPr/>
              <w:t>(93.3</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177" w:type="dxa"/>
        <w:jc w:val="left"/>
        <w:tblInd w:w="0" w:type="dxa"/>
        <w:tblLayout w:type="fixed"/>
        <w:tblCellMar>
          <w:top w:w="0" w:type="dxa"/>
          <w:left w:w="0" w:type="dxa"/>
          <w:bottom w:w="0" w:type="dxa"/>
          <w:right w:w="0" w:type="dxa"/>
        </w:tblCellMar>
      </w:tblPr>
      <w:tblGrid>
        <w:gridCol w:w="1310"/>
        <w:gridCol w:w="60"/>
        <w:gridCol w:w="227"/>
        <w:gridCol w:w="1107"/>
        <w:gridCol w:w="97"/>
        <w:gridCol w:w="97"/>
        <w:gridCol w:w="97"/>
        <w:gridCol w:w="1107"/>
        <w:gridCol w:w="75"/>
      </w:tblGrid>
      <w:tr>
        <w:trPr/>
        <w:tc>
          <w:tcPr>
            <w:tcW w:w="13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73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 June 30,</w:t>
            </w:r>
          </w:p>
        </w:tc>
        <w:tc>
          <w:tcPr>
            <w:tcW w:w="75" w:type="dxa"/>
            <w:tcBorders/>
            <w:vAlign w:val="center"/>
          </w:tcPr>
          <w:p>
            <w:pPr>
              <w:pStyle w:val="TableContents"/>
              <w:bidi w:val="0"/>
              <w:spacing w:before="0" w:after="283"/>
              <w:jc w:val="left"/>
              <w:rPr/>
            </w:pPr>
            <w:r>
              <w:rPr/>
              <w:t> </w:t>
            </w:r>
          </w:p>
        </w:tc>
      </w:tr>
      <w:tr>
        <w:trPr/>
        <w:tc>
          <w:tcPr>
            <w:tcW w:w="13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3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7"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20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13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732" w:type="dxa"/>
            <w:gridSpan w:val="6"/>
            <w:tcBorders/>
            <w:vAlign w:val="center"/>
          </w:tcPr>
          <w:p>
            <w:pPr>
              <w:pStyle w:val="TableContents"/>
              <w:bidi w:val="0"/>
              <w:spacing w:before="0" w:after="283"/>
              <w:jc w:val="center"/>
              <w:rPr>
                <w:b/>
              </w:rPr>
            </w:pPr>
            <w:r>
              <w:rPr>
                <w:b/>
              </w:rPr>
              <w:t>(in thousands)</w:t>
            </w:r>
          </w:p>
        </w:tc>
        <w:tc>
          <w:tcPr>
            <w:tcW w:w="75" w:type="dxa"/>
            <w:tcBorders/>
            <w:vAlign w:val="center"/>
          </w:tcPr>
          <w:p>
            <w:pPr>
              <w:pStyle w:val="TableContents"/>
              <w:bidi w:val="0"/>
              <w:spacing w:before="0" w:after="283"/>
              <w:jc w:val="left"/>
              <w:rPr/>
            </w:pPr>
            <w:r>
              <w:rPr/>
              <w:t> </w:t>
            </w:r>
          </w:p>
        </w:tc>
      </w:tr>
      <w:tr>
        <w:trPr/>
        <w:tc>
          <w:tcPr>
            <w:tcW w:w="1310" w:type="dxa"/>
            <w:tcBorders/>
            <w:shd w:fill="CCEEFF" w:val="clear"/>
            <w:vAlign w:val="center"/>
          </w:tcPr>
          <w:p>
            <w:pPr>
              <w:pStyle w:val="TableContents"/>
              <w:bidi w:val="0"/>
              <w:spacing w:before="0" w:after="283"/>
              <w:jc w:val="left"/>
              <w:rPr/>
            </w:pPr>
            <w:r>
              <w:rPr/>
              <w:t>DTC</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pPr>
            <w:r>
              <w:rPr/>
              <w:t>10,963</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pPr>
            <w:r>
              <w:rPr/>
              <w:t>11,737</w:t>
            </w:r>
          </w:p>
        </w:tc>
        <w:tc>
          <w:tcPr>
            <w:tcW w:w="75" w:type="dxa"/>
            <w:tcBorders/>
            <w:shd w:fill="CCEEFF" w:val="clear"/>
            <w:vAlign w:val="center"/>
          </w:tcPr>
          <w:p>
            <w:pPr>
              <w:pStyle w:val="TableContents"/>
              <w:bidi w:val="0"/>
              <w:spacing w:before="0" w:after="283"/>
              <w:jc w:val="left"/>
              <w:rPr/>
            </w:pPr>
            <w:r>
              <w:rPr/>
              <w:t> </w:t>
            </w:r>
          </w:p>
        </w:tc>
      </w:tr>
      <w:tr>
        <w:trPr/>
        <w:tc>
          <w:tcPr>
            <w:tcW w:w="1310" w:type="dxa"/>
            <w:tcBorders/>
            <w:shd w:fill="FFFFFF" w:val="clear"/>
            <w:vAlign w:val="center"/>
          </w:tcPr>
          <w:p>
            <w:pPr>
              <w:pStyle w:val="TableContents"/>
              <w:bidi w:val="0"/>
              <w:spacing w:before="0" w:after="283"/>
              <w:jc w:val="left"/>
              <w:rPr/>
            </w:pPr>
            <w:r>
              <w:rPr/>
              <w:t>% Net Sales</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1107" w:type="dxa"/>
            <w:tcBorders/>
            <w:shd w:fill="FFFFFF" w:val="clear"/>
            <w:vAlign w:val="center"/>
          </w:tcPr>
          <w:p>
            <w:pPr>
              <w:pStyle w:val="TableContents"/>
              <w:bidi w:val="0"/>
              <w:spacing w:before="0" w:after="283"/>
              <w:jc w:val="right"/>
              <w:rPr/>
            </w:pPr>
            <w:r>
              <w:rPr/>
              <w:t>37.0</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107" w:type="dxa"/>
            <w:tcBorders/>
            <w:shd w:fill="FFFFFF" w:val="clear"/>
            <w:vAlign w:val="center"/>
          </w:tcPr>
          <w:p>
            <w:pPr>
              <w:pStyle w:val="TableContents"/>
              <w:bidi w:val="0"/>
              <w:spacing w:before="0" w:after="283"/>
              <w:jc w:val="right"/>
              <w:rPr/>
            </w:pPr>
            <w:r>
              <w:rPr/>
              <w:t>45.6</w:t>
            </w:r>
          </w:p>
        </w:tc>
        <w:tc>
          <w:tcPr>
            <w:tcW w:w="75" w:type="dxa"/>
            <w:tcBorders/>
            <w:shd w:fill="FFFFFF" w:val="clear"/>
            <w:vAlign w:val="center"/>
          </w:tcPr>
          <w:p>
            <w:pPr>
              <w:pStyle w:val="TableContents"/>
              <w:bidi w:val="0"/>
              <w:spacing w:before="0" w:after="283"/>
              <w:jc w:val="left"/>
              <w:rPr/>
            </w:pPr>
            <w:r>
              <w:rPr/>
              <w:t> </w:t>
            </w:r>
          </w:p>
        </w:tc>
      </w:tr>
      <w:tr>
        <w:trPr/>
        <w:tc>
          <w:tcPr>
            <w:tcW w:w="1310" w:type="dxa"/>
            <w:tcBorders/>
            <w:shd w:fill="CCEEFF" w:val="clear"/>
            <w:vAlign w:val="center"/>
          </w:tcPr>
          <w:p>
            <w:pPr>
              <w:pStyle w:val="TableContents"/>
              <w:bidi w:val="0"/>
              <w:spacing w:before="0" w:after="283"/>
              <w:jc w:val="left"/>
              <w:rPr/>
            </w:pPr>
            <w:r>
              <w:rPr/>
              <w:t>OEM</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pPr>
            <w:r>
              <w:rPr/>
              <w:t>18,141</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pPr>
            <w:r>
              <w:rPr/>
              <w:t>13,976</w:t>
            </w:r>
          </w:p>
        </w:tc>
        <w:tc>
          <w:tcPr>
            <w:tcW w:w="75" w:type="dxa"/>
            <w:tcBorders/>
            <w:shd w:fill="CCEEFF" w:val="clear"/>
            <w:vAlign w:val="center"/>
          </w:tcPr>
          <w:p>
            <w:pPr>
              <w:pStyle w:val="TableContents"/>
              <w:bidi w:val="0"/>
              <w:spacing w:before="0" w:after="283"/>
              <w:jc w:val="left"/>
              <w:rPr/>
            </w:pPr>
            <w:r>
              <w:rPr/>
              <w:t> </w:t>
            </w:r>
          </w:p>
        </w:tc>
      </w:tr>
      <w:tr>
        <w:trPr/>
        <w:tc>
          <w:tcPr>
            <w:tcW w:w="1310" w:type="dxa"/>
            <w:tcBorders/>
            <w:shd w:fill="FFFFFF" w:val="clear"/>
            <w:vAlign w:val="center"/>
          </w:tcPr>
          <w:p>
            <w:pPr>
              <w:pStyle w:val="TableContents"/>
              <w:bidi w:val="0"/>
              <w:spacing w:before="0" w:after="283"/>
              <w:jc w:val="left"/>
              <w:rPr/>
            </w:pPr>
            <w:r>
              <w:rPr/>
              <w:t>% Net Sales</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1107" w:type="dxa"/>
            <w:tcBorders/>
            <w:shd w:fill="FFFFFF" w:val="clear"/>
            <w:vAlign w:val="center"/>
          </w:tcPr>
          <w:p>
            <w:pPr>
              <w:pStyle w:val="TableContents"/>
              <w:bidi w:val="0"/>
              <w:spacing w:before="0" w:after="283"/>
              <w:jc w:val="right"/>
              <w:rPr/>
            </w:pPr>
            <w:r>
              <w:rPr/>
              <w:t>61.3</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107" w:type="dxa"/>
            <w:tcBorders/>
            <w:shd w:fill="FFFFFF" w:val="clear"/>
            <w:vAlign w:val="center"/>
          </w:tcPr>
          <w:p>
            <w:pPr>
              <w:pStyle w:val="TableContents"/>
              <w:bidi w:val="0"/>
              <w:spacing w:before="0" w:after="283"/>
              <w:jc w:val="right"/>
              <w:rPr/>
            </w:pPr>
            <w:r>
              <w:rPr/>
              <w:t>54.4</w:t>
            </w:r>
          </w:p>
        </w:tc>
        <w:tc>
          <w:tcPr>
            <w:tcW w:w="75" w:type="dxa"/>
            <w:tcBorders/>
            <w:shd w:fill="FFFFFF" w:val="clear"/>
            <w:vAlign w:val="center"/>
          </w:tcPr>
          <w:p>
            <w:pPr>
              <w:pStyle w:val="TableContents"/>
              <w:bidi w:val="0"/>
              <w:spacing w:before="0" w:after="283"/>
              <w:jc w:val="left"/>
              <w:rPr/>
            </w:pPr>
            <w:r>
              <w:rPr/>
              <w:t> </w:t>
            </w:r>
          </w:p>
        </w:tc>
      </w:tr>
      <w:tr>
        <w:trPr/>
        <w:tc>
          <w:tcPr>
            <w:tcW w:w="1310" w:type="dxa"/>
            <w:tcBorders/>
            <w:shd w:fill="CCEEFF" w:val="clear"/>
            <w:vAlign w:val="center"/>
          </w:tcPr>
          <w:p>
            <w:pPr>
              <w:pStyle w:val="TableContents"/>
              <w:bidi w:val="0"/>
              <w:spacing w:before="0" w:after="283"/>
              <w:jc w:val="left"/>
              <w:rPr/>
            </w:pPr>
            <w:r>
              <w:rPr/>
              <w:t>Licensing fee</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pPr>
            <w:r>
              <w:rPr/>
              <w:t>500</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1310" w:type="dxa"/>
            <w:tcBorders/>
            <w:shd w:fill="FFFFFF" w:val="clear"/>
            <w:vAlign w:val="center"/>
          </w:tcPr>
          <w:p>
            <w:pPr>
              <w:pStyle w:val="TableContents"/>
              <w:bidi w:val="0"/>
              <w:spacing w:before="0" w:after="283"/>
              <w:jc w:val="left"/>
              <w:rPr/>
            </w:pPr>
            <w:r>
              <w:rPr/>
              <w:t>% Net Sales</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1107" w:type="dxa"/>
            <w:tcBorders/>
            <w:shd w:fill="FFFFFF" w:val="clear"/>
            <w:vAlign w:val="center"/>
          </w:tcPr>
          <w:p>
            <w:pPr>
              <w:pStyle w:val="TableContents"/>
              <w:bidi w:val="0"/>
              <w:spacing w:before="0" w:after="283"/>
              <w:jc w:val="right"/>
              <w:rPr/>
            </w:pPr>
            <w:r>
              <w:rPr/>
              <w:t>1.7</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107"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1310" w:type="dxa"/>
            <w:tcBorders/>
            <w:shd w:fill="CCEEFF" w:val="clear"/>
            <w:vAlign w:val="center"/>
          </w:tcPr>
          <w:p>
            <w:pPr>
              <w:pStyle w:val="TableContents"/>
              <w:bidi w:val="0"/>
              <w:spacing w:before="0" w:after="283"/>
              <w:jc w:val="left"/>
              <w:rPr/>
            </w:pPr>
            <w:r>
              <w:rPr/>
              <w:t>Net Sales</w:t>
            </w:r>
          </w:p>
        </w:tc>
        <w:tc>
          <w:tcPr>
            <w:tcW w:w="60" w:type="dxa"/>
            <w:tcBorders/>
            <w:shd w:fill="CCEEFF" w:val="clear"/>
            <w:vAlign w:val="center"/>
          </w:tcPr>
          <w:p>
            <w:pPr>
              <w:pStyle w:val="TableContents"/>
              <w:bidi w:val="0"/>
              <w:spacing w:before="0" w:after="283"/>
              <w:jc w:val="left"/>
              <w:rPr/>
            </w:pPr>
            <w:r>
              <w:rPr/>
              <w:t> </w:t>
            </w:r>
          </w:p>
        </w:tc>
        <w:tc>
          <w:tcPr>
            <w:tcW w:w="227"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107" w:type="dxa"/>
            <w:tcBorders>
              <w:bottom w:val="single" w:sz="8" w:space="0" w:color="000000"/>
            </w:tcBorders>
            <w:shd w:fill="CCEEFF" w:val="clear"/>
            <w:tcMar>
              <w:bottom w:w="28" w:type="dxa"/>
            </w:tcMar>
            <w:vAlign w:val="center"/>
          </w:tcPr>
          <w:p>
            <w:pPr>
              <w:pStyle w:val="TableContents"/>
              <w:bidi w:val="0"/>
              <w:spacing w:before="0" w:after="283"/>
              <w:jc w:val="right"/>
              <w:rPr/>
            </w:pPr>
            <w:r>
              <w:rPr/>
              <w:t>29,604</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7" w:type="dxa"/>
            <w:tcBorders>
              <w:bottom w:val="single" w:sz="8" w:space="0" w:color="000000"/>
            </w:tcBorders>
            <w:shd w:fill="CCEEFF" w:val="clear"/>
            <w:tcMar>
              <w:bottom w:w="28" w:type="dxa"/>
            </w:tcMar>
            <w:vAlign w:val="center"/>
          </w:tcPr>
          <w:p>
            <w:pPr>
              <w:pStyle w:val="TableContents"/>
              <w:bidi w:val="0"/>
              <w:spacing w:before="0" w:after="283"/>
              <w:jc w:val="right"/>
              <w:rPr/>
            </w:pPr>
            <w:r>
              <w:rPr/>
              <w:t>25,713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sales increased by $3.9 million, or 15.1%, to $29.6 million for the six months ended June 30, 2025, as compared to $25.7 million for the six months ended June 30, 2024. This increase was primarily due to higher OEM battery and accessory sales of new models to existing customers and licensing revenue which is part of the Stryten agreement entered into the second half of 2024. The decrease in DTC sales was due to ongoing macroeconomic pressures. We expect our sales to increase in the coming quarters as our customers expand the number of models they include our battery systems in for the new model year and our entrance into new markets, trucking and industrials, with new product offerings.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Goods Sold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goods sold increased by $1.6 million, or 8.1%, to $21.1 million for the six months ended June 30, 2025, as compared to $19.5 million for the six months ended June 30, 2024. This increase was primarily due to higher unit volume partially offset by lower material costs associated with consuming lower-priced inventory resulting in a $1.6 million increase in product cost. We expect our Cost of Goods Sold to increase in conjunction with the anticipated increase in revenue and higher tariffs over the next 12 months.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Gross Profit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increased by $2.3 million, or 37.2%, to $8.5 million for the six months ended June 30, 2025, as compared to $6.2 million for the six months ended June 30, 2024. The increase in gross profit was primarily due to a higher unit volume of sales partially offset by consumption of lower-priced inventory.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Research and Development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decreased by $1.2 million or 40.9%, to $1.7 million for the six months ended June 30, 2025, as compared to $2.9 million for the six months ended June 30, 2024. The decrease was primarily a result of lower wage expense in the amount of $0.9 million due to change in bonus accrual and reduced headcount along with lower rent, travel and supplies. We expect Research and Development expenses to be lower than last year as we change our focus from Solid State to Product Development.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and Administrative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decreased by $0.5 million, or 4.4%, to $11.0 million for the six months ended June 30, 2025, as compared to $10.5 million for the six months ended June 30, 2024. This decrease was primarily due to a decrease in legal and professional services of $0.7 million and lower employee related costs in the amount of $0.2 million partially offset by higher rent in the amount of $0.5 million. We expect General and Administrative Expenses, as a percentage of revenue, to be relatively stable over the next 12 months.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Selling and Marketing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expenses decreased by $0.3 million, or 6.7%, to $5.1 million for the six months ended June 30, 2025, as compared to $5.4 million for the six months ended June 30, 2024. This decrease was primarily due to lower employee related costs in the amount of $0.6 million primarily related to a change in bonus accrual and lower headcount. Partially offsetting this decrease is higher shipping costs in the amount of $0.1 million related to an increase in units sold along with higher spend on advertising. We expected Selling and Marketing Expenses, as a percentage of revenue, to be relatively stable over the next 12 months.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Total Other Income (Expense)</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 totaled $4.6 million for the six months ended June 30, 2025 as compared to total other expense of $11.4 million for the six months ended June 30, 2024. Other expense for the six months ended June 30, 2025 is comprised of $10.1 million in interest expense related to our debt securities partially offset by a change in fair market value of our warrants in the amount of $5.5 million. Other expense for the six months ended June 30, 2024 is comprised of a negative change in fair market value of our warrants in the amount of $1.7 million and $9.6 million in interest expense related to our debt securities.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 (Benefit) Expense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was no tax expense recorded for the six months ended June 30, 2025 or the six months ended June 30, 2024. Based on available evidence as of June 30, 2025 and June 30, 2024, management believes it is more likely than not that some or all the deferred tax assets will not be realized. Accordingly, we established a 100% valuation allowance. As a result of the full valuation allowance, we did not record a tax benefit during the six months ended June 30, 2025 or the six months ended June 30, 2024.</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Loss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generated a net loss of $13.8 million for the six months ended June 30, 2025, as compared to net loss of $24.0 million for the six months ended June 30, 2024. As described above, this result was driven by higher sales, consumption of lower-priced inventory, lower operating expenses, and an increase in other expense , due to the change in fair market value of our warrants.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Critical Accounting Estimates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condensed consolidated financial statements have been prepared in accordance with generally accepted accounting principles in the United States. The preparation of these condensed consolidated financial statements requires us to make judgments and estimates that affect the reported amounts of assets, liabilities, revenues and expenses, and the disclosure of contingent assets and liabilities in our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Our actual results may differ from these estimates under different assumptions or conditions. On a recurring basis, we evaluate our judgments and estimates in light of changes in circumstances, facts, and experience. The effects of material revisions in an estimate, if any, will be reflected in the consolidated financial statements prospectively from the date of the change in the estimate.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consider an accounting estimate to be critical if: (1) the accounting estimate requires us to make assumptions about matters that were highly uncertain at the time the accounting estimate was made, and (2) changes in the estimate that are reasonably likely to occur from period to period, or use of different estimates that we reasonably could have used in the current period, would have a material impact on our financial condition or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has discussed the development and selection of these critical accounting estimates with the Audit Committee of our board of directors. In addition, there are other items within our financial statements that require estimation but are not deemed critical as defined above. Changes in estimates used in these and other items could have a material impact on our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the following accounting policies are those most critical to the judgments and estimates used in the preparation of our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Inventory Valuation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periodically review physical inventory for excess, obsolete, and potentially impaired items and reserves. Any such inventory is written down to net realizable value. The reserve estimate for excess and obsolete inventory is dependent on expected future use and requires management judgement. The level of the estimate is assessed by considering the recent sales experience, the aging of inventories, and other factors that affect inventory obsolescence</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apply relevant accounting guidance for warrants to purchase our stock based on the nature of the relationship with the counterparty. For warrants issued to investors or lenders in exchange for cash or other financial assets, we follow guidance issued within ASC 480, Distinguishing Liabilities from Equity (“ASC 480”), and ASC 815, Derivatives and Hedging (“ASC 815”), to assist in the determination of whether the warrants should be classified as liabilities or equity. Warrants that are determined to require liability classifications are measured at fair value upon issuance and are subsequently remeasured to their then fair value at each subsequent reporting period with changes in fair value recorded in current earnings. Warrants that are determined to require equity classifications are measured at fair value upon issuance and are not subsequently remeasured unless they are required to be reclassified. See “</w:t>
      </w:r>
      <w:r>
        <w:rPr>
          <w:rFonts w:ascii="Times New Roman;Times;Serif" w:hAnsi="Times New Roman;Times;Serif"/>
          <w:b w:val="false"/>
          <w:i/>
          <w:caps w:val="false"/>
          <w:smallCaps w:val="false"/>
          <w:sz w:val="20"/>
        </w:rPr>
        <w:t>Note 9—Warrants</w:t>
      </w:r>
      <w:r>
        <w:rPr>
          <w:rFonts w:ascii="Times New Roman;Times;Serif" w:hAnsi="Times New Roman;Times;Serif"/>
          <w:b w:val="false"/>
          <w:i w:val="false"/>
          <w:caps w:val="false"/>
          <w:smallCaps w:val="false"/>
          <w:sz w:val="20"/>
        </w:rPr>
        <w:t>” in our accompanying condensed consolidated financial statements for information on the warrants. Changes in assumptions used to estimate fair value could occur from stock pricing volatility depending on our performance and our position in the industry and changes in market interest rates which can result in materially different results.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Equity-Based Compensation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use the Black-Scholes option-pricing model to determine the fair value of option grants. In estimating fair value, management is required to make certain assumptions and estimates such as the expected life of units, volatility of our future share price, risk-free rates, future dividend yields and estimated forfeitures at the initial grant date. Restricted stock unit awards are valued based on the closing trading price of our common stock on the date of grant. Changes in assumptions used to estimate fair value could occur from stock pricing volatility depending on our performance and our position in the industry and changes in market interest rates which can result in materially different results.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account for income taxes using the asset and liability method. Under this method, deferred tax assets and liabilities are recognized for the future tax consequences of temporary differences between the carrying amounts and tax bases of assets and liabilities using enacted rates. The effect of a change in tax rates on deferred taxes is recognized in income in the period that includes the enactment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recognize the financial statement effect of an uncertain income tax position when it is more likely than not, based on the technical merits, that the position will be sustained upon examination. Recognized income tax positions are measured at the largest amount that is greater than 50% likely to be realized. A valuation allowance is recorded to reduce deferred income tax assets to an amount, which in the opinion of management is more likely than not to be realized.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judgment is required in determining our provision for income taxes, our deferred tax assets and liabilities, and any valuation allowance recorded against our deferred tax assets. We consider factors such as the cumulative income or loss in recent years; reversal of deferred tax liabilities; projected future taxable income exclusive of temporary differences; the character of the income tax asset, including income tax positions; tax planning strategies and the period over which we expect the deferred tax assets to be recovered in the determination of the valuation allowance. In the event that actual results differ from these estimates or we adjust our estimates in the future, we may need to adjust our valuation allowance, which could materially impact our financial position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the deferred tax asset considered realizable could be adjusted if our actual results in the future do not generate taxable income that is sufficient to allow us to utilize our deferred tax assets. Our future taxable income projections are subject to a high degree of uncertainty and could be impacted, both positively and negatively, by changes in our business or the markets in which we operate. A change in the assessment of the realizability of our deferred tax assets could materially impact our results of operations.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Leases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Acquired right-of-use assets and assumed lease liabilities are measured based on the remaining lease payments over the remaining portion of the lease term. As our leases do not provide an implicit rate, our incremental borrowing rate is used as a discount rate in determining the present value of lease payments. Our incremental borrowing rate was determined by comparing current low- and high-end mortgage loan rates and calculating an average. To be conservative in our estimate, we chose to use the high-end average as our incremental borrowing rate for all lease arrangements.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License Arrangement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license arrangements that involve receiving upfront compensation, which is recognized as revenue over a five-year period. Management estimates the appropriate recognition pattern based on the expected delivery of related services and the period over which the economic benefits will be realized. This estimate involves judgments about the timing of performance obligations and the likelihood of continued customer engagement. Changes in these assumptions or unexpected developments could result in adjustments to revenue recognition, impacting the financial statements. As of the reporting date, management believes the estimate reflects the current understanding of the license arrangements’ performance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Tariffs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import certain components used in the manufacturing of our products and are responsible for calculating and paying the applicable tariffs. Tariff obligations involve significant judgment, including interpretation of customs classifications, trade agreements, and dutiable values.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Financial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Quarterly Report includes a non-generally accepted account principles within the United States (“</w:t>
      </w:r>
      <w:r>
        <w:rPr>
          <w:rFonts w:ascii="Times New Roman;Times;Serif" w:hAnsi="Times New Roman;Times;Serif"/>
          <w:b/>
          <w:i w:val="false"/>
          <w:caps w:val="false"/>
          <w:smallCaps w:val="false"/>
          <w:sz w:val="20"/>
        </w:rPr>
        <w:t>U.S. GAAP</w:t>
      </w:r>
      <w:r>
        <w:rPr>
          <w:rFonts w:ascii="Times New Roman;Times;Serif" w:hAnsi="Times New Roman;Times;Serif"/>
          <w:b w:val="false"/>
          <w:i w:val="false"/>
          <w:caps w:val="false"/>
          <w:smallCaps w:val="false"/>
          <w:sz w:val="20"/>
        </w:rPr>
        <w:t>”) measure that we use to supplement our results presented in accordance with U.S. GAAP. Earnings before interest tax and amortization (“</w:t>
      </w:r>
      <w:r>
        <w:rPr>
          <w:rFonts w:ascii="Times New Roman;Times;Serif" w:hAnsi="Times New Roman;Times;Serif"/>
          <w:b/>
          <w:i w:val="false"/>
          <w:caps w:val="false"/>
          <w:smallCaps w:val="false"/>
          <w:sz w:val="20"/>
        </w:rPr>
        <w:t>EBITDA</w:t>
      </w:r>
      <w:r>
        <w:rPr>
          <w:rFonts w:ascii="Times New Roman;Times;Serif" w:hAnsi="Times New Roman;Times;Serif"/>
          <w:b w:val="false"/>
          <w:i w:val="false"/>
          <w:caps w:val="false"/>
          <w:smallCaps w:val="false"/>
          <w:sz w:val="20"/>
        </w:rPr>
        <w:t>”) is defined as earnings before interest and other income (expenses), income taxes, and depreciation and amortization. Adjusted EBITDA is calculated as EBITDA adjusted for stock-based compensation, change in fair market value of warrant liabilities, non-recurring costs associated with strategic financing, reverse stock split, litigation and loss on settlement. Adjusted EBITDA is a performance measure that we believe is useful to investors and analysts because it illustrates the underlying financial and business trends relating to our core, recurring results of operations and enhances comparability between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is not a recognized measure under U.S. GAAP and is not intended to be a substitute for any U.S. GAAP financial measure and, as calculated, may not be comparable to other similarly titled measures of performance of other companies in other industries or within the same industry. Investors should exercise caution in comparing our non-GAAP measure to any similarly titled measure used by other companies. This non-GAAP measure excludes certain items required by U.S. GAAP and should not be considered as an alternative to information reported in accordance with U.S. GAAP.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presents our adjusted EBITDA, reconciled to net (loss) income for the three and six months ended June 30, 2025, and June 30, 2024.</w:t>
      </w:r>
    </w:p>
    <w:p>
      <w:pPr>
        <w:pStyle w:val="TextBody"/>
        <w:bidi w:val="0"/>
        <w:spacing w:before="0" w:after="0"/>
        <w:ind w:left="0" w:right="0" w:hanging="0"/>
        <w:jc w:val="both"/>
        <w:rPr>
          <w:caps w:val="false"/>
          <w:smallCaps w:val="false"/>
        </w:rPr>
      </w:pPr>
      <w:r>
        <w:rPr>
          <w:caps w:val="false"/>
          <w:smallCaps w:val="false"/>
        </w:rPr>
        <w:t> </w:t>
      </w:r>
    </w:p>
    <w:tbl>
      <w:tblPr>
        <w:tblW w:w="7812" w:type="dxa"/>
        <w:jc w:val="left"/>
        <w:tblInd w:w="0" w:type="dxa"/>
        <w:tblLayout w:type="fixed"/>
        <w:tblCellMar>
          <w:top w:w="0" w:type="dxa"/>
          <w:left w:w="0" w:type="dxa"/>
          <w:bottom w:w="0" w:type="dxa"/>
          <w:right w:w="0" w:type="dxa"/>
        </w:tblCellMar>
      </w:tblPr>
      <w:tblGrid>
        <w:gridCol w:w="4100"/>
        <w:gridCol w:w="60"/>
        <w:gridCol w:w="136"/>
        <w:gridCol w:w="594"/>
        <w:gridCol w:w="87"/>
        <w:gridCol w:w="65"/>
        <w:gridCol w:w="136"/>
        <w:gridCol w:w="709"/>
        <w:gridCol w:w="80"/>
        <w:gridCol w:w="60"/>
        <w:gridCol w:w="125"/>
        <w:gridCol w:w="650"/>
        <w:gridCol w:w="80"/>
        <w:gridCol w:w="60"/>
        <w:gridCol w:w="125"/>
        <w:gridCol w:w="650"/>
        <w:gridCol w:w="95"/>
      </w:tblGrid>
      <w:tr>
        <w:trPr/>
        <w:tc>
          <w:tcPr>
            <w:tcW w:w="41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27"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90"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1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7"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84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1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27"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90"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1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(7,034</w:t>
            </w:r>
          </w:p>
        </w:tc>
        <w:tc>
          <w:tcPr>
            <w:tcW w:w="8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(13,627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(13,831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(23,994</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1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5,442</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4,878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10,143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9,638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491</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0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EBITDA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(1,101</w:t>
            </w:r>
          </w:p>
        </w:tc>
        <w:tc>
          <w:tcPr>
            <w:tcW w:w="8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(8,418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(2,338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(13,693</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100"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Adjusted for: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4"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Stock-Based Compensation </w:t>
            </w:r>
            <w:r>
              <w:rPr>
                <w:rFonts w:ascii="Times New Roman;Times;Serif" w:hAnsi="Times New Roman;Times;Serif"/>
                <w:b w:val="false"/>
                <w:i w:val="false"/>
                <w:caps w:val="false"/>
                <w:smallCaps w:val="false"/>
                <w:position w:val="7"/>
                <w:sz w:val="16"/>
                <w:sz w:val="20"/>
              </w:rPr>
              <w:t>(1)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190</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Change in fair market value of warrant liability </w:t>
            </w:r>
            <w:r>
              <w:rPr>
                <w:rFonts w:ascii="Times New Roman;Times;Serif" w:hAnsi="Times New Roman;Times;Serif"/>
                <w:b w:val="false"/>
                <w:i w:val="false"/>
                <w:caps w:val="false"/>
                <w:smallCaps w:val="false"/>
                <w:position w:val="7"/>
                <w:sz w:val="16"/>
                <w:sz w:val="20"/>
              </w:rPr>
              <w:t>(2)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(1,689</w:t>
            </w:r>
          </w:p>
        </w:tc>
        <w:tc>
          <w:tcPr>
            <w:tcW w:w="8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1,981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(5,507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1,745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Non-Recurring/One-Time Expenses: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4"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Litigation Fees and loss on settlement </w:t>
            </w:r>
            <w:r>
              <w:rPr>
                <w:rFonts w:ascii="Times New Roman;Times;Serif" w:hAnsi="Times New Roman;Times;Serif"/>
                <w:b w:val="false"/>
                <w:i w:val="false"/>
                <w:caps w:val="false"/>
                <w:smallCaps w:val="false"/>
                <w:position w:val="7"/>
                <w:sz w:val="16"/>
                <w:sz w:val="20"/>
              </w:rPr>
              <w:t>(3)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year tariff estimate adjustment</w:t>
            </w:r>
            <w:r>
              <w:rPr>
                <w:rFonts w:ascii="Times New Roman;Times;Serif" w:hAnsi="Times New Roman;Times;Serif"/>
                <w:b w:val="false"/>
                <w:i w:val="false"/>
                <w:caps w:val="false"/>
                <w:smallCaps w:val="false"/>
                <w:position w:val="7"/>
                <w:sz w:val="16"/>
                <w:sz w:val="20"/>
              </w:rPr>
              <w:t>(4)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287</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Preferred Stock Financing Expenses</w:t>
            </w:r>
            <w:r>
              <w:rPr>
                <w:rFonts w:ascii="Times New Roman;Times;Serif" w:hAnsi="Times New Roman;Times;Serif"/>
                <w:b w:val="false"/>
                <w:i w:val="false"/>
                <w:caps w:val="false"/>
                <w:smallCaps w:val="false"/>
                <w:position w:val="7"/>
                <w:sz w:val="16"/>
                <w:sz w:val="20"/>
              </w:rPr>
              <w:t>(5)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Reverse Stock Split</w:t>
            </w:r>
            <w:r>
              <w:rPr>
                <w:rFonts w:ascii="Times New Roman;Times;Serif" w:hAnsi="Times New Roman;Times;Serif"/>
                <w:b w:val="false"/>
                <w:i w:val="false"/>
                <w:caps w:val="false"/>
                <w:smallCaps w:val="false"/>
                <w:position w:val="7"/>
                <w:sz w:val="16"/>
                <w:sz w:val="20"/>
              </w:rPr>
              <w:t>(6)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0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4"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0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Adjusted EBITDA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(2,241</w:t>
            </w:r>
          </w:p>
        </w:tc>
        <w:tc>
          <w:tcPr>
            <w:tcW w:w="8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(6,200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(5,886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(11,445</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7"/>
        <w:gridCol w:w="9968"/>
      </w:tblGrid>
      <w:tr>
        <w:trPr/>
        <w:tc>
          <w:tcPr>
            <w:tcW w:w="2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68"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Stock-Based Compensation is comprised of costs associated with option and RSU grants made to our employees, consultants and board members.</w:t>
            </w:r>
          </w:p>
        </w:tc>
      </w:tr>
      <w:tr>
        <w:trPr/>
        <w:tc>
          <w:tcPr>
            <w:tcW w:w="237" w:type="dxa"/>
            <w:tcBorders/>
            <w:vAlign w:val="center"/>
          </w:tcPr>
          <w:p>
            <w:pPr>
              <w:pStyle w:val="TableContents"/>
              <w:bidi w:val="0"/>
              <w:spacing w:before="0" w:after="283"/>
              <w:jc w:val="left"/>
              <w:rPr>
                <w:caps w:val="false"/>
                <w:smallCaps w:val="false"/>
              </w:rPr>
            </w:pPr>
            <w:r>
              <w:rPr>
                <w:caps w:val="false"/>
                <w:smallCaps w:val="false"/>
              </w:rPr>
              <w:t> </w:t>
            </w:r>
          </w:p>
        </w:tc>
        <w:tc>
          <w:tcPr>
            <w:tcW w:w="996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6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market value of warrant liabilities represents the change in fair value from January 1, 2025 through June 30, 2025 and January 1, 2024 through June 30, 2024, respectively.</w:t>
            </w:r>
          </w:p>
        </w:tc>
      </w:tr>
      <w:tr>
        <w:trPr/>
        <w:tc>
          <w:tcPr>
            <w:tcW w:w="237" w:type="dxa"/>
            <w:tcBorders/>
            <w:vAlign w:val="center"/>
          </w:tcPr>
          <w:p>
            <w:pPr>
              <w:pStyle w:val="TableContents"/>
              <w:bidi w:val="0"/>
              <w:spacing w:before="0" w:after="283"/>
              <w:jc w:val="left"/>
              <w:rPr>
                <w:caps w:val="false"/>
                <w:smallCaps w:val="false"/>
              </w:rPr>
            </w:pPr>
            <w:r>
              <w:rPr>
                <w:caps w:val="false"/>
                <w:smallCaps w:val="false"/>
              </w:rPr>
              <w:t> </w:t>
            </w:r>
          </w:p>
        </w:tc>
        <w:tc>
          <w:tcPr>
            <w:tcW w:w="996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6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Litigation Fees and Loss on Settlement includes legal fees and expenses and settlement related to the International Trade Commission ‘ITC’ Lithium Hub patent infringement case and other.</w:t>
            </w:r>
          </w:p>
        </w:tc>
      </w:tr>
      <w:tr>
        <w:trPr/>
        <w:tc>
          <w:tcPr>
            <w:tcW w:w="237" w:type="dxa"/>
            <w:tcBorders/>
            <w:vAlign w:val="center"/>
          </w:tcPr>
          <w:p>
            <w:pPr>
              <w:pStyle w:val="TableContents"/>
              <w:bidi w:val="0"/>
              <w:spacing w:before="0" w:after="283"/>
              <w:jc w:val="left"/>
              <w:rPr>
                <w:caps w:val="false"/>
                <w:smallCaps w:val="false"/>
              </w:rPr>
            </w:pPr>
            <w:r>
              <w:rPr>
                <w:caps w:val="false"/>
                <w:smallCaps w:val="false"/>
              </w:rPr>
              <w:t> </w:t>
            </w:r>
          </w:p>
        </w:tc>
        <w:tc>
          <w:tcPr>
            <w:tcW w:w="996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68"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Revision to estimate of prior year tariff underpayment</w:t>
            </w:r>
          </w:p>
        </w:tc>
      </w:tr>
      <w:tr>
        <w:trPr/>
        <w:tc>
          <w:tcPr>
            <w:tcW w:w="237" w:type="dxa"/>
            <w:tcBorders/>
            <w:vAlign w:val="center"/>
          </w:tcPr>
          <w:p>
            <w:pPr>
              <w:pStyle w:val="TableContents"/>
              <w:bidi w:val="0"/>
              <w:spacing w:before="0" w:after="283"/>
              <w:jc w:val="left"/>
              <w:rPr>
                <w:caps w:val="false"/>
                <w:smallCaps w:val="false"/>
              </w:rPr>
            </w:pPr>
            <w:r>
              <w:rPr>
                <w:caps w:val="false"/>
                <w:smallCaps w:val="false"/>
              </w:rPr>
              <w:t> </w:t>
            </w:r>
          </w:p>
        </w:tc>
        <w:tc>
          <w:tcPr>
            <w:tcW w:w="996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68"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Preferred Stock Financing is comprised of the expense relating to the Offerings</w:t>
            </w:r>
          </w:p>
        </w:tc>
      </w:tr>
      <w:tr>
        <w:trPr/>
        <w:tc>
          <w:tcPr>
            <w:tcW w:w="237" w:type="dxa"/>
            <w:tcBorders/>
            <w:vAlign w:val="center"/>
          </w:tcPr>
          <w:p>
            <w:pPr>
              <w:pStyle w:val="TableContents"/>
              <w:bidi w:val="0"/>
              <w:spacing w:before="0" w:after="283"/>
              <w:jc w:val="left"/>
              <w:rPr>
                <w:caps w:val="false"/>
                <w:smallCaps w:val="false"/>
              </w:rPr>
            </w:pPr>
            <w:r>
              <w:rPr>
                <w:caps w:val="false"/>
                <w:smallCaps w:val="false"/>
              </w:rPr>
              <w:t> </w:t>
            </w:r>
          </w:p>
        </w:tc>
        <w:tc>
          <w:tcPr>
            <w:tcW w:w="996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96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Reverse Stock Split includes transfer agent and legal expenses and fees related to the reverse stock split with the SEC.</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61</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Liquidity describes the ability of a company to generate sufficient cash flows to meet the cash requirements of its business operations, including working capital needs, debt service, acquisitions, contractual obligations and other commitments. We assess liquidity in terms of our cash flows from operations and their sufficiency to fund our operating and investing activities. As of June 30, 2025, we had cash totaling $2.7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2025, we raised $3.5 million with net proceeds of $3.2 million in connection with the sale of the shares of our Series A Preferred Stock, and raised an additional $4.5 million with net proceeds of $4.2 million in connection with the second closing of shares of our Series A Preferred Stock in April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30, 2025, we entered into an underwriting agreement with Canaccord Genuity LLC, as underwriter, relating to an underwritten public offering of 21,980,000 shares of common stock, at a price to the public of $0.25 per share. On July 31, 2025, we completed the 2025 Public Offering raising gross proceed of approximately $5.5 million and net proceeds of $5.035 million after deducting underwriting discounts and commissions and other estimated offering expenses payable by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29, 2024, Legacy Dragonfly and Battle Born LLC entered into the License with Stryten. In exchange for the licensing rights, Stryten agreed to pay Battle Born LLC the Initial Licensing Fee of five million dollars ($5,000,000). Per the License Agreement, payment for the Initial Licensing Fee is due within 30 days of the effective date of the License Agreement. We received the Initial Licensing Fee in August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that we will need to raise additional funds, including through the issuance of equity, equity-related or debt securities or by obtaining additional credit from financial institutions to fund, together with our principal sources of liquidity, ongoing costs, such as research and development relating to our solid-state batteries, expansion of our facilities, and new strategic investments. If such financings are not available, or if the terms of such financings are less desirable than we expect, we may be forced to take actions to reduce our capital or operating expenditures, including by not seeking potential acquisition opportunities, eliminating redundancies, or reducing or delaying our production facility expansions, reduce operations, sell off our assets, seek the protection of bankruptcy courts or shut down our operations and dissolve. Further, any future debt or equity financings may be dilutive to our current stockholders.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Financing Obligations and Requirements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24, 2021, we issued $45 million of fixed rate senior notes, secured by among other things, a security interest in our intellectual property. As part of the Business Combination, we entered into a senior secured term loan facility in an aggregate principal amount of $75 million (the “Term Loan”) pursuant to the Term Loan, Guarantee and Security Agreement (the “Original Term Loan Agreement”) by and among, us, Legacy Dragonfly, Alter Domus (US) LLC, as the Agent to the lenders time-to-time party thereto (such lenders, the “Term Loan Lenders”), the proceeds of which were used to repay the $45 million fixed rate senior notes, and ChEF Equity Facility. On June 28, 2024, we entered into the First Amendment with the Term Loan Lenders. The First Amendment provided for a one-time issuance of the June 2024 Penny Warrants to purchase up to 233,334 shares of common stock and certain amendments to the Term Loan. On July 29, 2024, we entered into the Second Amendment with the Term Loan Lenders in connection with the License Agreement. On September 30, 2024, we entered into the Third Amendment with the Term Loan Lenders, which provided for the issuance of the September 2024 Penny Warrants to purchase up to 333,334 shares of common stock and certain amendments to the Term Loan Agreement. On December 31, 2024, we entered into the Fourth Amendment with the Term Loan Lenders, which provided for the issuance of the December 2024 Penny Warrants to purchase up to 350,000 shares of common stock and certain amendments to the Term Loan Agreement. On February 26, 2025, we entered into the Fifth Amendment with the Term Loan Lenders, which provided for the issuance of the February 2025 Penny Warrants to purchase up to 330,000 shares of common stock and certain amendments to the Term Loan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License Agreement, on July 29, 2024, us, Legacy Dragonfly and Battle Born LLC entered into the Second Amendment (together with the Original Term Loan, the First Amendment, the Second Amendment, the Third Amendment and the Fourth Amendment, the “Term Loan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Second Amendment, the Term Loan Lenders (i) consented to the transactions contemplated by the License Agreement and the Trademark Transfer Agreement and (ii) agreed to waive the mandatory prepayment under the Term Loan that would have been due to the Term Loan Lenders under the Term Loan Agreement upon Battle Born LLC’s receipt of the Initial Licensing Fee. In connection with the Second Amendment, Battle Born LLC entered into the Joinder.</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Loan proceeds were used to: (i) support the Business Combination, (ii) prepay the fixed rate senior notes at closing of the Business Combination, (iii) pay fees and expenses in connection with the foregoing, (iv) to provide additional growth capital and (v) for other general/corporate purposes. The Term Loan will mature on October 7, 2027, or the Maturity Date, and will be subject to quarterly amortization of 5% per annum beginning 24 months after issuance. The definitive documents for the Term Loan incorporate certain mandatory prepayment events and certain affirmative and negative covenants and exceptions hereto. The financial covenants for the Term Loan include a maximum senior leverage ratio covenant, a minimum liquidity covenant, a springing fixed charge coverage ratio covenant, and a maximum capital expenditures covenant. On March 29, 2023, September 29, 2023, December 29, 2023, May 13, 2024, June 28, 2024, September 30, 2024 and December 31, 2024, we obtained waivers from Alter Domus (US) LLC, as the administrative agent for the lenders (the “Administrative Agent”) and EICF Agent LLC and certain third-party financing source of our failure to satisfy the Tests under the Term Loan during the quarters ended March 31, 2023, September 30, 2023, December 31, 2023, March 31, 2024, June 30, 2024, September 30, 2024, and December 31, 2024. On March 31, 2024, April 29, 2024, May 30, 2024, June 28, 2024, July 31, 2024, August 30, 2024, September 30, 2024, October 31, 2024, November 30, 2024, December 31, 2024 and January 31, 2025, we received additional waivers from the Administrative Agent and the Term Loan Lenders in regard to our compliance with the liquidity requirement under the Term Loan as of the last day of the fiscal quarters ended March 31, 2024, June 30, 2024, September 30, 2024 and December 31, 2024, and as of the last fiscal day for the months ended April 30, 2024, May 31, 2024, July 31, 2024, August 31, 2024, October 31, 2024 and November 30, 2024. However, it is probable that we will fail to meet these covenants within the next twelve months. In accordance with U.S. GAAP, we reclassified our notes payable from a long-term liability to a current liability. The Term Loan accrues interest as follows: (i) until April 1, 2024, at a per annum rate equal to adjusted secured overnight financing rate (“SOFR”) plus 7% payable in cash plus an amount ranging from 4.5% to 6.5%, depending on our senior leverage ratio; (ii) effective April 1, 2024 and thereafter, interest payable to certain lenders subject to regulations of the U.S. Small Business Administration (“SBA”) with outstanding principal on that date of $30,846 will be limited to 14.0% per annum (except for default interest permitted under SBA regulations, as applicable); and (iii) the other outstanding principal will accrue interest from April 1, 2024 thereafter until October 1, 2024, at a per annum rate equal to adjusted SOFR plus 7% payable in cash plus an amount ranging from 4.5% to 6.5%, depending on the senior leverage ratio of the consolidated company, and at all times thereafter, at a per annum rate equal to adjusted SOFR plus a margin ranging from 11.5% to 13.5%, depending on our senior leverage ratio.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of interest based on the Term Loan are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8"/>
        <w:gridCol w:w="9852"/>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85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payable on April 1, 2024, was paid in cash.</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8" w:type="dxa"/>
            <w:tcBorders/>
            <w:vAlign w:val="center"/>
          </w:tcPr>
          <w:p>
            <w:pPr>
              <w:pStyle w:val="TableContents"/>
              <w:bidi w:val="0"/>
              <w:spacing w:before="0" w:after="283"/>
              <w:jc w:val="left"/>
              <w:rPr>
                <w:caps w:val="false"/>
                <w:smallCaps w:val="false"/>
              </w:rPr>
            </w:pPr>
            <w:r>
              <w:rPr>
                <w:caps w:val="false"/>
                <w:smallCaps w:val="false"/>
              </w:rPr>
              <w:t> </w:t>
            </w:r>
          </w:p>
        </w:tc>
        <w:tc>
          <w:tcPr>
            <w:tcW w:w="985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85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payable on July 1, 2024, became payable-in-kind.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8" w:type="dxa"/>
            <w:tcBorders/>
            <w:vAlign w:val="center"/>
          </w:tcPr>
          <w:p>
            <w:pPr>
              <w:pStyle w:val="TableContents"/>
              <w:bidi w:val="0"/>
              <w:spacing w:before="0" w:after="283"/>
              <w:jc w:val="left"/>
              <w:rPr>
                <w:caps w:val="false"/>
                <w:smallCaps w:val="false"/>
              </w:rPr>
            </w:pPr>
            <w:r>
              <w:rPr>
                <w:caps w:val="false"/>
                <w:smallCaps w:val="false"/>
              </w:rPr>
              <w:t> </w:t>
            </w:r>
          </w:p>
        </w:tc>
        <w:tc>
          <w:tcPr>
            <w:tcW w:w="985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5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payable on October 1, 2024, became payable partly in cash and partly in-kind, at a per annum rate equal to adjusted SOFR plus 7% payable in cash plus an amount ranging from 4.5% to 6.5% paid-in-kind, depending on the senior leverage ratio of the consolidated company (subject to the 14.0% limit for lenders subject to SBA regulations).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8" w:type="dxa"/>
            <w:tcBorders/>
            <w:vAlign w:val="center"/>
          </w:tcPr>
          <w:p>
            <w:pPr>
              <w:pStyle w:val="TableContents"/>
              <w:bidi w:val="0"/>
              <w:spacing w:before="0" w:after="283"/>
              <w:jc w:val="left"/>
              <w:rPr>
                <w:caps w:val="false"/>
                <w:smallCaps w:val="false"/>
              </w:rPr>
            </w:pPr>
            <w:r>
              <w:rPr>
                <w:caps w:val="false"/>
                <w:smallCaps w:val="false"/>
              </w:rPr>
              <w:t> </w:t>
            </w:r>
          </w:p>
        </w:tc>
        <w:tc>
          <w:tcPr>
            <w:tcW w:w="985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985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payable on January 1, 2025 to December 31, 2025 will be payable in kind.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8" w:type="dxa"/>
            <w:tcBorders/>
            <w:vAlign w:val="center"/>
          </w:tcPr>
          <w:p>
            <w:pPr>
              <w:pStyle w:val="TableContents"/>
              <w:bidi w:val="0"/>
              <w:spacing w:before="0" w:after="283"/>
              <w:jc w:val="left"/>
              <w:rPr>
                <w:caps w:val="false"/>
                <w:smallCaps w:val="false"/>
              </w:rPr>
            </w:pPr>
            <w:r>
              <w:rPr>
                <w:caps w:val="false"/>
                <w:smallCaps w:val="false"/>
              </w:rPr>
              <w:t> </w:t>
            </w:r>
          </w:p>
        </w:tc>
        <w:tc>
          <w:tcPr>
            <w:tcW w:w="985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w:t>
            </w:r>
          </w:p>
        </w:tc>
        <w:tc>
          <w:tcPr>
            <w:tcW w:w="985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payable on April 1, 2026 to October 7, 2027 will be payable in cash.</w:t>
            </w:r>
          </w:p>
        </w:tc>
      </w:tr>
    </w:tbl>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each of the foregoing cases, adjusted SOFR will be no less than 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elect to prepay all or any portion of the amounts owed prior to the Maturity Date, provided that we provide notice to the Administrative Agent and the amount is accompanied by the applicable prepayment premium, if any. Prepayments of the Term Loan are required to be accompanied by a premium of 5% of the principal amount so prepaid if made prior to October 7, 2023, 3% if made on and after October 7, 2023 but prior to October 7, 2024, 1% if made after October 7, 2024 but prior to October 7, 2025, and 0% if made on or after October 7, 2025. If the Term Loan is accelerated following the occurrence of an event of default, Legacy Dragonfly is required to immediately pay to lenders the sum of all obligations for principal, accrued interest, and the applicable prepayment premium.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 Loan Agreement, we have guaranteed the obligations of Legacy Dragonfly and such obligations will be guaranteed by any of Legacy Dragonfly’s subsidiaries that are party thereto from time to time as guarantors. Also pursuant to the Term Loan Agreement, the Administrative Agent was granted a security interest in substantially all of the personal property, rights and assets of us as and Legacy Dragonfly to secure the payment of all amounts owed to lenders under the Term Loan Agreement. In addition, we entered into a Pledge Agreement pursuant to which we pledged to the Administrative Agent our equity interests in Legacy Dragonfly as further collateral security for the obligations under the Term Loan Agreement. At the closing of the Business Combination, we issued to the Term Loan Lenders (i) the Penny Warrants and (ii) the $10 Warrants.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ChEF Purchase Agreement, on the terms of and subject to the satisfaction of the conditions in the ChEF Purchase Agreement, including the filing and effectiveness of a registration statement registering the resale by CCM LLC of the shares of common stock issued to it under the ChEF Purchase Agreement, and certain restrictions set forth in the Term Loan Agreement, we will have the right from time to time at our option to direct CCM LLC to purchase up to a specified maximum amount of shares of common stock, up to a maximum aggregate purchase price of $150 million over the term of the ChEF Equity Facility. In connection with the ChEF Equity Facility, we filed a registration statement registering the resale of up to 2,390,226 shares that may be resold into the public markets by CCM LLC, which represented approximately 33% of the shares of our common stock outstanding as of December 31, 2023. During the year ended December 31, 2023, we issued and sold approximately 65,389 shares of our common stock under this facility, resulting in net cash proceeds of $1,278,566. During the year ended December 31, 2024, we issued 350,423 shares pursuant to the ChEF Purchase Agreement with CCM LLC for aggregate proceeds to us of $2,043,885. During the six months ended June 30, 2025, we issued 23,160 shares pursuant to the ChEF Purchase Agreement for aggregate proceeds to us of $62,846. Subsequent to the quarter ended June 30, 2025, we have not issued any shares pursuant to the ChEF Purchase Agreement. This impact may be heightened by the fact that sales to CCM LLC will generally be at prices below the current trading price of our common stock. If the trading price of our common stock does not recover or experiences a further decline, sales of shares of common stock to CCM LLC pursuant to the ChEF Purchase Agreement may be a less attractive source of capital and/or may not allow us to raise capital at rates that would be possible if the trading price of our common stock were higher. The ChEF Purchase Agreement terminates in December 2025. In connection with the 2025 Public Offering, we agreed not to sell shares of our common stock for a period of 90 days following the closing of the offering, subject to certain exceptions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30, 2024, we issued an unsecured convertible promissory note (the “January Note”) in the principal amount of $1.0 million (the “January Principal Amount”) to Brian Nelson, one of our directors, in a private placement in exchange for cash in an equal amount. The January Note became due and payable in full on February 2, 2024. We were also obligated to pay $50,000 (the “January Loan Fee”) to Mr. Nelson on February 2, 2024. We paid the January Principal Amount and the January Loan Fee in full on February 2,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27, 2024 we issued a convertible promissory (the “February Note”) in the amount of $1.7 million (the “February Principal Amount”) to Mr. Nelson, in a private placement in exchange for cash in an equal amount. The February Note became due and payable in full on March 1, 2024. We were also obligated to pay a $85,000 loan fee (the “February Loan Fee”) to Mr. Nelson on March 1, 2024. We paid the February Principal Amount and the February Loan Fee on March 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2024, we identified an underpayment of tariffs to U.S. Customs and Border Protection (“CBP”) in the amount of approximately $1.66 million in the aggregate, related to the improper classification and valuation of certain of the products used in our batteries. We have reported the underpayment to CBP. In June 2025, after a comprehensive review of this tariff calculation, an additional $0.29 million was discovered and also reported to CBP and a payment plan of $0.05 million per week was put into place.</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Going Concern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quarter ended June 30, 2025, we generated a net loss of $7.0 million and had a negative cash flow from operations. As of June 30, 2025, we had approximately $2.7 million in cash and cash equivalents and working capital of $8.4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 Loan Agreement, we are obligated to comply with certain financial covenants, which include maintaining a maximum senior leverage ratio, minimum liquidity, a springing fixed charge coverage ratio, and maximum capital expenditures. On March 31, 2024, April 29, 2024, May, 30, 2024, June 28, 2024, July 31, 2024, August 31, 2024, September 30, 2024, October 31, 2024, November 30, 2024, December 31, 2024 and January 31, 2025, we obtained waivers from the Administrative Agent and Term Loan Lenders of our failures to satisfy the liquidity requirement under the Term Loan for the quarters ended March 31, 2024, June 30, 2024, September 30, 2024, and December 31, 2024 and the fiscal months ended April 30, 2024, May 31, 2024, July 31, 2024, August 31, 2024, October 31, 2024, and November 30, 2024, as applicable. In connection with the License Agreement, on July 29, 2024, us, Legacy Dragonfly and Battle Born LLC entered into the Second Amendment. Pursuant to the Second Amendment, the Term Loan Lenders (i) consented to the transactions contemplated by the License Agreement and the Trademark Transfer Agreement and (ii) agreed to waive the mandatory prepayment under the Loan Agreement that would have been due to the Lenders under the Term Loan upon Battle Born LLC’s receipt of the Initial Licensing Fee. In connection with the Second Amendment, Battle Born LLC entered into the Joinder.</w:t>
      </w:r>
    </w:p>
    <w:p>
      <w:pPr>
        <w:pStyle w:val="TextBody"/>
        <w:bidi w:val="0"/>
        <w:spacing w:before="0" w:after="0"/>
        <w:ind w:left="10" w:right="0" w:hanging="1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30, 2024, we entered into the Third Amendment, which: (i) reduced the liquidity requirement under the Term Loan to be $7.0 million as of the last day of the month ended September 30, 2024, and $10.0 million as of the last day of each fiscal month thereafter commencing with the fiscal month ended July 31, 2024 and (ii) on October 1, 2024, interest is payable (a) $1,500,000 in cash for the pro rata benefit of the Lenders and (b) the remaining interest in-kind, to be capitalized and added to the principal. For Payment Dates occurring on or after January 1, 2025 (including interest accruing from October 1, 2024, through December 31, 2024), all interest shall be paid in cash at a rate equal to Adjusted Term SOFR plus the Applicable Margin.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31, 2024, we entered into the Fourth Amendment, which: (i) reduced the liquidity requirement under the Term Loan to be $3.5 million as of the last day of the month ended December 31, 2024, and $10.0 million as of the last day of each fiscal month thereafter commencing with the fiscal month ended January 31, 2025 and (ii) on January 1, 2025, interest is payable in-kind, to be capitalized and added to the principal. For Payment Dates occurring on or after April 1, 2025 (including interest accruing from January 1, 2025, through March 31, 2025), all interest shall be paid in cash at a rate equal to Adjusted Term SOFR plus the Applicable Margin.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26, 2025, in connection with the Purchase Agreement, we entered into the Fifth Amendment, which: (i) extended the maturity date by one year to October 2027, (ii) deferred all principal and interest payments to April 2026 and (iii) removed any applicable financial covenants (except for a financial covenant requiring us to maintain cash and cash equivalents equal to or greater than $2.5 million on a monthly basis) through June 30, 2026.</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presented above, strategic initiatives were executed in order to alleviate the substantial doubt, such as our ability to raise funds, the maturity extension of the Term Loan (which reclassified the loan as long-term on the financial statements for the year ending December 31, 2024), and the absence of any covenants, other than a $2,500 minimum cash requirement, for at least one year from the financial statement issuance date. However, the initiatives were not enough support to completely alleviate our going concern. Due to no other concessions being made by the lenders in terms of future debt and interest due, except for extending payments into 2026 and the maturity date by one year, and lack of substantial proof of revenue projections for new markets, management concluded that there is significant doubt about our ability to continue as a going concern.</w:t>
      </w:r>
    </w:p>
    <w:p>
      <w:pPr>
        <w:pStyle w:val="TextBody"/>
        <w:bidi w:val="0"/>
        <w:spacing w:before="0" w:after="0"/>
        <w:ind w:left="0" w:right="0" w:hanging="10"/>
        <w:jc w:val="both"/>
        <w:rPr>
          <w:caps w:val="false"/>
          <w:smallCaps w:val="false"/>
        </w:rPr>
      </w:pPr>
      <w:r>
        <w:rPr>
          <w:caps w:val="false"/>
          <w:smallCaps w:val="false"/>
        </w:rPr>
        <w:t> </w:t>
      </w:r>
    </w:p>
    <w:p>
      <w:pPr>
        <w:pStyle w:val="TextBody"/>
        <w:bidi w:val="0"/>
        <w:spacing w:before="0" w:after="0"/>
        <w:ind w:left="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our independent registered public accounting firm included an explanatory paragraph in its report on our 2024 consolidated financial statements, with respect to this uncertainty.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may need to raise additional debt and/or equity financing to fund our operations and strategic plans and meet our financial covenants. We have historically been able to raise additional capital through issuance of equity and/or debt financing and we intend to raise additional capital as needed, subject to certain restrictions set forth in the Term Loan Agreement. However, we cannot guarantee that we will be able to raise additional equity, contain expenses, or increase revenue. If such financings are not available, or if the terms of such financings are less desirable than we expect, we may be forced to take actions to reduce our capital or operating expenditures, including by not seeking potential acquisition opportunities, eliminating redundancies, or reducing or delaying our production facility expansions, reduce operations, sell off our assets, seek the protection of bankruptcy courts or shut down our operations and dissolve, which may adversely affect our business, operating results, financial condition and prospects. Further, future debt or equity financings may be dilutive to our current stockholders.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 for the Six months ended June 30, 2025, and June 30, 2024</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5967" w:type="dxa"/>
        <w:jc w:val="left"/>
        <w:tblInd w:w="0" w:type="dxa"/>
        <w:tblLayout w:type="fixed"/>
        <w:tblCellMar>
          <w:top w:w="0" w:type="dxa"/>
          <w:left w:w="0" w:type="dxa"/>
          <w:bottom w:w="0" w:type="dxa"/>
          <w:right w:w="0" w:type="dxa"/>
        </w:tblCellMar>
      </w:tblPr>
      <w:tblGrid>
        <w:gridCol w:w="3065"/>
        <w:gridCol w:w="60"/>
        <w:gridCol w:w="224"/>
        <w:gridCol w:w="1018"/>
        <w:gridCol w:w="152"/>
        <w:gridCol w:w="96"/>
        <w:gridCol w:w="224"/>
        <w:gridCol w:w="1018"/>
        <w:gridCol w:w="110"/>
      </w:tblGrid>
      <w:tr>
        <w:trPr/>
        <w:tc>
          <w:tcPr>
            <w:tcW w:w="30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73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 June 30,</w:t>
            </w:r>
          </w:p>
        </w:tc>
        <w:tc>
          <w:tcPr>
            <w:tcW w:w="110" w:type="dxa"/>
            <w:tcBorders/>
            <w:vAlign w:val="center"/>
          </w:tcPr>
          <w:p>
            <w:pPr>
              <w:pStyle w:val="TableContents"/>
              <w:bidi w:val="0"/>
              <w:spacing w:before="0" w:after="283"/>
              <w:jc w:val="left"/>
              <w:rPr/>
            </w:pPr>
            <w:r>
              <w:rPr/>
              <w:t> </w:t>
            </w:r>
          </w:p>
        </w:tc>
      </w:tr>
      <w:tr>
        <w:trPr/>
        <w:tc>
          <w:tcPr>
            <w:tcW w:w="30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4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52"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24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30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32" w:type="dxa"/>
            <w:gridSpan w:val="6"/>
            <w:tcBorders/>
            <w:vAlign w:val="center"/>
          </w:tcPr>
          <w:p>
            <w:pPr>
              <w:pStyle w:val="TableContents"/>
              <w:bidi w:val="0"/>
              <w:spacing w:before="0" w:after="283"/>
              <w:jc w:val="center"/>
              <w:rPr>
                <w:b/>
              </w:rPr>
            </w:pPr>
            <w:r>
              <w:rPr>
                <w:b/>
              </w:rPr>
              <w:t>(in thousands)</w:t>
            </w:r>
          </w:p>
        </w:tc>
        <w:tc>
          <w:tcPr>
            <w:tcW w:w="110" w:type="dxa"/>
            <w:tcBorders/>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283"/>
              <w:jc w:val="left"/>
              <w:rPr/>
            </w:pPr>
            <w:r>
              <w:rPr/>
              <w:t>Net Cash (used in)/provided by:</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right"/>
              <w:rPr/>
            </w:pPr>
            <w:r>
              <w:rPr/>
              <w:t> </w:t>
            </w:r>
          </w:p>
        </w:tc>
        <w:tc>
          <w:tcPr>
            <w:tcW w:w="152"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283"/>
              <w:jc w:val="left"/>
              <w:rPr/>
            </w:pPr>
            <w:r>
              <w:rPr/>
              <w:t>Operating Activities</w:t>
            </w:r>
          </w:p>
        </w:tc>
        <w:tc>
          <w:tcPr>
            <w:tcW w:w="6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w:t>
            </w:r>
          </w:p>
        </w:tc>
        <w:tc>
          <w:tcPr>
            <w:tcW w:w="1018" w:type="dxa"/>
            <w:tcBorders/>
            <w:shd w:fill="FFFFFF" w:val="clear"/>
            <w:vAlign w:val="center"/>
          </w:tcPr>
          <w:p>
            <w:pPr>
              <w:pStyle w:val="TableContents"/>
              <w:bidi w:val="0"/>
              <w:spacing w:before="0" w:after="283"/>
              <w:jc w:val="right"/>
              <w:rPr/>
            </w:pPr>
            <w:r>
              <w:rPr/>
              <w:t>(7,865</w:t>
            </w:r>
          </w:p>
        </w:tc>
        <w:tc>
          <w:tcPr>
            <w:tcW w:w="152" w:type="dxa"/>
            <w:tcBorders/>
            <w:shd w:fill="FFFFFF" w:val="clear"/>
            <w:vAlign w:val="center"/>
          </w:tcPr>
          <w:p>
            <w:pPr>
              <w:pStyle w:val="TableContents"/>
              <w:bidi w:val="0"/>
              <w:spacing w:before="0" w:after="283"/>
              <w:jc w:val="left"/>
              <w:rPr/>
            </w:pPr>
            <w:r>
              <w:rPr/>
              <w:t>)</w:t>
            </w:r>
          </w:p>
        </w:tc>
        <w:tc>
          <w:tcPr>
            <w:tcW w:w="9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w:t>
            </w:r>
          </w:p>
        </w:tc>
        <w:tc>
          <w:tcPr>
            <w:tcW w:w="1018" w:type="dxa"/>
            <w:tcBorders/>
            <w:shd w:fill="FFFFFF" w:val="clear"/>
            <w:vAlign w:val="center"/>
          </w:tcPr>
          <w:p>
            <w:pPr>
              <w:pStyle w:val="TableContents"/>
              <w:bidi w:val="0"/>
              <w:spacing w:before="0" w:after="283"/>
              <w:jc w:val="right"/>
              <w:rPr/>
            </w:pPr>
            <w:r>
              <w:rPr/>
              <w:t>(7,411</w:t>
            </w:r>
          </w:p>
        </w:tc>
        <w:tc>
          <w:tcPr>
            <w:tcW w:w="110" w:type="dxa"/>
            <w:tcBorders/>
            <w:shd w:fill="FFFFFF" w:val="clear"/>
            <w:vAlign w:val="center"/>
          </w:tcPr>
          <w:p>
            <w:pPr>
              <w:pStyle w:val="TableContents"/>
              <w:bidi w:val="0"/>
              <w:spacing w:before="0" w:after="283"/>
              <w:jc w:val="left"/>
              <w:rPr/>
            </w:pPr>
            <w:r>
              <w:rPr/>
              <w:t>)</w:t>
            </w:r>
          </w:p>
        </w:tc>
      </w:tr>
      <w:tr>
        <w:trPr/>
        <w:tc>
          <w:tcPr>
            <w:tcW w:w="3065" w:type="dxa"/>
            <w:tcBorders/>
            <w:shd w:fill="CCEEFF" w:val="clear"/>
            <w:vAlign w:val="center"/>
          </w:tcPr>
          <w:p>
            <w:pPr>
              <w:pStyle w:val="TableContents"/>
              <w:bidi w:val="0"/>
              <w:spacing w:before="0" w:after="283"/>
              <w:jc w:val="left"/>
              <w:rPr/>
            </w:pPr>
            <w:r>
              <w:rPr/>
              <w:t>Investing activities</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w:t>
            </w:r>
          </w:p>
        </w:tc>
        <w:tc>
          <w:tcPr>
            <w:tcW w:w="1018" w:type="dxa"/>
            <w:tcBorders/>
            <w:shd w:fill="CCEEFF" w:val="clear"/>
            <w:vAlign w:val="center"/>
          </w:tcPr>
          <w:p>
            <w:pPr>
              <w:pStyle w:val="TableContents"/>
              <w:bidi w:val="0"/>
              <w:spacing w:before="0" w:after="283"/>
              <w:jc w:val="right"/>
              <w:rPr/>
            </w:pPr>
            <w:r>
              <w:rPr/>
              <w:t>(1,621</w:t>
            </w:r>
          </w:p>
        </w:tc>
        <w:tc>
          <w:tcPr>
            <w:tcW w:w="152" w:type="dxa"/>
            <w:tcBorders/>
            <w:shd w:fill="CCEEFF" w:val="clear"/>
            <w:vAlign w:val="center"/>
          </w:tcPr>
          <w:p>
            <w:pPr>
              <w:pStyle w:val="TableContents"/>
              <w:bidi w:val="0"/>
              <w:spacing w:before="0" w:after="283"/>
              <w:jc w:val="left"/>
              <w:rPr/>
            </w:pPr>
            <w:r>
              <w:rPr/>
              <w:t>)</w:t>
            </w:r>
          </w:p>
        </w:tc>
        <w:tc>
          <w:tcPr>
            <w:tcW w:w="96"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w:t>
            </w:r>
          </w:p>
        </w:tc>
        <w:tc>
          <w:tcPr>
            <w:tcW w:w="1018" w:type="dxa"/>
            <w:tcBorders/>
            <w:shd w:fill="CCEEFF" w:val="clear"/>
            <w:vAlign w:val="center"/>
          </w:tcPr>
          <w:p>
            <w:pPr>
              <w:pStyle w:val="TableContents"/>
              <w:bidi w:val="0"/>
              <w:spacing w:before="0" w:after="283"/>
              <w:jc w:val="right"/>
              <w:rPr/>
            </w:pPr>
            <w:r>
              <w:rPr/>
              <w:t>(1,324</w:t>
            </w:r>
          </w:p>
        </w:tc>
        <w:tc>
          <w:tcPr>
            <w:tcW w:w="110" w:type="dxa"/>
            <w:tcBorders/>
            <w:shd w:fill="CCEEFF" w:val="clear"/>
            <w:vAlign w:val="center"/>
          </w:tcPr>
          <w:p>
            <w:pPr>
              <w:pStyle w:val="TableContents"/>
              <w:bidi w:val="0"/>
              <w:spacing w:before="0" w:after="283"/>
              <w:jc w:val="left"/>
              <w:rPr/>
            </w:pPr>
            <w:r>
              <w:rPr/>
              <w:t>)</w:t>
            </w:r>
          </w:p>
        </w:tc>
      </w:tr>
      <w:tr>
        <w:trPr/>
        <w:tc>
          <w:tcPr>
            <w:tcW w:w="3065" w:type="dxa"/>
            <w:tcBorders/>
            <w:shd w:fill="FFFFFF" w:val="clear"/>
            <w:vAlign w:val="center"/>
          </w:tcPr>
          <w:p>
            <w:pPr>
              <w:pStyle w:val="TableContents"/>
              <w:bidi w:val="0"/>
              <w:spacing w:before="0" w:after="283"/>
              <w:jc w:val="left"/>
              <w:rPr/>
            </w:pPr>
            <w:r>
              <w:rPr/>
              <w:t>Financing activities</w:t>
            </w:r>
          </w:p>
        </w:tc>
        <w:tc>
          <w:tcPr>
            <w:tcW w:w="6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w:t>
            </w:r>
          </w:p>
        </w:tc>
        <w:tc>
          <w:tcPr>
            <w:tcW w:w="1018" w:type="dxa"/>
            <w:tcBorders/>
            <w:shd w:fill="FFFFFF" w:val="clear"/>
            <w:vAlign w:val="center"/>
          </w:tcPr>
          <w:p>
            <w:pPr>
              <w:pStyle w:val="TableContents"/>
              <w:bidi w:val="0"/>
              <w:spacing w:before="0" w:after="283"/>
              <w:jc w:val="right"/>
              <w:rPr/>
            </w:pPr>
            <w:r>
              <w:rPr/>
              <w:t>7,370</w:t>
            </w:r>
          </w:p>
        </w:tc>
        <w:tc>
          <w:tcPr>
            <w:tcW w:w="152"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w:t>
            </w:r>
          </w:p>
        </w:tc>
        <w:tc>
          <w:tcPr>
            <w:tcW w:w="1018" w:type="dxa"/>
            <w:tcBorders/>
            <w:shd w:fill="FFFFFF" w:val="clear"/>
            <w:vAlign w:val="center"/>
          </w:tcPr>
          <w:p>
            <w:pPr>
              <w:pStyle w:val="TableContents"/>
              <w:bidi w:val="0"/>
              <w:spacing w:before="0" w:after="283"/>
              <w:jc w:val="right"/>
              <w:rPr/>
            </w:pPr>
            <w:r>
              <w:rPr/>
              <w:t>721</w:t>
            </w:r>
          </w:p>
        </w:tc>
        <w:tc>
          <w:tcPr>
            <w:tcW w:w="110" w:type="dxa"/>
            <w:tcBorders/>
            <w:shd w:fill="FFFFFF" w:val="clear"/>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Activities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was $7.9 million for the six months ended June 30, 2025, primarily due to a net loss of $13.8 million partially offset by $7.3 million of payment in-kind interest accrued on the Term Loan.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was $7.4 million for six months ended June 30, 2024, primarily due to a net loss of $24.0 million partially offset by $4.6 million of payment in-kind interest accrued on the Term Loan and $10.1 million decrease in inventory as a result of management’s decision to lower overall stocking levels to adjust for more modest demand.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Investing Activities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was $1.6 million for the six months ended June 30, 2025, as compared to net cash used in investing activities of $1.3 million for the six months ended June 30, 2024. The increase in cash used in investing activities was primarily due to an increase in capital expenses to support our core battery business.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Financing Activities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was $7.4 million for the six months ended June 30, 2025, primarily related to net proceeds of $7.3 million as part of the Purchase Agreement entered into in February 2025. This is compared to $0.7 million net cash provided in financing activities primarily from proceeds of issuing and selling shares under ChEF Equity Facility for the six months ended June 2024.</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Contractual Obligations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estimated future obligations consist of short-term and long-term operating lease liabilities. As of June 30, 2025, we had $3.0 million in short-term operating lease and financing liabilities and $21.8 million in long-term operating and financing lease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disclosed above, we have a Term Loan and as of June 30, 2025, the principal amount outstanding under the Term Loan was $69.9 million.</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bookmarkStart w:id="1211" w:name="a_007"/>
      <w:bookmarkEnd w:id="1211"/>
      <w:r>
        <w:rPr>
          <w:rFonts w:ascii="Times New Roman;Times;Serif" w:hAnsi="Times New Roman;Times;Serif"/>
          <w:b/>
          <w:i w:val="false"/>
          <w:caps w:val="false"/>
          <w:smallCaps w:val="false"/>
          <w:sz w:val="20"/>
        </w:rPr>
        <w:t>ITEM 3. QUANTITATIVE AND QUALITATIVE DISCLOSURES ABOUT MARKET RISK</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212" w:name="a_008"/>
      <w:bookmarkEnd w:id="1212"/>
      <w:r>
        <w:rPr>
          <w:rFonts w:ascii="Times New Roman;Times;Serif" w:hAnsi="Times New Roman;Times;Serif"/>
          <w:b/>
          <w:i w:val="false"/>
          <w:caps w:val="false"/>
          <w:smallCaps w:val="false"/>
          <w:sz w:val="20"/>
        </w:rPr>
        <w:t>ITEM 4.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Evaluation of Disclosure Controls and Procedures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disclosure controls and procedures that are designed to ensure that information required to be disclosed in our reports under the Exchange Act, and the rules and regulations thereunder,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for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required by Rule 13a-15(b) under the Exchange Act, our management, under the supervision and with the participation of our principal executive officer and principal financial officer, has evaluated the effectiveness of the design and implementation of our disclosure controls and procedures (as such term is defined in Rules 13a-15(e) and 15d-15(e) under the Exchange Act) as of June 30, 2025. Based on that evaluation, management concluded that as of June 30, 2025, we did maintain effective disclosure controls and procedures.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Changes in Internal Control over Financial Reporting</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changes in our internal control over financial reporting (as defined by Rules 13a-15(f) and 15d-15(f) under the Exchange Act) occurred during the quarter ended June 30, 2025, that has materially affected, or is reasonably likely to materially affect, our internal control over financial reporting.</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13" w:name="a_009"/>
      <w:bookmarkEnd w:id="1213"/>
      <w:r>
        <w:rPr>
          <w:rFonts w:ascii="Times New Roman;Times;Serif" w:hAnsi="Times New Roman;Times;Serif"/>
          <w:b/>
          <w:i w:val="false"/>
          <w:caps w:val="false"/>
          <w:smallCaps w:val="false"/>
          <w:sz w:val="20"/>
        </w:rPr>
        <w:t>PART II - OTHER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214" w:name="a_010"/>
      <w:bookmarkEnd w:id="1214"/>
      <w:r>
        <w:rPr>
          <w:rFonts w:ascii="Times New Roman;Times;Serif" w:hAnsi="Times New Roman;Times;Serif"/>
          <w:b/>
          <w:i w:val="false"/>
          <w:caps w:val="false"/>
          <w:smallCaps w:val="false"/>
          <w:sz w:val="20"/>
        </w:rPr>
        <w:t>ITEM 1. LEGAL PROCEEDINGS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become involved in litigation or other legal proceedings. We are not currently a party to any litigation or legal proceedings that, in the opinion of our management, are likely to have a material adverse effect on our business. Regardless of the outcome, litigation can have an adverse impact on us because of defense and settlement costs, diversion of management resources and other factors.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215" w:name="a_011"/>
      <w:bookmarkEnd w:id="1215"/>
      <w:r>
        <w:rPr>
          <w:rFonts w:ascii="Times New Roman;Times;Serif" w:hAnsi="Times New Roman;Times;Serif"/>
          <w:b/>
          <w:i w:val="false"/>
          <w:caps w:val="false"/>
          <w:smallCaps w:val="false"/>
          <w:sz w:val="20"/>
        </w:rPr>
        <w:t>ITEM 1A. RISK FACTORS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addition to the other information set forth in this report, you should carefully consider the factors discussed in Part I, “Item 1A. Risk Factors” in our Annual Report on Form 10-K for the year ended December 31, 2024 filed with the SEC on June 30, 2025, which could materially affect our business, financial condition or future results. The risks described in our Annual Report on Form 10-K may not be the only risks facing the Company. Additional risks and uncertainties not currently known to the Company or that the Company currently deems to be immaterial also may materially adversely affect the Company’s business, financial condition and/or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There were no material changes to the risk factors previously disclosed in our Annual Report on Form 10-K except as noted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not currently in compliance with the continued listing requirements for The Nasdaq Capital Market. If we do not regain compliance and continue to meet the continued listing requirements, our common stock may be delisted, which could affect the market price and liquidity for our common stock and reduce our ability to raise additional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12, 2024, we received a written notice (the “Notice”) from the Listing Qualifications Staff (the “Staff”) of the Nasdaq Stock Market, LLC (“Nasdaq”) indicating that we are not in compliance with Nasdaq Listing Rule 5550(b)(2), which requires us to maintain a minimum Market Value of Listed Securities (“MVLS”) of $35 million for continued listing on The Nasdaq Capital Market (the “MVLS Requirement”) for the 30 consecutive business days preceding receipt of the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14, 2025, we received a letter (the “Letter”) from the Staff indicating that, based upon our non-compliance with the $1.00 minimum bid price requirement set forth in Nasdaq Listing Rule 5550(a)(2) for continued listing on The Nasdaq Capital Market (the “Bid Price Requirement”), the Staff had determined to delist our securities from Nasdaq unless we timely request a hearing before the Nasdaq Hearings Panel (the “Panel”). Pursuant to Listing Rule 5810(c)(3)(A)(iv), we are not eligible for any compliance period due to the fact that we have effected a reverse stock split over the prior one-year period. We timely requested a hearing before the Panel.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11, 2025, we received an additional staff determination letter indicating that, based upon our non-compliance with the MVLS Requirement, the Staff had determined such non-compliance served as an additional basis for delisting our securities from Nasdaq. Additionally, as of the date of this report, we do not meet either of the alternative Nasdaq continued listing standards under the Nasdaq Listing Rules, stockholders’ equity of $2,500,000, or net income of $500,000 from continuing operations in the most recently completed fiscal year, or in two of the three most recently completed fiscal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 2025, following our hearing with the Panel on June 24, 2025, we received notice from Nasdaq that, based on the plan of compliance that we had submitted, the Panel had granted us an exception until November 10, 2025 (the “Exception”) to regain compliance with the Bid Price Requirement and the MVLS Requirement, subject to our achievement of certain milestones, including the conversion by the holder of its remaining outstanding shares of our Series A Preferred Stock into shares of our common stock by July 18, 2025, which was completed, and the restructuring of a portion of our outstanding debt or conversion of such debt into shares of our common stock by mid-August 2025. In order to meet the $2,500,000 stockholders’ equity alternative continued listing standard, we may need to raise additional capital depending on the amount of debt we may be able to convert, if any, with the Term Loan Lenders. We also may need to complete a reverse split of our outstanding common stock in order to meet the Bid Price Requirement. In the event we fail to meet these and other milestones set forth in the compliance plan submitted to the Panel or otherwise regain compliance with the Bid Price Requirement and the MVLS Requirement or the alternative criteria by November 10, 2025, our securities will be delisted from Nasdaq. There can be no assurance that we will be able to regain compliance with the Bid Price Requirement, the MVLS requirement, or maintain compliance even if we implement an option that regains our compliance. A delisting could substantially decrease trading in our common stock, adversely affect the market liquidity of our common stock as a result of the loss of market efficiencies associated with Nasdaq and the loss of federal preemption of state securities laws, result in a default under the terms of our outstanding indebtedness, adversely affect its ability to obtain financing on acceptable terms, if at all, and may result in the potential loss of confidence by investors, suppliers, customers and employees and fewer business development opportunities. Additionally, the market price of our common stock may decline further and stockholders may lose some or all of their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216" w:name="a_012"/>
      <w:bookmarkEnd w:id="1216"/>
      <w:r>
        <w:rPr>
          <w:rFonts w:ascii="Times New Roman;Times;Serif" w:hAnsi="Times New Roman;Times;Serif"/>
          <w:b/>
          <w:i w:val="false"/>
          <w:caps w:val="false"/>
          <w:smallCaps w:val="false"/>
          <w:sz w:val="20"/>
        </w:rPr>
        <w:t>ITEM 2. UNREGISTERED SALES OF EQUITY SECURITIES AND USE OF PROCEEDS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217" w:name="a_013"/>
      <w:bookmarkEnd w:id="1217"/>
      <w:r>
        <w:rPr>
          <w:rFonts w:ascii="Times New Roman;Times;Serif" w:hAnsi="Times New Roman;Times;Serif"/>
          <w:b/>
          <w:i w:val="false"/>
          <w:caps w:val="false"/>
          <w:smallCaps w:val="false"/>
          <w:sz w:val="20"/>
        </w:rPr>
        <w:t>ITEM 3. DEFAULTS UPON SENIOR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218" w:name="a_014"/>
      <w:bookmarkEnd w:id="1218"/>
      <w:r>
        <w:rPr>
          <w:rFonts w:ascii="Times New Roman;Times;Serif" w:hAnsi="Times New Roman;Times;Serif"/>
          <w:b/>
          <w:i w:val="false"/>
          <w:caps w:val="false"/>
          <w:smallCaps w:val="false"/>
          <w:sz w:val="20"/>
        </w:rPr>
        <w:t>ITEM 4. MINE SAFETY DISCLOSURES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219" w:name="a_015"/>
      <w:bookmarkEnd w:id="1219"/>
      <w:r>
        <w:rPr>
          <w:rFonts w:ascii="Times New Roman;Times;Serif" w:hAnsi="Times New Roman;Times;Serif"/>
          <w:b/>
          <w:i w:val="false"/>
          <w:caps w:val="false"/>
          <w:smallCaps w:val="false"/>
          <w:sz w:val="20"/>
        </w:rPr>
        <w:t>ITEM 5. OTHER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three months ended June 30, 2025, none of our directors or “officers” (as defined in Rule 16a-1(f) under the Exchange Act) </w:t>
      </w:r>
      <w:bookmarkStart w:id="1220" w:name="xdx_900_eecd--NonRule10b51ArrAdoptedFlag"/>
      <w:bookmarkStart w:id="1221" w:name="xdx_903_eecd--Rule10b51ArrAdoptedFlag_db"/>
      <w:bookmarkEnd w:id="1220"/>
      <w:bookmarkEnd w:id="1221"/>
      <w:r>
        <w:rPr>
          <w:rFonts w:ascii="Times New Roman;Times;Serif" w:hAnsi="Times New Roman;Times;Serif"/>
          <w:b w:val="false"/>
          <w:i w:val="false"/>
          <w:caps w:val="false"/>
          <w:smallCaps w:val="false"/>
          <w:sz w:val="20"/>
        </w:rPr>
        <w:t xml:space="preserve">adopted or </w:t>
      </w:r>
      <w:bookmarkStart w:id="1222" w:name="xdx_900_eecd--NonRule10b51ArrTrmntdFlag_"/>
      <w:bookmarkStart w:id="1223" w:name="xdx_905_eecd--Rule10b51ArrTrmntdFlag_dbF"/>
      <w:bookmarkEnd w:id="1222"/>
      <w:bookmarkEnd w:id="1223"/>
      <w:r>
        <w:rPr>
          <w:rFonts w:ascii="Times New Roman;Times;Serif" w:hAnsi="Times New Roman;Times;Serif"/>
          <w:b w:val="false"/>
          <w:i w:val="false"/>
          <w:caps w:val="false"/>
          <w:smallCaps w:val="false"/>
          <w:sz w:val="20"/>
        </w:rPr>
        <w:t>terminated any “Rule 10b5-1 trading arrangement” or “non-Rule 10b5-1 trading arrangement,” as each term is defined in Item 408(c) of Regulation S-K.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224" w:name="a_016"/>
      <w:bookmarkEnd w:id="1224"/>
      <w:r>
        <w:rPr>
          <w:rFonts w:ascii="Times New Roman;Times;Serif" w:hAnsi="Times New Roman;Times;Serif"/>
          <w:b/>
          <w:i w:val="false"/>
          <w:caps w:val="false"/>
          <w:smallCaps w:val="false"/>
          <w:sz w:val="20"/>
        </w:rPr>
        <w:t>ITEM 6. EXHIBITS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exhibits are filed as part of, or incorporated by reference into, this Quarterly Report on Form 10-Q.</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08"/>
        <w:gridCol w:w="60"/>
        <w:gridCol w:w="7220"/>
        <w:gridCol w:w="60"/>
        <w:gridCol w:w="510"/>
        <w:gridCol w:w="60"/>
        <w:gridCol w:w="663"/>
        <w:gridCol w:w="60"/>
        <w:gridCol w:w="764"/>
      </w:tblGrid>
      <w:tr>
        <w:trPr/>
        <w:tc>
          <w:tcPr>
            <w:tcW w:w="80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20"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57" w:type="dxa"/>
            <w:gridSpan w:val="5"/>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by Reference</w:t>
            </w:r>
          </w:p>
        </w:tc>
      </w:tr>
      <w:tr>
        <w:trPr/>
        <w:tc>
          <w:tcPr>
            <w:tcW w:w="808"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2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1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3"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4"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Filing Date</w:t>
            </w:r>
          </w:p>
        </w:tc>
      </w:tr>
      <w:tr>
        <w:trPr/>
        <w:tc>
          <w:tcPr>
            <w:tcW w:w="8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20" w:type="dxa"/>
            <w:tcBorders/>
            <w:vAlign w:val="center"/>
          </w:tcPr>
          <w:p>
            <w:pPr>
              <w:pStyle w:val="TableContents"/>
              <w:bidi w:val="0"/>
              <w:spacing w:before="0" w:after="283"/>
              <w:jc w:val="both"/>
              <w:rPr/>
            </w:pPr>
            <w:hyperlink r:id="rId2">
              <w:r>
                <w:rPr>
                  <w:rStyle w:val="InternetLink"/>
                  <w:rFonts w:ascii="Times New Roman;Times;Serif" w:hAnsi="Times New Roman;Times;Serif"/>
                  <w:b w:val="false"/>
                  <w:i w:val="false"/>
                  <w:caps w:val="false"/>
                  <w:smallCaps w:val="false"/>
                  <w:sz w:val="20"/>
                </w:rPr>
                <w:t>Articles of Incorporation of Dragonfly Energy Holdings Corp.</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03/31/2023</w:t>
            </w:r>
          </w:p>
        </w:tc>
      </w:tr>
      <w:tr>
        <w:trPr/>
        <w:tc>
          <w:tcPr>
            <w:tcW w:w="8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20" w:type="dxa"/>
            <w:tcBorders/>
            <w:vAlign w:val="center"/>
          </w:tcPr>
          <w:p>
            <w:pPr>
              <w:pStyle w:val="TableContents"/>
              <w:bidi w:val="0"/>
              <w:spacing w:before="0" w:after="283"/>
              <w:jc w:val="both"/>
              <w:rPr/>
            </w:pPr>
            <w:hyperlink r:id="rId3">
              <w:r>
                <w:rPr>
                  <w:rStyle w:val="InternetLink"/>
                  <w:rFonts w:ascii="Times New Roman;Times;Serif" w:hAnsi="Times New Roman;Times;Serif"/>
                  <w:b w:val="false"/>
                  <w:i w:val="false"/>
                  <w:caps w:val="false"/>
                  <w:smallCaps w:val="false"/>
                  <w:sz w:val="20"/>
                </w:rPr>
                <w:t>Bylaws of Dragonfly Energy Holdings Corp.</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03/31/2023</w:t>
            </w:r>
          </w:p>
        </w:tc>
      </w:tr>
      <w:tr>
        <w:trPr/>
        <w:tc>
          <w:tcPr>
            <w:tcW w:w="8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20" w:type="dxa"/>
            <w:tcBorders/>
            <w:vAlign w:val="center"/>
          </w:tcPr>
          <w:p>
            <w:pPr>
              <w:pStyle w:val="TableContents"/>
              <w:bidi w:val="0"/>
              <w:spacing w:before="0" w:after="283"/>
              <w:jc w:val="both"/>
              <w:rPr/>
            </w:pPr>
            <w:hyperlink r:id="rId4">
              <w:r>
                <w:rPr>
                  <w:rStyle w:val="InternetLink"/>
                  <w:rFonts w:ascii="Times New Roman;Times;Serif" w:hAnsi="Times New Roman;Times;Serif"/>
                  <w:b w:val="false"/>
                  <w:i w:val="false"/>
                  <w:caps w:val="false"/>
                  <w:smallCaps w:val="false"/>
                  <w:sz w:val="20"/>
                </w:rPr>
                <w:t>Certificate of Amendment to the Articles of Incorporation of Dragonfly Energy Holdings Corp., dated April 25, 2025.</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04/28/2025</w:t>
            </w:r>
          </w:p>
        </w:tc>
      </w:tr>
      <w:tr>
        <w:trPr/>
        <w:tc>
          <w:tcPr>
            <w:tcW w:w="8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20" w:type="dxa"/>
            <w:tcBorders/>
            <w:vAlign w:val="center"/>
          </w:tcPr>
          <w:p>
            <w:pPr>
              <w:pStyle w:val="TableContents"/>
              <w:bidi w:val="0"/>
              <w:spacing w:before="0" w:after="283"/>
              <w:jc w:val="both"/>
              <w:rPr/>
            </w:pPr>
            <w:hyperlink r:id="rId5">
              <w:r>
                <w:rPr>
                  <w:rStyle w:val="InternetLink"/>
                  <w:rFonts w:ascii="Times New Roman;Times;Serif" w:hAnsi="Times New Roman;Times;Serif"/>
                  <w:b w:val="false"/>
                  <w:i w:val="false"/>
                  <w:caps w:val="false"/>
                  <w:smallCaps w:val="false"/>
                  <w:sz w:val="20"/>
                </w:rPr>
                <w:t>Form of Settlement and Mutual Release Agreement, dated July 20, 2025, by and between the Company and the investor party thereto.</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07/21/2025</w:t>
            </w:r>
          </w:p>
        </w:tc>
      </w:tr>
      <w:tr>
        <w:trPr/>
        <w:tc>
          <w:tcPr>
            <w:tcW w:w="8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20" w:type="dxa"/>
            <w:tcBorders/>
            <w:vAlign w:val="center"/>
          </w:tcPr>
          <w:p>
            <w:pPr>
              <w:pStyle w:val="TableContents"/>
              <w:bidi w:val="0"/>
              <w:spacing w:before="0" w:after="283"/>
              <w:jc w:val="both"/>
              <w:rPr/>
            </w:pPr>
            <w:hyperlink w:anchor="ex31-1.htm">
              <w:r>
                <w:rPr>
                  <w:rStyle w:val="InternetLink"/>
                  <w:rFonts w:ascii="Times New Roman;Times;Serif" w:hAnsi="Times New Roman;Times;Serif"/>
                  <w:b w:val="false"/>
                  <w:i w:val="false"/>
                  <w:caps w:val="false"/>
                  <w:smallCaps w:val="false"/>
                  <w:sz w:val="20"/>
                </w:rPr>
                <w:t>Certification of Principal Executive Officer Pursuant to Securities Exchange Act Rules 13a-14(a) and 15(d)-14(a), as adopted Pursuant to Section 302 of the Sarbanes-Oxley Act of 2002.</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1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20" w:type="dxa"/>
            <w:tcBorders/>
            <w:vAlign w:val="center"/>
          </w:tcPr>
          <w:p>
            <w:pPr>
              <w:pStyle w:val="TableContents"/>
              <w:bidi w:val="0"/>
              <w:spacing w:before="0" w:after="283"/>
              <w:jc w:val="both"/>
              <w:rPr/>
            </w:pPr>
            <w:hyperlink w:anchor="ex31-2.htm">
              <w:r>
                <w:rPr>
                  <w:rStyle w:val="InternetLink"/>
                  <w:rFonts w:ascii="Times New Roman;Times;Serif" w:hAnsi="Times New Roman;Times;Serif"/>
                  <w:b w:val="false"/>
                  <w:i w:val="false"/>
                  <w:caps w:val="false"/>
                  <w:smallCaps w:val="false"/>
                  <w:sz w:val="20"/>
                </w:rPr>
                <w:t>Certification of Principal Financial Officer Pursuant to Securities Exchange Act Rules 13a-14(a) and 15(d)-14(a), as adopted Pursuant to Section 302 of the Sarbanes-Oxley Act of 2002.</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1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20" w:type="dxa"/>
            <w:tcBorders/>
            <w:vAlign w:val="center"/>
          </w:tcPr>
          <w:p>
            <w:pPr>
              <w:pStyle w:val="TableContents"/>
              <w:bidi w:val="0"/>
              <w:spacing w:before="0" w:after="283"/>
              <w:jc w:val="both"/>
              <w:rPr/>
            </w:pPr>
            <w:hyperlink w:anchor="ex32-1.htm">
              <w:r>
                <w:rPr>
                  <w:rStyle w:val="InternetLink"/>
                  <w:rFonts w:ascii="Times New Roman;Times;Serif" w:hAnsi="Times New Roman;Times;Serif"/>
                  <w:b w:val="false"/>
                  <w:i w:val="false"/>
                  <w:caps w:val="false"/>
                  <w:smallCaps w:val="false"/>
                  <w:sz w:val="20"/>
                </w:rPr>
                <w:t>Certification of Chief Executive Officer and Chief Financial Officer pursuant to 18 U.S.C. Section 1350, as adopted pursuant to Section 906 of the Sarbanes-Oxley Act of 2002.</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1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101.INS*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Instance Document.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1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101.CAL*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Calculation Linkbase Document.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1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101.SCH*</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Schema Document.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1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101.DEF*</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Definition Linkbase Document.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1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101.LAB*</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Labels Linkbase Document.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1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101.PRE*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Presentation Linkbase Document.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1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 and included as Exhibit 101).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1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4"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1495" w:type="dxa"/>
        <w:jc w:val="left"/>
        <w:tblInd w:w="0" w:type="dxa"/>
        <w:tblLayout w:type="fixed"/>
        <w:tblCellMar>
          <w:top w:w="0" w:type="dxa"/>
          <w:left w:w="0" w:type="dxa"/>
          <w:bottom w:w="0" w:type="dxa"/>
          <w:right w:w="0" w:type="dxa"/>
        </w:tblCellMar>
      </w:tblPr>
      <w:tblGrid>
        <w:gridCol w:w="245"/>
        <w:gridCol w:w="1250"/>
      </w:tblGrid>
      <w:tr>
        <w:trPr/>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herewith.</w:t>
            </w:r>
          </w:p>
        </w:tc>
      </w:tr>
      <w:tr>
        <w:trPr/>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Furnished.</w:t>
            </w:r>
          </w:p>
        </w:tc>
      </w:tr>
    </w:tbl>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25" w:name="a_017"/>
      <w:bookmarkEnd w:id="1225"/>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both"/>
        <w:rPr>
          <w:caps w:val="false"/>
          <w:smallCaps w:val="false"/>
        </w:rPr>
      </w:pPr>
      <w:r>
        <w:rPr>
          <w:caps w:val="false"/>
          <w:smallCaps w:val="false"/>
        </w:rPr>
        <w:t> </w:t>
      </w:r>
    </w:p>
    <w:tbl>
      <w:tblPr>
        <w:tblW w:w="8430" w:type="dxa"/>
        <w:jc w:val="left"/>
        <w:tblInd w:w="0" w:type="dxa"/>
        <w:tblLayout w:type="fixed"/>
        <w:tblCellMar>
          <w:top w:w="0" w:type="dxa"/>
          <w:left w:w="0" w:type="dxa"/>
          <w:bottom w:w="0" w:type="dxa"/>
          <w:right w:w="0" w:type="dxa"/>
        </w:tblCellMar>
      </w:tblPr>
      <w:tblGrid>
        <w:gridCol w:w="1865"/>
        <w:gridCol w:w="320"/>
        <w:gridCol w:w="6245"/>
      </w:tblGrid>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656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62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14, 2025</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624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Denis Phares</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6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Denis Phares</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62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President and Interim Chief Financial Officer</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62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 and Principal Financial and Accounting Officer)</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69</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1226" w:name="ex31-1.htm"/>
      <w:bookmarkStart w:id="1227" w:name="ksex311"/>
      <w:bookmarkEnd w:id="1226"/>
      <w:bookmarkEnd w:id="1227"/>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31.1</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RULES 13a-14(a) AND 15d-14(a) UNDER THE SECURITIES EXCHANGE ACT OF 1934,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 SECTION 302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Denis Phares, certify that: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for the period ended June 30, 2025 of Dragonfly Energy Holdings Corp.;</w:t>
            </w:r>
          </w:p>
        </w:tc>
      </w:tr>
      <w:tr>
        <w:trPr/>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100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100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100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the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3"/>
        <w:gridCol w:w="9987"/>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caps w:val="false"/>
                <w:smallCaps w:val="false"/>
              </w:rPr>
            </w:pPr>
            <w:r>
              <w:rPr>
                <w:caps w:val="false"/>
                <w:smallCaps w:val="false"/>
              </w:rPr>
              <w:t> </w:t>
            </w:r>
          </w:p>
        </w:tc>
        <w:tc>
          <w:tcPr>
            <w:tcW w:w="998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caps w:val="false"/>
                <w:smallCaps w:val="false"/>
              </w:rPr>
            </w:pPr>
            <w:r>
              <w:rPr>
                <w:caps w:val="false"/>
                <w:smallCaps w:val="false"/>
              </w:rPr>
              <w:t> </w:t>
            </w:r>
          </w:p>
        </w:tc>
        <w:tc>
          <w:tcPr>
            <w:tcW w:w="998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caps w:val="false"/>
                <w:smallCaps w:val="false"/>
              </w:rPr>
            </w:pPr>
            <w:r>
              <w:rPr>
                <w:caps w:val="false"/>
                <w:smallCaps w:val="false"/>
              </w:rPr>
              <w:t> </w:t>
            </w:r>
          </w:p>
        </w:tc>
        <w:tc>
          <w:tcPr>
            <w:tcW w:w="998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004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1"/>
        <w:gridCol w:w="9979"/>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1" w:type="dxa"/>
            <w:tcBorders/>
            <w:vAlign w:val="center"/>
          </w:tcPr>
          <w:p>
            <w:pPr>
              <w:pStyle w:val="TableContents"/>
              <w:bidi w:val="0"/>
              <w:spacing w:before="0" w:after="283"/>
              <w:jc w:val="left"/>
              <w:rPr>
                <w:caps w:val="false"/>
                <w:smallCaps w:val="false"/>
              </w:rPr>
            </w:pPr>
            <w:r>
              <w:rPr>
                <w:caps w:val="false"/>
                <w:smallCaps w:val="false"/>
              </w:rPr>
              <w:t> </w:t>
            </w:r>
          </w:p>
        </w:tc>
        <w:tc>
          <w:tcPr>
            <w:tcW w:w="997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2435" w:type="dxa"/>
        <w:jc w:val="left"/>
        <w:tblInd w:w="0" w:type="dxa"/>
        <w:tblLayout w:type="fixed"/>
        <w:tblCellMar>
          <w:top w:w="0" w:type="dxa"/>
          <w:left w:w="0" w:type="dxa"/>
          <w:bottom w:w="0" w:type="dxa"/>
          <w:right w:w="0" w:type="dxa"/>
        </w:tblCellMar>
      </w:tblPr>
      <w:tblGrid>
        <w:gridCol w:w="75"/>
        <w:gridCol w:w="23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14, 2025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Denis Phares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1228" w:name="ex31-2.htm"/>
      <w:bookmarkStart w:id="1229" w:name="ksex312"/>
      <w:bookmarkEnd w:id="1228"/>
      <w:bookmarkEnd w:id="1229"/>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31.2</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RULES 13a-14(a) AND 15d-14(a) UNDER THE SECURITIES EXCHANGE ACT OF 1934,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 SECTION 302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Denis Phares, certify that: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for the period ended June 30, 2025 of Dragonfly Energy Holdings Corp.;</w:t>
            </w:r>
          </w:p>
        </w:tc>
      </w:tr>
      <w:tr>
        <w:trPr/>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100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100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100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the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3"/>
        <w:gridCol w:w="9987"/>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caps w:val="false"/>
                <w:smallCaps w:val="false"/>
              </w:rPr>
            </w:pPr>
            <w:r>
              <w:rPr>
                <w:caps w:val="false"/>
                <w:smallCaps w:val="false"/>
              </w:rPr>
              <w:t> </w:t>
            </w:r>
          </w:p>
        </w:tc>
        <w:tc>
          <w:tcPr>
            <w:tcW w:w="998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caps w:val="false"/>
                <w:smallCaps w:val="false"/>
              </w:rPr>
            </w:pPr>
            <w:r>
              <w:rPr>
                <w:caps w:val="false"/>
                <w:smallCaps w:val="false"/>
              </w:rPr>
              <w:t> </w:t>
            </w:r>
          </w:p>
        </w:tc>
        <w:tc>
          <w:tcPr>
            <w:tcW w:w="998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caps w:val="false"/>
                <w:smallCaps w:val="false"/>
              </w:rPr>
            </w:pPr>
            <w:r>
              <w:rPr>
                <w:caps w:val="false"/>
                <w:smallCaps w:val="false"/>
              </w:rPr>
              <w:t> </w:t>
            </w:r>
          </w:p>
        </w:tc>
        <w:tc>
          <w:tcPr>
            <w:tcW w:w="998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004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1"/>
        <w:gridCol w:w="9979"/>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1" w:type="dxa"/>
            <w:tcBorders/>
            <w:vAlign w:val="center"/>
          </w:tcPr>
          <w:p>
            <w:pPr>
              <w:pStyle w:val="TableContents"/>
              <w:bidi w:val="0"/>
              <w:spacing w:before="0" w:after="283"/>
              <w:jc w:val="left"/>
              <w:rPr>
                <w:caps w:val="false"/>
                <w:smallCaps w:val="false"/>
              </w:rPr>
            </w:pPr>
            <w:r>
              <w:rPr>
                <w:caps w:val="false"/>
                <w:smallCaps w:val="false"/>
              </w:rPr>
              <w:t> </w:t>
            </w:r>
          </w:p>
        </w:tc>
        <w:tc>
          <w:tcPr>
            <w:tcW w:w="997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3725" w:type="dxa"/>
        <w:jc w:val="left"/>
        <w:tblInd w:w="0" w:type="dxa"/>
        <w:tblLayout w:type="fixed"/>
        <w:tblCellMar>
          <w:top w:w="0" w:type="dxa"/>
          <w:left w:w="0" w:type="dxa"/>
          <w:bottom w:w="0" w:type="dxa"/>
          <w:right w:w="0" w:type="dxa"/>
        </w:tblCellMar>
      </w:tblPr>
      <w:tblGrid>
        <w:gridCol w:w="75"/>
        <w:gridCol w:w="36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14, 2025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6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65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Denis Phares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Interim Chief Financial Officer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and Accounting Officer)</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1230" w:name="ex32-1.htm"/>
      <w:bookmarkStart w:id="1231" w:name="ksex321"/>
      <w:bookmarkEnd w:id="1230"/>
      <w:bookmarkEnd w:id="1231"/>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32.1</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CHIEF EXECUTIVE OFFICER AND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CHIEF FINANCIAL OFFICER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U.S.C. SECTION 1350, AS ADOPTED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Certification is being filed pursuant to 18 U.S.C. Section 1350, as adopted by Section 906 of the Sarbanes-Oxley Act of 2002. This Certification is included solely for the purposes of complying with the provisions of Section 906 of the Sarbanes-Oxley Act and is not intended to be used for any other purpose. In connection with the accompanying Quarterly Report on Form 10-Q of Dragonfly Energy Holdings Corp.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for the quarter ended June 30, 2025 (the “</w:t>
      </w:r>
      <w:r>
        <w:rPr>
          <w:rFonts w:ascii="Times New Roman;Times;Serif" w:hAnsi="Times New Roman;Times;Serif"/>
          <w:b/>
          <w:i w:val="false"/>
          <w:caps w:val="false"/>
          <w:smallCaps w:val="false"/>
          <w:sz w:val="20"/>
        </w:rPr>
        <w:t>Quarterly Report</w:t>
      </w:r>
      <w:r>
        <w:rPr>
          <w:rFonts w:ascii="Times New Roman;Times;Serif" w:hAnsi="Times New Roman;Times;Serif"/>
          <w:b w:val="false"/>
          <w:i w:val="false"/>
          <w:caps w:val="false"/>
          <w:smallCaps w:val="false"/>
          <w:sz w:val="20"/>
        </w:rPr>
        <w:t>”), Denis Phares, as Chief Executive Officer and Interim Chief Financial Officer, certifies in his capacity as such officer of the Company, that to his knowledge: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Quarterly Report fully complies with the requirements of Section 13(a) or 15(d) of the Securities Exchange Act of 1934;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information contained in the Quarterly Report fairly presents, in all material respects, the financial condition and results of operations of the Company.</w:t>
      </w:r>
    </w:p>
    <w:p>
      <w:pPr>
        <w:pStyle w:val="TextBody"/>
        <w:bidi w:val="0"/>
        <w:spacing w:before="0" w:after="0"/>
        <w:ind w:left="0" w:right="0" w:hanging="0"/>
        <w:jc w:val="both"/>
        <w:rPr>
          <w:caps w:val="false"/>
          <w:smallCaps w:val="false"/>
        </w:rPr>
      </w:pPr>
      <w:r>
        <w:rPr>
          <w:caps w:val="false"/>
          <w:smallCaps w:val="false"/>
        </w:rPr>
        <w:t> </w:t>
      </w:r>
    </w:p>
    <w:tbl>
      <w:tblPr>
        <w:tblW w:w="5260" w:type="dxa"/>
        <w:jc w:val="left"/>
        <w:tblInd w:w="0" w:type="dxa"/>
        <w:tblLayout w:type="fixed"/>
        <w:tblCellMar>
          <w:top w:w="0" w:type="dxa"/>
          <w:left w:w="0" w:type="dxa"/>
          <w:bottom w:w="0" w:type="dxa"/>
          <w:right w:w="0" w:type="dxa"/>
        </w:tblCellMar>
      </w:tblPr>
      <w:tblGrid>
        <w:gridCol w:w="75"/>
        <w:gridCol w:w="290"/>
        <w:gridCol w:w="489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185"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August 14, 2025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185" w:type="dxa"/>
            <w:gridSpan w:val="2"/>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90"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By:</w:t>
            </w:r>
          </w:p>
        </w:tc>
        <w:tc>
          <w:tcPr>
            <w:tcW w:w="48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Denis Phares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90" w:type="dxa"/>
            <w:tcBorders/>
            <w:vAlign w:val="center"/>
          </w:tcPr>
          <w:p>
            <w:pPr>
              <w:pStyle w:val="TableContents"/>
              <w:bidi w:val="0"/>
              <w:spacing w:before="0" w:after="283"/>
              <w:jc w:val="both"/>
              <w:rPr>
                <w:caps w:val="false"/>
                <w:smallCaps w:val="false"/>
              </w:rPr>
            </w:pPr>
            <w:r>
              <w:rPr>
                <w:caps w:val="false"/>
                <w:smallCaps w:val="false"/>
              </w:rPr>
              <w:t> </w:t>
            </w:r>
          </w:p>
        </w:tc>
        <w:tc>
          <w:tcPr>
            <w:tcW w:w="4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Denis Phares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90" w:type="dxa"/>
            <w:tcBorders/>
            <w:vAlign w:val="center"/>
          </w:tcPr>
          <w:p>
            <w:pPr>
              <w:pStyle w:val="TableContents"/>
              <w:bidi w:val="0"/>
              <w:spacing w:before="0" w:after="283"/>
              <w:jc w:val="both"/>
              <w:rPr>
                <w:caps w:val="false"/>
                <w:smallCaps w:val="false"/>
              </w:rPr>
            </w:pPr>
            <w:r>
              <w:rPr>
                <w:caps w:val="false"/>
                <w:smallCaps w:val="false"/>
              </w:rPr>
              <w:t> </w:t>
            </w:r>
          </w:p>
        </w:tc>
        <w:tc>
          <w:tcPr>
            <w:tcW w:w="4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 Interim Chief Financial Officer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90" w:type="dxa"/>
            <w:tcBorders/>
            <w:vAlign w:val="center"/>
          </w:tcPr>
          <w:p>
            <w:pPr>
              <w:pStyle w:val="TableContents"/>
              <w:bidi w:val="0"/>
              <w:spacing w:before="0" w:after="283"/>
              <w:jc w:val="both"/>
              <w:rPr>
                <w:caps w:val="false"/>
                <w:smallCaps w:val="false"/>
              </w:rPr>
            </w:pPr>
            <w:r>
              <w:rPr>
                <w:caps w:val="false"/>
                <w:smallCaps w:val="false"/>
              </w:rPr>
              <w:t> </w:t>
            </w:r>
          </w:p>
        </w:tc>
        <w:tc>
          <w:tcPr>
            <w:tcW w:w="4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 and Principal Financial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certification shall not be deemed “filed” for any purpose, nor shall it be deemed to be incorporated by reference into any filing under the Securities Act of 1933 or the Exchange Act.</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47986/000149315223010262/ex3-1.htm" TargetMode="External"/><Relationship Id="rId3" Type="http://schemas.openxmlformats.org/officeDocument/2006/relationships/hyperlink" Target="https://www.sec.gov/Archives/edgar/data/1847986/000149315223010262/ex3-2.htm" TargetMode="External"/><Relationship Id="rId4" Type="http://schemas.openxmlformats.org/officeDocument/2006/relationships/hyperlink" Target="https://www.sec.gov/Archives/edgar/data/1847986/000164117225006463/ex3-1.htm" TargetMode="External"/><Relationship Id="rId5" Type="http://schemas.openxmlformats.org/officeDocument/2006/relationships/hyperlink" Target="https://www.sec.gov/Archives/edgar/data/1847986/000164117225020360/ex10-1.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37334</Words>
  <Characters>196559</Characters>
  <CharactersWithSpaces>237752</CharactersWithSpaces>
  <Paragraphs>11083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