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Redeemable Warrants included as part of the Units, each exercisable for one share of Common Stock for $11.50 per share </w:t>
      </w: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159561117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Rule 13d-1(b)</w:t>
      </w:r>
    </w:p>
    <w:p>
      <w:pPr>
        <w:spacing w:after="0" w:line="40" w:lineRule="exact"/>
        <w:rPr>
          <w:sz w:val="24"/>
          <w:szCs w:val="24"/>
          <w:color w:val="auto"/>
        </w:rPr>
      </w:pPr>
    </w:p>
    <w:p>
      <w:pPr>
        <w:jc w:val="both"/>
        <w:ind w:left="660" w:right="9340" w:hanging="4"/>
        <w:spacing w:after="0" w:line="259" w:lineRule="auto"/>
        <w:tabs>
          <w:tab w:leader="none" w:pos="8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13d-1(c) </w:t>
      </w:r>
      <w:r>
        <w:rPr>
          <w:rFonts w:ascii="Times New Roman" w:cs="Times New Roman" w:eastAsia="Times New Roman" w:hAnsi="Times New Roman"/>
          <w:sz w:val="21"/>
          <w:szCs w:val="21"/>
          <w:color w:val="auto"/>
        </w:rPr>
        <w:t xml:space="preserve">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2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Vellar Opportunities Fund Master,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3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Financial Management,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4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Dekania Investors,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5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6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Inc.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7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Daniel G. Cohen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600,300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7" w:name="page8"/>
    <w:bookmarkEnd w:id="7"/>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8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Persons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Offshore, Ltd.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Mourant Governance Services (Cayman) Limited 94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Solaris Avenue, Camana Bay</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PO Box 1348 Grand Cayman KY1-1108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Cohen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Cohen &amp; Company Inc.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 – Cayman Islands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 –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Redeemable Warrants included as part of the Units, each exercisable for one share of Common Stock for $11.50 per share (the “Common Stock”)</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159561117</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9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63"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Page 10 of 13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w:t>
      </w:r>
    </w:p>
    <w:p>
      <w:pPr>
        <w:spacing w:after="0" w:line="117" w:lineRule="exact"/>
        <w:rPr>
          <w:sz w:val="20"/>
          <w:szCs w:val="20"/>
          <w:color w:val="auto"/>
        </w:rPr>
      </w:pPr>
    </w:p>
    <w:p>
      <w:pPr>
        <w:ind w:left="1400" w:hanging="240"/>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117" w:lineRule="exact"/>
        <w:rPr>
          <w:sz w:val="20"/>
          <w:szCs w:val="20"/>
          <w:color w:val="auto"/>
        </w:rPr>
      </w:pPr>
    </w:p>
    <w:p>
      <w:pPr>
        <w:ind w:left="1400" w:hanging="240"/>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117" w:lineRule="exact"/>
        <w:rPr>
          <w:sz w:val="20"/>
          <w:szCs w:val="20"/>
          <w:color w:val="auto"/>
        </w:rPr>
      </w:pPr>
    </w:p>
    <w:p>
      <w:pPr>
        <w:ind w:left="1400" w:hanging="240"/>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ectPr>
          <w:pgSz w:w="11900" w:h="16838" w:orient="portrait"/>
          <w:cols w:equalWidth="0" w:num="1">
            <w:col w:w="11240"/>
          </w:cols>
          <w:pgMar w:left="320" w:top="360" w:right="339" w:bottom="0" w:gutter="0" w:footer="0" w:header="0"/>
        </w:sectPr>
      </w:pPr>
    </w:p>
    <w:bookmarkStart w:id="9" w:name="page10"/>
    <w:bookmarkEnd w:id="9"/>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117" w:lineRule="exact"/>
        <w:rPr>
          <w:sz w:val="20"/>
          <w:szCs w:val="20"/>
          <w:color w:val="auto"/>
        </w:rPr>
      </w:pPr>
    </w:p>
    <w:p>
      <w:pPr>
        <w:ind w:left="1400" w:hanging="240"/>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w:t>
      </w:r>
    </w:p>
    <w:p>
      <w:pPr>
        <w:spacing w:after="0" w:line="117" w:lineRule="exact"/>
        <w:rPr>
          <w:sz w:val="20"/>
          <w:szCs w:val="20"/>
          <w:color w:val="auto"/>
        </w:rPr>
      </w:pPr>
    </w:p>
    <w:p>
      <w:pPr>
        <w:ind w:left="1400" w:hanging="240"/>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600,300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600,300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600,300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Exhibit II attached hereto.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11 of 13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Vellar Opportunities Fund Master,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Solomon I. Cohen,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Cohen &amp; Company Inc.</w:t>
      </w:r>
    </w:p>
    <w:p>
      <w:pPr>
        <w:spacing w:after="0" w:line="20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Dekania Investors,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Inc.</w:t>
      </w:r>
    </w:p>
    <w:p>
      <w:pPr>
        <w:spacing w:after="0" w:line="227"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12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31,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Vellar Opportunities Fund Master,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Solomon I. Cohen,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Cohen &amp; Company Inc.</w:t>
      </w:r>
    </w:p>
    <w:p>
      <w:pPr>
        <w:spacing w:after="0" w:line="20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Dekania Investors,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Inc.</w:t>
      </w:r>
    </w:p>
    <w:p>
      <w:pPr>
        <w:spacing w:after="0" w:line="227"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 w:name="page13"/>
    <w:bookmarkEnd w:id="12"/>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13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Cohen &amp; Company Financial Management, LLC and Cohen &amp; Company Inc. are the relevant entities for which Mr. Cohen may be considered a control person.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lvl w:ilvl="1">
      <w:lvlJc w:val="left"/>
      <w:lvlText w:val="(%2)"/>
      <w:numFmt w:val="lowerRoman"/>
      <w:start w:val="1"/>
    </w:lvl>
  </w:abstractNum>
  <w:abstractNum w:abstractNumId="3">
    <w:nsid w:val="507ED7AB"/>
    <w:multiLevelType w:val="hybridMultilevel"/>
    <w:lvl w:ilvl="0">
      <w:lvlJc w:val="left"/>
      <w:lvlText w:val="(%1)"/>
      <w:numFmt w:val="lowerLetter"/>
      <w:start w:val="1"/>
    </w:lvl>
    <w:lvl w:ilvl="1">
      <w:lvlJc w:val="left"/>
      <w:lvlText w:val="(%2)"/>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2022-08-31T15:55:41Z</dcterms:created>
  <dcterms:modified xsi:type="dcterms:W3CDTF">2022-08-31T15:55:41Z</dcterms:modified>
</cp:coreProperties>
</file>