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4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3" w:name="xdx_90C_edei--DocumentQuarterlyReport_db"/>
      <w:bookmarkEnd w:id="3"/>
      <w:r>
        <w:rPr>
          <w:caps w:val="false"/>
          <w:smallCaps w:val="false"/>
        </w:rPr>
        <w:t xml:space="preserve">☒ </w:t>
      </w:r>
      <w:r>
        <w:rPr>
          <w:rFonts w:ascii="Times New Roman;Times;Serif" w:hAnsi="Times New Roman;Times;Serif"/>
          <w:b/>
          <w:i w:val="false"/>
          <w:caps w:val="false"/>
          <w:smallCaps w:val="false"/>
          <w:sz w:val="20"/>
        </w:rPr>
        <w:t>QUARTERLY REPORT UNDER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A_edei--DocumentPeriodEndDate_c202"/>
      <w:bookmarkEnd w:id="4"/>
      <w:r>
        <w:rPr>
          <w:rFonts w:ascii="Times New Roman;Times;Serif" w:hAnsi="Times New Roman;Times;Serif"/>
          <w:b/>
          <w:i w:val="false"/>
          <w:caps w:val="false"/>
          <w:smallCaps w:val="false"/>
          <w:sz w:val="20"/>
        </w:rPr>
        <w:t xml:space="preserve">June 30, </w:t>
      </w:r>
      <w:bookmarkStart w:id="5" w:name="xdx_900_edei--DocumentFiscalYearFocus_c2"/>
      <w:bookmarkEnd w:id="5"/>
      <w:r>
        <w:rPr>
          <w:rFonts w:ascii="Times New Roman;Times;Serif" w:hAnsi="Times New Roman;Times;Serif"/>
          <w:b/>
          <w:i w:val="false"/>
          <w:caps w:val="false"/>
          <w:smallCaps w:val="false"/>
          <w:sz w:val="20"/>
        </w:rPr>
        <w:t>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6" w:name="xdx_90C_edei--DocumentTransitionReport_c"/>
      <w:bookmarkEnd w:id="6"/>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_________________ to 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A_edei--EntityFileNumber_c20240101"/>
      <w:bookmarkEnd w:id="7"/>
      <w:r>
        <w:rPr>
          <w:rFonts w:ascii="Times New Roman;Times;Serif" w:hAnsi="Times New Roman;Times;Serif"/>
          <w:b/>
          <w:i w:val="false"/>
          <w:caps w:val="false"/>
          <w:smallCaps w:val="false"/>
          <w:sz w:val="20"/>
          <w:u w:val="single"/>
        </w:rPr>
        <w:t>001-40730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8" w:name="xdx_901_edei--EntityRegistrantName_c2024"/>
      <w:bookmarkEnd w:id="8"/>
      <w:r>
        <w:rPr>
          <w:rFonts w:ascii="Times New Roman;Times;Serif" w:hAnsi="Times New Roman;Times;Serif"/>
          <w:b/>
          <w:i w:val="false"/>
          <w:caps w:val="false"/>
          <w:smallCaps w:val="false"/>
          <w:sz w:val="36"/>
        </w:rPr>
        <w:t>DRAGONFLY ENERGY HOLDINGS CORP.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C_edei--EntityIncorporationStateCo"/>
            <w:bookmarkEnd w:id="9"/>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2_edei--EntityTaxIdentificationNum"/>
            <w:bookmarkEnd w:id="10"/>
            <w:r>
              <w:rPr>
                <w:rFonts w:ascii="Times New Roman;Times;Serif" w:hAnsi="Times New Roman;Times;Serif"/>
                <w:b/>
                <w:i w:val="false"/>
                <w:caps w:val="false"/>
                <w:smallCaps w:val="false"/>
                <w:sz w:val="20"/>
              </w:rPr>
              <w:t>85-1873463</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E_edei--EntityAddressAddressLine1_"/>
            <w:bookmarkEnd w:id="11"/>
            <w:r>
              <w:rPr>
                <w:rFonts w:ascii="Times New Roman;Times;Serif" w:hAnsi="Times New Roman;Times;Serif"/>
                <w:b/>
                <w:i w:val="false"/>
                <w:caps w:val="false"/>
                <w:smallCaps w:val="false"/>
                <w:sz w:val="20"/>
              </w:rPr>
              <w:t xml:space="preserve">1190 Trademark Drive </w:t>
            </w:r>
            <w:bookmarkStart w:id="12" w:name="xdx_901_edei--EntityAddressAddressLine2_"/>
            <w:bookmarkEnd w:id="12"/>
            <w:r>
              <w:rPr>
                <w:rFonts w:ascii="Times New Roman;Times;Serif" w:hAnsi="Times New Roman;Times;Serif"/>
                <w:b/>
                <w:i w:val="false"/>
                <w:caps w:val="false"/>
                <w:smallCaps w:val="false"/>
                <w:sz w:val="20"/>
              </w:rPr>
              <w:t>#108</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3" w:name="xdx_904_edei--EntityAddressCityOrTown_c2"/>
            <w:bookmarkEnd w:id="13"/>
            <w:r>
              <w:rPr>
                <w:rFonts w:ascii="Times New Roman;Times;Serif" w:hAnsi="Times New Roman;Times;Serif"/>
                <w:b/>
                <w:i w:val="false"/>
                <w:caps w:val="false"/>
                <w:smallCaps w:val="false"/>
                <w:sz w:val="20"/>
              </w:rPr>
              <w:t xml:space="preserve">Reno, </w:t>
            </w:r>
            <w:bookmarkStart w:id="14" w:name="xdx_90C_edei--EntityAddressStateOrProvin"/>
            <w:bookmarkEnd w:id="14"/>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A_edei--EntityAddressPostalZipCode"/>
            <w:bookmarkEnd w:id="15"/>
            <w:r>
              <w:rPr>
                <w:rFonts w:ascii="Times New Roman;Times;Serif" w:hAnsi="Times New Roman;Times;Serif"/>
                <w:b/>
                <w:i w:val="false"/>
                <w:caps w:val="false"/>
                <w:smallCaps w:val="false"/>
                <w:sz w:val="20"/>
              </w:rPr>
              <w:t>89521</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bookmarkStart w:id="16" w:name="xdx_90B_edei--CityAreaCode_c20240101__20"/>
      <w:bookmarkEnd w:id="16"/>
      <w:r>
        <w:rPr>
          <w:rFonts w:ascii="Times New Roman;Times;Serif" w:hAnsi="Times New Roman;Times;Serif"/>
          <w:b/>
          <w:i w:val="false"/>
          <w:caps w:val="false"/>
          <w:smallCaps w:val="false"/>
          <w:sz w:val="20"/>
          <w:u w:val="single"/>
        </w:rPr>
        <w:t xml:space="preserve">(775) </w:t>
      </w:r>
      <w:bookmarkStart w:id="17" w:name="xdx_90C_edei--LocalPhoneNumber_c20240101"/>
      <w:bookmarkEnd w:id="17"/>
      <w:r>
        <w:rPr>
          <w:rFonts w:ascii="Times New Roman;Times;Serif" w:hAnsi="Times New Roman;Times;Serif"/>
          <w:b/>
          <w:i w:val="false"/>
          <w:caps w:val="false"/>
          <w:smallCaps w:val="false"/>
          <w:sz w:val="20"/>
          <w:u w:val="single"/>
        </w:rPr>
        <w:t>622-3448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173"/>
        <w:gridCol w:w="60"/>
        <w:gridCol w:w="1273"/>
        <w:gridCol w:w="60"/>
        <w:gridCol w:w="2639"/>
      </w:tblGrid>
      <w:tr>
        <w:trPr/>
        <w:tc>
          <w:tcPr>
            <w:tcW w:w="6173"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3"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39"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17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D_edei--Security12bTitle_c20240101"/>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A_edei--TradingSymbol_c20240101__2"/>
            <w:bookmarkEnd w:id="19"/>
            <w:r>
              <w:rPr>
                <w:rFonts w:ascii="Times New Roman;Times;Serif" w:hAnsi="Times New Roman;Times;Serif"/>
                <w:b w:val="false"/>
                <w:i w:val="false"/>
                <w:caps w:val="false"/>
                <w:smallCaps w:val="false"/>
                <w:sz w:val="20"/>
              </w:rPr>
              <w:t>DFLI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3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F_edei--SecurityExchangeName_c2024"/>
            <w:bookmarkEnd w:id="20"/>
            <w:r>
              <w:rPr>
                <w:rFonts w:ascii="Times New Roman;Times;Serif" w:hAnsi="Times New Roman;Times;Serif"/>
                <w:b w:val="false"/>
                <w:i w:val="false"/>
                <w:caps w:val="false"/>
                <w:smallCaps w:val="false"/>
                <w:sz w:val="20"/>
              </w:rPr>
              <w:t>Nasdaq Capital Market</w:t>
            </w:r>
          </w:p>
        </w:tc>
      </w:tr>
      <w:tr>
        <w:trPr/>
        <w:tc>
          <w:tcPr>
            <w:tcW w:w="617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B_edei--Security12bTitle_c20240101"/>
            <w:bookmarkEnd w:id="21"/>
            <w:r>
              <w:rPr>
                <w:rFonts w:ascii="Times New Roman;Times;Serif" w:hAnsi="Times New Roman;Times;Serif"/>
                <w:b w:val="false"/>
                <w:i w:val="false"/>
                <w:caps w:val="false"/>
                <w:smallCaps w:val="false"/>
                <w:sz w:val="20"/>
              </w:rPr>
              <w:t>Redeemable Warrants, exercisable for common stock at an exercise price of $11.50 per share, subject to adjustment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7_edei--TradingSymbol_c20240101__2"/>
            <w:bookmarkEnd w:id="22"/>
            <w:r>
              <w:rPr>
                <w:rFonts w:ascii="Times New Roman;Times;Serif" w:hAnsi="Times New Roman;Times;Serif"/>
                <w:b w:val="false"/>
                <w:i w:val="false"/>
                <w:caps w:val="false"/>
                <w:smallCaps w:val="false"/>
                <w:sz w:val="20"/>
              </w:rPr>
              <w:t>DFLIW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3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6_edei--SecurityExchangeName_c2024"/>
            <w:bookmarkEnd w:id="23"/>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4" w:name="xdx_90E_edei--EntityCurrentReportingStat"/>
      <w:bookmarkEnd w:id="24"/>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w:t>
      </w:r>
      <w:bookmarkStart w:id="25" w:name="xdx_904_edei--EntityInteractiveDataCurre"/>
      <w:bookmarkEnd w:id="25"/>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6" w:name="xdx_902_edei--EntityFilerCategory_c20240"/>
            <w:bookmarkEnd w:id="26"/>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7" w:name="xdx_900_edei--EntitySmallBusiness_c20240"/>
            <w:bookmarkEnd w:id="27"/>
            <w:r>
              <w:rPr>
                <w:rFonts w:ascii="Times New Roman;Times;Serif" w:hAnsi="Times New Roman;Times;Serif"/>
                <w:b w:val="false"/>
                <w:i w:val="false"/>
                <w:caps w:val="false"/>
                <w:smallCaps w:val="false"/>
                <w:sz w:val="20"/>
              </w:rPr>
              <w:t>☒</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8" w:name="xdx_90B_edei--EntityEmergingGrowthCompan"/>
            <w:bookmarkEnd w:id="28"/>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9" w:name="xdx_90A_edei--EntityExTransitionPeriod_c"/>
      <w:bookmarkEnd w:id="2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30" w:name="xdx_904_edei--EntityShellCompany_dbF_c20"/>
      <w:bookmarkEnd w:id="30"/>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13, 2024, there were </w:t>
      </w:r>
      <w:bookmarkStart w:id="31" w:name="xdx_90A_edei--EntityCommonStockSharesOut"/>
      <w:bookmarkEnd w:id="31"/>
      <w:r>
        <w:rPr>
          <w:rFonts w:ascii="Times New Roman;Times;Serif" w:hAnsi="Times New Roman;Times;Serif"/>
          <w:b w:val="false"/>
          <w:i w:val="false"/>
          <w:caps w:val="false"/>
          <w:smallCaps w:val="false"/>
          <w:sz w:val="20"/>
        </w:rPr>
        <w:t>62,591,171 shares of the registrant’s common stock, par value $</w:t>
      </w:r>
      <w:bookmarkStart w:id="32" w:name="xdx_90D_edei--EntityListingParValuePerSh"/>
      <w:bookmarkEnd w:id="32"/>
      <w:r>
        <w:rPr>
          <w:rFonts w:ascii="Times New Roman;Times;Serif" w:hAnsi="Times New Roman;Times;Serif"/>
          <w:b w:val="false"/>
          <w:i w:val="false"/>
          <w:caps w:val="false"/>
          <w:smallCaps w:val="false"/>
          <w:sz w:val="20"/>
        </w:rPr>
        <w:t>0.0001 per share,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0"/>
        <w:gridCol w:w="8577"/>
        <w:gridCol w:w="738"/>
      </w:tblGrid>
      <w:tr>
        <w:trPr/>
        <w:tc>
          <w:tcPr>
            <w:tcW w:w="890" w:type="dxa"/>
            <w:tcBorders/>
            <w:vAlign w:val="center"/>
          </w:tcPr>
          <w:p>
            <w:pPr>
              <w:pStyle w:val="TableContents"/>
              <w:bidi w:val="0"/>
              <w:spacing w:before="0" w:after="283"/>
              <w:jc w:val="both"/>
              <w:rPr>
                <w:caps w:val="false"/>
                <w:smallCaps w:val="false"/>
              </w:rPr>
            </w:pPr>
            <w:r>
              <w:rPr>
                <w:caps w:val="false"/>
                <w:smallCaps w:val="false"/>
              </w:rPr>
              <w:t> </w:t>
            </w:r>
          </w:p>
        </w:tc>
        <w:tc>
          <w:tcPr>
            <w:tcW w:w="8577" w:type="dxa"/>
            <w:tcBorders/>
            <w:vAlign w:val="center"/>
          </w:tcPr>
          <w:p>
            <w:pPr>
              <w:pStyle w:val="TableContents"/>
              <w:bidi w:val="0"/>
              <w:spacing w:before="0" w:after="283"/>
              <w:jc w:val="both"/>
              <w:rPr>
                <w:caps w:val="false"/>
                <w:smallCaps w:val="false"/>
              </w:rPr>
            </w:pPr>
            <w:r>
              <w:rPr>
                <w:caps w:val="false"/>
                <w:smallCaps w:val="false"/>
              </w:rPr>
              <w:t> </w:t>
            </w:r>
          </w:p>
        </w:tc>
        <w:tc>
          <w:tcPr>
            <w:tcW w:w="738"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 No.</w:t>
            </w:r>
          </w:p>
        </w:tc>
      </w:tr>
      <w:tr>
        <w:trPr/>
        <w:tc>
          <w:tcPr>
            <w:tcW w:w="9467" w:type="dxa"/>
            <w:gridSpan w:val="2"/>
            <w:tcBorders/>
            <w:shd w:fill="CCEEFF" w:val="clear"/>
            <w:vAlign w:val="center"/>
          </w:tcPr>
          <w:p>
            <w:pPr>
              <w:pStyle w:val="TableContents"/>
              <w:bidi w:val="0"/>
              <w:spacing w:before="0" w:after="283"/>
              <w:jc w:val="left"/>
              <w:rPr/>
            </w:pPr>
            <w:hyperlink w:anchor="ku_001">
              <w:r>
                <w:rPr>
                  <w:rStyle w:val="InternetLink"/>
                  <w:rFonts w:ascii="Times New Roman;Times;Serif" w:hAnsi="Times New Roman;Times;Serif"/>
                  <w:b/>
                  <w:i w:val="false"/>
                  <w:caps w:val="false"/>
                  <w:smallCaps w:val="false"/>
                  <w:sz w:val="20"/>
                </w:rPr>
                <w:t>PART I. FINANCIAL INFORMATION</w:t>
              </w:r>
            </w:hyperlink>
          </w:p>
        </w:tc>
        <w:tc>
          <w:tcPr>
            <w:tcW w:w="73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577" w:type="dxa"/>
            <w:tcBorders/>
            <w:shd w:fill="FFFFFF" w:val="clear"/>
            <w:vAlign w:val="center"/>
          </w:tcPr>
          <w:p>
            <w:pPr>
              <w:pStyle w:val="TableContents"/>
              <w:bidi w:val="0"/>
              <w:spacing w:before="0" w:after="283"/>
              <w:jc w:val="both"/>
              <w:rPr/>
            </w:pPr>
            <w:hyperlink w:anchor="ku_002">
              <w:r>
                <w:rPr>
                  <w:rStyle w:val="InternetLink"/>
                  <w:rFonts w:ascii="Times New Roman;Times;Serif" w:hAnsi="Times New Roman;Times;Serif"/>
                  <w:b w:val="false"/>
                  <w:i w:val="false"/>
                  <w:caps w:val="false"/>
                  <w:smallCaps w:val="false"/>
                  <w:sz w:val="20"/>
                </w:rPr>
                <w:t>Financial Statements (Unaudited)</w:t>
              </w:r>
            </w:hyperlink>
          </w:p>
        </w:tc>
        <w:tc>
          <w:tcPr>
            <w:tcW w:w="73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577" w:type="dxa"/>
            <w:tcBorders/>
            <w:shd w:fill="CCEEFF" w:val="clear"/>
            <w:vAlign w:val="center"/>
          </w:tcPr>
          <w:p>
            <w:pPr>
              <w:pStyle w:val="TableContents"/>
              <w:bidi w:val="0"/>
              <w:spacing w:before="0" w:after="283"/>
              <w:jc w:val="both"/>
              <w:rPr/>
            </w:pPr>
            <w:hyperlink w:anchor="ku_003">
              <w:r>
                <w:rPr>
                  <w:rStyle w:val="InternetLink"/>
                  <w:rFonts w:ascii="Times New Roman;Times;Serif" w:hAnsi="Times New Roman;Times;Serif"/>
                  <w:b w:val="false"/>
                  <w:i w:val="false"/>
                  <w:caps w:val="false"/>
                  <w:smallCaps w:val="false"/>
                  <w:sz w:val="20"/>
                </w:rPr>
                <w:t>Condensed Consolidated Balance Sheets as of June 30, 2024 and December 31, 2023</w:t>
              </w:r>
            </w:hyperlink>
          </w:p>
        </w:tc>
        <w:tc>
          <w:tcPr>
            <w:tcW w:w="73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577" w:type="dxa"/>
            <w:tcBorders/>
            <w:shd w:fill="FFFFFF" w:val="clear"/>
            <w:vAlign w:val="center"/>
          </w:tcPr>
          <w:p>
            <w:pPr>
              <w:pStyle w:val="TableContents"/>
              <w:bidi w:val="0"/>
              <w:spacing w:before="0" w:after="283"/>
              <w:jc w:val="left"/>
              <w:rPr/>
            </w:pPr>
            <w:hyperlink w:anchor="ku_004">
              <w:r>
                <w:rPr>
                  <w:rStyle w:val="InternetLink"/>
                  <w:rFonts w:ascii="Times New Roman;Times;Serif" w:hAnsi="Times New Roman;Times;Serif"/>
                  <w:b w:val="false"/>
                  <w:i w:val="false"/>
                  <w:caps w:val="false"/>
                  <w:smallCaps w:val="false"/>
                  <w:sz w:val="20"/>
                </w:rPr>
                <w:t>Condensed Consolidated Statements of Operations for the three and six months ended June 30, 2024 and 2023</w:t>
              </w:r>
            </w:hyperlink>
          </w:p>
        </w:tc>
        <w:tc>
          <w:tcPr>
            <w:tcW w:w="73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577" w:type="dxa"/>
            <w:tcBorders/>
            <w:shd w:fill="CCEEFF" w:val="clear"/>
            <w:vAlign w:val="center"/>
          </w:tcPr>
          <w:p>
            <w:pPr>
              <w:pStyle w:val="TableContents"/>
              <w:bidi w:val="0"/>
              <w:spacing w:before="0" w:after="283"/>
              <w:jc w:val="left"/>
              <w:rPr/>
            </w:pPr>
            <w:hyperlink w:anchor="ku_005">
              <w:r>
                <w:rPr>
                  <w:rStyle w:val="InternetLink"/>
                  <w:rFonts w:ascii="Times New Roman;Times;Serif" w:hAnsi="Times New Roman;Times;Serif"/>
                  <w:b w:val="false"/>
                  <w:i w:val="false"/>
                  <w:caps w:val="false"/>
                  <w:smallCaps w:val="false"/>
                  <w:sz w:val="20"/>
                </w:rPr>
                <w:t>Condensed Consolidated Statements of Stockholders’ Equity for the three and six months ended June 30, 2024 and 2023</w:t>
              </w:r>
            </w:hyperlink>
          </w:p>
        </w:tc>
        <w:tc>
          <w:tcPr>
            <w:tcW w:w="73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577" w:type="dxa"/>
            <w:tcBorders/>
            <w:shd w:fill="FFFFFF" w:val="clear"/>
            <w:vAlign w:val="center"/>
          </w:tcPr>
          <w:p>
            <w:pPr>
              <w:pStyle w:val="TableContents"/>
              <w:bidi w:val="0"/>
              <w:spacing w:before="0" w:after="283"/>
              <w:jc w:val="left"/>
              <w:rPr/>
            </w:pPr>
            <w:hyperlink w:anchor="ku_006">
              <w:r>
                <w:rPr>
                  <w:rStyle w:val="InternetLink"/>
                  <w:rFonts w:ascii="Times New Roman;Times;Serif" w:hAnsi="Times New Roman;Times;Serif"/>
                  <w:b w:val="false"/>
                  <w:i w:val="false"/>
                  <w:caps w:val="false"/>
                  <w:smallCaps w:val="false"/>
                  <w:sz w:val="20"/>
                </w:rPr>
                <w:t>Condensed Consolidated Statements of Cash Flows for the six months ended June 30, 2024 and 2023</w:t>
              </w:r>
            </w:hyperlink>
          </w:p>
        </w:tc>
        <w:tc>
          <w:tcPr>
            <w:tcW w:w="73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8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577" w:type="dxa"/>
            <w:tcBorders/>
            <w:shd w:fill="CCEEFF" w:val="clear"/>
            <w:vAlign w:val="center"/>
          </w:tcPr>
          <w:p>
            <w:pPr>
              <w:pStyle w:val="TableContents"/>
              <w:bidi w:val="0"/>
              <w:spacing w:before="0" w:after="283"/>
              <w:jc w:val="both"/>
              <w:rPr/>
            </w:pPr>
            <w:hyperlink w:anchor="ku_007">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73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8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577" w:type="dxa"/>
            <w:tcBorders/>
            <w:shd w:fill="FFFFFF" w:val="clear"/>
            <w:vAlign w:val="center"/>
          </w:tcPr>
          <w:p>
            <w:pPr>
              <w:pStyle w:val="TableContents"/>
              <w:bidi w:val="0"/>
              <w:spacing w:before="0" w:after="283"/>
              <w:jc w:val="both"/>
              <w:rPr/>
            </w:pPr>
            <w:hyperlink w:anchor="sw_00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73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8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577" w:type="dxa"/>
            <w:tcBorders/>
            <w:shd w:fill="CCEEFF" w:val="clear"/>
            <w:vAlign w:val="center"/>
          </w:tcPr>
          <w:p>
            <w:pPr>
              <w:pStyle w:val="TableContents"/>
              <w:bidi w:val="0"/>
              <w:spacing w:before="0" w:after="283"/>
              <w:jc w:val="both"/>
              <w:rPr/>
            </w:pPr>
            <w:hyperlink w:anchor="sw_00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73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8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577" w:type="dxa"/>
            <w:tcBorders/>
            <w:shd w:fill="FFFFFF" w:val="clear"/>
            <w:vAlign w:val="center"/>
          </w:tcPr>
          <w:p>
            <w:pPr>
              <w:pStyle w:val="TableContents"/>
              <w:bidi w:val="0"/>
              <w:spacing w:before="0" w:after="283"/>
              <w:jc w:val="both"/>
              <w:rPr/>
            </w:pPr>
            <w:hyperlink w:anchor="sw_003">
              <w:r>
                <w:rPr>
                  <w:rStyle w:val="InternetLink"/>
                  <w:rFonts w:ascii="Times New Roman;Times;Serif" w:hAnsi="Times New Roman;Times;Serif"/>
                  <w:b w:val="false"/>
                  <w:i w:val="false"/>
                  <w:caps w:val="false"/>
                  <w:smallCaps w:val="false"/>
                  <w:sz w:val="20"/>
                </w:rPr>
                <w:t>Controls and Procedures</w:t>
              </w:r>
            </w:hyperlink>
          </w:p>
        </w:tc>
        <w:tc>
          <w:tcPr>
            <w:tcW w:w="73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9467" w:type="dxa"/>
            <w:gridSpan w:val="2"/>
            <w:tcBorders/>
            <w:shd w:fill="CCEEFF" w:val="clear"/>
            <w:vAlign w:val="center"/>
          </w:tcPr>
          <w:p>
            <w:pPr>
              <w:pStyle w:val="TableContents"/>
              <w:bidi w:val="0"/>
              <w:spacing w:before="0" w:after="283"/>
              <w:jc w:val="left"/>
              <w:rPr/>
            </w:pPr>
            <w:hyperlink w:anchor="sw_004">
              <w:r>
                <w:rPr>
                  <w:rStyle w:val="InternetLink"/>
                  <w:rFonts w:ascii="Times New Roman;Times;Serif" w:hAnsi="Times New Roman;Times;Serif"/>
                  <w:b/>
                  <w:i w:val="false"/>
                  <w:caps w:val="false"/>
                  <w:smallCaps w:val="false"/>
                  <w:sz w:val="20"/>
                </w:rPr>
                <w:t>PART II. OTHER INFORMATION</w:t>
              </w:r>
            </w:hyperlink>
          </w:p>
        </w:tc>
        <w:tc>
          <w:tcPr>
            <w:tcW w:w="73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577" w:type="dxa"/>
            <w:tcBorders/>
            <w:shd w:fill="FFFFFF" w:val="clear"/>
            <w:vAlign w:val="center"/>
          </w:tcPr>
          <w:p>
            <w:pPr>
              <w:pStyle w:val="TableContents"/>
              <w:bidi w:val="0"/>
              <w:spacing w:before="0" w:after="283"/>
              <w:jc w:val="both"/>
              <w:rPr/>
            </w:pPr>
            <w:hyperlink w:anchor="sw_005">
              <w:r>
                <w:rPr>
                  <w:rStyle w:val="InternetLink"/>
                  <w:rFonts w:ascii="Times New Roman;Times;Serif" w:hAnsi="Times New Roman;Times;Serif"/>
                  <w:b w:val="false"/>
                  <w:i w:val="false"/>
                  <w:caps w:val="false"/>
                  <w:smallCaps w:val="false"/>
                  <w:sz w:val="20"/>
                </w:rPr>
                <w:t>Legal Proceedings</w:t>
              </w:r>
            </w:hyperlink>
          </w:p>
        </w:tc>
        <w:tc>
          <w:tcPr>
            <w:tcW w:w="73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8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8577" w:type="dxa"/>
            <w:tcBorders/>
            <w:shd w:fill="CCEEFF" w:val="clear"/>
            <w:vAlign w:val="center"/>
          </w:tcPr>
          <w:p>
            <w:pPr>
              <w:pStyle w:val="TableContents"/>
              <w:bidi w:val="0"/>
              <w:spacing w:before="0" w:after="283"/>
              <w:jc w:val="both"/>
              <w:rPr/>
            </w:pPr>
            <w:hyperlink w:anchor="sw_006">
              <w:r>
                <w:rPr>
                  <w:rStyle w:val="InternetLink"/>
                  <w:rFonts w:ascii="Times New Roman;Times;Serif" w:hAnsi="Times New Roman;Times;Serif"/>
                  <w:b w:val="false"/>
                  <w:i w:val="false"/>
                  <w:caps w:val="false"/>
                  <w:smallCaps w:val="false"/>
                  <w:sz w:val="20"/>
                </w:rPr>
                <w:t>Risk Factors</w:t>
              </w:r>
            </w:hyperlink>
          </w:p>
        </w:tc>
        <w:tc>
          <w:tcPr>
            <w:tcW w:w="73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8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577" w:type="dxa"/>
            <w:tcBorders/>
            <w:shd w:fill="FFFFFF" w:val="clear"/>
            <w:vAlign w:val="center"/>
          </w:tcPr>
          <w:p>
            <w:pPr>
              <w:pStyle w:val="TableContents"/>
              <w:bidi w:val="0"/>
              <w:spacing w:before="0" w:after="283"/>
              <w:jc w:val="both"/>
              <w:rPr/>
            </w:pPr>
            <w:hyperlink w:anchor="sw_007">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73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8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577" w:type="dxa"/>
            <w:tcBorders/>
            <w:shd w:fill="CCEEFF" w:val="clear"/>
            <w:vAlign w:val="center"/>
          </w:tcPr>
          <w:p>
            <w:pPr>
              <w:pStyle w:val="TableContents"/>
              <w:bidi w:val="0"/>
              <w:spacing w:before="0" w:after="283"/>
              <w:jc w:val="both"/>
              <w:rPr/>
            </w:pPr>
            <w:hyperlink w:anchor="sw_008">
              <w:r>
                <w:rPr>
                  <w:rStyle w:val="InternetLink"/>
                  <w:rFonts w:ascii="Times New Roman;Times;Serif" w:hAnsi="Times New Roman;Times;Serif"/>
                  <w:b w:val="false"/>
                  <w:i w:val="false"/>
                  <w:caps w:val="false"/>
                  <w:smallCaps w:val="false"/>
                  <w:sz w:val="20"/>
                </w:rPr>
                <w:t>Defaults Upon Senior Securities</w:t>
              </w:r>
            </w:hyperlink>
          </w:p>
        </w:tc>
        <w:tc>
          <w:tcPr>
            <w:tcW w:w="73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8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577" w:type="dxa"/>
            <w:tcBorders/>
            <w:shd w:fill="FFFFFF" w:val="clear"/>
            <w:vAlign w:val="center"/>
          </w:tcPr>
          <w:p>
            <w:pPr>
              <w:pStyle w:val="TableContents"/>
              <w:bidi w:val="0"/>
              <w:spacing w:before="0" w:after="283"/>
              <w:jc w:val="both"/>
              <w:rPr/>
            </w:pPr>
            <w:hyperlink w:anchor="sw_009">
              <w:r>
                <w:rPr>
                  <w:rStyle w:val="InternetLink"/>
                  <w:rFonts w:ascii="Times New Roman;Times;Serif" w:hAnsi="Times New Roman;Times;Serif"/>
                  <w:b w:val="false"/>
                  <w:i w:val="false"/>
                  <w:caps w:val="false"/>
                  <w:smallCaps w:val="false"/>
                  <w:sz w:val="20"/>
                </w:rPr>
                <w:t>Mine Safety Disclosures</w:t>
              </w:r>
            </w:hyperlink>
          </w:p>
        </w:tc>
        <w:tc>
          <w:tcPr>
            <w:tcW w:w="73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8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8577" w:type="dxa"/>
            <w:tcBorders/>
            <w:shd w:fill="CCEEFF" w:val="clear"/>
            <w:vAlign w:val="center"/>
          </w:tcPr>
          <w:p>
            <w:pPr>
              <w:pStyle w:val="TableContents"/>
              <w:bidi w:val="0"/>
              <w:spacing w:before="0" w:after="283"/>
              <w:jc w:val="both"/>
              <w:rPr/>
            </w:pPr>
            <w:hyperlink w:anchor="sw_010">
              <w:r>
                <w:rPr>
                  <w:rStyle w:val="InternetLink"/>
                  <w:rFonts w:ascii="Times New Roman;Times;Serif" w:hAnsi="Times New Roman;Times;Serif"/>
                  <w:b w:val="false"/>
                  <w:i w:val="false"/>
                  <w:caps w:val="false"/>
                  <w:smallCaps w:val="false"/>
                  <w:sz w:val="20"/>
                </w:rPr>
                <w:t>Other Information</w:t>
              </w:r>
            </w:hyperlink>
          </w:p>
        </w:tc>
        <w:tc>
          <w:tcPr>
            <w:tcW w:w="73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8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8577" w:type="dxa"/>
            <w:tcBorders/>
            <w:shd w:fill="FFFFFF" w:val="clear"/>
            <w:vAlign w:val="center"/>
          </w:tcPr>
          <w:p>
            <w:pPr>
              <w:pStyle w:val="TableContents"/>
              <w:bidi w:val="0"/>
              <w:spacing w:before="0" w:after="283"/>
              <w:jc w:val="both"/>
              <w:rPr/>
            </w:pPr>
            <w:hyperlink w:anchor="sw_011">
              <w:r>
                <w:rPr>
                  <w:rStyle w:val="InternetLink"/>
                  <w:rFonts w:ascii="Times New Roman;Times;Serif" w:hAnsi="Times New Roman;Times;Serif"/>
                  <w:b w:val="false"/>
                  <w:i w:val="false"/>
                  <w:caps w:val="false"/>
                  <w:smallCaps w:val="false"/>
                  <w:sz w:val="20"/>
                </w:rPr>
                <w:t>Exhibits</w:t>
              </w:r>
            </w:hyperlink>
          </w:p>
        </w:tc>
        <w:tc>
          <w:tcPr>
            <w:tcW w:w="73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890" w:type="dxa"/>
            <w:tcBorders/>
            <w:shd w:fill="CCEEFF" w:val="clear"/>
            <w:vAlign w:val="center"/>
          </w:tcPr>
          <w:p>
            <w:pPr>
              <w:pStyle w:val="TableContents"/>
              <w:bidi w:val="0"/>
              <w:spacing w:before="0" w:after="283"/>
              <w:jc w:val="both"/>
              <w:rPr/>
            </w:pPr>
            <w:hyperlink w:anchor="sw_012">
              <w:r>
                <w:rPr>
                  <w:rStyle w:val="InternetLink"/>
                  <w:rFonts w:ascii="Times New Roman;Times;Serif" w:hAnsi="Times New Roman;Times;Serif"/>
                  <w:b w:val="false"/>
                  <w:i w:val="false"/>
                  <w:caps w:val="false"/>
                  <w:smallCaps w:val="false"/>
                  <w:sz w:val="20"/>
                </w:rPr>
                <w:t>Signatures</w:t>
              </w:r>
            </w:hyperlink>
          </w:p>
        </w:tc>
        <w:tc>
          <w:tcPr>
            <w:tcW w:w="8577"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3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3" w:name="ku_001"/>
      <w:bookmarkEnd w:id="33"/>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34" w:name="ku_002"/>
      <w:bookmarkEnd w:id="34"/>
      <w:r>
        <w:rPr>
          <w:rFonts w:ascii="Times New Roman;Times;Serif" w:hAnsi="Times New Roman;Times;Serif"/>
          <w:b/>
          <w:i w:val="false"/>
          <w:caps/>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sz w:val="20"/>
        </w:rPr>
      </w:pPr>
      <w:bookmarkStart w:id="35" w:name="ku_003"/>
      <w:bookmarkEnd w:id="35"/>
      <w:r>
        <w:rPr>
          <w:rFonts w:ascii="Times New Roman;Times;Serif" w:hAnsi="Times New Roman;Times;Serif"/>
          <w:b/>
          <w:i w:val="false"/>
          <w:caps/>
          <w:sz w:val="20"/>
        </w:rPr>
        <w:t>Condensed Consolidated Balance Sheets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6" w:name="xdx_30F_111_pn3n3_zPaG3dlyJMof"/>
      <w:bookmarkStart w:id="37" w:name="xdx_30F_111_pn3n3_zPaG3dlyJMof"/>
      <w:bookmarkEnd w:id="37"/>
    </w:p>
    <w:tbl>
      <w:tblPr>
        <w:tblW w:w="10205" w:type="dxa"/>
        <w:jc w:val="left"/>
        <w:tblInd w:w="0" w:type="dxa"/>
        <w:tblLayout w:type="fixed"/>
        <w:tblCellMar>
          <w:top w:w="0" w:type="dxa"/>
          <w:left w:w="0" w:type="dxa"/>
          <w:bottom w:w="0" w:type="dxa"/>
          <w:right w:w="0" w:type="dxa"/>
        </w:tblCellMar>
      </w:tblPr>
      <w:tblGrid>
        <w:gridCol w:w="6776"/>
        <w:gridCol w:w="60"/>
        <w:gridCol w:w="211"/>
        <w:gridCol w:w="1103"/>
        <w:gridCol w:w="95"/>
        <w:gridCol w:w="60"/>
        <w:gridCol w:w="278"/>
        <w:gridCol w:w="1510"/>
        <w:gridCol w:w="112"/>
      </w:tblGrid>
      <w:tr>
        <w:trPr/>
        <w:tc>
          <w:tcPr>
            <w:tcW w:w="67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8" w:name="xdx_492_20240630_zOuN9sHzoPC4"/>
            <w:bookmarkEnd w:id="38"/>
          </w:p>
        </w:tc>
        <w:tc>
          <w:tcPr>
            <w:tcW w:w="1314" w:type="dxa"/>
            <w:gridSpan w:val="2"/>
            <w:tcBorders>
              <w:bottom w:val="single" w:sz="12" w:space="0" w:color="000000"/>
            </w:tcBorders>
            <w:tcMar>
              <w:bottom w:w="28" w:type="dxa"/>
            </w:tcMar>
            <w:vAlign w:val="center"/>
          </w:tcPr>
          <w:p>
            <w:pPr>
              <w:pStyle w:val="TableContents"/>
              <w:bidi w:val="0"/>
              <w:spacing w:before="0" w:after="283"/>
              <w:jc w:val="center"/>
              <w:rPr/>
            </w:pPr>
            <w:r>
              <w:rPr/>
              <w:t>June 30, 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9" w:name="xdx_49B_20231231_z81ONqLo5hi8"/>
            <w:bookmarkEnd w:id="39"/>
          </w:p>
        </w:tc>
        <w:tc>
          <w:tcPr>
            <w:tcW w:w="1788" w:type="dxa"/>
            <w:gridSpan w:val="2"/>
            <w:tcBorders>
              <w:bottom w:val="single" w:sz="12" w:space="0" w:color="000000"/>
            </w:tcBorders>
            <w:tcMar>
              <w:bottom w:w="28" w:type="dxa"/>
            </w:tcMar>
            <w:vAlign w:val="center"/>
          </w:tcPr>
          <w:p>
            <w:pPr>
              <w:pStyle w:val="TableContents"/>
              <w:bidi w:val="0"/>
              <w:spacing w:before="0" w:after="283"/>
              <w:jc w:val="center"/>
              <w:rPr/>
            </w:pPr>
            <w:r>
              <w:rPr/>
              <w:t>December 31, 2023</w:t>
            </w:r>
          </w:p>
        </w:tc>
        <w:tc>
          <w:tcPr>
            <w:tcW w:w="112" w:type="dxa"/>
            <w:tcBorders/>
            <w:vAlign w:val="center"/>
          </w:tcPr>
          <w:p>
            <w:pPr>
              <w:pStyle w:val="TableContents"/>
              <w:bidi w:val="0"/>
              <w:spacing w:before="0" w:after="283"/>
              <w:jc w:val="center"/>
              <w:rPr/>
            </w:pPr>
            <w:r>
              <w:rPr/>
              <w:t> </w:t>
            </w:r>
            <w:bookmarkStart w:id="40" w:name="xdx_40D_eus-gaap--AssetsCurrentAbstract_"/>
            <w:bookmarkEnd w:id="40"/>
          </w:p>
        </w:tc>
      </w:tr>
      <w:tr>
        <w:trPr/>
        <w:tc>
          <w:tcPr>
            <w:tcW w:w="6776"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314" w:type="dxa"/>
            <w:gridSpan w:val="2"/>
            <w:tcBorders/>
            <w:shd w:fill="CCEEFF" w:val="clear"/>
            <w:vAlign w:val="center"/>
          </w:tcPr>
          <w:p>
            <w:pPr>
              <w:pStyle w:val="TableContents"/>
              <w:bidi w:val="0"/>
              <w:spacing w:before="0" w:after="283"/>
              <w:jc w:val="center"/>
              <w:rPr/>
            </w:pPr>
            <w:r>
              <w:rPr/>
              <w:t>Unaudited</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8" w:type="dxa"/>
            <w:gridSpan w:val="2"/>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bookmarkStart w:id="41" w:name="xdx_40D_eus-gaap--CashAndCashEquivalents"/>
            <w:bookmarkEnd w:id="41"/>
          </w:p>
        </w:tc>
      </w:tr>
      <w:tr>
        <w:trPr/>
        <w:tc>
          <w:tcPr>
            <w:tcW w:w="6776"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w:t>
            </w:r>
          </w:p>
        </w:tc>
        <w:tc>
          <w:tcPr>
            <w:tcW w:w="1103" w:type="dxa"/>
            <w:tcBorders/>
            <w:shd w:fill="FFFFFF" w:val="clear"/>
            <w:vAlign w:val="center"/>
          </w:tcPr>
          <w:p>
            <w:pPr>
              <w:pStyle w:val="TableContents"/>
              <w:bidi w:val="0"/>
              <w:spacing w:before="0" w:after="283"/>
              <w:jc w:val="right"/>
              <w:rPr/>
            </w:pPr>
            <w:r>
              <w:rPr/>
              <w:t>4,699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w:t>
            </w:r>
          </w:p>
        </w:tc>
        <w:tc>
          <w:tcPr>
            <w:tcW w:w="1510" w:type="dxa"/>
            <w:tcBorders/>
            <w:shd w:fill="FFFFFF" w:val="clear"/>
            <w:vAlign w:val="center"/>
          </w:tcPr>
          <w:p>
            <w:pPr>
              <w:pStyle w:val="TableContents"/>
              <w:bidi w:val="0"/>
              <w:spacing w:before="0" w:after="283"/>
              <w:jc w:val="right"/>
              <w:rPr/>
            </w:pPr>
            <w:r>
              <w:rPr/>
              <w:t>12,713</w:t>
            </w:r>
          </w:p>
        </w:tc>
        <w:tc>
          <w:tcPr>
            <w:tcW w:w="112" w:type="dxa"/>
            <w:tcBorders/>
            <w:shd w:fill="FFFFFF" w:val="clear"/>
            <w:vAlign w:val="center"/>
          </w:tcPr>
          <w:p>
            <w:pPr>
              <w:pStyle w:val="TableContents"/>
              <w:bidi w:val="0"/>
              <w:spacing w:before="0" w:after="283"/>
              <w:jc w:val="left"/>
              <w:rPr/>
            </w:pPr>
            <w:r>
              <w:rPr/>
              <w:t> </w:t>
            </w:r>
            <w:bookmarkStart w:id="42" w:name="xdx_40D_eus-gaap--AccountsReceivableNetC"/>
            <w:bookmarkEnd w:id="42"/>
          </w:p>
        </w:tc>
      </w:tr>
      <w:tr>
        <w:trPr/>
        <w:tc>
          <w:tcPr>
            <w:tcW w:w="6776" w:type="dxa"/>
            <w:tcBorders/>
            <w:shd w:fill="CCEEFF" w:val="clear"/>
            <w:vAlign w:val="center"/>
          </w:tcPr>
          <w:p>
            <w:pPr>
              <w:pStyle w:val="TableContents"/>
              <w:bidi w:val="0"/>
              <w:spacing w:before="0" w:after="283"/>
              <w:jc w:val="left"/>
              <w:rPr/>
            </w:pPr>
            <w:r>
              <w:rPr/>
              <w:t>Accounts receivable, net of allowance for credit losses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2,866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right"/>
              <w:rPr/>
            </w:pPr>
            <w:r>
              <w:rPr/>
              <w:t>1,639</w:t>
            </w:r>
          </w:p>
        </w:tc>
        <w:tc>
          <w:tcPr>
            <w:tcW w:w="112" w:type="dxa"/>
            <w:tcBorders/>
            <w:shd w:fill="CCEEFF" w:val="clear"/>
            <w:vAlign w:val="center"/>
          </w:tcPr>
          <w:p>
            <w:pPr>
              <w:pStyle w:val="TableContents"/>
              <w:bidi w:val="0"/>
              <w:spacing w:before="0" w:after="283"/>
              <w:jc w:val="left"/>
              <w:rPr/>
            </w:pPr>
            <w:r>
              <w:rPr/>
              <w:t> </w:t>
            </w:r>
            <w:bookmarkStart w:id="43" w:name="xdx_408_eus-gaap--InventoryNet_i01I_maAC"/>
            <w:bookmarkEnd w:id="43"/>
          </w:p>
        </w:tc>
      </w:tr>
      <w:tr>
        <w:trPr/>
        <w:tc>
          <w:tcPr>
            <w:tcW w:w="6776"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28,653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510" w:type="dxa"/>
            <w:tcBorders/>
            <w:shd w:fill="FFFFFF" w:val="clear"/>
            <w:vAlign w:val="center"/>
          </w:tcPr>
          <w:p>
            <w:pPr>
              <w:pStyle w:val="TableContents"/>
              <w:bidi w:val="0"/>
              <w:spacing w:before="0" w:after="283"/>
              <w:jc w:val="right"/>
              <w:rPr/>
            </w:pPr>
            <w:r>
              <w:rPr/>
              <w:t>38,778</w:t>
            </w:r>
          </w:p>
        </w:tc>
        <w:tc>
          <w:tcPr>
            <w:tcW w:w="112" w:type="dxa"/>
            <w:tcBorders/>
            <w:shd w:fill="FFFFFF" w:val="clear"/>
            <w:vAlign w:val="center"/>
          </w:tcPr>
          <w:p>
            <w:pPr>
              <w:pStyle w:val="TableContents"/>
              <w:bidi w:val="0"/>
              <w:spacing w:before="0" w:after="283"/>
              <w:jc w:val="left"/>
              <w:rPr/>
            </w:pPr>
            <w:r>
              <w:rPr/>
              <w:t> </w:t>
            </w:r>
            <w:bookmarkStart w:id="44" w:name="xdx_40C_ecustom--PrepaidExpenseOtherThan"/>
            <w:bookmarkEnd w:id="44"/>
          </w:p>
        </w:tc>
      </w:tr>
      <w:tr>
        <w:trPr/>
        <w:tc>
          <w:tcPr>
            <w:tcW w:w="6776"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776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right"/>
              <w:rPr/>
            </w:pPr>
            <w:r>
              <w:rPr/>
              <w:t>772</w:t>
            </w:r>
          </w:p>
        </w:tc>
        <w:tc>
          <w:tcPr>
            <w:tcW w:w="112" w:type="dxa"/>
            <w:tcBorders/>
            <w:shd w:fill="CCEEFF" w:val="clear"/>
            <w:vAlign w:val="center"/>
          </w:tcPr>
          <w:p>
            <w:pPr>
              <w:pStyle w:val="TableContents"/>
              <w:bidi w:val="0"/>
              <w:spacing w:before="0" w:after="283"/>
              <w:jc w:val="left"/>
              <w:rPr/>
            </w:pPr>
            <w:r>
              <w:rPr/>
              <w:t> </w:t>
            </w:r>
            <w:bookmarkStart w:id="45" w:name="xdx_400_eus-gaap--Supplies_i01I_maACzdsP"/>
            <w:bookmarkEnd w:id="45"/>
          </w:p>
        </w:tc>
      </w:tr>
      <w:tr>
        <w:trPr/>
        <w:tc>
          <w:tcPr>
            <w:tcW w:w="6776" w:type="dxa"/>
            <w:tcBorders/>
            <w:shd w:fill="FFFFFF" w:val="clear"/>
            <w:vAlign w:val="center"/>
          </w:tcPr>
          <w:p>
            <w:pPr>
              <w:pStyle w:val="TableContents"/>
              <w:bidi w:val="0"/>
              <w:spacing w:before="0" w:after="283"/>
              <w:jc w:val="left"/>
              <w:rPr/>
            </w:pPr>
            <w:r>
              <w:rPr/>
              <w:t>Prepaid inventory</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1,976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510" w:type="dxa"/>
            <w:tcBorders/>
            <w:shd w:fill="FFFFFF" w:val="clear"/>
            <w:vAlign w:val="center"/>
          </w:tcPr>
          <w:p>
            <w:pPr>
              <w:pStyle w:val="TableContents"/>
              <w:bidi w:val="0"/>
              <w:spacing w:before="0" w:after="283"/>
              <w:jc w:val="right"/>
              <w:rPr/>
            </w:pPr>
            <w:r>
              <w:rPr/>
              <w:t>1,381</w:t>
            </w:r>
          </w:p>
        </w:tc>
        <w:tc>
          <w:tcPr>
            <w:tcW w:w="112" w:type="dxa"/>
            <w:tcBorders/>
            <w:shd w:fill="FFFFFF" w:val="clear"/>
            <w:vAlign w:val="center"/>
          </w:tcPr>
          <w:p>
            <w:pPr>
              <w:pStyle w:val="TableContents"/>
              <w:bidi w:val="0"/>
              <w:spacing w:before="0" w:after="283"/>
              <w:jc w:val="left"/>
              <w:rPr/>
            </w:pPr>
            <w:r>
              <w:rPr/>
              <w:t> </w:t>
            </w:r>
            <w:bookmarkStart w:id="46" w:name="xdx_402_eus-gaap--PrepaidTaxes_i01I_maAC"/>
            <w:bookmarkEnd w:id="46"/>
          </w:p>
        </w:tc>
      </w:tr>
      <w:tr>
        <w:trPr/>
        <w:tc>
          <w:tcPr>
            <w:tcW w:w="6776" w:type="dxa"/>
            <w:tcBorders/>
            <w:shd w:fill="CCEEFF" w:val="clear"/>
            <w:vAlign w:val="center"/>
          </w:tcPr>
          <w:p>
            <w:pPr>
              <w:pStyle w:val="TableContents"/>
              <w:bidi w:val="0"/>
              <w:spacing w:before="0" w:after="283"/>
              <w:jc w:val="left"/>
              <w:rPr/>
            </w:pPr>
            <w:r>
              <w:rPr/>
              <w:t>Prepaid income tax</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345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right"/>
              <w:rPr/>
            </w:pPr>
            <w:r>
              <w:rPr/>
              <w:t>519</w:t>
            </w:r>
          </w:p>
        </w:tc>
        <w:tc>
          <w:tcPr>
            <w:tcW w:w="112" w:type="dxa"/>
            <w:tcBorders/>
            <w:shd w:fill="CCEEFF" w:val="clear"/>
            <w:vAlign w:val="center"/>
          </w:tcPr>
          <w:p>
            <w:pPr>
              <w:pStyle w:val="TableContents"/>
              <w:bidi w:val="0"/>
              <w:spacing w:before="0" w:after="283"/>
              <w:jc w:val="left"/>
              <w:rPr/>
            </w:pPr>
            <w:r>
              <w:rPr/>
              <w:t> </w:t>
            </w:r>
            <w:bookmarkStart w:id="47" w:name="xdx_400_eus-gaap--OtherAssetsCurrent_i01"/>
            <w:bookmarkEnd w:id="47"/>
          </w:p>
        </w:tc>
      </w:tr>
      <w:tr>
        <w:trPr/>
        <w:tc>
          <w:tcPr>
            <w:tcW w:w="6776"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FFFFFF" w:val="clear"/>
            <w:tcMar>
              <w:bottom w:w="28" w:type="dxa"/>
            </w:tcMar>
            <w:vAlign w:val="center"/>
          </w:tcPr>
          <w:p>
            <w:pPr>
              <w:pStyle w:val="TableContents"/>
              <w:bidi w:val="0"/>
              <w:spacing w:before="0" w:after="283"/>
              <w:jc w:val="right"/>
              <w:rPr/>
            </w:pPr>
            <w:r>
              <w:rPr/>
              <w:t>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10" w:type="dxa"/>
            <w:tcBorders>
              <w:bottom w:val="single" w:sz="12" w:space="0" w:color="000000"/>
            </w:tcBorders>
            <w:shd w:fill="FFFFFF" w:val="clear"/>
            <w:tcMar>
              <w:bottom w:w="28" w:type="dxa"/>
            </w:tcMar>
            <w:vAlign w:val="center"/>
          </w:tcPr>
          <w:p>
            <w:pPr>
              <w:pStyle w:val="TableContents"/>
              <w:bidi w:val="0"/>
              <w:spacing w:before="0" w:after="283"/>
              <w:jc w:val="right"/>
              <w:rPr/>
            </w:pPr>
            <w:r>
              <w:rPr/>
              <w:t>118</w:t>
            </w:r>
          </w:p>
        </w:tc>
        <w:tc>
          <w:tcPr>
            <w:tcW w:w="112" w:type="dxa"/>
            <w:tcBorders/>
            <w:shd w:fill="FFFFFF" w:val="clear"/>
            <w:vAlign w:val="center"/>
          </w:tcPr>
          <w:p>
            <w:pPr>
              <w:pStyle w:val="TableContents"/>
              <w:bidi w:val="0"/>
              <w:spacing w:before="0" w:after="283"/>
              <w:jc w:val="left"/>
              <w:rPr/>
            </w:pPr>
            <w:r>
              <w:rPr/>
              <w:t> </w:t>
            </w:r>
            <w:bookmarkStart w:id="48" w:name="xdx_404_eus-gaap--AssetsCurrent_i01TI_mt"/>
            <w:bookmarkEnd w:id="48"/>
          </w:p>
        </w:tc>
      </w:tr>
      <w:tr>
        <w:trPr/>
        <w:tc>
          <w:tcPr>
            <w:tcW w:w="6776"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CCEEFF" w:val="clear"/>
            <w:tcMar>
              <w:bottom w:w="28" w:type="dxa"/>
            </w:tcMar>
            <w:vAlign w:val="center"/>
          </w:tcPr>
          <w:p>
            <w:pPr>
              <w:pStyle w:val="TableContents"/>
              <w:bidi w:val="0"/>
              <w:spacing w:before="0" w:after="283"/>
              <w:jc w:val="right"/>
              <w:rPr/>
            </w:pPr>
            <w:r>
              <w:rPr/>
              <w:t>40,065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10" w:type="dxa"/>
            <w:tcBorders>
              <w:bottom w:val="single" w:sz="12" w:space="0" w:color="000000"/>
            </w:tcBorders>
            <w:shd w:fill="CCEEFF" w:val="clear"/>
            <w:tcMar>
              <w:bottom w:w="28" w:type="dxa"/>
            </w:tcMar>
            <w:vAlign w:val="center"/>
          </w:tcPr>
          <w:p>
            <w:pPr>
              <w:pStyle w:val="TableContents"/>
              <w:bidi w:val="0"/>
              <w:spacing w:before="0" w:after="283"/>
              <w:jc w:val="right"/>
              <w:rPr/>
            </w:pPr>
            <w:r>
              <w:rPr/>
              <w:t>55,920</w:t>
            </w:r>
          </w:p>
        </w:tc>
        <w:tc>
          <w:tcPr>
            <w:tcW w:w="112" w:type="dxa"/>
            <w:tcBorders/>
            <w:shd w:fill="CCEEFF" w:val="clear"/>
            <w:vAlign w:val="center"/>
          </w:tcPr>
          <w:p>
            <w:pPr>
              <w:pStyle w:val="TableContents"/>
              <w:bidi w:val="0"/>
              <w:spacing w:before="0" w:after="283"/>
              <w:jc w:val="left"/>
              <w:rPr/>
            </w:pPr>
            <w:r>
              <w:rPr/>
              <w:t> </w:t>
            </w:r>
            <w:bookmarkStart w:id="49" w:name="xdx_402_eus-gaap--PropertyPlantAndEquipm"/>
            <w:bookmarkEnd w:id="49"/>
          </w:p>
        </w:tc>
      </w:tr>
      <w:tr>
        <w:trPr/>
        <w:tc>
          <w:tcPr>
            <w:tcW w:w="6776" w:type="dxa"/>
            <w:tcBorders/>
            <w:shd w:fill="FFFFFF" w:val="clear"/>
            <w:vAlign w:val="center"/>
          </w:tcPr>
          <w:p>
            <w:pPr>
              <w:pStyle w:val="TableContents"/>
              <w:bidi w:val="0"/>
              <w:spacing w:before="0" w:after="283"/>
              <w:jc w:val="left"/>
              <w:rPr>
                <w:b/>
              </w:rPr>
            </w:pPr>
            <w:r>
              <w:rPr>
                <w:b/>
              </w:rPr>
              <w:t>Property and Equipment</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51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0" w:name="xdx_40E_eus-gaap--MachineryAndEquipmentG"/>
            <w:bookmarkEnd w:id="50"/>
          </w:p>
        </w:tc>
      </w:tr>
      <w:tr>
        <w:trPr/>
        <w:tc>
          <w:tcPr>
            <w:tcW w:w="6776" w:type="dxa"/>
            <w:tcBorders/>
            <w:shd w:fill="CCEEFF" w:val="clear"/>
            <w:vAlign w:val="center"/>
          </w:tcPr>
          <w:p>
            <w:pPr>
              <w:pStyle w:val="TableContents"/>
              <w:bidi w:val="0"/>
              <w:spacing w:before="0" w:after="283"/>
              <w:jc w:val="left"/>
              <w:rPr/>
            </w:pPr>
            <w:r>
              <w:rPr/>
              <w:t>Machinery and equipment</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17,951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right"/>
              <w:rPr/>
            </w:pPr>
            <w:r>
              <w:rPr/>
              <w:t>16,714</w:t>
            </w:r>
          </w:p>
        </w:tc>
        <w:tc>
          <w:tcPr>
            <w:tcW w:w="112" w:type="dxa"/>
            <w:tcBorders/>
            <w:shd w:fill="CCEEFF" w:val="clear"/>
            <w:vAlign w:val="center"/>
          </w:tcPr>
          <w:p>
            <w:pPr>
              <w:pStyle w:val="TableContents"/>
              <w:bidi w:val="0"/>
              <w:spacing w:before="0" w:after="283"/>
              <w:jc w:val="left"/>
              <w:rPr/>
            </w:pPr>
            <w:r>
              <w:rPr/>
              <w:t> </w:t>
            </w:r>
            <w:bookmarkStart w:id="51" w:name="xdx_40A_eus-gaap--FurnitureAndFixturesGr"/>
            <w:bookmarkEnd w:id="51"/>
          </w:p>
        </w:tc>
      </w:tr>
      <w:tr>
        <w:trPr/>
        <w:tc>
          <w:tcPr>
            <w:tcW w:w="6776" w:type="dxa"/>
            <w:tcBorders/>
            <w:shd w:fill="FFFFFF" w:val="clear"/>
            <w:vAlign w:val="center"/>
          </w:tcPr>
          <w:p>
            <w:pPr>
              <w:pStyle w:val="TableContents"/>
              <w:bidi w:val="0"/>
              <w:spacing w:before="0" w:after="283"/>
              <w:jc w:val="left"/>
              <w:rPr/>
            </w:pPr>
            <w:r>
              <w:rPr/>
              <w:t>Office furniture and equipment</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319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510" w:type="dxa"/>
            <w:tcBorders/>
            <w:shd w:fill="FFFFFF" w:val="clear"/>
            <w:vAlign w:val="center"/>
          </w:tcPr>
          <w:p>
            <w:pPr>
              <w:pStyle w:val="TableContents"/>
              <w:bidi w:val="0"/>
              <w:spacing w:before="0" w:after="283"/>
              <w:jc w:val="right"/>
              <w:rPr/>
            </w:pPr>
            <w:r>
              <w:rPr/>
              <w:t>319</w:t>
            </w:r>
          </w:p>
        </w:tc>
        <w:tc>
          <w:tcPr>
            <w:tcW w:w="112" w:type="dxa"/>
            <w:tcBorders/>
            <w:shd w:fill="FFFFFF" w:val="clear"/>
            <w:vAlign w:val="center"/>
          </w:tcPr>
          <w:p>
            <w:pPr>
              <w:pStyle w:val="TableContents"/>
              <w:bidi w:val="0"/>
              <w:spacing w:before="0" w:after="283"/>
              <w:jc w:val="left"/>
              <w:rPr/>
            </w:pPr>
            <w:r>
              <w:rPr/>
              <w:t> </w:t>
            </w:r>
            <w:bookmarkStart w:id="52" w:name="xdx_406_eus-gaap--LeaseholdImprovementsG"/>
            <w:bookmarkEnd w:id="52"/>
          </w:p>
        </w:tc>
      </w:tr>
      <w:tr>
        <w:trPr/>
        <w:tc>
          <w:tcPr>
            <w:tcW w:w="6776"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8,681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right"/>
              <w:rPr/>
            </w:pPr>
            <w:r>
              <w:rPr/>
              <w:t>1,727</w:t>
            </w:r>
          </w:p>
        </w:tc>
        <w:tc>
          <w:tcPr>
            <w:tcW w:w="112" w:type="dxa"/>
            <w:tcBorders/>
            <w:shd w:fill="CCEEFF" w:val="clear"/>
            <w:vAlign w:val="center"/>
          </w:tcPr>
          <w:p>
            <w:pPr>
              <w:pStyle w:val="TableContents"/>
              <w:bidi w:val="0"/>
              <w:spacing w:before="0" w:after="283"/>
              <w:jc w:val="left"/>
              <w:rPr/>
            </w:pPr>
            <w:r>
              <w:rPr/>
              <w:t> </w:t>
            </w:r>
            <w:bookmarkStart w:id="53" w:name="xdx_404_ecustom--VehicleGross_i01I_maPPA"/>
            <w:bookmarkEnd w:id="53"/>
          </w:p>
        </w:tc>
      </w:tr>
      <w:tr>
        <w:trPr/>
        <w:tc>
          <w:tcPr>
            <w:tcW w:w="6776" w:type="dxa"/>
            <w:tcBorders/>
            <w:shd w:fill="FFFFFF" w:val="clear"/>
            <w:vAlign w:val="center"/>
          </w:tcPr>
          <w:p>
            <w:pPr>
              <w:pStyle w:val="TableContents"/>
              <w:bidi w:val="0"/>
              <w:spacing w:before="0" w:after="283"/>
              <w:jc w:val="left"/>
              <w:rPr/>
            </w:pPr>
            <w:r>
              <w:rPr/>
              <w:t>Vehicle</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FFFFFF" w:val="clear"/>
            <w:tcMar>
              <w:bottom w:w="28" w:type="dxa"/>
            </w:tcMar>
            <w:vAlign w:val="center"/>
          </w:tcPr>
          <w:p>
            <w:pPr>
              <w:pStyle w:val="TableContents"/>
              <w:bidi w:val="0"/>
              <w:spacing w:before="0" w:after="283"/>
              <w:jc w:val="right"/>
              <w:rPr/>
            </w:pPr>
            <w:r>
              <w:rPr/>
              <w:t>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10" w:type="dxa"/>
            <w:tcBorders>
              <w:bottom w:val="single" w:sz="12" w:space="0" w:color="000000"/>
            </w:tcBorders>
            <w:shd w:fill="FFFFFF" w:val="clear"/>
            <w:tcMar>
              <w:bottom w:w="28" w:type="dxa"/>
            </w:tcMar>
            <w:vAlign w:val="center"/>
          </w:tcPr>
          <w:p>
            <w:pPr>
              <w:pStyle w:val="TableContents"/>
              <w:bidi w:val="0"/>
              <w:spacing w:before="0" w:after="283"/>
              <w:jc w:val="right"/>
              <w:rPr/>
            </w:pPr>
            <w:r>
              <w:rPr/>
              <w:t>33</w:t>
            </w:r>
          </w:p>
        </w:tc>
        <w:tc>
          <w:tcPr>
            <w:tcW w:w="112" w:type="dxa"/>
            <w:tcBorders/>
            <w:shd w:fill="FFFFFF" w:val="clear"/>
            <w:vAlign w:val="center"/>
          </w:tcPr>
          <w:p>
            <w:pPr>
              <w:pStyle w:val="TableContents"/>
              <w:bidi w:val="0"/>
              <w:spacing w:before="0" w:after="283"/>
              <w:jc w:val="left"/>
              <w:rPr/>
            </w:pPr>
            <w:r>
              <w:rPr/>
              <w:t> </w:t>
            </w:r>
            <w:bookmarkStart w:id="54" w:name="xdx_409_eus-gaap--PropertyPlantAndEquipm"/>
            <w:bookmarkEnd w:id="54"/>
          </w:p>
        </w:tc>
      </w:tr>
      <w:tr>
        <w:trPr/>
        <w:tc>
          <w:tcPr>
            <w:tcW w:w="6776"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26,984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right"/>
              <w:rPr/>
            </w:pPr>
            <w:r>
              <w:rPr/>
              <w:t>18,793</w:t>
            </w:r>
          </w:p>
        </w:tc>
        <w:tc>
          <w:tcPr>
            <w:tcW w:w="112" w:type="dxa"/>
            <w:tcBorders/>
            <w:shd w:fill="CCEEFF" w:val="clear"/>
            <w:vAlign w:val="center"/>
          </w:tcPr>
          <w:p>
            <w:pPr>
              <w:pStyle w:val="TableContents"/>
              <w:bidi w:val="0"/>
              <w:spacing w:before="0" w:after="283"/>
              <w:jc w:val="left"/>
              <w:rPr/>
            </w:pPr>
            <w:r>
              <w:rPr/>
              <w:t> </w:t>
            </w:r>
            <w:bookmarkStart w:id="55" w:name="xdx_40B_eus-gaap--AccumulatedDepreciatio"/>
            <w:bookmarkEnd w:id="55"/>
          </w:p>
        </w:tc>
      </w:tr>
      <w:tr>
        <w:trPr/>
        <w:tc>
          <w:tcPr>
            <w:tcW w:w="6776" w:type="dxa"/>
            <w:tcBorders/>
            <w:shd w:fill="FFFFFF" w:val="clear"/>
            <w:vAlign w:val="center"/>
          </w:tcPr>
          <w:p>
            <w:pPr>
              <w:pStyle w:val="TableContents"/>
              <w:bidi w:val="0"/>
              <w:spacing w:before="0" w:after="283"/>
              <w:jc w:val="left"/>
              <w:rPr/>
            </w:pPr>
            <w:r>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FFFFFF" w:val="clear"/>
            <w:tcMar>
              <w:bottom w:w="28" w:type="dxa"/>
            </w:tcMar>
            <w:vAlign w:val="center"/>
          </w:tcPr>
          <w:p>
            <w:pPr>
              <w:pStyle w:val="TableContents"/>
              <w:bidi w:val="0"/>
              <w:spacing w:before="0" w:after="283"/>
              <w:jc w:val="right"/>
              <w:rPr/>
            </w:pPr>
            <w:r>
              <w:rPr/>
              <w:t>(3,488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10" w:type="dxa"/>
            <w:tcBorders>
              <w:bottom w:val="single" w:sz="12" w:space="0" w:color="000000"/>
            </w:tcBorders>
            <w:shd w:fill="FFFFFF" w:val="clear"/>
            <w:tcMar>
              <w:bottom w:w="28" w:type="dxa"/>
            </w:tcMar>
            <w:vAlign w:val="center"/>
          </w:tcPr>
          <w:p>
            <w:pPr>
              <w:pStyle w:val="TableContents"/>
              <w:bidi w:val="0"/>
              <w:spacing w:before="0" w:after="283"/>
              <w:jc w:val="right"/>
              <w:rPr/>
            </w:pPr>
            <w:r>
              <w:rPr/>
              <w:t>(2,824</w:t>
            </w:r>
          </w:p>
        </w:tc>
        <w:tc>
          <w:tcPr>
            <w:tcW w:w="112" w:type="dxa"/>
            <w:tcBorders/>
            <w:shd w:fill="FFFFFF" w:val="clear"/>
            <w:vAlign w:val="center"/>
          </w:tcPr>
          <w:p>
            <w:pPr>
              <w:pStyle w:val="TableContents"/>
              <w:bidi w:val="0"/>
              <w:spacing w:before="0" w:after="283"/>
              <w:jc w:val="left"/>
              <w:rPr/>
            </w:pPr>
            <w:r>
              <w:rPr/>
              <w:t>)</w:t>
            </w:r>
            <w:bookmarkStart w:id="56" w:name="xdx_409_eus-gaap--PropertyPlantAndEquipm"/>
            <w:bookmarkEnd w:id="56"/>
          </w:p>
        </w:tc>
      </w:tr>
      <w:tr>
        <w:trPr/>
        <w:tc>
          <w:tcPr>
            <w:tcW w:w="6776"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23,496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right"/>
              <w:rPr/>
            </w:pPr>
            <w:r>
              <w:rPr/>
              <w:t>15,969</w:t>
            </w:r>
          </w:p>
        </w:tc>
        <w:tc>
          <w:tcPr>
            <w:tcW w:w="112" w:type="dxa"/>
            <w:tcBorders/>
            <w:shd w:fill="CCEEFF" w:val="clear"/>
            <w:vAlign w:val="center"/>
          </w:tcPr>
          <w:p>
            <w:pPr>
              <w:pStyle w:val="TableContents"/>
              <w:bidi w:val="0"/>
              <w:spacing w:before="0" w:after="283"/>
              <w:jc w:val="left"/>
              <w:rPr/>
            </w:pPr>
            <w:r>
              <w:rPr/>
              <w:t> </w:t>
            </w:r>
            <w:bookmarkStart w:id="57" w:name="xdx_40F_eus-gaap--OperatingLeaseRightOfU"/>
            <w:bookmarkEnd w:id="57"/>
          </w:p>
        </w:tc>
      </w:tr>
      <w:tr>
        <w:trPr/>
        <w:tc>
          <w:tcPr>
            <w:tcW w:w="6776" w:type="dxa"/>
            <w:tcBorders/>
            <w:shd w:fill="FFFFFF" w:val="clear"/>
            <w:vAlign w:val="center"/>
          </w:tcPr>
          <w:p>
            <w:pPr>
              <w:pStyle w:val="TableContents"/>
              <w:bidi w:val="0"/>
              <w:spacing w:before="0" w:after="283"/>
              <w:jc w:val="left"/>
              <w:rPr/>
            </w:pPr>
            <w:r>
              <w:rPr/>
              <w:t>Operating lease right of use asset, net</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20,949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510" w:type="dxa"/>
            <w:tcBorders/>
            <w:shd w:fill="FFFFFF" w:val="clear"/>
            <w:vAlign w:val="center"/>
          </w:tcPr>
          <w:p>
            <w:pPr>
              <w:pStyle w:val="TableContents"/>
              <w:bidi w:val="0"/>
              <w:spacing w:before="0" w:after="283"/>
              <w:jc w:val="right"/>
              <w:rPr/>
            </w:pPr>
            <w:r>
              <w:rPr/>
              <w:t>3,315</w:t>
            </w:r>
          </w:p>
        </w:tc>
        <w:tc>
          <w:tcPr>
            <w:tcW w:w="112" w:type="dxa"/>
            <w:tcBorders/>
            <w:shd w:fill="FFFFFF" w:val="clear"/>
            <w:vAlign w:val="center"/>
          </w:tcPr>
          <w:p>
            <w:pPr>
              <w:pStyle w:val="TableContents"/>
              <w:bidi w:val="0"/>
              <w:spacing w:before="0" w:after="283"/>
              <w:jc w:val="left"/>
              <w:rPr/>
            </w:pPr>
            <w:r>
              <w:rPr/>
              <w:t> </w:t>
            </w:r>
            <w:bookmarkStart w:id="58" w:name="xdx_408_eus-gaap--OtherAssetsNoncurrent_"/>
            <w:bookmarkEnd w:id="58"/>
          </w:p>
        </w:tc>
      </w:tr>
      <w:tr>
        <w:trPr/>
        <w:tc>
          <w:tcPr>
            <w:tcW w:w="6776"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CCEEFF" w:val="clear"/>
            <w:tcMar>
              <w:bottom w:w="28" w:type="dxa"/>
            </w:tcMar>
            <w:vAlign w:val="center"/>
          </w:tcPr>
          <w:p>
            <w:pPr>
              <w:pStyle w:val="TableContents"/>
              <w:bidi w:val="0"/>
              <w:spacing w:before="0" w:after="283"/>
              <w:jc w:val="right"/>
              <w:rPr/>
            </w:pPr>
            <w:r>
              <w:rPr/>
              <w:t>445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59" w:name="xdx_401_eus-gaap--Assets_iTI_mtAzQCo_zwj"/>
            <w:bookmarkEnd w:id="59"/>
          </w:p>
        </w:tc>
      </w:tr>
      <w:tr>
        <w:trPr/>
        <w:tc>
          <w:tcPr>
            <w:tcW w:w="6776"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3" w:type="dxa"/>
            <w:tcBorders>
              <w:bottom w:val="double" w:sz="6" w:space="0" w:color="000000"/>
            </w:tcBorders>
            <w:shd w:fill="FFFFFF" w:val="clear"/>
            <w:tcMar>
              <w:bottom w:w="28" w:type="dxa"/>
            </w:tcMar>
            <w:vAlign w:val="center"/>
          </w:tcPr>
          <w:p>
            <w:pPr>
              <w:pStyle w:val="TableContents"/>
              <w:bidi w:val="0"/>
              <w:spacing w:before="0" w:after="283"/>
              <w:jc w:val="right"/>
              <w:rPr/>
            </w:pPr>
            <w:r>
              <w:rPr/>
              <w:t>84,955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10" w:type="dxa"/>
            <w:tcBorders>
              <w:bottom w:val="double" w:sz="6" w:space="0" w:color="000000"/>
            </w:tcBorders>
            <w:shd w:fill="FFFFFF" w:val="clear"/>
            <w:tcMar>
              <w:bottom w:w="28" w:type="dxa"/>
            </w:tcMar>
            <w:vAlign w:val="center"/>
          </w:tcPr>
          <w:p>
            <w:pPr>
              <w:pStyle w:val="TableContents"/>
              <w:bidi w:val="0"/>
              <w:spacing w:before="0" w:after="283"/>
              <w:jc w:val="right"/>
              <w:rPr/>
            </w:pPr>
            <w:r>
              <w:rPr/>
              <w:t>75,204</w:t>
            </w:r>
          </w:p>
        </w:tc>
        <w:tc>
          <w:tcPr>
            <w:tcW w:w="112" w:type="dxa"/>
            <w:tcBorders/>
            <w:shd w:fill="FFFFFF" w:val="clear"/>
            <w:vAlign w:val="center"/>
          </w:tcPr>
          <w:p>
            <w:pPr>
              <w:pStyle w:val="TableContents"/>
              <w:bidi w:val="0"/>
              <w:spacing w:before="0" w:after="283"/>
              <w:jc w:val="left"/>
              <w:rPr/>
            </w:pPr>
            <w:r>
              <w:rPr/>
              <w:t> </w:t>
            </w:r>
            <w:bookmarkStart w:id="60" w:name="xdx_40C_eus-gaap--LiabilitiesCurrentAbst"/>
            <w:bookmarkEnd w:id="60"/>
          </w:p>
        </w:tc>
      </w:tr>
      <w:tr>
        <w:trPr/>
        <w:tc>
          <w:tcPr>
            <w:tcW w:w="6776"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7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51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1" w:name="xdx_406_eus-gaap--AccountsPayableCurrent"/>
            <w:bookmarkEnd w:id="61"/>
          </w:p>
        </w:tc>
      </w:tr>
      <w:tr>
        <w:trPr/>
        <w:tc>
          <w:tcPr>
            <w:tcW w:w="6776"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10,339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510" w:type="dxa"/>
            <w:tcBorders/>
            <w:shd w:fill="CCEEFF" w:val="clear"/>
            <w:vAlign w:val="center"/>
          </w:tcPr>
          <w:p>
            <w:pPr>
              <w:pStyle w:val="TableContents"/>
              <w:bidi w:val="0"/>
              <w:spacing w:before="0" w:after="283"/>
              <w:jc w:val="right"/>
              <w:rPr/>
            </w:pPr>
            <w:r>
              <w:rPr/>
              <w:t>10,258</w:t>
            </w:r>
          </w:p>
        </w:tc>
        <w:tc>
          <w:tcPr>
            <w:tcW w:w="112" w:type="dxa"/>
            <w:tcBorders/>
            <w:shd w:fill="CCEEFF" w:val="clear"/>
            <w:vAlign w:val="center"/>
          </w:tcPr>
          <w:p>
            <w:pPr>
              <w:pStyle w:val="TableContents"/>
              <w:bidi w:val="0"/>
              <w:spacing w:before="0" w:after="283"/>
              <w:jc w:val="left"/>
              <w:rPr/>
            </w:pPr>
            <w:r>
              <w:rPr/>
              <w:t> </w:t>
            </w:r>
            <w:bookmarkStart w:id="62" w:name="xdx_40E_eus-gaap--EmployeeRelatedLiabili"/>
            <w:bookmarkEnd w:id="62"/>
          </w:p>
        </w:tc>
      </w:tr>
      <w:tr>
        <w:trPr/>
        <w:tc>
          <w:tcPr>
            <w:tcW w:w="6776" w:type="dxa"/>
            <w:tcBorders/>
            <w:shd w:fill="FFFFFF" w:val="clear"/>
            <w:vAlign w:val="center"/>
          </w:tcPr>
          <w:p>
            <w:pPr>
              <w:pStyle w:val="TableContents"/>
              <w:bidi w:val="0"/>
              <w:spacing w:before="0" w:after="283"/>
              <w:jc w:val="left"/>
              <w:rPr/>
            </w:pPr>
            <w:r>
              <w:rPr/>
              <w:t>Accrued payroll and other liabilities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7,359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510" w:type="dxa"/>
            <w:tcBorders/>
            <w:shd w:fill="FFFFFF" w:val="clear"/>
            <w:vAlign w:val="center"/>
          </w:tcPr>
          <w:p>
            <w:pPr>
              <w:pStyle w:val="TableContents"/>
              <w:bidi w:val="0"/>
              <w:spacing w:before="0" w:after="283"/>
              <w:jc w:val="right"/>
              <w:rPr/>
            </w:pPr>
            <w:r>
              <w:rPr/>
              <w:t>7,107</w:t>
            </w:r>
          </w:p>
        </w:tc>
        <w:tc>
          <w:tcPr>
            <w:tcW w:w="112" w:type="dxa"/>
            <w:tcBorders/>
            <w:shd w:fill="FFFFFF" w:val="clear"/>
            <w:vAlign w:val="center"/>
          </w:tcPr>
          <w:p>
            <w:pPr>
              <w:pStyle w:val="TableContents"/>
              <w:bidi w:val="0"/>
              <w:spacing w:before="0" w:after="283"/>
              <w:jc w:val="left"/>
              <w:rPr/>
            </w:pPr>
            <w:r>
              <w:rPr/>
              <w:t> </w:t>
            </w:r>
            <w:bookmarkStart w:id="63" w:name="xdx_407_ecustom--AccruedTariffs_i01I_maL"/>
            <w:bookmarkEnd w:id="63"/>
          </w:p>
        </w:tc>
      </w:tr>
      <w:tr>
        <w:trPr/>
        <w:tc>
          <w:tcPr>
            <w:tcW w:w="6776" w:type="dxa"/>
            <w:tcBorders/>
            <w:shd w:fill="CCEEFF" w:val="clear"/>
            <w:vAlign w:val="center"/>
          </w:tcPr>
          <w:p>
            <w:pPr>
              <w:pStyle w:val="TableContents"/>
              <w:bidi w:val="0"/>
              <w:spacing w:before="0" w:after="283"/>
              <w:jc w:val="left"/>
              <w:rPr/>
            </w:pPr>
            <w:r>
              <w:rPr/>
              <w:t>Accrued tariffs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1,863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right"/>
              <w:rPr/>
            </w:pPr>
            <w:r>
              <w:rPr/>
              <w:t>1,713</w:t>
            </w:r>
          </w:p>
        </w:tc>
        <w:tc>
          <w:tcPr>
            <w:tcW w:w="112" w:type="dxa"/>
            <w:tcBorders/>
            <w:shd w:fill="CCEEFF" w:val="clear"/>
            <w:vAlign w:val="center"/>
          </w:tcPr>
          <w:p>
            <w:pPr>
              <w:pStyle w:val="TableContents"/>
              <w:bidi w:val="0"/>
              <w:spacing w:before="0" w:after="283"/>
              <w:jc w:val="left"/>
              <w:rPr/>
            </w:pPr>
            <w:r>
              <w:rPr/>
              <w:t> </w:t>
            </w:r>
            <w:bookmarkStart w:id="64" w:name="xdx_40B_eus-gaap--ContractWithCustomerLi"/>
            <w:bookmarkEnd w:id="64"/>
          </w:p>
        </w:tc>
      </w:tr>
      <w:tr>
        <w:trPr/>
        <w:tc>
          <w:tcPr>
            <w:tcW w:w="6776" w:type="dxa"/>
            <w:tcBorders/>
            <w:shd w:fill="FFFFFF" w:val="clear"/>
            <w:vAlign w:val="center"/>
          </w:tcPr>
          <w:p>
            <w:pPr>
              <w:pStyle w:val="TableContents"/>
              <w:bidi w:val="0"/>
              <w:spacing w:before="0" w:after="283"/>
              <w:jc w:val="left"/>
              <w:rPr/>
            </w:pPr>
            <w:r>
              <w:rPr/>
              <w:t>Customer deposits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510" w:type="dxa"/>
            <w:tcBorders/>
            <w:shd w:fill="FFFFFF" w:val="clear"/>
            <w:vAlign w:val="center"/>
          </w:tcPr>
          <w:p>
            <w:pPr>
              <w:pStyle w:val="TableContents"/>
              <w:bidi w:val="0"/>
              <w:spacing w:before="0" w:after="283"/>
              <w:jc w:val="right"/>
              <w:rPr/>
            </w:pPr>
            <w:r>
              <w:rPr/>
              <w:t>201</w:t>
            </w:r>
          </w:p>
        </w:tc>
        <w:tc>
          <w:tcPr>
            <w:tcW w:w="112" w:type="dxa"/>
            <w:tcBorders/>
            <w:shd w:fill="FFFFFF" w:val="clear"/>
            <w:vAlign w:val="center"/>
          </w:tcPr>
          <w:p>
            <w:pPr>
              <w:pStyle w:val="TableContents"/>
              <w:bidi w:val="0"/>
              <w:spacing w:before="0" w:after="283"/>
              <w:jc w:val="left"/>
              <w:rPr/>
            </w:pPr>
            <w:r>
              <w:rPr/>
              <w:t> </w:t>
            </w:r>
            <w:bookmarkStart w:id="65" w:name="xdx_406_ecustom--UncertainTaxPositionLia"/>
            <w:bookmarkEnd w:id="65"/>
          </w:p>
        </w:tc>
      </w:tr>
      <w:tr>
        <w:trPr/>
        <w:tc>
          <w:tcPr>
            <w:tcW w:w="6776" w:type="dxa"/>
            <w:tcBorders/>
            <w:shd w:fill="CCEEFF" w:val="clear"/>
            <w:vAlign w:val="center"/>
          </w:tcPr>
          <w:p>
            <w:pPr>
              <w:pStyle w:val="TableContents"/>
              <w:bidi w:val="0"/>
              <w:spacing w:before="0" w:after="283"/>
              <w:jc w:val="left"/>
              <w:rPr/>
            </w:pPr>
            <w:r>
              <w:rPr/>
              <w:t>Uncertain tax position liability</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right"/>
              <w:rPr/>
            </w:pPr>
            <w:r>
              <w:rPr/>
              <w:t>91</w:t>
            </w:r>
          </w:p>
        </w:tc>
        <w:tc>
          <w:tcPr>
            <w:tcW w:w="112" w:type="dxa"/>
            <w:tcBorders/>
            <w:shd w:fill="CCEEFF" w:val="clear"/>
            <w:vAlign w:val="center"/>
          </w:tcPr>
          <w:p>
            <w:pPr>
              <w:pStyle w:val="TableContents"/>
              <w:bidi w:val="0"/>
              <w:spacing w:before="0" w:after="283"/>
              <w:jc w:val="left"/>
              <w:rPr/>
            </w:pPr>
            <w:r>
              <w:rPr/>
              <w:t> </w:t>
            </w:r>
            <w:bookmarkStart w:id="66" w:name="xdx_401_eus-gaap--NotesPayableCurrent_i0"/>
            <w:bookmarkEnd w:id="66"/>
          </w:p>
        </w:tc>
      </w:tr>
      <w:tr>
        <w:trPr/>
        <w:tc>
          <w:tcPr>
            <w:tcW w:w="6776" w:type="dxa"/>
            <w:tcBorders/>
            <w:shd w:fill="FFFFFF" w:val="clear"/>
            <w:vAlign w:val="center"/>
          </w:tcPr>
          <w:p>
            <w:pPr>
              <w:pStyle w:val="TableContents"/>
              <w:bidi w:val="0"/>
              <w:spacing w:before="0" w:after="283"/>
              <w:jc w:val="left"/>
              <w:rPr/>
            </w:pPr>
            <w:r>
              <w:rPr/>
              <w:t>Notes payable, current portion, net of debt issuance costs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21,903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510" w:type="dxa"/>
            <w:tcBorders/>
            <w:shd w:fill="FFFFFF" w:val="clear"/>
            <w:vAlign w:val="center"/>
          </w:tcPr>
          <w:p>
            <w:pPr>
              <w:pStyle w:val="TableContents"/>
              <w:bidi w:val="0"/>
              <w:spacing w:before="0" w:after="283"/>
              <w:jc w:val="right"/>
              <w:rPr/>
            </w:pPr>
            <w:r>
              <w:rPr/>
              <w:t>19,683</w:t>
            </w:r>
          </w:p>
        </w:tc>
        <w:tc>
          <w:tcPr>
            <w:tcW w:w="112" w:type="dxa"/>
            <w:tcBorders/>
            <w:shd w:fill="FFFFFF" w:val="clear"/>
            <w:vAlign w:val="center"/>
          </w:tcPr>
          <w:p>
            <w:pPr>
              <w:pStyle w:val="TableContents"/>
              <w:bidi w:val="0"/>
              <w:spacing w:before="0" w:after="283"/>
              <w:jc w:val="left"/>
              <w:rPr/>
            </w:pPr>
            <w:r>
              <w:rPr/>
              <w:t> </w:t>
            </w:r>
            <w:bookmarkStart w:id="67" w:name="xdx_40B_eus-gaap--OperatingLeaseLiabilit"/>
            <w:bookmarkEnd w:id="67"/>
          </w:p>
        </w:tc>
      </w:tr>
      <w:tr>
        <w:trPr/>
        <w:tc>
          <w:tcPr>
            <w:tcW w:w="6776" w:type="dxa"/>
            <w:tcBorders/>
            <w:shd w:fill="CCEEFF" w:val="clear"/>
            <w:vAlign w:val="center"/>
          </w:tcPr>
          <w:p>
            <w:pPr>
              <w:pStyle w:val="TableContents"/>
              <w:bidi w:val="0"/>
              <w:spacing w:before="0" w:after="283"/>
              <w:jc w:val="left"/>
              <w:rPr/>
            </w:pPr>
            <w:r>
              <w:rPr/>
              <w:t>Operating lease liability, current portion</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2,807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right"/>
              <w:rPr/>
            </w:pPr>
            <w:r>
              <w:rPr/>
              <w:t>1,288</w:t>
            </w:r>
          </w:p>
        </w:tc>
        <w:tc>
          <w:tcPr>
            <w:tcW w:w="112" w:type="dxa"/>
            <w:tcBorders/>
            <w:shd w:fill="CCEEFF" w:val="clear"/>
            <w:vAlign w:val="center"/>
          </w:tcPr>
          <w:p>
            <w:pPr>
              <w:pStyle w:val="TableContents"/>
              <w:bidi w:val="0"/>
              <w:spacing w:before="0" w:after="283"/>
              <w:jc w:val="left"/>
              <w:rPr/>
            </w:pPr>
            <w:r>
              <w:rPr/>
              <w:t> </w:t>
            </w:r>
            <w:bookmarkStart w:id="68" w:name="xdx_404_eus-gaap--FinanceLeaseLiabilityC"/>
            <w:bookmarkEnd w:id="68"/>
          </w:p>
        </w:tc>
      </w:tr>
      <w:tr>
        <w:trPr/>
        <w:tc>
          <w:tcPr>
            <w:tcW w:w="6776" w:type="dxa"/>
            <w:tcBorders/>
            <w:shd w:fill="FFFFFF" w:val="clear"/>
            <w:vAlign w:val="center"/>
          </w:tcPr>
          <w:p>
            <w:pPr>
              <w:pStyle w:val="TableContents"/>
              <w:bidi w:val="0"/>
              <w:spacing w:before="0" w:after="283"/>
              <w:jc w:val="left"/>
              <w:rPr/>
            </w:pPr>
            <w:r>
              <w:rPr/>
              <w:t>Financing lease liability, current portion</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FFFFFF" w:val="clear"/>
            <w:tcMar>
              <w:bottom w:w="28" w:type="dxa"/>
            </w:tcMar>
            <w:vAlign w:val="center"/>
          </w:tcPr>
          <w:p>
            <w:pPr>
              <w:pStyle w:val="TableContents"/>
              <w:bidi w:val="0"/>
              <w:spacing w:before="0" w:after="283"/>
              <w:jc w:val="right"/>
              <w:rPr/>
            </w:pPr>
            <w:r>
              <w:rPr/>
              <w:t>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10" w:type="dxa"/>
            <w:tcBorders>
              <w:bottom w:val="single" w:sz="12" w:space="0" w:color="000000"/>
            </w:tcBorders>
            <w:shd w:fill="FFFFFF" w:val="clear"/>
            <w:tcMar>
              <w:bottom w:w="28" w:type="dxa"/>
            </w:tcMar>
            <w:vAlign w:val="center"/>
          </w:tcPr>
          <w:p>
            <w:pPr>
              <w:pStyle w:val="TableContents"/>
              <w:bidi w:val="0"/>
              <w:spacing w:before="0" w:after="283"/>
              <w:jc w:val="right"/>
              <w:rPr/>
            </w:pPr>
            <w:r>
              <w:rPr/>
              <w:t>36</w:t>
            </w:r>
          </w:p>
        </w:tc>
        <w:tc>
          <w:tcPr>
            <w:tcW w:w="112" w:type="dxa"/>
            <w:tcBorders/>
            <w:shd w:fill="FFFFFF" w:val="clear"/>
            <w:vAlign w:val="center"/>
          </w:tcPr>
          <w:p>
            <w:pPr>
              <w:pStyle w:val="TableContents"/>
              <w:bidi w:val="0"/>
              <w:spacing w:before="0" w:after="283"/>
              <w:jc w:val="left"/>
              <w:rPr/>
            </w:pPr>
            <w:r>
              <w:rPr/>
              <w:t> </w:t>
            </w:r>
            <w:bookmarkStart w:id="69" w:name="xdx_400_eus-gaap--LiabilitiesCurrent_i01"/>
            <w:bookmarkEnd w:id="69"/>
          </w:p>
        </w:tc>
      </w:tr>
      <w:tr>
        <w:trPr/>
        <w:tc>
          <w:tcPr>
            <w:tcW w:w="6776"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CCEEFF" w:val="clear"/>
            <w:tcMar>
              <w:bottom w:w="28" w:type="dxa"/>
            </w:tcMar>
            <w:vAlign w:val="center"/>
          </w:tcPr>
          <w:p>
            <w:pPr>
              <w:pStyle w:val="TableContents"/>
              <w:bidi w:val="0"/>
              <w:spacing w:before="0" w:after="283"/>
              <w:jc w:val="right"/>
              <w:rPr/>
            </w:pPr>
            <w:r>
              <w:rPr/>
              <w:t>44,649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10" w:type="dxa"/>
            <w:tcBorders>
              <w:bottom w:val="single" w:sz="12" w:space="0" w:color="000000"/>
            </w:tcBorders>
            <w:shd w:fill="CCEEFF" w:val="clear"/>
            <w:tcMar>
              <w:bottom w:w="28" w:type="dxa"/>
            </w:tcMar>
            <w:vAlign w:val="center"/>
          </w:tcPr>
          <w:p>
            <w:pPr>
              <w:pStyle w:val="TableContents"/>
              <w:bidi w:val="0"/>
              <w:spacing w:before="0" w:after="283"/>
              <w:jc w:val="right"/>
              <w:rPr/>
            </w:pPr>
            <w:r>
              <w:rPr/>
              <w:t>40,377</w:t>
            </w:r>
          </w:p>
        </w:tc>
        <w:tc>
          <w:tcPr>
            <w:tcW w:w="112" w:type="dxa"/>
            <w:tcBorders/>
            <w:shd w:fill="CCEEFF" w:val="clear"/>
            <w:vAlign w:val="center"/>
          </w:tcPr>
          <w:p>
            <w:pPr>
              <w:pStyle w:val="TableContents"/>
              <w:bidi w:val="0"/>
              <w:spacing w:before="0" w:after="283"/>
              <w:jc w:val="left"/>
              <w:rPr/>
            </w:pPr>
            <w:r>
              <w:rPr/>
              <w:t> </w:t>
            </w:r>
            <w:bookmarkStart w:id="70" w:name="xdx_40A_eus-gaap--LiabilitiesNoncurrentA"/>
            <w:bookmarkEnd w:id="70"/>
          </w:p>
        </w:tc>
      </w:tr>
      <w:tr>
        <w:trPr/>
        <w:tc>
          <w:tcPr>
            <w:tcW w:w="6776" w:type="dxa"/>
            <w:tcBorders/>
            <w:shd w:fill="FFFFFF" w:val="clear"/>
            <w:vAlign w:val="center"/>
          </w:tcPr>
          <w:p>
            <w:pPr>
              <w:pStyle w:val="TableContents"/>
              <w:bidi w:val="0"/>
              <w:spacing w:before="0" w:after="283"/>
              <w:jc w:val="left"/>
              <w:rPr>
                <w:b/>
              </w:rPr>
            </w:pPr>
            <w:r>
              <w:rPr>
                <w:b/>
              </w:rPr>
              <w:t>Long-Term Liabilities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51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71" w:name="xdx_40A_ecustom--WarrantLiabilityNoncurr"/>
            <w:bookmarkEnd w:id="71"/>
          </w:p>
        </w:tc>
      </w:tr>
      <w:tr>
        <w:trPr/>
        <w:tc>
          <w:tcPr>
            <w:tcW w:w="6776" w:type="dxa"/>
            <w:tcBorders/>
            <w:shd w:fill="CCEEFF" w:val="clear"/>
            <w:vAlign w:val="center"/>
          </w:tcPr>
          <w:p>
            <w:pPr>
              <w:pStyle w:val="TableContents"/>
              <w:bidi w:val="0"/>
              <w:spacing w:before="0" w:after="283"/>
              <w:jc w:val="left"/>
              <w:rPr/>
            </w:pPr>
            <w:r>
              <w:rPr/>
              <w:t>Warrant liabilities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11,004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right"/>
              <w:rPr/>
            </w:pPr>
            <w:r>
              <w:rPr/>
              <w:t>4,463</w:t>
            </w:r>
          </w:p>
        </w:tc>
        <w:tc>
          <w:tcPr>
            <w:tcW w:w="112" w:type="dxa"/>
            <w:tcBorders/>
            <w:shd w:fill="CCEEFF" w:val="clear"/>
            <w:vAlign w:val="center"/>
          </w:tcPr>
          <w:p>
            <w:pPr>
              <w:pStyle w:val="TableContents"/>
              <w:bidi w:val="0"/>
              <w:spacing w:before="0" w:after="283"/>
              <w:jc w:val="left"/>
              <w:rPr/>
            </w:pPr>
            <w:r>
              <w:rPr/>
              <w:t> </w:t>
            </w:r>
            <w:bookmarkStart w:id="72" w:name="xdx_40E_eus-gaap--OtherAccruedLiabilitie"/>
            <w:bookmarkEnd w:id="72"/>
          </w:p>
        </w:tc>
      </w:tr>
      <w:tr>
        <w:trPr/>
        <w:tc>
          <w:tcPr>
            <w:tcW w:w="6776" w:type="dxa"/>
            <w:tcBorders/>
            <w:shd w:fill="FFFFFF" w:val="clear"/>
            <w:vAlign w:val="center"/>
          </w:tcPr>
          <w:p>
            <w:pPr>
              <w:pStyle w:val="TableContents"/>
              <w:bidi w:val="0"/>
              <w:spacing w:before="0" w:after="283"/>
              <w:jc w:val="left"/>
              <w:rPr/>
            </w:pPr>
            <w:r>
              <w:rPr/>
              <w:t>Accrued expenses-long term</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510" w:type="dxa"/>
            <w:tcBorders/>
            <w:shd w:fill="FFFFFF" w:val="clear"/>
            <w:vAlign w:val="center"/>
          </w:tcPr>
          <w:p>
            <w:pPr>
              <w:pStyle w:val="TableContents"/>
              <w:bidi w:val="0"/>
              <w:spacing w:before="0" w:after="283"/>
              <w:jc w:val="right"/>
              <w:rPr/>
            </w:pPr>
            <w:r>
              <w:rPr/>
              <w:t>152</w:t>
            </w:r>
          </w:p>
        </w:tc>
        <w:tc>
          <w:tcPr>
            <w:tcW w:w="112" w:type="dxa"/>
            <w:tcBorders/>
            <w:shd w:fill="FFFFFF" w:val="clear"/>
            <w:vAlign w:val="center"/>
          </w:tcPr>
          <w:p>
            <w:pPr>
              <w:pStyle w:val="TableContents"/>
              <w:bidi w:val="0"/>
              <w:spacing w:before="0" w:after="283"/>
              <w:jc w:val="left"/>
              <w:rPr/>
            </w:pPr>
            <w:r>
              <w:rPr/>
              <w:t> </w:t>
            </w:r>
            <w:bookmarkStart w:id="73" w:name="xdx_40E_eus-gaap--OperatingLeaseLiabilit"/>
            <w:bookmarkEnd w:id="73"/>
          </w:p>
        </w:tc>
      </w:tr>
      <w:tr>
        <w:trPr/>
        <w:tc>
          <w:tcPr>
            <w:tcW w:w="6776" w:type="dxa"/>
            <w:tcBorders/>
            <w:shd w:fill="CCEEFF" w:val="clear"/>
            <w:vAlign w:val="center"/>
          </w:tcPr>
          <w:p>
            <w:pPr>
              <w:pStyle w:val="TableContents"/>
              <w:bidi w:val="0"/>
              <w:spacing w:before="0" w:after="283"/>
              <w:jc w:val="left"/>
              <w:rPr/>
            </w:pPr>
            <w:r>
              <w:rPr/>
              <w:t>Operating 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23,990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right"/>
              <w:rPr/>
            </w:pPr>
            <w:r>
              <w:rPr/>
              <w:t>2,234</w:t>
            </w:r>
          </w:p>
        </w:tc>
        <w:tc>
          <w:tcPr>
            <w:tcW w:w="112" w:type="dxa"/>
            <w:tcBorders/>
            <w:shd w:fill="CCEEFF" w:val="clear"/>
            <w:vAlign w:val="center"/>
          </w:tcPr>
          <w:p>
            <w:pPr>
              <w:pStyle w:val="TableContents"/>
              <w:bidi w:val="0"/>
              <w:spacing w:before="0" w:after="283"/>
              <w:jc w:val="left"/>
              <w:rPr/>
            </w:pPr>
            <w:r>
              <w:rPr/>
              <w:t> </w:t>
            </w:r>
            <w:bookmarkStart w:id="74" w:name="xdx_406_eus-gaap--FinanceLeaseLiabilityN"/>
            <w:bookmarkEnd w:id="74"/>
          </w:p>
        </w:tc>
      </w:tr>
      <w:tr>
        <w:trPr/>
        <w:tc>
          <w:tcPr>
            <w:tcW w:w="6776" w:type="dxa"/>
            <w:tcBorders/>
            <w:shd w:fill="FFFFFF" w:val="clear"/>
            <w:vAlign w:val="center"/>
          </w:tcPr>
          <w:p>
            <w:pPr>
              <w:pStyle w:val="TableContents"/>
              <w:bidi w:val="0"/>
              <w:spacing w:before="0" w:after="283"/>
              <w:jc w:val="left"/>
              <w:rPr/>
            </w:pPr>
            <w:r>
              <w:rPr/>
              <w:t>Financing lease liability, net of current portion</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FFFFFF" w:val="clear"/>
            <w:tcMar>
              <w:bottom w:w="28" w:type="dxa"/>
            </w:tcMar>
            <w:vAlign w:val="center"/>
          </w:tcPr>
          <w:p>
            <w:pPr>
              <w:pStyle w:val="TableContents"/>
              <w:bidi w:val="0"/>
              <w:spacing w:before="0" w:after="283"/>
              <w:jc w:val="right"/>
              <w:rPr/>
            </w:pPr>
            <w:r>
              <w:rPr/>
              <w:t>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10" w:type="dxa"/>
            <w:tcBorders>
              <w:bottom w:val="single" w:sz="12" w:space="0" w:color="000000"/>
            </w:tcBorders>
            <w:shd w:fill="FFFFFF" w:val="clear"/>
            <w:tcMar>
              <w:bottom w:w="28" w:type="dxa"/>
            </w:tcMar>
            <w:vAlign w:val="center"/>
          </w:tcPr>
          <w:p>
            <w:pPr>
              <w:pStyle w:val="TableContents"/>
              <w:bidi w:val="0"/>
              <w:spacing w:before="0" w:after="283"/>
              <w:jc w:val="right"/>
              <w:rPr/>
            </w:pPr>
            <w:r>
              <w:rPr/>
              <w:t>66</w:t>
            </w:r>
          </w:p>
        </w:tc>
        <w:tc>
          <w:tcPr>
            <w:tcW w:w="112" w:type="dxa"/>
            <w:tcBorders/>
            <w:shd w:fill="FFFFFF" w:val="clear"/>
            <w:vAlign w:val="center"/>
          </w:tcPr>
          <w:p>
            <w:pPr>
              <w:pStyle w:val="TableContents"/>
              <w:bidi w:val="0"/>
              <w:spacing w:before="0" w:after="283"/>
              <w:jc w:val="left"/>
              <w:rPr/>
            </w:pPr>
            <w:r>
              <w:rPr/>
              <w:t> </w:t>
            </w:r>
            <w:bookmarkStart w:id="75" w:name="xdx_409_eus-gaap--LiabilitiesNoncurrent_"/>
            <w:bookmarkEnd w:id="75"/>
          </w:p>
        </w:tc>
      </w:tr>
      <w:tr>
        <w:trPr/>
        <w:tc>
          <w:tcPr>
            <w:tcW w:w="6776" w:type="dxa"/>
            <w:tcBorders/>
            <w:shd w:fill="CCEEFF" w:val="clear"/>
            <w:vAlign w:val="center"/>
          </w:tcPr>
          <w:p>
            <w:pPr>
              <w:pStyle w:val="TableContents"/>
              <w:bidi w:val="0"/>
              <w:spacing w:before="0" w:after="283"/>
              <w:jc w:val="left"/>
              <w:rPr/>
            </w:pPr>
            <w:r>
              <w:rPr/>
              <w:t>Total Long-Term Liabilities</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CCEEFF" w:val="clear"/>
            <w:tcMar>
              <w:bottom w:w="28" w:type="dxa"/>
            </w:tcMar>
            <w:vAlign w:val="center"/>
          </w:tcPr>
          <w:p>
            <w:pPr>
              <w:pStyle w:val="TableContents"/>
              <w:bidi w:val="0"/>
              <w:spacing w:before="0" w:after="283"/>
              <w:jc w:val="right"/>
              <w:rPr/>
            </w:pPr>
            <w:r>
              <w:rPr/>
              <w:t>35,040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10" w:type="dxa"/>
            <w:tcBorders>
              <w:bottom w:val="single" w:sz="12" w:space="0" w:color="000000"/>
            </w:tcBorders>
            <w:shd w:fill="CCEEFF" w:val="clear"/>
            <w:tcMar>
              <w:bottom w:w="28" w:type="dxa"/>
            </w:tcMar>
            <w:vAlign w:val="center"/>
          </w:tcPr>
          <w:p>
            <w:pPr>
              <w:pStyle w:val="TableContents"/>
              <w:bidi w:val="0"/>
              <w:spacing w:before="0" w:after="283"/>
              <w:jc w:val="right"/>
              <w:rPr/>
            </w:pPr>
            <w:r>
              <w:rPr/>
              <w:t>6,915</w:t>
            </w:r>
          </w:p>
        </w:tc>
        <w:tc>
          <w:tcPr>
            <w:tcW w:w="112" w:type="dxa"/>
            <w:tcBorders/>
            <w:shd w:fill="CCEEFF" w:val="clear"/>
            <w:vAlign w:val="center"/>
          </w:tcPr>
          <w:p>
            <w:pPr>
              <w:pStyle w:val="TableContents"/>
              <w:bidi w:val="0"/>
              <w:spacing w:before="0" w:after="283"/>
              <w:jc w:val="left"/>
              <w:rPr/>
            </w:pPr>
            <w:r>
              <w:rPr/>
              <w:t> </w:t>
            </w:r>
            <w:bookmarkStart w:id="76" w:name="xdx_406_eus-gaap--Liabilities_i01TI_mtLz"/>
            <w:bookmarkEnd w:id="76"/>
          </w:p>
        </w:tc>
      </w:tr>
      <w:tr>
        <w:trPr/>
        <w:tc>
          <w:tcPr>
            <w:tcW w:w="6776"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FFFFFF" w:val="clear"/>
            <w:tcMar>
              <w:bottom w:w="28" w:type="dxa"/>
            </w:tcMar>
            <w:vAlign w:val="center"/>
          </w:tcPr>
          <w:p>
            <w:pPr>
              <w:pStyle w:val="TableContents"/>
              <w:bidi w:val="0"/>
              <w:spacing w:before="0" w:after="283"/>
              <w:jc w:val="right"/>
              <w:rPr/>
            </w:pPr>
            <w:r>
              <w:rPr/>
              <w:t>79,689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10" w:type="dxa"/>
            <w:tcBorders>
              <w:bottom w:val="single" w:sz="12" w:space="0" w:color="000000"/>
            </w:tcBorders>
            <w:shd w:fill="FFFFFF" w:val="clear"/>
            <w:tcMar>
              <w:bottom w:w="28" w:type="dxa"/>
            </w:tcMar>
            <w:vAlign w:val="center"/>
          </w:tcPr>
          <w:p>
            <w:pPr>
              <w:pStyle w:val="TableContents"/>
              <w:bidi w:val="0"/>
              <w:spacing w:before="0" w:after="283"/>
              <w:jc w:val="right"/>
              <w:rPr/>
            </w:pPr>
            <w:r>
              <w:rPr/>
              <w:t>47,292</w:t>
            </w:r>
          </w:p>
        </w:tc>
        <w:tc>
          <w:tcPr>
            <w:tcW w:w="112" w:type="dxa"/>
            <w:tcBorders/>
            <w:shd w:fill="FFFFFF" w:val="clear"/>
            <w:vAlign w:val="center"/>
          </w:tcPr>
          <w:p>
            <w:pPr>
              <w:pStyle w:val="TableContents"/>
              <w:bidi w:val="0"/>
              <w:spacing w:before="0" w:after="283"/>
              <w:jc w:val="left"/>
              <w:rPr/>
            </w:pPr>
            <w:r>
              <w:rPr/>
              <w:t> </w:t>
            </w:r>
            <w:bookmarkStart w:id="77" w:name="xdx_406_eus-gaap--CommitmentsAndContinge"/>
            <w:bookmarkEnd w:id="77"/>
          </w:p>
        </w:tc>
      </w:tr>
      <w:tr>
        <w:trPr/>
        <w:tc>
          <w:tcPr>
            <w:tcW w:w="6776" w:type="dxa"/>
            <w:tcBorders/>
            <w:shd w:fill="CCEEFF" w:val="clear"/>
            <w:vAlign w:val="center"/>
          </w:tcPr>
          <w:p>
            <w:pPr>
              <w:pStyle w:val="TableContents"/>
              <w:bidi w:val="0"/>
              <w:spacing w:before="0" w:after="283"/>
              <w:jc w:val="left"/>
              <w:rPr>
                <w:b/>
              </w:rPr>
            </w:pPr>
            <w:r>
              <w:rPr>
                <w:b/>
              </w:rPr>
              <w:t>Commitments and Contingencies (See Note 5)</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bookmarkStart w:id="78" w:name="xdx_40E_eus-gaap--StockholdersEquityAbst"/>
            <w:bookmarkEnd w:id="78"/>
          </w:p>
        </w:tc>
      </w:tr>
      <w:tr>
        <w:trPr/>
        <w:tc>
          <w:tcPr>
            <w:tcW w:w="6776" w:type="dxa"/>
            <w:tcBorders/>
            <w:shd w:fill="FFFFFF" w:val="clear"/>
            <w:vAlign w:val="center"/>
          </w:tcPr>
          <w:p>
            <w:pPr>
              <w:pStyle w:val="TableContents"/>
              <w:bidi w:val="0"/>
              <w:spacing w:before="0" w:after="283"/>
              <w:jc w:val="left"/>
              <w:rPr>
                <w:b/>
              </w:rPr>
            </w:pPr>
            <w:r>
              <w:rPr>
                <w:b/>
              </w:rPr>
              <w:t>Stockholders’ Equity</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51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79" w:name="xdx_40E_eus-gaap--PreferredStockValue_i0"/>
            <w:bookmarkEnd w:id="79"/>
          </w:p>
        </w:tc>
      </w:tr>
      <w:tr>
        <w:trPr/>
        <w:tc>
          <w:tcPr>
            <w:tcW w:w="6776" w:type="dxa"/>
            <w:tcBorders/>
            <w:shd w:fill="CCEEFF" w:val="clear"/>
            <w:vAlign w:val="center"/>
          </w:tcPr>
          <w:p>
            <w:pPr>
              <w:pStyle w:val="TableContents"/>
              <w:bidi w:val="0"/>
              <w:spacing w:before="0" w:after="283"/>
              <w:jc w:val="both"/>
              <w:rPr/>
            </w:pPr>
            <w:r>
              <w:rPr/>
              <w:t xml:space="preserve">Preferred stock, </w:t>
            </w:r>
            <w:bookmarkStart w:id="80" w:name="xdx_906_eus-gaap--PreferredStockSharesAu"/>
            <w:bookmarkStart w:id="81" w:name="xdx_90F_eus-gaap--PreferredStockSharesAu"/>
            <w:bookmarkEnd w:id="80"/>
            <w:bookmarkEnd w:id="81"/>
            <w:r>
              <w:rPr/>
              <w:t>5,000,000 shares at $</w:t>
            </w:r>
            <w:bookmarkStart w:id="82" w:name="xdx_90E_eus-gaap--PreferredStockParOrSta"/>
            <w:bookmarkStart w:id="83" w:name="xdx_902_eus-gaap--PreferredStockParOrSta"/>
            <w:bookmarkEnd w:id="82"/>
            <w:bookmarkEnd w:id="83"/>
            <w:r>
              <w:rPr/>
              <w:t xml:space="preserve">0.0001 par value, authorized, </w:t>
              <w:br/>
            </w:r>
            <w:bookmarkStart w:id="84" w:name="xdx_907_eus-gaap--PreferredStockSharesOu"/>
            <w:bookmarkStart w:id="85" w:name="xdx_903_eus-gaap--PreferredStockSharesIs"/>
            <w:bookmarkStart w:id="86" w:name="xdx_90E_eus-gaap--PreferredStockSharesOu"/>
            <w:bookmarkStart w:id="87" w:name="xdx_905_eus-gaap--PreferredStockSharesIs"/>
            <w:bookmarkEnd w:id="84"/>
            <w:bookmarkEnd w:id="85"/>
            <w:bookmarkEnd w:id="86"/>
            <w:bookmarkEnd w:id="87"/>
            <w:r>
              <w:rPr/>
              <w:t xml:space="preserve">no shares issued and outstanding as of June 30, 2024 and </w:t>
              <w:br/>
              <w:t>December 31, 2023, respectively</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88" w:name="xdx_402_eus-gaap--CommonStockValue_i01I_"/>
            <w:bookmarkEnd w:id="88"/>
          </w:p>
        </w:tc>
      </w:tr>
      <w:tr>
        <w:trPr/>
        <w:tc>
          <w:tcPr>
            <w:tcW w:w="6776" w:type="dxa"/>
            <w:tcBorders/>
            <w:shd w:fill="FFFFFF" w:val="clear"/>
            <w:vAlign w:val="center"/>
          </w:tcPr>
          <w:p>
            <w:pPr>
              <w:pStyle w:val="TableContents"/>
              <w:bidi w:val="0"/>
              <w:spacing w:before="0" w:after="283"/>
              <w:jc w:val="both"/>
              <w:rPr/>
            </w:pPr>
            <w:r>
              <w:rPr/>
              <w:t xml:space="preserve">Common stock, </w:t>
            </w:r>
            <w:bookmarkStart w:id="89" w:name="xdx_903_eus-gaap--CommonStockSharesAutho"/>
            <w:bookmarkStart w:id="90" w:name="xdx_90C_eus-gaap--CommonStockSharesAutho"/>
            <w:bookmarkEnd w:id="89"/>
            <w:bookmarkEnd w:id="90"/>
            <w:r>
              <w:rPr/>
              <w:t>250,000,000 shares at $</w:t>
            </w:r>
            <w:bookmarkStart w:id="91" w:name="xdx_90F_eus-gaap--CommonStockParOrStated"/>
            <w:bookmarkStart w:id="92" w:name="xdx_90F_eus-gaap--CommonStockParOrStated"/>
            <w:bookmarkEnd w:id="91"/>
            <w:bookmarkEnd w:id="92"/>
            <w:r>
              <w:rPr/>
              <w:t xml:space="preserve">0.0001 par value, authorized, </w:t>
              <w:br/>
            </w:r>
            <w:bookmarkStart w:id="93" w:name="xdx_90A_eus-gaap--CommonStockSharesOutst"/>
            <w:bookmarkStart w:id="94" w:name="xdx_90B_eus-gaap--CommonStockSharesIssue"/>
            <w:bookmarkEnd w:id="93"/>
            <w:bookmarkEnd w:id="94"/>
            <w:r>
              <w:rPr/>
              <w:t xml:space="preserve">61,367,633 and </w:t>
            </w:r>
            <w:bookmarkStart w:id="95" w:name="xdx_901_eus-gaap--CommonStockSharesOutst"/>
            <w:bookmarkStart w:id="96" w:name="xdx_907_eus-gaap--CommonStockSharesIssue"/>
            <w:bookmarkEnd w:id="95"/>
            <w:bookmarkEnd w:id="96"/>
            <w:r>
              <w:rPr/>
              <w:t xml:space="preserve">60,260,282 shares issued and outstanding as of June 30, 2024 </w:t>
              <w:br/>
              <w:t>December 31, 2023, respectively</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510" w:type="dxa"/>
            <w:tcBorders/>
            <w:shd w:fill="FFFFFF" w:val="clear"/>
            <w:vAlign w:val="center"/>
          </w:tcPr>
          <w:p>
            <w:pPr>
              <w:pStyle w:val="TableContents"/>
              <w:bidi w:val="0"/>
              <w:spacing w:before="0" w:after="283"/>
              <w:jc w:val="right"/>
              <w:rPr/>
            </w:pPr>
            <w:r>
              <w:rPr/>
              <w:t>6</w:t>
            </w:r>
          </w:p>
        </w:tc>
        <w:tc>
          <w:tcPr>
            <w:tcW w:w="112" w:type="dxa"/>
            <w:tcBorders/>
            <w:shd w:fill="FFFFFF" w:val="clear"/>
            <w:vAlign w:val="center"/>
          </w:tcPr>
          <w:p>
            <w:pPr>
              <w:pStyle w:val="TableContents"/>
              <w:bidi w:val="0"/>
              <w:spacing w:before="0" w:after="283"/>
              <w:jc w:val="left"/>
              <w:rPr/>
            </w:pPr>
            <w:r>
              <w:rPr/>
              <w:t> </w:t>
            </w:r>
            <w:bookmarkStart w:id="97" w:name="xdx_406_eus-gaap--AdditionalPaidInCapita"/>
            <w:bookmarkEnd w:id="97"/>
          </w:p>
        </w:tc>
      </w:tr>
      <w:tr>
        <w:trPr/>
        <w:tc>
          <w:tcPr>
            <w:tcW w:w="6776" w:type="dxa"/>
            <w:tcBorders/>
            <w:shd w:fill="CCEEFF" w:val="clear"/>
            <w:vAlign w:val="center"/>
          </w:tcPr>
          <w:p>
            <w:pPr>
              <w:pStyle w:val="TableContents"/>
              <w:bidi w:val="0"/>
              <w:spacing w:before="0" w:after="283"/>
              <w:jc w:val="left"/>
              <w:rPr/>
            </w:pPr>
            <w:r>
              <w:rPr/>
              <w:t>Additional paid in capital</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70,793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right"/>
              <w:rPr/>
            </w:pPr>
            <w:r>
              <w:rPr/>
              <w:t>69,445</w:t>
            </w:r>
          </w:p>
        </w:tc>
        <w:tc>
          <w:tcPr>
            <w:tcW w:w="112" w:type="dxa"/>
            <w:tcBorders/>
            <w:shd w:fill="CCEEFF" w:val="clear"/>
            <w:vAlign w:val="center"/>
          </w:tcPr>
          <w:p>
            <w:pPr>
              <w:pStyle w:val="TableContents"/>
              <w:bidi w:val="0"/>
              <w:spacing w:before="0" w:after="283"/>
              <w:jc w:val="left"/>
              <w:rPr/>
            </w:pPr>
            <w:r>
              <w:rPr/>
              <w:t> </w:t>
            </w:r>
            <w:bookmarkStart w:id="98" w:name="xdx_40B_eus-gaap--RetainedEarningsAccumu"/>
            <w:bookmarkEnd w:id="98"/>
          </w:p>
        </w:tc>
      </w:tr>
      <w:tr>
        <w:trPr/>
        <w:tc>
          <w:tcPr>
            <w:tcW w:w="6776"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FFFFFF" w:val="clear"/>
            <w:tcMar>
              <w:bottom w:w="28" w:type="dxa"/>
            </w:tcMar>
            <w:vAlign w:val="center"/>
          </w:tcPr>
          <w:p>
            <w:pPr>
              <w:pStyle w:val="TableContents"/>
              <w:bidi w:val="0"/>
              <w:spacing w:before="0" w:after="283"/>
              <w:jc w:val="right"/>
              <w:rPr/>
            </w:pPr>
            <w:r>
              <w:rPr/>
              <w:t>(65,533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10" w:type="dxa"/>
            <w:tcBorders>
              <w:bottom w:val="single" w:sz="12" w:space="0" w:color="000000"/>
            </w:tcBorders>
            <w:shd w:fill="FFFFFF" w:val="clear"/>
            <w:tcMar>
              <w:bottom w:w="28" w:type="dxa"/>
            </w:tcMar>
            <w:vAlign w:val="center"/>
          </w:tcPr>
          <w:p>
            <w:pPr>
              <w:pStyle w:val="TableContents"/>
              <w:bidi w:val="0"/>
              <w:spacing w:before="0" w:after="283"/>
              <w:jc w:val="right"/>
              <w:rPr/>
            </w:pPr>
            <w:r>
              <w:rPr/>
              <w:t>(41,539</w:t>
            </w:r>
          </w:p>
        </w:tc>
        <w:tc>
          <w:tcPr>
            <w:tcW w:w="112" w:type="dxa"/>
            <w:tcBorders/>
            <w:shd w:fill="FFFFFF" w:val="clear"/>
            <w:vAlign w:val="center"/>
          </w:tcPr>
          <w:p>
            <w:pPr>
              <w:pStyle w:val="TableContents"/>
              <w:bidi w:val="0"/>
              <w:spacing w:before="0" w:after="283"/>
              <w:jc w:val="left"/>
              <w:rPr/>
            </w:pPr>
            <w:r>
              <w:rPr/>
              <w:t>)</w:t>
            </w:r>
            <w:bookmarkStart w:id="99" w:name="xdx_40E_eus-gaap--StockholdersEquity_i01"/>
            <w:bookmarkEnd w:id="99"/>
          </w:p>
        </w:tc>
      </w:tr>
      <w:tr>
        <w:trPr/>
        <w:tc>
          <w:tcPr>
            <w:tcW w:w="6776" w:type="dxa"/>
            <w:tcBorders/>
            <w:shd w:fill="CCEEFF" w:val="clear"/>
            <w:vAlign w:val="center"/>
          </w:tcPr>
          <w:p>
            <w:pPr>
              <w:pStyle w:val="TableContents"/>
              <w:bidi w:val="0"/>
              <w:spacing w:before="0" w:after="283"/>
              <w:jc w:val="left"/>
              <w:rPr>
                <w:b/>
              </w:rPr>
            </w:pPr>
            <w:r>
              <w:rPr>
                <w:b/>
              </w:rPr>
              <w:t>Total Stockholders’ Equity</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CCEEFF" w:val="clear"/>
            <w:tcMar>
              <w:bottom w:w="28" w:type="dxa"/>
            </w:tcMar>
            <w:vAlign w:val="center"/>
          </w:tcPr>
          <w:p>
            <w:pPr>
              <w:pStyle w:val="TableContents"/>
              <w:bidi w:val="0"/>
              <w:spacing w:before="0" w:after="283"/>
              <w:jc w:val="right"/>
              <w:rPr/>
            </w:pPr>
            <w:r>
              <w:rPr/>
              <w:t>5,266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10" w:type="dxa"/>
            <w:tcBorders>
              <w:bottom w:val="single" w:sz="12" w:space="0" w:color="000000"/>
            </w:tcBorders>
            <w:shd w:fill="CCEEFF" w:val="clear"/>
            <w:tcMar>
              <w:bottom w:w="28" w:type="dxa"/>
            </w:tcMar>
            <w:vAlign w:val="center"/>
          </w:tcPr>
          <w:p>
            <w:pPr>
              <w:pStyle w:val="TableContents"/>
              <w:bidi w:val="0"/>
              <w:spacing w:before="0" w:after="283"/>
              <w:jc w:val="right"/>
              <w:rPr/>
            </w:pPr>
            <w:r>
              <w:rPr/>
              <w:t>27,912</w:t>
            </w:r>
          </w:p>
        </w:tc>
        <w:tc>
          <w:tcPr>
            <w:tcW w:w="112" w:type="dxa"/>
            <w:tcBorders/>
            <w:shd w:fill="CCEEFF" w:val="clear"/>
            <w:vAlign w:val="center"/>
          </w:tcPr>
          <w:p>
            <w:pPr>
              <w:pStyle w:val="TableContents"/>
              <w:bidi w:val="0"/>
              <w:spacing w:before="0" w:after="283"/>
              <w:jc w:val="left"/>
              <w:rPr/>
            </w:pPr>
            <w:r>
              <w:rPr/>
              <w:t> </w:t>
            </w:r>
            <w:bookmarkStart w:id="100" w:name="xdx_405_eus-gaap--LiabilitiesAndStockhol"/>
            <w:bookmarkEnd w:id="100"/>
          </w:p>
        </w:tc>
      </w:tr>
      <w:tr>
        <w:trPr/>
        <w:tc>
          <w:tcPr>
            <w:tcW w:w="6776" w:type="dxa"/>
            <w:tcBorders/>
            <w:shd w:fill="FFFFFF" w:val="clear"/>
            <w:vAlign w:val="center"/>
          </w:tcPr>
          <w:p>
            <w:pPr>
              <w:pStyle w:val="TableContents"/>
              <w:bidi w:val="0"/>
              <w:spacing w:before="0" w:after="283"/>
              <w:jc w:val="left"/>
              <w:rPr>
                <w:b/>
              </w:rPr>
            </w:pPr>
            <w:r>
              <w:rPr>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3" w:type="dxa"/>
            <w:tcBorders>
              <w:bottom w:val="double" w:sz="6" w:space="0" w:color="000000"/>
            </w:tcBorders>
            <w:shd w:fill="FFFFFF" w:val="clear"/>
            <w:tcMar>
              <w:bottom w:w="28" w:type="dxa"/>
            </w:tcMar>
            <w:vAlign w:val="center"/>
          </w:tcPr>
          <w:p>
            <w:pPr>
              <w:pStyle w:val="TableContents"/>
              <w:bidi w:val="0"/>
              <w:spacing w:before="0" w:after="283"/>
              <w:jc w:val="right"/>
              <w:rPr/>
            </w:pPr>
            <w:r>
              <w:rPr/>
              <w:t>84,955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10" w:type="dxa"/>
            <w:tcBorders>
              <w:bottom w:val="double" w:sz="6" w:space="0" w:color="000000"/>
            </w:tcBorders>
            <w:shd w:fill="FFFFFF" w:val="clear"/>
            <w:tcMar>
              <w:bottom w:w="28" w:type="dxa"/>
            </w:tcMar>
            <w:vAlign w:val="center"/>
          </w:tcPr>
          <w:p>
            <w:pPr>
              <w:pStyle w:val="TableContents"/>
              <w:bidi w:val="0"/>
              <w:spacing w:before="0" w:after="283"/>
              <w:jc w:val="right"/>
              <w:rPr/>
            </w:pPr>
            <w:r>
              <w:rPr/>
              <w:t>75,204</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bookmarkStart w:id="101" w:name="ku_004"/>
      <w:bookmarkEnd w:id="101"/>
      <w:r>
        <w:rPr>
          <w:rFonts w:ascii="Times New Roman;Times;Serif" w:hAnsi="Times New Roman;Times;Serif"/>
          <w:b/>
          <w:i w:val="false"/>
          <w:caps/>
          <w:sz w:val="20"/>
        </w:rPr>
        <w:t>Unaudited Condensed Consolidated Statements of Operations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For the Three AND SIX Months Ended June 30, 2024 and 2023</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Normal"/>
        <w:bidi w:val="0"/>
        <w:spacing w:before="0" w:after="0"/>
        <w:jc w:val="left"/>
        <w:rPr>
          <w:sz w:val="4"/>
          <w:szCs w:val="4"/>
        </w:rPr>
      </w:pPr>
      <w:r>
        <w:rPr>
          <w:sz w:val="4"/>
          <w:szCs w:val="4"/>
        </w:rPr>
      </w:r>
      <w:bookmarkStart w:id="102" w:name="xdx_30C_113_pn3n3_zSRTlRjAPaDl"/>
      <w:bookmarkStart w:id="103" w:name="xdx_30C_113_pn3n3_zSRTlRjAPaDl"/>
      <w:bookmarkEnd w:id="103"/>
    </w:p>
    <w:tbl>
      <w:tblPr>
        <w:tblW w:w="10205" w:type="dxa"/>
        <w:jc w:val="left"/>
        <w:tblInd w:w="0" w:type="dxa"/>
        <w:tblLayout w:type="fixed"/>
        <w:tblCellMar>
          <w:top w:w="0" w:type="dxa"/>
          <w:left w:w="0" w:type="dxa"/>
          <w:bottom w:w="0" w:type="dxa"/>
          <w:right w:w="0" w:type="dxa"/>
        </w:tblCellMar>
      </w:tblPr>
      <w:tblGrid>
        <w:gridCol w:w="4374"/>
        <w:gridCol w:w="60"/>
        <w:gridCol w:w="150"/>
        <w:gridCol w:w="1187"/>
        <w:gridCol w:w="102"/>
        <w:gridCol w:w="64"/>
        <w:gridCol w:w="150"/>
        <w:gridCol w:w="1187"/>
        <w:gridCol w:w="95"/>
        <w:gridCol w:w="60"/>
        <w:gridCol w:w="141"/>
        <w:gridCol w:w="1112"/>
        <w:gridCol w:w="95"/>
        <w:gridCol w:w="60"/>
        <w:gridCol w:w="141"/>
        <w:gridCol w:w="1112"/>
        <w:gridCol w:w="115"/>
      </w:tblGrid>
      <w:tr>
        <w:trPr/>
        <w:tc>
          <w:tcPr>
            <w:tcW w:w="437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4" w:name="xdx_497_20240401__20240630_zPGQSTcKyIxl"/>
            <w:bookmarkEnd w:id="104"/>
          </w:p>
        </w:tc>
        <w:tc>
          <w:tcPr>
            <w:tcW w:w="1337"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02"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bookmarkStart w:id="105" w:name="xdx_495_20230401__20230630_zfegMONpTTn4"/>
            <w:bookmarkEnd w:id="105"/>
          </w:p>
        </w:tc>
        <w:tc>
          <w:tcPr>
            <w:tcW w:w="1337"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6" w:name="xdx_497_20240101__20240630_zTrwVarFttNd"/>
            <w:bookmarkEnd w:id="106"/>
          </w:p>
        </w:tc>
        <w:tc>
          <w:tcPr>
            <w:tcW w:w="1253"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7" w:name="xdx_49C_20230101__20230630_z40XCZvbTlHh"/>
            <w:bookmarkEnd w:id="107"/>
          </w:p>
        </w:tc>
        <w:tc>
          <w:tcPr>
            <w:tcW w:w="1253"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115" w:type="dxa"/>
            <w:tcBorders/>
            <w:vAlign w:val="center"/>
          </w:tcPr>
          <w:p>
            <w:pPr>
              <w:pStyle w:val="TableContents"/>
              <w:bidi w:val="0"/>
              <w:spacing w:before="0" w:after="283"/>
              <w:jc w:val="center"/>
              <w:rPr/>
            </w:pPr>
            <w:r>
              <w:rPr/>
              <w:t> </w:t>
            </w:r>
          </w:p>
        </w:tc>
      </w:tr>
      <w:tr>
        <w:trPr/>
        <w:tc>
          <w:tcPr>
            <w:tcW w:w="437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40" w:type="dxa"/>
            <w:gridSpan w:val="6"/>
            <w:tcBorders>
              <w:bottom w:val="single" w:sz="12" w:space="0" w:color="000000"/>
            </w:tcBorders>
            <w:tcMar>
              <w:bottom w:w="28" w:type="dxa"/>
            </w:tcMar>
            <w:vAlign w:val="center"/>
          </w:tcPr>
          <w:p>
            <w:pPr>
              <w:pStyle w:val="TableContents"/>
              <w:bidi w:val="0"/>
              <w:spacing w:before="0" w:after="283"/>
              <w:jc w:val="center"/>
              <w:rPr/>
            </w:pPr>
            <w:r>
              <w:rPr/>
              <w:t xml:space="preserve">For The Three Months Ended </w:t>
              <w:br/>
              <w:t>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61" w:type="dxa"/>
            <w:gridSpan w:val="6"/>
            <w:tcBorders>
              <w:bottom w:val="single" w:sz="12" w:space="0" w:color="000000"/>
            </w:tcBorders>
            <w:tcMar>
              <w:bottom w:w="28" w:type="dxa"/>
            </w:tcMar>
            <w:vAlign w:val="center"/>
          </w:tcPr>
          <w:p>
            <w:pPr>
              <w:pStyle w:val="TableContents"/>
              <w:bidi w:val="0"/>
              <w:spacing w:before="0" w:after="283"/>
              <w:jc w:val="center"/>
              <w:rPr/>
            </w:pPr>
            <w:r>
              <w:rPr/>
              <w:t xml:space="preserve">For The Six Months Ended </w:t>
              <w:br/>
              <w:t>June 30,</w:t>
            </w:r>
          </w:p>
        </w:tc>
        <w:tc>
          <w:tcPr>
            <w:tcW w:w="115" w:type="dxa"/>
            <w:tcBorders/>
            <w:vAlign w:val="center"/>
          </w:tcPr>
          <w:p>
            <w:pPr>
              <w:pStyle w:val="TableContents"/>
              <w:bidi w:val="0"/>
              <w:spacing w:before="0" w:after="283"/>
              <w:jc w:val="center"/>
              <w:rPr/>
            </w:pPr>
            <w:r>
              <w:rPr/>
              <w:t> </w:t>
            </w:r>
          </w:p>
        </w:tc>
      </w:tr>
      <w:tr>
        <w:trPr/>
        <w:tc>
          <w:tcPr>
            <w:tcW w:w="437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37"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02"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1337"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3"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3"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115" w:type="dxa"/>
            <w:tcBorders/>
            <w:vAlign w:val="center"/>
          </w:tcPr>
          <w:p>
            <w:pPr>
              <w:pStyle w:val="TableContents"/>
              <w:bidi w:val="0"/>
              <w:spacing w:before="0" w:after="283"/>
              <w:jc w:val="center"/>
              <w:rPr/>
            </w:pPr>
            <w:r>
              <w:rPr/>
              <w:t> </w:t>
            </w:r>
          </w:p>
        </w:tc>
      </w:tr>
      <w:tr>
        <w:trPr/>
        <w:tc>
          <w:tcPr>
            <w:tcW w:w="43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7" w:type="dxa"/>
            <w:gridSpan w:val="2"/>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3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3" w:type="dxa"/>
            <w:gridSpan w:val="2"/>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bookmarkStart w:id="108" w:name="xdx_402_eus-gaap--RevenueFromContractWit"/>
            <w:bookmarkEnd w:id="108"/>
          </w:p>
        </w:tc>
      </w:tr>
      <w:tr>
        <w:trPr/>
        <w:tc>
          <w:tcPr>
            <w:tcW w:w="4374"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187" w:type="dxa"/>
            <w:tcBorders/>
            <w:shd w:fill="CCEEFF" w:val="clear"/>
            <w:vAlign w:val="center"/>
          </w:tcPr>
          <w:p>
            <w:pPr>
              <w:pStyle w:val="TableContents"/>
              <w:bidi w:val="0"/>
              <w:spacing w:before="0" w:after="283"/>
              <w:jc w:val="right"/>
              <w:rPr/>
            </w:pPr>
            <w:r>
              <w:rPr/>
              <w:t>13,208</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187" w:type="dxa"/>
            <w:tcBorders/>
            <w:shd w:fill="CCEEFF" w:val="clear"/>
            <w:vAlign w:val="center"/>
          </w:tcPr>
          <w:p>
            <w:pPr>
              <w:pStyle w:val="TableContents"/>
              <w:bidi w:val="0"/>
              <w:spacing w:before="0" w:after="283"/>
              <w:jc w:val="right"/>
              <w:rPr/>
            </w:pPr>
            <w:r>
              <w:rPr/>
              <w:t>19,274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25,713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38,065</w:t>
            </w:r>
          </w:p>
        </w:tc>
        <w:tc>
          <w:tcPr>
            <w:tcW w:w="115" w:type="dxa"/>
            <w:tcBorders/>
            <w:shd w:fill="CCEEFF" w:val="clear"/>
            <w:vAlign w:val="center"/>
          </w:tcPr>
          <w:p>
            <w:pPr>
              <w:pStyle w:val="TableContents"/>
              <w:bidi w:val="0"/>
              <w:spacing w:before="0" w:after="283"/>
              <w:jc w:val="left"/>
              <w:rPr/>
            </w:pPr>
            <w:r>
              <w:rPr/>
              <w:t> </w:t>
            </w:r>
          </w:p>
        </w:tc>
      </w:tr>
      <w:tr>
        <w:trPr/>
        <w:tc>
          <w:tcPr>
            <w:tcW w:w="43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09" w:name="xdx_408_eus-gaap--CostOfGoodsAndServices"/>
            <w:bookmarkEnd w:id="109"/>
          </w:p>
        </w:tc>
      </w:tr>
      <w:tr>
        <w:trPr/>
        <w:tc>
          <w:tcPr>
            <w:tcW w:w="4374" w:type="dxa"/>
            <w:tcBorders/>
            <w:shd w:fill="CCEEFF" w:val="clear"/>
            <w:vAlign w:val="center"/>
          </w:tcPr>
          <w:p>
            <w:pPr>
              <w:pStyle w:val="TableContents"/>
              <w:bidi w:val="0"/>
              <w:spacing w:before="0" w:after="283"/>
              <w:jc w:val="left"/>
              <w:rPr>
                <w:b/>
              </w:rPr>
            </w:pPr>
            <w:r>
              <w:rPr>
                <w:b/>
              </w:rPr>
              <w:t>Cost of Goods Sold</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10,041</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15,350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CCEEFF" w:val="clear"/>
            <w:tcMar>
              <w:bottom w:w="28" w:type="dxa"/>
            </w:tcMar>
            <w:vAlign w:val="center"/>
          </w:tcPr>
          <w:p>
            <w:pPr>
              <w:pStyle w:val="TableContents"/>
              <w:bidi w:val="0"/>
              <w:spacing w:before="0" w:after="283"/>
              <w:jc w:val="right"/>
              <w:rPr/>
            </w:pPr>
            <w:r>
              <w:rPr/>
              <w:t>19,495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CCEEFF" w:val="clear"/>
            <w:tcMar>
              <w:bottom w:w="28" w:type="dxa"/>
            </w:tcMar>
            <w:vAlign w:val="center"/>
          </w:tcPr>
          <w:p>
            <w:pPr>
              <w:pStyle w:val="TableContents"/>
              <w:bidi w:val="0"/>
              <w:spacing w:before="0" w:after="283"/>
              <w:jc w:val="right"/>
              <w:rPr/>
            </w:pPr>
            <w:r>
              <w:rPr/>
              <w:t>29,474</w:t>
            </w:r>
          </w:p>
        </w:tc>
        <w:tc>
          <w:tcPr>
            <w:tcW w:w="115" w:type="dxa"/>
            <w:tcBorders/>
            <w:shd w:fill="CCEEFF" w:val="clear"/>
            <w:vAlign w:val="center"/>
          </w:tcPr>
          <w:p>
            <w:pPr>
              <w:pStyle w:val="TableContents"/>
              <w:bidi w:val="0"/>
              <w:spacing w:before="0" w:after="283"/>
              <w:jc w:val="left"/>
              <w:rPr/>
            </w:pPr>
            <w:r>
              <w:rPr/>
              <w:t> </w:t>
            </w:r>
          </w:p>
        </w:tc>
      </w:tr>
      <w:tr>
        <w:trPr/>
        <w:tc>
          <w:tcPr>
            <w:tcW w:w="43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10" w:name="xdx_408_eus-gaap--GrossProfit_iT_mtGPzCU"/>
            <w:bookmarkEnd w:id="110"/>
          </w:p>
        </w:tc>
      </w:tr>
      <w:tr>
        <w:trPr/>
        <w:tc>
          <w:tcPr>
            <w:tcW w:w="4374"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3,167</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3,924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6,218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8,591</w:t>
            </w:r>
          </w:p>
        </w:tc>
        <w:tc>
          <w:tcPr>
            <w:tcW w:w="115" w:type="dxa"/>
            <w:tcBorders/>
            <w:shd w:fill="CCEEFF" w:val="clear"/>
            <w:vAlign w:val="center"/>
          </w:tcPr>
          <w:p>
            <w:pPr>
              <w:pStyle w:val="TableContents"/>
              <w:bidi w:val="0"/>
              <w:spacing w:before="0" w:after="283"/>
              <w:jc w:val="left"/>
              <w:rPr/>
            </w:pPr>
            <w:r>
              <w:rPr/>
              <w:t> </w:t>
            </w:r>
          </w:p>
        </w:tc>
      </w:tr>
      <w:tr>
        <w:trPr/>
        <w:tc>
          <w:tcPr>
            <w:tcW w:w="43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11" w:name="xdx_40C_eus-gaap--OperatingExpensesAbstr"/>
            <w:bookmarkEnd w:id="111"/>
          </w:p>
        </w:tc>
      </w:tr>
      <w:tr>
        <w:trPr/>
        <w:tc>
          <w:tcPr>
            <w:tcW w:w="4374"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12" w:name="xdx_40A_eus-gaap--ResearchAndDevelopment"/>
            <w:bookmarkEnd w:id="112"/>
          </w:p>
        </w:tc>
      </w:tr>
      <w:tr>
        <w:trPr/>
        <w:tc>
          <w:tcPr>
            <w:tcW w:w="4374"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1,531</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1,067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2,864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1,947</w:t>
            </w:r>
          </w:p>
        </w:tc>
        <w:tc>
          <w:tcPr>
            <w:tcW w:w="115" w:type="dxa"/>
            <w:tcBorders/>
            <w:shd w:fill="FFFFFF" w:val="clear"/>
            <w:vAlign w:val="center"/>
          </w:tcPr>
          <w:p>
            <w:pPr>
              <w:pStyle w:val="TableContents"/>
              <w:bidi w:val="0"/>
              <w:spacing w:before="0" w:after="283"/>
              <w:jc w:val="left"/>
              <w:rPr/>
            </w:pPr>
            <w:r>
              <w:rPr/>
              <w:t> </w:t>
            </w:r>
            <w:bookmarkStart w:id="113" w:name="xdx_401_eus-gaap--GeneralAndAdministrati"/>
            <w:bookmarkEnd w:id="113"/>
          </w:p>
        </w:tc>
      </w:tr>
      <w:tr>
        <w:trPr/>
        <w:tc>
          <w:tcPr>
            <w:tcW w:w="4374"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5,704</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7,614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10,517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17,109</w:t>
            </w:r>
          </w:p>
        </w:tc>
        <w:tc>
          <w:tcPr>
            <w:tcW w:w="115" w:type="dxa"/>
            <w:tcBorders/>
            <w:shd w:fill="CCEEFF" w:val="clear"/>
            <w:vAlign w:val="center"/>
          </w:tcPr>
          <w:p>
            <w:pPr>
              <w:pStyle w:val="TableContents"/>
              <w:bidi w:val="0"/>
              <w:spacing w:before="0" w:after="283"/>
              <w:jc w:val="left"/>
              <w:rPr/>
            </w:pPr>
            <w:r>
              <w:rPr/>
              <w:t> </w:t>
            </w:r>
            <w:bookmarkStart w:id="114" w:name="xdx_40F_eus-gaap--SellingAndMarketingExp"/>
            <w:bookmarkEnd w:id="114"/>
          </w:p>
        </w:tc>
      </w:tr>
      <w:tr>
        <w:trPr/>
        <w:tc>
          <w:tcPr>
            <w:tcW w:w="4374"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2,681</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3,808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pPr>
            <w:r>
              <w:rPr/>
              <w:t>5,425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pPr>
            <w:r>
              <w:rPr/>
              <w:t>7,992</w:t>
            </w:r>
          </w:p>
        </w:tc>
        <w:tc>
          <w:tcPr>
            <w:tcW w:w="115" w:type="dxa"/>
            <w:tcBorders/>
            <w:shd w:fill="FFFFFF" w:val="clear"/>
            <w:vAlign w:val="center"/>
          </w:tcPr>
          <w:p>
            <w:pPr>
              <w:pStyle w:val="TableContents"/>
              <w:bidi w:val="0"/>
              <w:spacing w:before="0" w:after="283"/>
              <w:jc w:val="left"/>
              <w:rPr/>
            </w:pPr>
            <w:r>
              <w:rPr/>
              <w:t> </w:t>
            </w:r>
          </w:p>
        </w:tc>
      </w:tr>
      <w:tr>
        <w:trPr/>
        <w:tc>
          <w:tcPr>
            <w:tcW w:w="43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15" w:name="xdx_40B_eus-gaap--OperatingExpenses_i01T"/>
            <w:bookmarkEnd w:id="115"/>
          </w:p>
        </w:tc>
      </w:tr>
      <w:tr>
        <w:trPr/>
        <w:tc>
          <w:tcPr>
            <w:tcW w:w="4374"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9,916</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12,489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pPr>
            <w:r>
              <w:rPr/>
              <w:t>18,806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pPr>
            <w:r>
              <w:rPr/>
              <w:t>27,048</w:t>
            </w:r>
          </w:p>
        </w:tc>
        <w:tc>
          <w:tcPr>
            <w:tcW w:w="115" w:type="dxa"/>
            <w:tcBorders/>
            <w:shd w:fill="FFFFFF" w:val="clear"/>
            <w:vAlign w:val="center"/>
          </w:tcPr>
          <w:p>
            <w:pPr>
              <w:pStyle w:val="TableContents"/>
              <w:bidi w:val="0"/>
              <w:spacing w:before="0" w:after="283"/>
              <w:jc w:val="left"/>
              <w:rPr/>
            </w:pPr>
            <w:r>
              <w:rPr/>
              <w:t> </w:t>
            </w:r>
          </w:p>
        </w:tc>
      </w:tr>
      <w:tr>
        <w:trPr/>
        <w:tc>
          <w:tcPr>
            <w:tcW w:w="43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16" w:name="xdx_405_eus-gaap--OperatingIncomeLoss_iT"/>
            <w:bookmarkEnd w:id="116"/>
          </w:p>
        </w:tc>
      </w:tr>
      <w:tr>
        <w:trPr/>
        <w:tc>
          <w:tcPr>
            <w:tcW w:w="4374"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(6,749</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(8,565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(12,588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(18,457</w:t>
            </w:r>
          </w:p>
        </w:tc>
        <w:tc>
          <w:tcPr>
            <w:tcW w:w="115" w:type="dxa"/>
            <w:tcBorders/>
            <w:shd w:fill="FFFFFF" w:val="clear"/>
            <w:vAlign w:val="center"/>
          </w:tcPr>
          <w:p>
            <w:pPr>
              <w:pStyle w:val="TableContents"/>
              <w:bidi w:val="0"/>
              <w:spacing w:before="0" w:after="283"/>
              <w:jc w:val="left"/>
              <w:rPr/>
            </w:pPr>
            <w:r>
              <w:rPr/>
              <w:t>)</w:t>
            </w:r>
          </w:p>
        </w:tc>
      </w:tr>
      <w:tr>
        <w:trPr/>
        <w:tc>
          <w:tcPr>
            <w:tcW w:w="43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17" w:name="xdx_409_eus-gaap--NonoperatingIncomeExpe"/>
            <w:bookmarkEnd w:id="117"/>
          </w:p>
        </w:tc>
      </w:tr>
      <w:tr>
        <w:trPr/>
        <w:tc>
          <w:tcPr>
            <w:tcW w:w="4374" w:type="dxa"/>
            <w:tcBorders/>
            <w:shd w:fill="FFFFFF" w:val="clear"/>
            <w:vAlign w:val="center"/>
          </w:tcPr>
          <w:p>
            <w:pPr>
              <w:pStyle w:val="TableContents"/>
              <w:bidi w:val="0"/>
              <w:spacing w:before="0" w:after="283"/>
              <w:jc w:val="left"/>
              <w:rPr>
                <w:b/>
              </w:rPr>
            </w:pPr>
            <w:r>
              <w:rPr>
                <w:b/>
              </w:rPr>
              <w:t>Other (Expense) Income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18" w:name="xdx_40E_eus-gaap--InterestExpenseNonoper"/>
            <w:bookmarkEnd w:id="118"/>
          </w:p>
        </w:tc>
      </w:tr>
      <w:tr>
        <w:trPr/>
        <w:tc>
          <w:tcPr>
            <w:tcW w:w="4374"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(4,878</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(4,138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(9,638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(7,994</w:t>
            </w:r>
          </w:p>
        </w:tc>
        <w:tc>
          <w:tcPr>
            <w:tcW w:w="115" w:type="dxa"/>
            <w:tcBorders/>
            <w:shd w:fill="CCEEFF" w:val="clear"/>
            <w:vAlign w:val="center"/>
          </w:tcPr>
          <w:p>
            <w:pPr>
              <w:pStyle w:val="TableContents"/>
              <w:bidi w:val="0"/>
              <w:spacing w:before="0" w:after="283"/>
              <w:jc w:val="left"/>
              <w:rPr/>
            </w:pPr>
            <w:r>
              <w:rPr/>
              <w:t>)</w:t>
            </w:r>
            <w:bookmarkStart w:id="119" w:name="xdx_407_eus-gaap--OtherNonoperatingExpen"/>
            <w:bookmarkEnd w:id="119"/>
          </w:p>
        </w:tc>
      </w:tr>
      <w:tr>
        <w:trPr/>
        <w:tc>
          <w:tcPr>
            <w:tcW w:w="4374" w:type="dxa"/>
            <w:tcBorders/>
            <w:shd w:fill="FFFFFF" w:val="clear"/>
            <w:vAlign w:val="center"/>
          </w:tcPr>
          <w:p>
            <w:pPr>
              <w:pStyle w:val="TableContents"/>
              <w:bidi w:val="0"/>
              <w:spacing w:before="0" w:after="283"/>
              <w:jc w:val="left"/>
              <w:rPr/>
            </w:pPr>
            <w:r>
              <w:rPr/>
              <w:t>Other expense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(19</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120" w:name="xdx_407_eus-gaap--FairValueAdjustmentOfW"/>
            <w:bookmarkEnd w:id="120"/>
          </w:p>
        </w:tc>
      </w:tr>
      <w:tr>
        <w:trPr/>
        <w:tc>
          <w:tcPr>
            <w:tcW w:w="4374"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(1,981</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804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CCEEFF" w:val="clear"/>
            <w:tcMar>
              <w:bottom w:w="28" w:type="dxa"/>
            </w:tcMar>
            <w:vAlign w:val="center"/>
          </w:tcPr>
          <w:p>
            <w:pPr>
              <w:pStyle w:val="TableContents"/>
              <w:bidi w:val="0"/>
              <w:spacing w:before="0" w:after="283"/>
              <w:jc w:val="right"/>
              <w:rPr/>
            </w:pPr>
            <w:r>
              <w:rPr/>
              <w:t>(1,745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CCEEFF" w:val="clear"/>
            <w:tcMar>
              <w:bottom w:w="28" w:type="dxa"/>
            </w:tcMar>
            <w:vAlign w:val="center"/>
          </w:tcPr>
          <w:p>
            <w:pPr>
              <w:pStyle w:val="TableContents"/>
              <w:bidi w:val="0"/>
              <w:spacing w:before="0" w:after="283"/>
              <w:jc w:val="right"/>
              <w:rPr/>
            </w:pPr>
            <w:r>
              <w:rPr/>
              <w:t>19,327</w:t>
            </w:r>
          </w:p>
        </w:tc>
        <w:tc>
          <w:tcPr>
            <w:tcW w:w="115" w:type="dxa"/>
            <w:tcBorders/>
            <w:shd w:fill="CCEEFF" w:val="clear"/>
            <w:vAlign w:val="center"/>
          </w:tcPr>
          <w:p>
            <w:pPr>
              <w:pStyle w:val="TableContents"/>
              <w:bidi w:val="0"/>
              <w:spacing w:before="0" w:after="283"/>
              <w:jc w:val="left"/>
              <w:rPr/>
            </w:pPr>
            <w:r>
              <w:rPr/>
              <w:t> </w:t>
            </w:r>
            <w:bookmarkStart w:id="121" w:name="xdx_409_eus-gaap--NonoperatingIncomeExpe"/>
            <w:bookmarkEnd w:id="121"/>
          </w:p>
        </w:tc>
      </w:tr>
      <w:tr>
        <w:trPr/>
        <w:tc>
          <w:tcPr>
            <w:tcW w:w="4374" w:type="dxa"/>
            <w:tcBorders/>
            <w:shd w:fill="FFFFFF" w:val="clear"/>
            <w:vAlign w:val="center"/>
          </w:tcPr>
          <w:p>
            <w:pPr>
              <w:pStyle w:val="TableContents"/>
              <w:bidi w:val="0"/>
              <w:spacing w:before="0" w:after="283"/>
              <w:jc w:val="left"/>
              <w:rPr>
                <w:b/>
              </w:rPr>
            </w:pPr>
            <w:r>
              <w:rPr>
                <w:b/>
              </w:rPr>
              <w:t>Total Other (Expense) Income</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(6,878</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(3,334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pPr>
            <w:r>
              <w:rPr/>
              <w:t>(11,406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pPr>
            <w:r>
              <w:rPr/>
              <w:t>11,333</w:t>
            </w:r>
          </w:p>
        </w:tc>
        <w:tc>
          <w:tcPr>
            <w:tcW w:w="115" w:type="dxa"/>
            <w:tcBorders/>
            <w:shd w:fill="FFFFFF" w:val="clear"/>
            <w:vAlign w:val="center"/>
          </w:tcPr>
          <w:p>
            <w:pPr>
              <w:pStyle w:val="TableContents"/>
              <w:bidi w:val="0"/>
              <w:spacing w:before="0" w:after="283"/>
              <w:jc w:val="left"/>
              <w:rPr/>
            </w:pPr>
            <w:r>
              <w:rPr/>
              <w:t> </w:t>
            </w:r>
          </w:p>
        </w:tc>
      </w:tr>
      <w:tr>
        <w:trPr/>
        <w:tc>
          <w:tcPr>
            <w:tcW w:w="43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22" w:name="xdx_40A_eus-gaap--IncomeLossFromContinui"/>
            <w:bookmarkEnd w:id="122"/>
          </w:p>
        </w:tc>
      </w:tr>
      <w:tr>
        <w:trPr/>
        <w:tc>
          <w:tcPr>
            <w:tcW w:w="4374" w:type="dxa"/>
            <w:tcBorders/>
            <w:shd w:fill="FFFFFF" w:val="clear"/>
            <w:vAlign w:val="center"/>
          </w:tcPr>
          <w:p>
            <w:pPr>
              <w:pStyle w:val="TableContents"/>
              <w:bidi w:val="0"/>
              <w:spacing w:before="0" w:after="283"/>
              <w:jc w:val="left"/>
              <w:rPr>
                <w:b/>
              </w:rPr>
            </w:pPr>
            <w:r>
              <w:rPr>
                <w:b/>
              </w:rPr>
              <w:t>Net Loss Before Taxes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(13,627</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(11,899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pPr>
            <w:r>
              <w:rPr/>
              <w:t>(23,994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pPr>
            <w:r>
              <w:rPr/>
              <w:t>(7,124</w:t>
            </w:r>
          </w:p>
        </w:tc>
        <w:tc>
          <w:tcPr>
            <w:tcW w:w="115" w:type="dxa"/>
            <w:tcBorders/>
            <w:shd w:fill="FFFFFF" w:val="clear"/>
            <w:vAlign w:val="center"/>
          </w:tcPr>
          <w:p>
            <w:pPr>
              <w:pStyle w:val="TableContents"/>
              <w:bidi w:val="0"/>
              <w:spacing w:before="0" w:after="283"/>
              <w:jc w:val="left"/>
              <w:rPr/>
            </w:pPr>
            <w:r>
              <w:rPr/>
              <w:t>)</w:t>
            </w:r>
          </w:p>
        </w:tc>
      </w:tr>
      <w:tr>
        <w:trPr/>
        <w:tc>
          <w:tcPr>
            <w:tcW w:w="43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23" w:name="xdx_40A_eus-gaap--IncomeTaxExpenseBenefi"/>
            <w:bookmarkEnd w:id="123"/>
          </w:p>
        </w:tc>
      </w:tr>
      <w:tr>
        <w:trPr/>
        <w:tc>
          <w:tcPr>
            <w:tcW w:w="4374" w:type="dxa"/>
            <w:tcBorders/>
            <w:shd w:fill="FFFFFF" w:val="clear"/>
            <w:vAlign w:val="center"/>
          </w:tcPr>
          <w:p>
            <w:pPr>
              <w:pStyle w:val="TableContents"/>
              <w:bidi w:val="0"/>
              <w:spacing w:before="0" w:after="283"/>
              <w:jc w:val="left"/>
              <w:rPr>
                <w:b/>
              </w:rPr>
            </w:pPr>
            <w:r>
              <w:rPr>
                <w:b/>
              </w:rPr>
              <w:t>Income Tax (Benefit) Expense</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43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24" w:name="xdx_404_eus-gaap--NetIncomeLoss_iT_mtNIL"/>
            <w:bookmarkEnd w:id="124"/>
          </w:p>
        </w:tc>
      </w:tr>
      <w:tr>
        <w:trPr/>
        <w:tc>
          <w:tcPr>
            <w:tcW w:w="4374"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7" w:type="dxa"/>
            <w:tcBorders>
              <w:bottom w:val="double" w:sz="6" w:space="0" w:color="000000"/>
            </w:tcBorders>
            <w:shd w:fill="FFFFFF" w:val="clear"/>
            <w:tcMar>
              <w:bottom w:w="28" w:type="dxa"/>
            </w:tcMar>
            <w:vAlign w:val="center"/>
          </w:tcPr>
          <w:p>
            <w:pPr>
              <w:pStyle w:val="TableContents"/>
              <w:bidi w:val="0"/>
              <w:spacing w:before="0" w:after="283"/>
              <w:jc w:val="right"/>
              <w:rPr/>
            </w:pPr>
            <w:r>
              <w:rPr/>
              <w:t>(13,627</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7" w:type="dxa"/>
            <w:tcBorders>
              <w:bottom w:val="double" w:sz="6" w:space="0" w:color="000000"/>
            </w:tcBorders>
            <w:shd w:fill="FFFFFF" w:val="clear"/>
            <w:tcMar>
              <w:bottom w:w="28" w:type="dxa"/>
            </w:tcMar>
            <w:vAlign w:val="center"/>
          </w:tcPr>
          <w:p>
            <w:pPr>
              <w:pStyle w:val="TableContents"/>
              <w:bidi w:val="0"/>
              <w:spacing w:before="0" w:after="283"/>
              <w:jc w:val="right"/>
              <w:rPr/>
            </w:pPr>
            <w:r>
              <w:rPr/>
              <w:t>(11,899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FFFFFF" w:val="clear"/>
            <w:tcMar>
              <w:bottom w:w="28" w:type="dxa"/>
            </w:tcMar>
            <w:vAlign w:val="center"/>
          </w:tcPr>
          <w:p>
            <w:pPr>
              <w:pStyle w:val="TableContents"/>
              <w:bidi w:val="0"/>
              <w:spacing w:before="0" w:after="283"/>
              <w:jc w:val="right"/>
              <w:rPr/>
            </w:pPr>
            <w:r>
              <w:rPr/>
              <w:t>(23,994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FFFFFF" w:val="clear"/>
            <w:tcMar>
              <w:bottom w:w="28" w:type="dxa"/>
            </w:tcMar>
            <w:vAlign w:val="center"/>
          </w:tcPr>
          <w:p>
            <w:pPr>
              <w:pStyle w:val="TableContents"/>
              <w:bidi w:val="0"/>
              <w:spacing w:before="0" w:after="283"/>
              <w:jc w:val="right"/>
              <w:rPr/>
            </w:pPr>
            <w:r>
              <w:rPr/>
              <w:t>(7,124</w:t>
            </w:r>
          </w:p>
        </w:tc>
        <w:tc>
          <w:tcPr>
            <w:tcW w:w="115" w:type="dxa"/>
            <w:tcBorders/>
            <w:shd w:fill="FFFFFF" w:val="clear"/>
            <w:vAlign w:val="center"/>
          </w:tcPr>
          <w:p>
            <w:pPr>
              <w:pStyle w:val="TableContents"/>
              <w:bidi w:val="0"/>
              <w:spacing w:before="0" w:after="283"/>
              <w:jc w:val="left"/>
              <w:rPr/>
            </w:pPr>
            <w:r>
              <w:rPr/>
              <w:t>)</w:t>
            </w:r>
          </w:p>
        </w:tc>
      </w:tr>
      <w:tr>
        <w:trPr/>
        <w:tc>
          <w:tcPr>
            <w:tcW w:w="43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4374" w:type="dxa"/>
            <w:tcBorders/>
            <w:shd w:fill="FFFFFF" w:val="clear"/>
            <w:vAlign w:val="center"/>
          </w:tcPr>
          <w:p>
            <w:pPr>
              <w:pStyle w:val="TableContents"/>
              <w:bidi w:val="0"/>
              <w:spacing w:before="0" w:after="283"/>
              <w:jc w:val="left"/>
              <w:rPr/>
            </w:pPr>
            <w:r>
              <w:rPr/>
              <w:t>Loss Per Share- Basic &amp; Diluted</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7"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5" w:name="xdx_90E_eus-gaap--EarningsPerShareDilute"/>
            <w:bookmarkStart w:id="126" w:name="xdx_900_eus-gaap--EarningsPerShareBasic_"/>
            <w:bookmarkEnd w:id="125"/>
            <w:bookmarkEnd w:id="126"/>
            <w:r>
              <w:rPr/>
              <w:t>(0.22</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7"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7" w:name="xdx_908_eus-gaap--EarningsPerShareDilute"/>
            <w:bookmarkStart w:id="128" w:name="xdx_904_eus-gaap--EarningsPerShareBasic_"/>
            <w:bookmarkEnd w:id="127"/>
            <w:bookmarkEnd w:id="128"/>
            <w:r>
              <w:rPr/>
              <w:t>(0.25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9" w:name="xdx_901_eus-gaap--EarningsPerShareDilute"/>
            <w:bookmarkStart w:id="130" w:name="xdx_90D_eus-gaap--EarningsPerShareBasic_"/>
            <w:bookmarkEnd w:id="129"/>
            <w:bookmarkEnd w:id="130"/>
            <w:r>
              <w:rPr/>
              <w:t>(0.40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31" w:name="xdx_90E_eus-gaap--EarningsPerShareDilute"/>
            <w:bookmarkStart w:id="132" w:name="xdx_90D_eus-gaap--EarningsPerShareBasic_"/>
            <w:bookmarkEnd w:id="131"/>
            <w:bookmarkEnd w:id="132"/>
            <w:r>
              <w:rPr/>
              <w:t>(0.15</w:t>
            </w:r>
          </w:p>
        </w:tc>
        <w:tc>
          <w:tcPr>
            <w:tcW w:w="115" w:type="dxa"/>
            <w:tcBorders/>
            <w:shd w:fill="FFFFFF" w:val="clear"/>
            <w:vAlign w:val="center"/>
          </w:tcPr>
          <w:p>
            <w:pPr>
              <w:pStyle w:val="TableContents"/>
              <w:bidi w:val="0"/>
              <w:spacing w:before="0" w:after="283"/>
              <w:jc w:val="left"/>
              <w:rPr/>
            </w:pPr>
            <w:r>
              <w:rPr/>
              <w:t>)</w:t>
            </w:r>
          </w:p>
        </w:tc>
      </w:tr>
      <w:tr>
        <w:trPr/>
        <w:tc>
          <w:tcPr>
            <w:tcW w:w="43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4374" w:type="dxa"/>
            <w:tcBorders/>
            <w:shd w:fill="FFFFFF" w:val="clear"/>
            <w:vAlign w:val="center"/>
          </w:tcPr>
          <w:p>
            <w:pPr>
              <w:pStyle w:val="TableContents"/>
              <w:bidi w:val="0"/>
              <w:spacing w:before="0" w:after="283"/>
              <w:jc w:val="left"/>
              <w:rPr/>
            </w:pPr>
            <w:r>
              <w:rPr/>
              <w:t>Weighted Average Number of Shares – Basic &amp; Diluted</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33" w:name="xdx_904_eus-gaap--WeightedAverageNumberO"/>
            <w:bookmarkStart w:id="134" w:name="xdx_901_eus-gaap--WeightedAverageNumberO"/>
            <w:bookmarkEnd w:id="133"/>
            <w:bookmarkEnd w:id="134"/>
            <w:r>
              <w:rPr/>
              <w:t>60,673,835</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35" w:name="xdx_90B_eus-gaap--WeightedAverageNumberO"/>
            <w:bookmarkStart w:id="136" w:name="xdx_90A_eus-gaap--WeightedAverageNumberO"/>
            <w:bookmarkEnd w:id="135"/>
            <w:bookmarkEnd w:id="136"/>
            <w:r>
              <w:rPr/>
              <w:t>47,418,269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37" w:name="xdx_908_eus-gaap--WeightedAverageNumberO"/>
            <w:bookmarkStart w:id="138" w:name="xdx_904_eus-gaap--WeightedAverageNumberO"/>
            <w:bookmarkEnd w:id="137"/>
            <w:bookmarkEnd w:id="138"/>
            <w:r>
              <w:rPr/>
              <w:t>60,467,639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39" w:name="xdx_90F_eus-gaap--WeightedAverageNumberO"/>
            <w:bookmarkStart w:id="140" w:name="xdx_908_eus-gaap--WeightedAverageNumberO"/>
            <w:bookmarkEnd w:id="139"/>
            <w:bookmarkEnd w:id="140"/>
            <w:r>
              <w:rPr/>
              <w:t>46,263,591</w:t>
            </w:r>
          </w:p>
        </w:tc>
        <w:tc>
          <w:tcPr>
            <w:tcW w:w="11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bookmarkStart w:id="141" w:name="ku_005"/>
      <w:bookmarkEnd w:id="141"/>
      <w:r>
        <w:rPr>
          <w:rFonts w:ascii="Times New Roman;Times;Serif" w:hAnsi="Times New Roman;Times;Serif"/>
          <w:b/>
          <w:i w:val="false"/>
          <w:caps/>
          <w:sz w:val="20"/>
        </w:rPr>
        <w:t>Unaudited Condensed Consolidated Statements of STockholders’ Equity</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For the Three AND SIX Months Ended June 30, 2024 and 2023</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data)</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2" w:name="xdx_303_114_pn3n3_zIuYbUAfpm1f"/>
      <w:bookmarkStart w:id="143" w:name="xdx_303_114_pn3n3_zIuYbUAfpm1f"/>
      <w:bookmarkEnd w:id="143"/>
    </w:p>
    <w:tbl>
      <w:tblPr>
        <w:tblW w:w="10205" w:type="dxa"/>
        <w:jc w:val="left"/>
        <w:tblInd w:w="0" w:type="dxa"/>
        <w:tblLayout w:type="fixed"/>
        <w:tblCellMar>
          <w:top w:w="0" w:type="dxa"/>
          <w:left w:w="0" w:type="dxa"/>
          <w:bottom w:w="0" w:type="dxa"/>
          <w:right w:w="0" w:type="dxa"/>
        </w:tblCellMar>
      </w:tblPr>
      <w:tblGrid>
        <w:gridCol w:w="3891"/>
        <w:gridCol w:w="60"/>
        <w:gridCol w:w="60"/>
        <w:gridCol w:w="1100"/>
        <w:gridCol w:w="95"/>
        <w:gridCol w:w="60"/>
        <w:gridCol w:w="215"/>
        <w:gridCol w:w="585"/>
        <w:gridCol w:w="60"/>
        <w:gridCol w:w="60"/>
        <w:gridCol w:w="249"/>
        <w:gridCol w:w="1209"/>
        <w:gridCol w:w="60"/>
        <w:gridCol w:w="60"/>
        <w:gridCol w:w="200"/>
        <w:gridCol w:w="1080"/>
        <w:gridCol w:w="95"/>
        <w:gridCol w:w="60"/>
        <w:gridCol w:w="140"/>
        <w:gridCol w:w="755"/>
        <w:gridCol w:w="111"/>
      </w:tblGrid>
      <w:tr>
        <w:trPr/>
        <w:tc>
          <w:tcPr>
            <w:tcW w:w="38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44" w:name="xdx_4B3_us-gaap--StatementEquityComponen"/>
            <w:bookmarkEnd w:id="144"/>
          </w:p>
        </w:tc>
        <w:tc>
          <w:tcPr>
            <w:tcW w:w="80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45" w:name="xdx_4BD_us-gaap--StatementEquityComponen"/>
            <w:bookmarkEnd w:id="145"/>
          </w:p>
        </w:tc>
        <w:tc>
          <w:tcPr>
            <w:tcW w:w="1458" w:type="dxa"/>
            <w:gridSpan w:val="2"/>
            <w:tcBorders>
              <w:bottom w:val="single" w:sz="12" w:space="0" w:color="000000"/>
            </w:tcBorders>
            <w:tcMar>
              <w:bottom w:w="28" w:type="dxa"/>
            </w:tcMar>
            <w:vAlign w:val="center"/>
          </w:tcPr>
          <w:p>
            <w:pPr>
              <w:pStyle w:val="TableContents"/>
              <w:bidi w:val="0"/>
              <w:spacing w:before="0" w:after="283"/>
              <w:jc w:val="center"/>
              <w:rPr/>
            </w:pPr>
            <w:r>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46" w:name="xdx_4B1_us-gaap--StatementEquityComponen"/>
            <w:bookmarkEnd w:id="146"/>
          </w:p>
        </w:tc>
        <w:tc>
          <w:tcPr>
            <w:tcW w:w="1280" w:type="dxa"/>
            <w:gridSpan w:val="2"/>
            <w:tcBorders>
              <w:bottom w:val="single" w:sz="12"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47" w:name="xdx_4B2_zeH4Q0c05osd"/>
            <w:bookmarkEnd w:id="147"/>
          </w:p>
        </w:tc>
        <w:tc>
          <w:tcPr>
            <w:tcW w:w="895" w:type="dxa"/>
            <w:gridSpan w:val="2"/>
            <w:tcBorders>
              <w:bottom w:val="single" w:sz="12" w:space="0" w:color="000000"/>
            </w:tcBorders>
            <w:tcMar>
              <w:bottom w:w="28" w:type="dxa"/>
            </w:tcMar>
            <w:vAlign w:val="center"/>
          </w:tcPr>
          <w:p>
            <w:pPr>
              <w:pStyle w:val="TableContents"/>
              <w:bidi w:val="0"/>
              <w:spacing w:before="0" w:after="283"/>
              <w:jc w:val="center"/>
              <w:rPr/>
            </w:pPr>
            <w:r>
              <w:rPr/>
              <w:t>Total</w:t>
            </w:r>
          </w:p>
        </w:tc>
        <w:tc>
          <w:tcPr>
            <w:tcW w:w="111" w:type="dxa"/>
            <w:tcBorders/>
            <w:vAlign w:val="center"/>
          </w:tcPr>
          <w:p>
            <w:pPr>
              <w:pStyle w:val="TableContents"/>
              <w:bidi w:val="0"/>
              <w:spacing w:before="0" w:after="283"/>
              <w:jc w:val="center"/>
              <w:rPr/>
            </w:pPr>
            <w:r>
              <w:rPr/>
              <w:t> </w:t>
            </w:r>
          </w:p>
        </w:tc>
      </w:tr>
      <w:tr>
        <w:trPr/>
        <w:tc>
          <w:tcPr>
            <w:tcW w:w="38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15" w:type="dxa"/>
            <w:gridSpan w:val="6"/>
            <w:tcBorders>
              <w:bottom w:val="single" w:sz="12" w:space="0" w:color="000000"/>
            </w:tcBorders>
            <w:tcMar>
              <w:bottom w:w="28" w:type="dxa"/>
            </w:tcMar>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58" w:type="dxa"/>
            <w:gridSpan w:val="2"/>
            <w:tcBorders/>
            <w:vAlign w:val="center"/>
          </w:tcPr>
          <w:p>
            <w:pPr>
              <w:pStyle w:val="TableContents"/>
              <w:bidi w:val="0"/>
              <w:spacing w:before="0" w:after="283"/>
              <w:jc w:val="center"/>
              <w:rPr/>
            </w:pPr>
            <w:r>
              <w:rPr/>
              <w:t>Additional Paid-In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vAlign w:val="center"/>
          </w:tcPr>
          <w:p>
            <w:pPr>
              <w:pStyle w:val="TableContents"/>
              <w:bidi w:val="0"/>
              <w:spacing w:before="0" w:after="283"/>
              <w:jc w:val="center"/>
              <w:rPr/>
            </w:pPr>
            <w:r>
              <w:rPr/>
              <w:t> </w:t>
            </w:r>
          </w:p>
        </w:tc>
        <w:tc>
          <w:tcPr>
            <w:tcW w:w="111" w:type="dxa"/>
            <w:tcBorders/>
            <w:vAlign w:val="center"/>
          </w:tcPr>
          <w:p>
            <w:pPr>
              <w:pStyle w:val="TableContents"/>
              <w:bidi w:val="0"/>
              <w:spacing w:before="0" w:after="283"/>
              <w:jc w:val="center"/>
              <w:rPr/>
            </w:pPr>
            <w:r>
              <w:rPr/>
              <w:t> </w:t>
            </w:r>
          </w:p>
        </w:tc>
      </w:tr>
      <w:tr>
        <w:trPr/>
        <w:tc>
          <w:tcPr>
            <w:tcW w:w="38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58" w:type="dxa"/>
            <w:gridSpan w:val="2"/>
            <w:tcBorders>
              <w:bottom w:val="single" w:sz="12" w:space="0" w:color="000000"/>
            </w:tcBorders>
            <w:tcMar>
              <w:bottom w:w="28" w:type="dxa"/>
            </w:tcMar>
            <w:vAlign w:val="center"/>
          </w:tcPr>
          <w:p>
            <w:pPr>
              <w:pStyle w:val="TableContents"/>
              <w:bidi w:val="0"/>
              <w:spacing w:before="0" w:after="283"/>
              <w:jc w:val="center"/>
              <w:rPr/>
            </w:pPr>
            <w:r>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pPr>
            <w:r>
              <w:rPr/>
              <w:t>Total</w:t>
            </w:r>
          </w:p>
        </w:tc>
        <w:tc>
          <w:tcPr>
            <w:tcW w:w="111" w:type="dxa"/>
            <w:tcBorders/>
            <w:vAlign w:val="center"/>
          </w:tcPr>
          <w:p>
            <w:pPr>
              <w:pStyle w:val="TableContents"/>
              <w:bidi w:val="0"/>
              <w:spacing w:before="0" w:after="283"/>
              <w:jc w:val="center"/>
              <w:rPr/>
            </w:pPr>
            <w:r>
              <w:rPr/>
              <w:t> </w:t>
            </w:r>
          </w:p>
        </w:tc>
      </w:tr>
      <w:tr>
        <w:trPr/>
        <w:tc>
          <w:tcPr>
            <w:tcW w:w="38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8"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bookmarkStart w:id="148" w:name="xdx_431_c20230101__20230331_eus-gaap--St"/>
            <w:bookmarkEnd w:id="148"/>
          </w:p>
        </w:tc>
      </w:tr>
      <w:tr>
        <w:trPr/>
        <w:tc>
          <w:tcPr>
            <w:tcW w:w="3891" w:type="dxa"/>
            <w:tcBorders/>
            <w:shd w:fill="CCEEFF" w:val="clear"/>
            <w:vAlign w:val="center"/>
          </w:tcPr>
          <w:p>
            <w:pPr>
              <w:pStyle w:val="TableContents"/>
              <w:bidi w:val="0"/>
              <w:spacing w:before="0" w:after="283"/>
              <w:jc w:val="left"/>
              <w:rPr>
                <w:b/>
              </w:rPr>
            </w:pPr>
            <w:r>
              <w:rPr>
                <w:b/>
              </w:rPr>
              <w:t>Balance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9" w:name="xdx_980_eus-gaap--SharesOutstanding_iS_p"/>
            <w:bookmarkEnd w:id="149"/>
          </w:p>
        </w:tc>
        <w:tc>
          <w:tcPr>
            <w:tcW w:w="1100" w:type="dxa"/>
            <w:tcBorders/>
            <w:shd w:fill="CCEEFF" w:val="clear"/>
            <w:vAlign w:val="center"/>
          </w:tcPr>
          <w:p>
            <w:pPr>
              <w:pStyle w:val="TableContents"/>
              <w:bidi w:val="0"/>
              <w:spacing w:before="0" w:after="283"/>
              <w:jc w:val="right"/>
              <w:rPr/>
            </w:pPr>
            <w:r>
              <w:rPr/>
              <w:t>43,272,728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585" w:type="dxa"/>
            <w:tcBorders/>
            <w:shd w:fill="CCEEFF" w:val="clear"/>
            <w:vAlign w:val="center"/>
          </w:tcPr>
          <w:p>
            <w:pPr>
              <w:pStyle w:val="TableContents"/>
              <w:bidi w:val="0"/>
              <w:spacing w:before="0" w:after="283"/>
              <w:jc w:val="right"/>
              <w:rPr/>
            </w:pPr>
            <w:r>
              <w:rPr/>
              <w:t>    </w:t>
            </w: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209" w:type="dxa"/>
            <w:tcBorders/>
            <w:shd w:fill="CCEEFF" w:val="clear"/>
            <w:vAlign w:val="center"/>
          </w:tcPr>
          <w:p>
            <w:pPr>
              <w:pStyle w:val="TableContents"/>
              <w:bidi w:val="0"/>
              <w:spacing w:before="0" w:after="283"/>
              <w:jc w:val="right"/>
              <w:rPr/>
            </w:pPr>
            <w:r>
              <w:rPr/>
              <w:t>38,461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1080" w:type="dxa"/>
            <w:tcBorders/>
            <w:shd w:fill="CCEEFF" w:val="clear"/>
            <w:vAlign w:val="center"/>
          </w:tcPr>
          <w:p>
            <w:pPr>
              <w:pStyle w:val="TableContents"/>
              <w:bidi w:val="0"/>
              <w:spacing w:before="0" w:after="283"/>
              <w:jc w:val="right"/>
              <w:rPr/>
            </w:pPr>
            <w:r>
              <w:rPr/>
              <w:t>(27,722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10,743</w:t>
            </w:r>
          </w:p>
        </w:tc>
        <w:tc>
          <w:tcPr>
            <w:tcW w:w="111" w:type="dxa"/>
            <w:tcBorders/>
            <w:shd w:fill="CCEEFF" w:val="clear"/>
            <w:vAlign w:val="center"/>
          </w:tcPr>
          <w:p>
            <w:pPr>
              <w:pStyle w:val="TableContents"/>
              <w:bidi w:val="0"/>
              <w:spacing w:before="0" w:after="283"/>
              <w:jc w:val="left"/>
              <w:rPr/>
            </w:pPr>
            <w:r>
              <w:rPr/>
              <w:t> </w:t>
            </w:r>
          </w:p>
        </w:tc>
      </w:tr>
      <w:tr>
        <w:trPr/>
        <w:tc>
          <w:tcPr>
            <w:tcW w:w="38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150" w:name="xdx_40F_eus-gaap--NetIncomeLoss_pn3n3_zo"/>
            <w:bookmarkEnd w:id="150"/>
          </w:p>
        </w:tc>
      </w:tr>
      <w:tr>
        <w:trPr/>
        <w:tc>
          <w:tcPr>
            <w:tcW w:w="3891"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4,775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4,775</w:t>
            </w:r>
          </w:p>
        </w:tc>
        <w:tc>
          <w:tcPr>
            <w:tcW w:w="111" w:type="dxa"/>
            <w:tcBorders/>
            <w:shd w:fill="CCEEFF" w:val="clear"/>
            <w:vAlign w:val="center"/>
          </w:tcPr>
          <w:p>
            <w:pPr>
              <w:pStyle w:val="TableContents"/>
              <w:bidi w:val="0"/>
              <w:spacing w:before="0" w:after="283"/>
              <w:jc w:val="left"/>
              <w:rPr/>
            </w:pPr>
            <w:r>
              <w:rPr/>
              <w:t> </w:t>
            </w:r>
            <w:bookmarkStart w:id="151" w:name="xdx_403_eus-gaap--StockIssuedDuringPerio"/>
            <w:bookmarkEnd w:id="151"/>
          </w:p>
        </w:tc>
      </w:tr>
      <w:tr>
        <w:trPr/>
        <w:tc>
          <w:tcPr>
            <w:tcW w:w="3891" w:type="dxa"/>
            <w:tcBorders/>
            <w:shd w:fill="FFFFFF" w:val="clear"/>
            <w:vAlign w:val="center"/>
          </w:tcPr>
          <w:p>
            <w:pPr>
              <w:pStyle w:val="TableContents"/>
              <w:bidi w:val="0"/>
              <w:spacing w:before="0" w:after="283"/>
              <w:jc w:val="left"/>
              <w:rPr/>
            </w:pPr>
            <w:r>
              <w:rPr/>
              <w:t>Common stock issued in public offering (ATM), net of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2" w:name="xdx_989_eus-gaap--StockIssuedDuringPerio"/>
            <w:bookmarkEnd w:id="152"/>
          </w:p>
        </w:tc>
        <w:tc>
          <w:tcPr>
            <w:tcW w:w="1100" w:type="dxa"/>
            <w:tcBorders/>
            <w:shd w:fill="FFFFFF" w:val="clear"/>
            <w:vAlign w:val="center"/>
          </w:tcPr>
          <w:p>
            <w:pPr>
              <w:pStyle w:val="TableContents"/>
              <w:bidi w:val="0"/>
              <w:spacing w:before="0" w:after="283"/>
              <w:jc w:val="right"/>
              <w:rPr/>
            </w:pPr>
            <w:r>
              <w:rPr/>
              <w:t>73,500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597</w:t>
            </w:r>
          </w:p>
        </w:tc>
        <w:tc>
          <w:tcPr>
            <w:tcW w:w="111" w:type="dxa"/>
            <w:tcBorders/>
            <w:shd w:fill="FFFFFF" w:val="clear"/>
            <w:vAlign w:val="center"/>
          </w:tcPr>
          <w:p>
            <w:pPr>
              <w:pStyle w:val="TableContents"/>
              <w:bidi w:val="0"/>
              <w:spacing w:before="0" w:after="283"/>
              <w:jc w:val="left"/>
              <w:rPr/>
            </w:pPr>
            <w:r>
              <w:rPr/>
              <w:t> </w:t>
            </w:r>
            <w:bookmarkStart w:id="153" w:name="xdx_40E_eus-gaap--StockIssuedDuringPerio"/>
            <w:bookmarkEnd w:id="153"/>
          </w:p>
        </w:tc>
      </w:tr>
      <w:tr>
        <w:trPr/>
        <w:tc>
          <w:tcPr>
            <w:tcW w:w="3891" w:type="dxa"/>
            <w:tcBorders/>
            <w:shd w:fill="CCEEFF" w:val="clear"/>
            <w:vAlign w:val="center"/>
          </w:tcPr>
          <w:p>
            <w:pPr>
              <w:pStyle w:val="TableContents"/>
              <w:bidi w:val="0"/>
              <w:spacing w:before="0" w:after="283"/>
              <w:jc w:val="left"/>
              <w:rPr/>
            </w:pPr>
            <w:r>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4" w:name="xdx_980_eus-gaap--StockIssuedDuringPerio"/>
            <w:bookmarkEnd w:id="154"/>
          </w:p>
        </w:tc>
        <w:tc>
          <w:tcPr>
            <w:tcW w:w="1100" w:type="dxa"/>
            <w:tcBorders/>
            <w:shd w:fill="CCEEFF" w:val="clear"/>
            <w:vAlign w:val="center"/>
          </w:tcPr>
          <w:p>
            <w:pPr>
              <w:pStyle w:val="TableContents"/>
              <w:bidi w:val="0"/>
              <w:spacing w:before="0" w:after="283"/>
              <w:jc w:val="right"/>
              <w:rPr/>
            </w:pPr>
            <w:r>
              <w:rPr/>
              <w:t>36,009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93</w:t>
            </w:r>
          </w:p>
        </w:tc>
        <w:tc>
          <w:tcPr>
            <w:tcW w:w="111" w:type="dxa"/>
            <w:tcBorders/>
            <w:shd w:fill="CCEEFF" w:val="clear"/>
            <w:vAlign w:val="center"/>
          </w:tcPr>
          <w:p>
            <w:pPr>
              <w:pStyle w:val="TableContents"/>
              <w:bidi w:val="0"/>
              <w:spacing w:before="0" w:after="283"/>
              <w:jc w:val="left"/>
              <w:rPr/>
            </w:pPr>
            <w:r>
              <w:rPr/>
              <w:t> </w:t>
            </w:r>
            <w:bookmarkStart w:id="155" w:name="xdx_40A_ecustom--StockIssuedDuringPeriod"/>
            <w:bookmarkEnd w:id="155"/>
          </w:p>
        </w:tc>
      </w:tr>
      <w:tr>
        <w:trPr/>
        <w:tc>
          <w:tcPr>
            <w:tcW w:w="3891" w:type="dxa"/>
            <w:tcBorders/>
            <w:shd w:fill="FFFFFF" w:val="clear"/>
            <w:vAlign w:val="center"/>
          </w:tcPr>
          <w:p>
            <w:pPr>
              <w:pStyle w:val="TableContents"/>
              <w:bidi w:val="0"/>
              <w:spacing w:before="0" w:after="283"/>
              <w:jc w:val="left"/>
              <w:rPr/>
            </w:pPr>
            <w:r>
              <w:rPr/>
              <w:t>Exercise of public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6" w:name="xdx_982_ecustom--StockIssuedDuringPeriod"/>
            <w:bookmarkEnd w:id="156"/>
          </w:p>
        </w:tc>
        <w:tc>
          <w:tcPr>
            <w:tcW w:w="1100" w:type="dxa"/>
            <w:tcBorders/>
            <w:shd w:fill="FFFFFF" w:val="clear"/>
            <w:vAlign w:val="center"/>
          </w:tcPr>
          <w:p>
            <w:pPr>
              <w:pStyle w:val="TableContents"/>
              <w:bidi w:val="0"/>
              <w:spacing w:before="0" w:after="283"/>
              <w:jc w:val="right"/>
              <w:rPr/>
            </w:pPr>
            <w:r>
              <w:rPr/>
              <w:t>64,971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747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747</w:t>
            </w:r>
          </w:p>
        </w:tc>
        <w:tc>
          <w:tcPr>
            <w:tcW w:w="111" w:type="dxa"/>
            <w:tcBorders/>
            <w:shd w:fill="FFFFFF" w:val="clear"/>
            <w:vAlign w:val="center"/>
          </w:tcPr>
          <w:p>
            <w:pPr>
              <w:pStyle w:val="TableContents"/>
              <w:bidi w:val="0"/>
              <w:spacing w:before="0" w:after="283"/>
              <w:jc w:val="left"/>
              <w:rPr/>
            </w:pPr>
            <w:r>
              <w:rPr/>
              <w:t> </w:t>
            </w:r>
            <w:bookmarkStart w:id="157" w:name="xdx_40B_eus-gaap--StockIssuedDuringPerio"/>
            <w:bookmarkEnd w:id="157"/>
          </w:p>
        </w:tc>
      </w:tr>
      <w:tr>
        <w:trPr/>
        <w:tc>
          <w:tcPr>
            <w:tcW w:w="3891" w:type="dxa"/>
            <w:tcBorders/>
            <w:shd w:fill="CCEEFF" w:val="clear"/>
            <w:vAlign w:val="center"/>
          </w:tcPr>
          <w:p>
            <w:pPr>
              <w:pStyle w:val="TableContents"/>
              <w:bidi w:val="0"/>
              <w:spacing w:before="0" w:after="283"/>
              <w:jc w:val="left"/>
              <w:rPr/>
            </w:pPr>
            <w:r>
              <w:rPr/>
              <w:t>Cashless exercise of liability classified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8" w:name="xdx_982_eus-gaap--StockIssuedDuringPerio"/>
            <w:bookmarkEnd w:id="158"/>
          </w:p>
        </w:tc>
        <w:tc>
          <w:tcPr>
            <w:tcW w:w="1100" w:type="dxa"/>
            <w:tcBorders/>
            <w:shd w:fill="CCEEFF" w:val="clear"/>
            <w:vAlign w:val="center"/>
          </w:tcPr>
          <w:p>
            <w:pPr>
              <w:pStyle w:val="TableContents"/>
              <w:bidi w:val="0"/>
              <w:spacing w:before="0" w:after="283"/>
              <w:jc w:val="right"/>
              <w:rPr/>
            </w:pPr>
            <w:r>
              <w:rPr/>
              <w:t>2,348,294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85"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10,166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10,167</w:t>
            </w:r>
          </w:p>
        </w:tc>
        <w:tc>
          <w:tcPr>
            <w:tcW w:w="111" w:type="dxa"/>
            <w:tcBorders/>
            <w:shd w:fill="CCEEFF" w:val="clear"/>
            <w:vAlign w:val="center"/>
          </w:tcPr>
          <w:p>
            <w:pPr>
              <w:pStyle w:val="TableContents"/>
              <w:bidi w:val="0"/>
              <w:spacing w:before="0" w:after="283"/>
              <w:jc w:val="left"/>
              <w:rPr/>
            </w:pPr>
            <w:r>
              <w:rPr/>
              <w:t> </w:t>
            </w:r>
            <w:bookmarkStart w:id="159" w:name="xdx_403_eus-gaap--AdjustmentsToAdditiona"/>
            <w:bookmarkEnd w:id="159"/>
          </w:p>
        </w:tc>
      </w:tr>
      <w:tr>
        <w:trPr/>
        <w:tc>
          <w:tcPr>
            <w:tcW w:w="3891" w:type="dxa"/>
            <w:tcBorders/>
            <w:shd w:fill="FFFFFF" w:val="clear"/>
            <w:vAlign w:val="center"/>
          </w:tcPr>
          <w:p>
            <w:pPr>
              <w:pStyle w:val="TableContents"/>
              <w:bidi w:val="0"/>
              <w:spacing w:before="0" w:after="283"/>
              <w:jc w:val="left"/>
              <w:rPr/>
            </w:pPr>
            <w:r>
              <w:rPr/>
              <w:t>Stock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8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9" w:type="dxa"/>
            <w:tcBorders>
              <w:bottom w:val="single" w:sz="12" w:space="0" w:color="000000"/>
            </w:tcBorders>
            <w:shd w:fill="FFFFFF" w:val="clear"/>
            <w:tcMar>
              <w:bottom w:w="28" w:type="dxa"/>
            </w:tcMar>
            <w:vAlign w:val="center"/>
          </w:tcPr>
          <w:p>
            <w:pPr>
              <w:pStyle w:val="TableContents"/>
              <w:bidi w:val="0"/>
              <w:spacing w:before="0" w:after="283"/>
              <w:jc w:val="right"/>
              <w:rPr/>
            </w:pPr>
            <w:r>
              <w:rPr/>
              <w:t>4,487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4,487</w:t>
            </w:r>
          </w:p>
        </w:tc>
        <w:tc>
          <w:tcPr>
            <w:tcW w:w="111" w:type="dxa"/>
            <w:tcBorders/>
            <w:shd w:fill="FFFFFF" w:val="clear"/>
            <w:vAlign w:val="center"/>
          </w:tcPr>
          <w:p>
            <w:pPr>
              <w:pStyle w:val="TableContents"/>
              <w:bidi w:val="0"/>
              <w:spacing w:before="0" w:after="283"/>
              <w:jc w:val="left"/>
              <w:rPr/>
            </w:pPr>
            <w:r>
              <w:rPr/>
              <w:t> </w:t>
            </w:r>
          </w:p>
        </w:tc>
      </w:tr>
      <w:tr>
        <w:trPr/>
        <w:tc>
          <w:tcPr>
            <w:tcW w:w="38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160" w:name="xdx_438_c20230401__20230630_eus-gaap--St"/>
            <w:bookmarkEnd w:id="160"/>
          </w:p>
        </w:tc>
      </w:tr>
      <w:tr>
        <w:trPr/>
        <w:tc>
          <w:tcPr>
            <w:tcW w:w="3891" w:type="dxa"/>
            <w:tcBorders/>
            <w:shd w:fill="FFFFFF" w:val="clear"/>
            <w:vAlign w:val="center"/>
          </w:tcPr>
          <w:p>
            <w:pPr>
              <w:pStyle w:val="TableContents"/>
              <w:bidi w:val="0"/>
              <w:spacing w:before="0" w:after="283"/>
              <w:jc w:val="left"/>
              <w:rPr>
                <w:b/>
              </w:rPr>
            </w:pPr>
            <w:r>
              <w:rPr>
                <w:b/>
              </w:rPr>
              <w:t>Balance - March 31,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1" w:name="xdx_98A_eus-gaap--SharesOutstanding_iS_p"/>
            <w:bookmarkEnd w:id="161"/>
          </w:p>
        </w:tc>
        <w:tc>
          <w:tcPr>
            <w:tcW w:w="1100" w:type="dxa"/>
            <w:tcBorders/>
            <w:shd w:fill="FFFFFF" w:val="clear"/>
            <w:vAlign w:val="center"/>
          </w:tcPr>
          <w:p>
            <w:pPr>
              <w:pStyle w:val="TableContents"/>
              <w:bidi w:val="0"/>
              <w:spacing w:before="0" w:after="283"/>
              <w:jc w:val="right"/>
              <w:rPr/>
            </w:pPr>
            <w:r>
              <w:rPr/>
              <w:t>45,795,502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right"/>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54,551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(22,947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31,609</w:t>
            </w:r>
          </w:p>
        </w:tc>
        <w:tc>
          <w:tcPr>
            <w:tcW w:w="111" w:type="dxa"/>
            <w:tcBorders/>
            <w:shd w:fill="FFFFFF" w:val="clear"/>
            <w:vAlign w:val="center"/>
          </w:tcPr>
          <w:p>
            <w:pPr>
              <w:pStyle w:val="TableContents"/>
              <w:bidi w:val="0"/>
              <w:spacing w:before="0" w:after="283"/>
              <w:jc w:val="left"/>
              <w:rPr/>
            </w:pPr>
            <w:r>
              <w:rPr/>
              <w:t> </w:t>
            </w:r>
            <w:bookmarkStart w:id="162" w:name="xdx_40F_eus-gaap--NetIncomeLoss_pn3n3_zE"/>
            <w:bookmarkEnd w:id="162"/>
          </w:p>
        </w:tc>
      </w:tr>
      <w:tr>
        <w:trPr/>
        <w:tc>
          <w:tcPr>
            <w:tcW w:w="3891"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(11,899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(11,899</w:t>
            </w:r>
          </w:p>
        </w:tc>
        <w:tc>
          <w:tcPr>
            <w:tcW w:w="111" w:type="dxa"/>
            <w:tcBorders/>
            <w:shd w:fill="CCEEFF" w:val="clear"/>
            <w:vAlign w:val="center"/>
          </w:tcPr>
          <w:p>
            <w:pPr>
              <w:pStyle w:val="TableContents"/>
              <w:bidi w:val="0"/>
              <w:spacing w:before="0" w:after="283"/>
              <w:jc w:val="left"/>
              <w:rPr/>
            </w:pPr>
            <w:r>
              <w:rPr/>
              <w:t>)</w:t>
            </w:r>
            <w:bookmarkStart w:id="163" w:name="xdx_408_ecustom--StockIssuedDuringPeriod"/>
            <w:bookmarkEnd w:id="163"/>
          </w:p>
        </w:tc>
      </w:tr>
      <w:tr>
        <w:trPr/>
        <w:tc>
          <w:tcPr>
            <w:tcW w:w="3891" w:type="dxa"/>
            <w:tcBorders/>
            <w:shd w:fill="FFFFFF" w:val="clear"/>
            <w:vAlign w:val="center"/>
          </w:tcPr>
          <w:p>
            <w:pPr>
              <w:pStyle w:val="TableContents"/>
              <w:bidi w:val="0"/>
              <w:spacing w:before="0" w:after="283"/>
              <w:jc w:val="left"/>
              <w:rPr/>
            </w:pPr>
            <w:r>
              <w:rPr/>
              <w:t>Common stock issued in public offering, net of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4" w:name="xdx_984_ecustom--StockIssuedDuringPeriod"/>
            <w:bookmarkEnd w:id="164"/>
          </w:p>
        </w:tc>
        <w:tc>
          <w:tcPr>
            <w:tcW w:w="1100" w:type="dxa"/>
            <w:tcBorders/>
            <w:shd w:fill="FFFFFF" w:val="clear"/>
            <w:vAlign w:val="center"/>
          </w:tcPr>
          <w:p>
            <w:pPr>
              <w:pStyle w:val="TableContents"/>
              <w:bidi w:val="0"/>
              <w:spacing w:before="0" w:after="283"/>
              <w:jc w:val="right"/>
              <w:rPr/>
            </w:pPr>
            <w:r>
              <w:rPr/>
              <w:t>11,405,000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7,877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7,878</w:t>
            </w:r>
          </w:p>
        </w:tc>
        <w:tc>
          <w:tcPr>
            <w:tcW w:w="111" w:type="dxa"/>
            <w:tcBorders/>
            <w:shd w:fill="FFFFFF" w:val="clear"/>
            <w:vAlign w:val="center"/>
          </w:tcPr>
          <w:p>
            <w:pPr>
              <w:pStyle w:val="TableContents"/>
              <w:bidi w:val="0"/>
              <w:spacing w:before="0" w:after="283"/>
              <w:jc w:val="left"/>
              <w:rPr/>
            </w:pPr>
            <w:r>
              <w:rPr/>
              <w:t> </w:t>
            </w:r>
            <w:bookmarkStart w:id="165" w:name="xdx_403_eus-gaap--StockIssuedDuringPerio"/>
            <w:bookmarkEnd w:id="165"/>
          </w:p>
        </w:tc>
      </w:tr>
      <w:tr>
        <w:trPr/>
        <w:tc>
          <w:tcPr>
            <w:tcW w:w="3891" w:type="dxa"/>
            <w:tcBorders/>
            <w:shd w:fill="CCEEFF" w:val="clear"/>
            <w:vAlign w:val="center"/>
          </w:tcPr>
          <w:p>
            <w:pPr>
              <w:pStyle w:val="TableContents"/>
              <w:bidi w:val="0"/>
              <w:spacing w:before="0" w:after="283"/>
              <w:jc w:val="left"/>
              <w:rPr/>
            </w:pPr>
            <w:r>
              <w:rPr/>
              <w:t>Common stock issued in public offering (ATM), net of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6" w:name="xdx_98E_eus-gaap--StockIssuedDuringPerio"/>
            <w:bookmarkEnd w:id="166"/>
          </w:p>
        </w:tc>
        <w:tc>
          <w:tcPr>
            <w:tcW w:w="1100" w:type="dxa"/>
            <w:tcBorders/>
            <w:shd w:fill="CCEEFF" w:val="clear"/>
            <w:vAlign w:val="center"/>
          </w:tcPr>
          <w:p>
            <w:pPr>
              <w:pStyle w:val="TableContents"/>
              <w:bidi w:val="0"/>
              <w:spacing w:before="0" w:after="283"/>
              <w:jc w:val="right"/>
              <w:rPr/>
            </w:pPr>
            <w:r>
              <w:rPr/>
              <w:t>25,000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74</w:t>
            </w:r>
          </w:p>
        </w:tc>
        <w:tc>
          <w:tcPr>
            <w:tcW w:w="111" w:type="dxa"/>
            <w:tcBorders/>
            <w:shd w:fill="CCEEFF" w:val="clear"/>
            <w:vAlign w:val="center"/>
          </w:tcPr>
          <w:p>
            <w:pPr>
              <w:pStyle w:val="TableContents"/>
              <w:bidi w:val="0"/>
              <w:spacing w:before="0" w:after="283"/>
              <w:jc w:val="left"/>
              <w:rPr/>
            </w:pPr>
            <w:r>
              <w:rPr/>
              <w:t> </w:t>
            </w:r>
            <w:bookmarkStart w:id="167" w:name="xdx_405_eus-gaap--StockIssuedDuringPerio"/>
            <w:bookmarkEnd w:id="167"/>
          </w:p>
        </w:tc>
      </w:tr>
      <w:tr>
        <w:trPr/>
        <w:tc>
          <w:tcPr>
            <w:tcW w:w="3891" w:type="dxa"/>
            <w:tcBorders/>
            <w:shd w:fill="FFFFFF" w:val="clear"/>
            <w:vAlign w:val="center"/>
          </w:tcPr>
          <w:p>
            <w:pPr>
              <w:pStyle w:val="TableContents"/>
              <w:bidi w:val="0"/>
              <w:spacing w:before="0" w:after="283"/>
              <w:jc w:val="left"/>
              <w:rPr/>
            </w:pPr>
            <w:r>
              <w:rPr/>
              <w:t>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8" w:name="xdx_989_eus-gaap--StockIssuedDuringPerio"/>
            <w:bookmarkEnd w:id="168"/>
          </w:p>
        </w:tc>
        <w:tc>
          <w:tcPr>
            <w:tcW w:w="1100" w:type="dxa"/>
            <w:tcBorders/>
            <w:shd w:fill="FFFFFF" w:val="clear"/>
            <w:vAlign w:val="center"/>
          </w:tcPr>
          <w:p>
            <w:pPr>
              <w:pStyle w:val="TableContents"/>
              <w:bidi w:val="0"/>
              <w:spacing w:before="0" w:after="283"/>
              <w:jc w:val="right"/>
              <w:rPr/>
            </w:pPr>
            <w:r>
              <w:rPr/>
              <w:t>69,012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230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230</w:t>
            </w:r>
          </w:p>
        </w:tc>
        <w:tc>
          <w:tcPr>
            <w:tcW w:w="111" w:type="dxa"/>
            <w:tcBorders/>
            <w:shd w:fill="FFFFFF" w:val="clear"/>
            <w:vAlign w:val="center"/>
          </w:tcPr>
          <w:p>
            <w:pPr>
              <w:pStyle w:val="TableContents"/>
              <w:bidi w:val="0"/>
              <w:spacing w:before="0" w:after="283"/>
              <w:jc w:val="left"/>
              <w:rPr/>
            </w:pPr>
            <w:r>
              <w:rPr/>
              <w:t> </w:t>
            </w:r>
            <w:bookmarkStart w:id="169" w:name="xdx_40B_eus-gaap--StockIssuedDuringPerio"/>
            <w:bookmarkEnd w:id="169"/>
          </w:p>
        </w:tc>
      </w:tr>
      <w:tr>
        <w:trPr/>
        <w:tc>
          <w:tcPr>
            <w:tcW w:w="3891" w:type="dxa"/>
            <w:tcBorders/>
            <w:shd w:fill="CCEEFF" w:val="clear"/>
            <w:vAlign w:val="center"/>
          </w:tcPr>
          <w:p>
            <w:pPr>
              <w:pStyle w:val="TableContents"/>
              <w:bidi w:val="0"/>
              <w:spacing w:before="0" w:after="283"/>
              <w:jc w:val="left"/>
              <w:rPr/>
            </w:pPr>
            <w:r>
              <w:rPr/>
              <w:t>Cashless exercise of liability classified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0" w:name="xdx_98D_eus-gaap--StockIssuedDuringPerio"/>
            <w:bookmarkEnd w:id="170"/>
          </w:p>
        </w:tc>
        <w:tc>
          <w:tcPr>
            <w:tcW w:w="1100" w:type="dxa"/>
            <w:tcBorders/>
            <w:shd w:fill="CCEEFF" w:val="clear"/>
            <w:vAlign w:val="center"/>
          </w:tcPr>
          <w:p>
            <w:pPr>
              <w:pStyle w:val="TableContents"/>
              <w:bidi w:val="0"/>
              <w:spacing w:before="0" w:after="283"/>
              <w:jc w:val="right"/>
              <w:rPr/>
            </w:pPr>
            <w:r>
              <w:rPr/>
              <w:t>748,029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2,462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2,462</w:t>
            </w:r>
          </w:p>
        </w:tc>
        <w:tc>
          <w:tcPr>
            <w:tcW w:w="111" w:type="dxa"/>
            <w:tcBorders/>
            <w:shd w:fill="CCEEFF" w:val="clear"/>
            <w:vAlign w:val="center"/>
          </w:tcPr>
          <w:p>
            <w:pPr>
              <w:pStyle w:val="TableContents"/>
              <w:bidi w:val="0"/>
              <w:spacing w:before="0" w:after="283"/>
              <w:jc w:val="left"/>
              <w:rPr/>
            </w:pPr>
            <w:r>
              <w:rPr/>
              <w:t> </w:t>
            </w:r>
            <w:bookmarkStart w:id="171" w:name="xdx_40E_ecustom--StockIssuedDuringPeriod"/>
            <w:bookmarkEnd w:id="171"/>
          </w:p>
        </w:tc>
      </w:tr>
      <w:tr>
        <w:trPr/>
        <w:tc>
          <w:tcPr>
            <w:tcW w:w="3891" w:type="dxa"/>
            <w:tcBorders/>
            <w:shd w:fill="FFFFFF" w:val="clear"/>
            <w:vAlign w:val="center"/>
          </w:tcPr>
          <w:p>
            <w:pPr>
              <w:pStyle w:val="TableContents"/>
              <w:bidi w:val="0"/>
              <w:spacing w:before="0" w:after="283"/>
              <w:jc w:val="left"/>
              <w:rPr/>
            </w:pPr>
            <w:r>
              <w:rPr/>
              <w:t>Shares issued for vested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2" w:name="xdx_988_ecustom--StockIssuedDuringPeriod"/>
            <w:bookmarkEnd w:id="172"/>
          </w:p>
        </w:tc>
        <w:tc>
          <w:tcPr>
            <w:tcW w:w="1100" w:type="dxa"/>
            <w:tcBorders/>
            <w:shd w:fill="FFFFFF" w:val="clear"/>
            <w:vAlign w:val="center"/>
          </w:tcPr>
          <w:p>
            <w:pPr>
              <w:pStyle w:val="TableContents"/>
              <w:bidi w:val="0"/>
              <w:spacing w:before="0" w:after="283"/>
              <w:jc w:val="right"/>
              <w:rPr/>
            </w:pPr>
            <w:r>
              <w:rPr/>
              <w:t>461,998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bookmarkStart w:id="173" w:name="xdx_403_eus-gaap--AdjustmentsToAdditiona"/>
            <w:bookmarkEnd w:id="173"/>
          </w:p>
        </w:tc>
      </w:tr>
      <w:tr>
        <w:trPr/>
        <w:tc>
          <w:tcPr>
            <w:tcW w:w="3891" w:type="dxa"/>
            <w:tcBorders/>
            <w:shd w:fill="CCEEFF" w:val="clear"/>
            <w:vAlign w:val="center"/>
          </w:tcPr>
          <w:p>
            <w:pPr>
              <w:pStyle w:val="TableContents"/>
              <w:bidi w:val="0"/>
              <w:spacing w:before="0" w:after="283"/>
              <w:jc w:val="left"/>
              <w:rPr/>
            </w:pPr>
            <w:r>
              <w:rPr/>
              <w:t>Stock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9" w:type="dxa"/>
            <w:tcBorders>
              <w:bottom w:val="single" w:sz="12" w:space="0" w:color="000000"/>
            </w:tcBorders>
            <w:shd w:fill="CCEEFF" w:val="clear"/>
            <w:tcMar>
              <w:bottom w:w="28" w:type="dxa"/>
            </w:tcMar>
            <w:vAlign w:val="center"/>
          </w:tcPr>
          <w:p>
            <w:pPr>
              <w:pStyle w:val="TableContents"/>
              <w:bidi w:val="0"/>
              <w:spacing w:before="0" w:after="283"/>
              <w:jc w:val="right"/>
              <w:rPr/>
            </w:pPr>
            <w:r>
              <w:rPr/>
              <w:t>954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954</w:t>
            </w:r>
          </w:p>
        </w:tc>
        <w:tc>
          <w:tcPr>
            <w:tcW w:w="111" w:type="dxa"/>
            <w:tcBorders/>
            <w:shd w:fill="CCEEFF" w:val="clear"/>
            <w:vAlign w:val="center"/>
          </w:tcPr>
          <w:p>
            <w:pPr>
              <w:pStyle w:val="TableContents"/>
              <w:bidi w:val="0"/>
              <w:spacing w:before="0" w:after="283"/>
              <w:jc w:val="left"/>
              <w:rPr/>
            </w:pPr>
            <w:r>
              <w:rPr/>
              <w:t> </w:t>
            </w:r>
          </w:p>
        </w:tc>
      </w:tr>
      <w:tr>
        <w:trPr/>
        <w:tc>
          <w:tcPr>
            <w:tcW w:w="38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174" w:name="xdx_438_c20230401__20230630_eus-gaap--St"/>
            <w:bookmarkEnd w:id="174"/>
          </w:p>
        </w:tc>
      </w:tr>
      <w:tr>
        <w:trPr/>
        <w:tc>
          <w:tcPr>
            <w:tcW w:w="3891" w:type="dxa"/>
            <w:tcBorders/>
            <w:shd w:fill="CCEEFF" w:val="clear"/>
            <w:vAlign w:val="center"/>
          </w:tcPr>
          <w:p>
            <w:pPr>
              <w:pStyle w:val="TableContents"/>
              <w:bidi w:val="0"/>
              <w:spacing w:before="0" w:after="283"/>
              <w:jc w:val="left"/>
              <w:rPr>
                <w:b/>
              </w:rPr>
            </w:pPr>
            <w:r>
              <w:rPr>
                <w:b/>
              </w:rPr>
              <w:t>Balance - June 30,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5" w:name="xdx_98F_eus-gaap--SharesOutstanding_iE_p"/>
            <w:bookmarkEnd w:id="175"/>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58,504,541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85" w:type="dxa"/>
            <w:tcBorders>
              <w:bottom w:val="double" w:sz="6" w:space="0" w:color="000000"/>
            </w:tcBorders>
            <w:shd w:fill="CCEEFF" w:val="clear"/>
            <w:tcMar>
              <w:bottom w:w="28" w:type="dxa"/>
            </w:tcM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9" w:type="dxa"/>
            <w:tcBorders>
              <w:bottom w:val="double" w:sz="6" w:space="0" w:color="000000"/>
            </w:tcBorders>
            <w:shd w:fill="CCEEFF" w:val="clear"/>
            <w:tcMar>
              <w:bottom w:w="28" w:type="dxa"/>
            </w:tcMar>
            <w:vAlign w:val="center"/>
          </w:tcPr>
          <w:p>
            <w:pPr>
              <w:pStyle w:val="TableContents"/>
              <w:bidi w:val="0"/>
              <w:spacing w:before="0" w:after="283"/>
              <w:jc w:val="right"/>
              <w:rPr/>
            </w:pPr>
            <w:r>
              <w:rPr/>
              <w:t>66,148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0" w:type="dxa"/>
            <w:tcBorders>
              <w:bottom w:val="double" w:sz="6" w:space="0" w:color="000000"/>
            </w:tcBorders>
            <w:shd w:fill="CCEEFF" w:val="clear"/>
            <w:tcMar>
              <w:bottom w:w="28" w:type="dxa"/>
            </w:tcMar>
            <w:vAlign w:val="center"/>
          </w:tcPr>
          <w:p>
            <w:pPr>
              <w:pStyle w:val="TableContents"/>
              <w:bidi w:val="0"/>
              <w:spacing w:before="0" w:after="283"/>
              <w:jc w:val="right"/>
              <w:rPr/>
            </w:pPr>
            <w:r>
              <w:rPr/>
              <w:t>(34,846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31,308</w:t>
            </w:r>
          </w:p>
        </w:tc>
        <w:tc>
          <w:tcPr>
            <w:tcW w:w="111" w:type="dxa"/>
            <w:tcBorders/>
            <w:shd w:fill="CCEEFF" w:val="clear"/>
            <w:vAlign w:val="center"/>
          </w:tcPr>
          <w:p>
            <w:pPr>
              <w:pStyle w:val="TableContents"/>
              <w:bidi w:val="0"/>
              <w:spacing w:before="0" w:after="283"/>
              <w:jc w:val="left"/>
              <w:rPr/>
            </w:pPr>
            <w:r>
              <w:rPr/>
              <w:t> </w:t>
            </w:r>
          </w:p>
        </w:tc>
      </w:tr>
      <w:tr>
        <w:trPr/>
        <w:tc>
          <w:tcPr>
            <w:tcW w:w="38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176" w:name="xdx_43B_c20240101__20240331_eus-gaap--St"/>
            <w:bookmarkEnd w:id="176"/>
          </w:p>
        </w:tc>
      </w:tr>
      <w:tr>
        <w:trPr/>
        <w:tc>
          <w:tcPr>
            <w:tcW w:w="3891" w:type="dxa"/>
            <w:tcBorders/>
            <w:shd w:fill="CCEEFF" w:val="clear"/>
            <w:vAlign w:val="center"/>
          </w:tcPr>
          <w:p>
            <w:pPr>
              <w:pStyle w:val="TableContents"/>
              <w:bidi w:val="0"/>
              <w:spacing w:before="0" w:after="283"/>
              <w:jc w:val="left"/>
              <w:rPr>
                <w:b/>
              </w:rPr>
            </w:pPr>
            <w:r>
              <w:rPr>
                <w:b/>
              </w:rPr>
              <w:t>Balance -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7" w:name="xdx_98B_eus-gaap--SharesOutstanding_iS_p"/>
            <w:bookmarkEnd w:id="177"/>
          </w:p>
        </w:tc>
        <w:tc>
          <w:tcPr>
            <w:tcW w:w="1100" w:type="dxa"/>
            <w:tcBorders/>
            <w:shd w:fill="CCEEFF" w:val="clear"/>
            <w:vAlign w:val="center"/>
          </w:tcPr>
          <w:p>
            <w:pPr>
              <w:pStyle w:val="TableContents"/>
              <w:bidi w:val="0"/>
              <w:spacing w:before="0" w:after="283"/>
              <w:jc w:val="right"/>
              <w:rPr/>
            </w:pPr>
            <w:r>
              <w:rPr/>
              <w:t>60,260,282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585"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209" w:type="dxa"/>
            <w:tcBorders/>
            <w:shd w:fill="CCEEFF" w:val="clear"/>
            <w:vAlign w:val="center"/>
          </w:tcPr>
          <w:p>
            <w:pPr>
              <w:pStyle w:val="TableContents"/>
              <w:bidi w:val="0"/>
              <w:spacing w:before="0" w:after="283"/>
              <w:jc w:val="right"/>
              <w:rPr/>
            </w:pPr>
            <w:r>
              <w:rPr/>
              <w:t>69,445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1080" w:type="dxa"/>
            <w:tcBorders/>
            <w:shd w:fill="CCEEFF" w:val="clear"/>
            <w:vAlign w:val="center"/>
          </w:tcPr>
          <w:p>
            <w:pPr>
              <w:pStyle w:val="TableContents"/>
              <w:bidi w:val="0"/>
              <w:spacing w:before="0" w:after="283"/>
              <w:jc w:val="right"/>
              <w:rPr/>
            </w:pPr>
            <w:r>
              <w:rPr/>
              <w:t>(41,539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27,912</w:t>
            </w:r>
          </w:p>
        </w:tc>
        <w:tc>
          <w:tcPr>
            <w:tcW w:w="111" w:type="dxa"/>
            <w:tcBorders/>
            <w:shd w:fill="CCEEFF" w:val="clear"/>
            <w:vAlign w:val="center"/>
          </w:tcPr>
          <w:p>
            <w:pPr>
              <w:pStyle w:val="TableContents"/>
              <w:bidi w:val="0"/>
              <w:spacing w:before="0" w:after="283"/>
              <w:jc w:val="left"/>
              <w:rPr/>
            </w:pPr>
            <w:r>
              <w:rPr/>
              <w:t> </w:t>
            </w:r>
          </w:p>
        </w:tc>
      </w:tr>
      <w:tr>
        <w:trPr/>
        <w:tc>
          <w:tcPr>
            <w:tcW w:w="38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178" w:name="xdx_40F_eus-gaap--NetIncomeLoss_pn3n3_zm"/>
            <w:bookmarkEnd w:id="178"/>
          </w:p>
        </w:tc>
      </w:tr>
      <w:tr>
        <w:trPr/>
        <w:tc>
          <w:tcPr>
            <w:tcW w:w="3891"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(10,367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(10,367</w:t>
            </w:r>
          </w:p>
        </w:tc>
        <w:tc>
          <w:tcPr>
            <w:tcW w:w="111" w:type="dxa"/>
            <w:tcBorders/>
            <w:shd w:fill="CCEEFF" w:val="clear"/>
            <w:vAlign w:val="center"/>
          </w:tcPr>
          <w:p>
            <w:pPr>
              <w:pStyle w:val="TableContents"/>
              <w:bidi w:val="0"/>
              <w:spacing w:before="0" w:after="283"/>
              <w:jc w:val="left"/>
              <w:rPr/>
            </w:pPr>
            <w:r>
              <w:rPr/>
              <w:t>)</w:t>
            </w:r>
            <w:bookmarkStart w:id="179" w:name="xdx_403_eus-gaap--AdjustmentsToAdditiona"/>
            <w:bookmarkEnd w:id="179"/>
          </w:p>
        </w:tc>
      </w:tr>
      <w:tr>
        <w:trPr/>
        <w:tc>
          <w:tcPr>
            <w:tcW w:w="3891" w:type="dxa"/>
            <w:tcBorders/>
            <w:shd w:fill="FFFFFF" w:val="clear"/>
            <w:vAlign w:val="center"/>
          </w:tcPr>
          <w:p>
            <w:pPr>
              <w:pStyle w:val="TableContents"/>
              <w:bidi w:val="0"/>
              <w:spacing w:before="0" w:after="283"/>
              <w:jc w:val="left"/>
              <w:rPr/>
            </w:pPr>
            <w:r>
              <w:rPr/>
              <w:t>Stock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8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9" w:type="dxa"/>
            <w:tcBorders>
              <w:bottom w:val="single" w:sz="12" w:space="0" w:color="000000"/>
            </w:tcBorders>
            <w:shd w:fill="FFFFFF" w:val="clear"/>
            <w:tcMar>
              <w:bottom w:w="28" w:type="dxa"/>
            </w:tcMar>
            <w:vAlign w:val="center"/>
          </w:tcPr>
          <w:p>
            <w:pPr>
              <w:pStyle w:val="TableContents"/>
              <w:bidi w:val="0"/>
              <w:spacing w:before="0" w:after="283"/>
              <w:jc w:val="right"/>
              <w:rPr/>
            </w:pPr>
            <w:r>
              <w:rPr/>
              <w:t>266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266</w:t>
            </w:r>
          </w:p>
        </w:tc>
        <w:tc>
          <w:tcPr>
            <w:tcW w:w="111" w:type="dxa"/>
            <w:tcBorders/>
            <w:shd w:fill="FFFFFF" w:val="clear"/>
            <w:vAlign w:val="center"/>
          </w:tcPr>
          <w:p>
            <w:pPr>
              <w:pStyle w:val="TableContents"/>
              <w:bidi w:val="0"/>
              <w:spacing w:before="0" w:after="283"/>
              <w:jc w:val="left"/>
              <w:rPr/>
            </w:pPr>
            <w:r>
              <w:rPr/>
              <w:t> </w:t>
            </w:r>
          </w:p>
        </w:tc>
      </w:tr>
      <w:tr>
        <w:trPr/>
        <w:tc>
          <w:tcPr>
            <w:tcW w:w="38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180" w:name="xdx_43D_c20240401__20240630_eus-gaap--St"/>
            <w:bookmarkEnd w:id="180"/>
          </w:p>
        </w:tc>
      </w:tr>
      <w:tr>
        <w:trPr/>
        <w:tc>
          <w:tcPr>
            <w:tcW w:w="3891" w:type="dxa"/>
            <w:tcBorders/>
            <w:shd w:fill="FFFFFF" w:val="clear"/>
            <w:vAlign w:val="center"/>
          </w:tcPr>
          <w:p>
            <w:pPr>
              <w:pStyle w:val="TableContents"/>
              <w:bidi w:val="0"/>
              <w:spacing w:before="0" w:after="283"/>
              <w:jc w:val="left"/>
              <w:rPr>
                <w:b/>
              </w:rPr>
            </w:pPr>
            <w:r>
              <w:rPr>
                <w:b/>
              </w:rPr>
              <w:t>Balance - March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1" w:name="xdx_98A_eus-gaap--SharesOutstanding_iS_p"/>
            <w:bookmarkEnd w:id="181"/>
          </w:p>
        </w:tc>
        <w:tc>
          <w:tcPr>
            <w:tcW w:w="1100" w:type="dxa"/>
            <w:tcBorders/>
            <w:shd w:fill="FFFFFF" w:val="clear"/>
            <w:vAlign w:val="center"/>
          </w:tcPr>
          <w:p>
            <w:pPr>
              <w:pStyle w:val="TableContents"/>
              <w:bidi w:val="0"/>
              <w:spacing w:before="0" w:after="283"/>
              <w:jc w:val="right"/>
              <w:rPr/>
            </w:pPr>
            <w:r>
              <w:rPr/>
              <w:t>60,260,282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right"/>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69,711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(51,906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17,811</w:t>
            </w:r>
          </w:p>
        </w:tc>
        <w:tc>
          <w:tcPr>
            <w:tcW w:w="111" w:type="dxa"/>
            <w:tcBorders/>
            <w:shd w:fill="FFFFFF" w:val="clear"/>
            <w:vAlign w:val="center"/>
          </w:tcPr>
          <w:p>
            <w:pPr>
              <w:pStyle w:val="TableContents"/>
              <w:bidi w:val="0"/>
              <w:spacing w:before="0" w:after="283"/>
              <w:jc w:val="left"/>
              <w:rPr/>
            </w:pPr>
            <w:r>
              <w:rPr/>
              <w:t> </w:t>
            </w:r>
            <w:bookmarkStart w:id="182" w:name="xdx_43D_c20240401__20240630_eus-gaap--St"/>
            <w:bookmarkEnd w:id="182"/>
          </w:p>
        </w:tc>
      </w:tr>
      <w:tr>
        <w:trPr/>
        <w:tc>
          <w:tcPr>
            <w:tcW w:w="3891"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3" w:name="xdx_987_eus-gaap--SharesOutstanding_iS_p"/>
            <w:bookmarkEnd w:id="183"/>
          </w:p>
        </w:tc>
        <w:tc>
          <w:tcPr>
            <w:tcW w:w="1100" w:type="dxa"/>
            <w:tcBorders/>
            <w:shd w:fill="FFFFFF" w:val="clear"/>
            <w:vAlign w:val="center"/>
          </w:tcPr>
          <w:p>
            <w:pPr>
              <w:pStyle w:val="TableContents"/>
              <w:bidi w:val="0"/>
              <w:spacing w:before="0" w:after="283"/>
              <w:jc w:val="right"/>
              <w:rPr/>
            </w:pPr>
            <w:r>
              <w:rPr/>
              <w:t>60,260,282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right"/>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69,711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(51,906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17,811</w:t>
            </w:r>
          </w:p>
        </w:tc>
        <w:tc>
          <w:tcPr>
            <w:tcW w:w="111" w:type="dxa"/>
            <w:tcBorders/>
            <w:shd w:fill="FFFFFF" w:val="clear"/>
            <w:vAlign w:val="center"/>
          </w:tcPr>
          <w:p>
            <w:pPr>
              <w:pStyle w:val="TableContents"/>
              <w:bidi w:val="0"/>
              <w:spacing w:before="0" w:after="283"/>
              <w:jc w:val="left"/>
              <w:rPr/>
            </w:pPr>
            <w:r>
              <w:rPr/>
              <w:t> </w:t>
            </w:r>
            <w:bookmarkStart w:id="184" w:name="xdx_40F_eus-gaap--NetIncomeLoss_pn3n3_zY"/>
            <w:bookmarkEnd w:id="184"/>
          </w:p>
        </w:tc>
      </w:tr>
      <w:tr>
        <w:trPr/>
        <w:tc>
          <w:tcPr>
            <w:tcW w:w="3891"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(13,627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(13,627</w:t>
            </w:r>
          </w:p>
        </w:tc>
        <w:tc>
          <w:tcPr>
            <w:tcW w:w="111" w:type="dxa"/>
            <w:tcBorders/>
            <w:shd w:fill="CCEEFF" w:val="clear"/>
            <w:vAlign w:val="center"/>
          </w:tcPr>
          <w:p>
            <w:pPr>
              <w:pStyle w:val="TableContents"/>
              <w:bidi w:val="0"/>
              <w:spacing w:before="0" w:after="283"/>
              <w:jc w:val="left"/>
              <w:rPr/>
            </w:pPr>
            <w:r>
              <w:rPr/>
              <w:t>)</w:t>
            </w:r>
            <w:bookmarkStart w:id="185" w:name="xdx_40D_eus-gaap--NetIncomeLoss_pn3n3_zo"/>
            <w:bookmarkEnd w:id="185"/>
          </w:p>
        </w:tc>
      </w:tr>
      <w:tr>
        <w:trPr/>
        <w:tc>
          <w:tcPr>
            <w:tcW w:w="3891"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(13,627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(13,627</w:t>
            </w:r>
          </w:p>
        </w:tc>
        <w:tc>
          <w:tcPr>
            <w:tcW w:w="111" w:type="dxa"/>
            <w:tcBorders/>
            <w:shd w:fill="CCEEFF" w:val="clear"/>
            <w:vAlign w:val="center"/>
          </w:tcPr>
          <w:p>
            <w:pPr>
              <w:pStyle w:val="TableContents"/>
              <w:bidi w:val="0"/>
              <w:spacing w:before="0" w:after="283"/>
              <w:jc w:val="left"/>
              <w:rPr/>
            </w:pPr>
            <w:r>
              <w:rPr/>
              <w:t>)</w:t>
            </w:r>
            <w:bookmarkStart w:id="186" w:name="xdx_403_eus-gaap--StockIssuedDuringPerio"/>
            <w:bookmarkEnd w:id="186"/>
          </w:p>
        </w:tc>
      </w:tr>
      <w:tr>
        <w:trPr/>
        <w:tc>
          <w:tcPr>
            <w:tcW w:w="3891" w:type="dxa"/>
            <w:tcBorders/>
            <w:shd w:fill="FFFFFF" w:val="clear"/>
            <w:vAlign w:val="center"/>
          </w:tcPr>
          <w:p>
            <w:pPr>
              <w:pStyle w:val="TableContents"/>
              <w:bidi w:val="0"/>
              <w:spacing w:before="0" w:after="283"/>
              <w:jc w:val="left"/>
              <w:rPr/>
            </w:pPr>
            <w:r>
              <w:rPr/>
              <w:t>Common stock issued in public offering (ATM), net of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7" w:name="xdx_98C_eus-gaap--StockIssuedDuringPerio"/>
            <w:bookmarkEnd w:id="187"/>
          </w:p>
        </w:tc>
        <w:tc>
          <w:tcPr>
            <w:tcW w:w="1100" w:type="dxa"/>
            <w:tcBorders/>
            <w:shd w:fill="FFFFFF" w:val="clear"/>
            <w:vAlign w:val="center"/>
          </w:tcPr>
          <w:p>
            <w:pPr>
              <w:pStyle w:val="TableContents"/>
              <w:bidi w:val="0"/>
              <w:spacing w:before="0" w:after="283"/>
              <w:jc w:val="right"/>
              <w:rPr/>
            </w:pPr>
            <w:r>
              <w:rPr/>
              <w:t>850,463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730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730</w:t>
            </w:r>
          </w:p>
        </w:tc>
        <w:tc>
          <w:tcPr>
            <w:tcW w:w="111" w:type="dxa"/>
            <w:tcBorders/>
            <w:shd w:fill="FFFFFF" w:val="clear"/>
            <w:vAlign w:val="center"/>
          </w:tcPr>
          <w:p>
            <w:pPr>
              <w:pStyle w:val="TableContents"/>
              <w:bidi w:val="0"/>
              <w:spacing w:before="0" w:after="283"/>
              <w:jc w:val="left"/>
              <w:rPr/>
            </w:pPr>
            <w:r>
              <w:rPr/>
              <w:t> </w:t>
            </w:r>
            <w:bookmarkStart w:id="188" w:name="xdx_402_eus-gaap--StockIssuedDuringPerio"/>
            <w:bookmarkEnd w:id="188"/>
          </w:p>
        </w:tc>
      </w:tr>
      <w:tr>
        <w:trPr/>
        <w:tc>
          <w:tcPr>
            <w:tcW w:w="3891" w:type="dxa"/>
            <w:tcBorders/>
            <w:shd w:fill="CCEEFF" w:val="clear"/>
            <w:vAlign w:val="center"/>
          </w:tcPr>
          <w:p>
            <w:pPr>
              <w:pStyle w:val="TableContents"/>
              <w:bidi w:val="0"/>
              <w:spacing w:before="0" w:after="283"/>
              <w:jc w:val="left"/>
              <w:rPr/>
            </w:pPr>
            <w:r>
              <w:rPr/>
              <w:t>Share issuance under ESPP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9" w:name="xdx_98F_eus-gaap--StockIssuedDuringPerio"/>
            <w:bookmarkEnd w:id="189"/>
          </w:p>
        </w:tc>
        <w:tc>
          <w:tcPr>
            <w:tcW w:w="1100" w:type="dxa"/>
            <w:tcBorders/>
            <w:shd w:fill="CCEEFF" w:val="clear"/>
            <w:vAlign w:val="center"/>
          </w:tcPr>
          <w:p>
            <w:pPr>
              <w:pStyle w:val="TableContents"/>
              <w:bidi w:val="0"/>
              <w:spacing w:before="0" w:after="283"/>
              <w:jc w:val="right"/>
              <w:rPr/>
            </w:pPr>
            <w:r>
              <w:rPr/>
              <w:t>244,774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112</w:t>
            </w:r>
          </w:p>
        </w:tc>
        <w:tc>
          <w:tcPr>
            <w:tcW w:w="111" w:type="dxa"/>
            <w:tcBorders/>
            <w:shd w:fill="CCEEFF" w:val="clear"/>
            <w:vAlign w:val="center"/>
          </w:tcPr>
          <w:p>
            <w:pPr>
              <w:pStyle w:val="TableContents"/>
              <w:bidi w:val="0"/>
              <w:spacing w:before="0" w:after="283"/>
              <w:jc w:val="left"/>
              <w:rPr/>
            </w:pPr>
            <w:r>
              <w:rPr/>
              <w:t> </w:t>
            </w:r>
            <w:bookmarkStart w:id="190" w:name="xdx_405_eus-gaap--StockIssuedDuringPerio"/>
            <w:bookmarkEnd w:id="190"/>
          </w:p>
        </w:tc>
      </w:tr>
      <w:tr>
        <w:trPr/>
        <w:tc>
          <w:tcPr>
            <w:tcW w:w="3891" w:type="dxa"/>
            <w:tcBorders/>
            <w:shd w:fill="FFFFFF" w:val="clear"/>
            <w:vAlign w:val="center"/>
          </w:tcPr>
          <w:p>
            <w:pPr>
              <w:pStyle w:val="TableContents"/>
              <w:bidi w:val="0"/>
              <w:spacing w:before="0" w:after="283"/>
              <w:jc w:val="left"/>
              <w:rPr/>
            </w:pPr>
            <w:r>
              <w:rPr/>
              <w:t>Share cancellation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1" w:name="xdx_98C_eus-gaap--StockIssuedDuringPerio"/>
            <w:bookmarkEnd w:id="191"/>
          </w:p>
        </w:tc>
        <w:tc>
          <w:tcPr>
            <w:tcW w:w="1100" w:type="dxa"/>
            <w:tcBorders/>
            <w:shd w:fill="FFFFFF" w:val="clear"/>
            <w:vAlign w:val="center"/>
          </w:tcPr>
          <w:p>
            <w:pPr>
              <w:pStyle w:val="TableContents"/>
              <w:bidi w:val="0"/>
              <w:spacing w:before="0" w:after="283"/>
              <w:jc w:val="right"/>
              <w:rPr/>
            </w:pPr>
            <w:r>
              <w:rPr/>
              <w:t>(441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bookmarkStart w:id="192" w:name="xdx_40E_eus-gaap--StockIssuedDuringPerio"/>
            <w:bookmarkEnd w:id="192"/>
          </w:p>
        </w:tc>
      </w:tr>
      <w:tr>
        <w:trPr/>
        <w:tc>
          <w:tcPr>
            <w:tcW w:w="3891" w:type="dxa"/>
            <w:tcBorders/>
            <w:shd w:fill="CCEEFF" w:val="clear"/>
            <w:vAlign w:val="center"/>
          </w:tcPr>
          <w:p>
            <w:pPr>
              <w:pStyle w:val="TableContents"/>
              <w:bidi w:val="0"/>
              <w:spacing w:before="0" w:after="283"/>
              <w:jc w:val="left"/>
              <w:rPr/>
            </w:pPr>
            <w:r>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3" w:name="xdx_98B_eus-gaap--StockIssuedDuringPerio"/>
            <w:bookmarkEnd w:id="193"/>
          </w:p>
        </w:tc>
        <w:tc>
          <w:tcPr>
            <w:tcW w:w="1100" w:type="dxa"/>
            <w:tcBorders/>
            <w:shd w:fill="CCEEFF" w:val="clear"/>
            <w:vAlign w:val="center"/>
          </w:tcPr>
          <w:p>
            <w:pPr>
              <w:pStyle w:val="TableContents"/>
              <w:bidi w:val="0"/>
              <w:spacing w:before="0" w:after="283"/>
              <w:jc w:val="right"/>
              <w:rPr/>
            </w:pPr>
            <w:r>
              <w:rPr/>
              <w:t>8,752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w:t>
            </w:r>
          </w:p>
        </w:tc>
        <w:tc>
          <w:tcPr>
            <w:tcW w:w="111" w:type="dxa"/>
            <w:tcBorders/>
            <w:shd w:fill="CCEEFF" w:val="clear"/>
            <w:vAlign w:val="center"/>
          </w:tcPr>
          <w:p>
            <w:pPr>
              <w:pStyle w:val="TableContents"/>
              <w:bidi w:val="0"/>
              <w:spacing w:before="0" w:after="283"/>
              <w:jc w:val="left"/>
              <w:rPr/>
            </w:pPr>
            <w:r>
              <w:rPr/>
              <w:t> </w:t>
            </w:r>
            <w:bookmarkStart w:id="194" w:name="xdx_40D_ecustom--StockIssuedDuringPeriod"/>
            <w:bookmarkEnd w:id="194"/>
          </w:p>
        </w:tc>
      </w:tr>
      <w:tr>
        <w:trPr/>
        <w:tc>
          <w:tcPr>
            <w:tcW w:w="3891" w:type="dxa"/>
            <w:tcBorders/>
            <w:shd w:fill="FFFFFF" w:val="clear"/>
            <w:vAlign w:val="center"/>
          </w:tcPr>
          <w:p>
            <w:pPr>
              <w:pStyle w:val="TableContents"/>
              <w:bidi w:val="0"/>
              <w:spacing w:before="0" w:after="283"/>
              <w:jc w:val="left"/>
              <w:rPr/>
            </w:pPr>
            <w:r>
              <w:rPr/>
              <w:t>Shares issued for vested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5" w:name="xdx_98A_ecustom--StockIssuedDuringPeriod"/>
            <w:bookmarkEnd w:id="195"/>
          </w:p>
        </w:tc>
        <w:tc>
          <w:tcPr>
            <w:tcW w:w="1100" w:type="dxa"/>
            <w:tcBorders/>
            <w:shd w:fill="FFFFFF" w:val="clear"/>
            <w:vAlign w:val="center"/>
          </w:tcPr>
          <w:p>
            <w:pPr>
              <w:pStyle w:val="TableContents"/>
              <w:bidi w:val="0"/>
              <w:spacing w:before="0" w:after="283"/>
              <w:jc w:val="right"/>
              <w:rPr/>
            </w:pPr>
            <w:r>
              <w:rPr/>
              <w:t>3,803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bookmarkStart w:id="196" w:name="xdx_403_eus-gaap--AdjustmentsToAdditiona"/>
            <w:bookmarkEnd w:id="196"/>
          </w:p>
        </w:tc>
      </w:tr>
      <w:tr>
        <w:trPr/>
        <w:tc>
          <w:tcPr>
            <w:tcW w:w="3891" w:type="dxa"/>
            <w:tcBorders/>
            <w:shd w:fill="CCEEFF" w:val="clear"/>
            <w:vAlign w:val="center"/>
          </w:tcPr>
          <w:p>
            <w:pPr>
              <w:pStyle w:val="TableContents"/>
              <w:bidi w:val="0"/>
              <w:spacing w:before="0" w:after="283"/>
              <w:jc w:val="left"/>
              <w:rPr/>
            </w:pPr>
            <w:r>
              <w:rPr/>
              <w:t>Stock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9" w:type="dxa"/>
            <w:tcBorders>
              <w:bottom w:val="single" w:sz="12" w:space="0" w:color="000000"/>
            </w:tcBorders>
            <w:shd w:fill="CCEEFF" w:val="clear"/>
            <w:tcMar>
              <w:bottom w:w="28" w:type="dxa"/>
            </w:tcMar>
            <w:vAlign w:val="center"/>
          </w:tcPr>
          <w:p>
            <w:pPr>
              <w:pStyle w:val="TableContents"/>
              <w:bidi w:val="0"/>
              <w:spacing w:before="0" w:after="283"/>
              <w:jc w:val="right"/>
              <w:rPr/>
            </w:pPr>
            <w:r>
              <w:rPr/>
              <w:t>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237</w:t>
            </w:r>
          </w:p>
        </w:tc>
        <w:tc>
          <w:tcPr>
            <w:tcW w:w="111" w:type="dxa"/>
            <w:tcBorders/>
            <w:shd w:fill="CCEEFF" w:val="clear"/>
            <w:vAlign w:val="center"/>
          </w:tcPr>
          <w:p>
            <w:pPr>
              <w:pStyle w:val="TableContents"/>
              <w:bidi w:val="0"/>
              <w:spacing w:before="0" w:after="283"/>
              <w:jc w:val="left"/>
              <w:rPr/>
            </w:pPr>
            <w:r>
              <w:rPr/>
              <w:t> </w:t>
            </w:r>
          </w:p>
        </w:tc>
      </w:tr>
      <w:tr>
        <w:trPr/>
        <w:tc>
          <w:tcPr>
            <w:tcW w:w="38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197" w:name="xdx_43F_c20240401__20240630_eus-gaap--St"/>
            <w:bookmarkEnd w:id="197"/>
          </w:p>
        </w:tc>
      </w:tr>
      <w:tr>
        <w:trPr/>
        <w:tc>
          <w:tcPr>
            <w:tcW w:w="3891" w:type="dxa"/>
            <w:tcBorders/>
            <w:shd w:fill="CCEEFF" w:val="clear"/>
            <w:vAlign w:val="center"/>
          </w:tcPr>
          <w:p>
            <w:pPr>
              <w:pStyle w:val="TableContents"/>
              <w:bidi w:val="0"/>
              <w:spacing w:before="0" w:after="283"/>
              <w:jc w:val="left"/>
              <w:rPr>
                <w:b/>
              </w:rPr>
            </w:pPr>
            <w:r>
              <w:rPr>
                <w:b/>
              </w:rPr>
              <w:t>Balance - June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8" w:name="xdx_98E_eus-gaap--SharesOutstanding_iE_p"/>
            <w:bookmarkEnd w:id="198"/>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61,367,633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85" w:type="dxa"/>
            <w:tcBorders>
              <w:bottom w:val="double" w:sz="6" w:space="0" w:color="000000"/>
            </w:tcBorders>
            <w:shd w:fill="CCEEFF" w:val="clear"/>
            <w:tcMar>
              <w:bottom w:w="28" w:type="dxa"/>
            </w:tcM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9" w:type="dxa"/>
            <w:tcBorders>
              <w:bottom w:val="double" w:sz="6" w:space="0" w:color="000000"/>
            </w:tcBorders>
            <w:shd w:fill="CCEEFF" w:val="clear"/>
            <w:tcMar>
              <w:bottom w:w="28" w:type="dxa"/>
            </w:tcMar>
            <w:vAlign w:val="center"/>
          </w:tcPr>
          <w:p>
            <w:pPr>
              <w:pStyle w:val="TableContents"/>
              <w:bidi w:val="0"/>
              <w:spacing w:before="0" w:after="283"/>
              <w:jc w:val="right"/>
              <w:rPr/>
            </w:pPr>
            <w:r>
              <w:rPr/>
              <w:t>70,793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0" w:type="dxa"/>
            <w:tcBorders>
              <w:bottom w:val="double" w:sz="6" w:space="0" w:color="000000"/>
            </w:tcBorders>
            <w:shd w:fill="CCEEFF" w:val="clear"/>
            <w:tcMar>
              <w:bottom w:w="28" w:type="dxa"/>
            </w:tcMar>
            <w:vAlign w:val="center"/>
          </w:tcPr>
          <w:p>
            <w:pPr>
              <w:pStyle w:val="TableContents"/>
              <w:bidi w:val="0"/>
              <w:spacing w:before="0" w:after="283"/>
              <w:jc w:val="right"/>
              <w:rPr/>
            </w:pPr>
            <w:r>
              <w:rPr/>
              <w:t>(65,533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5,266</w:t>
            </w:r>
          </w:p>
        </w:tc>
        <w:tc>
          <w:tcPr>
            <w:tcW w:w="111" w:type="dxa"/>
            <w:tcBorders/>
            <w:shd w:fill="CCEEFF" w:val="clear"/>
            <w:vAlign w:val="center"/>
          </w:tcPr>
          <w:p>
            <w:pPr>
              <w:pStyle w:val="TableContents"/>
              <w:bidi w:val="0"/>
              <w:spacing w:before="0" w:after="283"/>
              <w:jc w:val="left"/>
              <w:rPr/>
            </w:pPr>
            <w:r>
              <w:rPr/>
              <w:t> </w:t>
            </w:r>
            <w:bookmarkStart w:id="199" w:name="xdx_435_c20240401__20240630_eus-gaap--St"/>
            <w:bookmarkEnd w:id="199"/>
          </w:p>
        </w:tc>
      </w:tr>
      <w:tr>
        <w:trPr/>
        <w:tc>
          <w:tcPr>
            <w:tcW w:w="3891"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0" w:name="xdx_98D_eus-gaap--SharesOutstanding_iE_p"/>
            <w:bookmarkEnd w:id="200"/>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61,367,633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85" w:type="dxa"/>
            <w:tcBorders>
              <w:bottom w:val="double" w:sz="6" w:space="0" w:color="000000"/>
            </w:tcBorders>
            <w:shd w:fill="CCEEFF" w:val="clear"/>
            <w:tcMar>
              <w:bottom w:w="28" w:type="dxa"/>
            </w:tcM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9" w:type="dxa"/>
            <w:tcBorders>
              <w:bottom w:val="double" w:sz="6" w:space="0" w:color="000000"/>
            </w:tcBorders>
            <w:shd w:fill="CCEEFF" w:val="clear"/>
            <w:tcMar>
              <w:bottom w:w="28" w:type="dxa"/>
            </w:tcMar>
            <w:vAlign w:val="center"/>
          </w:tcPr>
          <w:p>
            <w:pPr>
              <w:pStyle w:val="TableContents"/>
              <w:bidi w:val="0"/>
              <w:spacing w:before="0" w:after="283"/>
              <w:jc w:val="right"/>
              <w:rPr/>
            </w:pPr>
            <w:r>
              <w:rPr/>
              <w:t>70,793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0" w:type="dxa"/>
            <w:tcBorders>
              <w:bottom w:val="double" w:sz="6" w:space="0" w:color="000000"/>
            </w:tcBorders>
            <w:shd w:fill="CCEEFF" w:val="clear"/>
            <w:tcMar>
              <w:bottom w:w="28" w:type="dxa"/>
            </w:tcMar>
            <w:vAlign w:val="center"/>
          </w:tcPr>
          <w:p>
            <w:pPr>
              <w:pStyle w:val="TableContents"/>
              <w:bidi w:val="0"/>
              <w:spacing w:before="0" w:after="283"/>
              <w:jc w:val="right"/>
              <w:rPr/>
            </w:pPr>
            <w:r>
              <w:rPr/>
              <w:t>(65,533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5,266</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bookmarkStart w:id="201" w:name="ku_006"/>
      <w:bookmarkEnd w:id="201"/>
      <w:r>
        <w:rPr>
          <w:rFonts w:ascii="Times New Roman;Times;Serif" w:hAnsi="Times New Roman;Times;Serif"/>
          <w:b/>
          <w:i w:val="false"/>
          <w:caps/>
          <w:sz w:val="20"/>
        </w:rPr>
        <w:t>Unaudited Condensed Consolidated Statements of Cash Flows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For the SIX Months Ended June 30, 2024 and 2023</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2" w:name="xdx_308_112_pn3n3_z000xgUrMRw2"/>
      <w:bookmarkStart w:id="203" w:name="xdx_308_112_pn3n3_z000xgUrMRw2"/>
      <w:bookmarkEnd w:id="203"/>
    </w:p>
    <w:tbl>
      <w:tblPr>
        <w:tblW w:w="6680" w:type="dxa"/>
        <w:jc w:val="left"/>
        <w:tblInd w:w="0" w:type="dxa"/>
        <w:tblLayout w:type="fixed"/>
        <w:tblCellMar>
          <w:top w:w="0" w:type="dxa"/>
          <w:left w:w="0" w:type="dxa"/>
          <w:bottom w:w="0" w:type="dxa"/>
          <w:right w:w="0" w:type="dxa"/>
        </w:tblCellMar>
      </w:tblPr>
      <w:tblGrid>
        <w:gridCol w:w="4565"/>
        <w:gridCol w:w="60"/>
        <w:gridCol w:w="140"/>
        <w:gridCol w:w="755"/>
        <w:gridCol w:w="95"/>
        <w:gridCol w:w="60"/>
        <w:gridCol w:w="140"/>
        <w:gridCol w:w="755"/>
        <w:gridCol w:w="110"/>
      </w:tblGrid>
      <w:tr>
        <w:trPr/>
        <w:tc>
          <w:tcPr>
            <w:tcW w:w="45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04" w:name="xdx_49F_20240101__20240630_zk1ucY62TBrc"/>
            <w:bookmarkEnd w:id="204"/>
          </w:p>
        </w:tc>
        <w:tc>
          <w:tcPr>
            <w:tcW w:w="895"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05" w:name="xdx_493_20230101__20230630_zZx9OqFrxEB8"/>
            <w:bookmarkEnd w:id="205"/>
          </w:p>
        </w:tc>
        <w:tc>
          <w:tcPr>
            <w:tcW w:w="895"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110" w:type="dxa"/>
            <w:tcBorders/>
            <w:vAlign w:val="center"/>
          </w:tcPr>
          <w:p>
            <w:pPr>
              <w:pStyle w:val="TableContents"/>
              <w:bidi w:val="0"/>
              <w:spacing w:before="0" w:after="283"/>
              <w:jc w:val="center"/>
              <w:rPr/>
            </w:pPr>
            <w:r>
              <w:rPr/>
              <w:t> </w:t>
            </w:r>
            <w:bookmarkStart w:id="206" w:name="xdx_400_eus-gaap--NetCashProvidedByUsedI"/>
            <w:bookmarkEnd w:id="206"/>
          </w:p>
        </w:tc>
      </w:tr>
      <w:tr>
        <w:trPr/>
        <w:tc>
          <w:tcPr>
            <w:tcW w:w="4565"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7" w:name="xdx_40E_eus-gaap--NetIncomeLoss_i01_maNC"/>
            <w:bookmarkEnd w:id="207"/>
          </w:p>
        </w:tc>
      </w:tr>
      <w:tr>
        <w:trPr/>
        <w:tc>
          <w:tcPr>
            <w:tcW w:w="456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(23,994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(7,124</w:t>
            </w:r>
          </w:p>
        </w:tc>
        <w:tc>
          <w:tcPr>
            <w:tcW w:w="110" w:type="dxa"/>
            <w:tcBorders/>
            <w:shd w:fill="FFFFFF" w:val="clear"/>
            <w:vAlign w:val="center"/>
          </w:tcPr>
          <w:p>
            <w:pPr>
              <w:pStyle w:val="TableContents"/>
              <w:bidi w:val="0"/>
              <w:spacing w:before="0" w:after="283"/>
              <w:jc w:val="left"/>
              <w:rPr/>
            </w:pPr>
            <w:r>
              <w:rPr/>
              <w:t>)</w:t>
            </w:r>
            <w:bookmarkStart w:id="208" w:name="xdx_40A_eus-gaap--AdjustmentsToReconcile"/>
            <w:bookmarkEnd w:id="208"/>
          </w:p>
        </w:tc>
      </w:tr>
      <w:tr>
        <w:trPr/>
        <w:tc>
          <w:tcPr>
            <w:tcW w:w="4565" w:type="dxa"/>
            <w:tcBorders/>
            <w:shd w:fill="CCEEFF" w:val="clear"/>
            <w:vAlign w:val="center"/>
          </w:tcPr>
          <w:p>
            <w:pPr>
              <w:pStyle w:val="TableContents"/>
              <w:bidi w:val="0"/>
              <w:spacing w:before="0" w:after="283"/>
              <w:jc w:val="left"/>
              <w:rPr/>
            </w:pPr>
            <w:r>
              <w:rPr/>
              <w:t>Adjustments to Reconcile Net Loss to Net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9" w:name="xdx_40E_eus-gaap--ShareBasedCompensation"/>
            <w:bookmarkEnd w:id="209"/>
          </w:p>
        </w:tc>
      </w:tr>
      <w:tr>
        <w:trPr/>
        <w:tc>
          <w:tcPr>
            <w:tcW w:w="4565"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5,441</w:t>
            </w:r>
          </w:p>
        </w:tc>
        <w:tc>
          <w:tcPr>
            <w:tcW w:w="110" w:type="dxa"/>
            <w:tcBorders/>
            <w:shd w:fill="CCEEFF" w:val="clear"/>
            <w:vAlign w:val="center"/>
          </w:tcPr>
          <w:p>
            <w:pPr>
              <w:pStyle w:val="TableContents"/>
              <w:bidi w:val="0"/>
              <w:spacing w:before="0" w:after="283"/>
              <w:jc w:val="left"/>
              <w:rPr/>
            </w:pPr>
            <w:r>
              <w:rPr/>
              <w:t> </w:t>
            </w:r>
            <w:bookmarkStart w:id="210" w:name="xdx_407_eus-gaap--AmortizationOfDebtDisc"/>
            <w:bookmarkEnd w:id="210"/>
          </w:p>
        </w:tc>
      </w:tr>
      <w:tr>
        <w:trPr/>
        <w:tc>
          <w:tcPr>
            <w:tcW w:w="4565" w:type="dxa"/>
            <w:tcBorders/>
            <w:shd w:fill="FFFFFF" w:val="clear"/>
            <w:vAlign w:val="center"/>
          </w:tcPr>
          <w:p>
            <w:pPr>
              <w:pStyle w:val="TableContents"/>
              <w:bidi w:val="0"/>
              <w:spacing w:before="0" w:after="283"/>
              <w:jc w:val="left"/>
              <w:rPr/>
            </w:pPr>
            <w:r>
              <w:rPr/>
              <w:t>Amortization of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620</w:t>
            </w:r>
          </w:p>
        </w:tc>
        <w:tc>
          <w:tcPr>
            <w:tcW w:w="110" w:type="dxa"/>
            <w:tcBorders/>
            <w:shd w:fill="FFFFFF" w:val="clear"/>
            <w:vAlign w:val="center"/>
          </w:tcPr>
          <w:p>
            <w:pPr>
              <w:pStyle w:val="TableContents"/>
              <w:bidi w:val="0"/>
              <w:spacing w:before="0" w:after="283"/>
              <w:jc w:val="left"/>
              <w:rPr/>
            </w:pPr>
            <w:r>
              <w:rPr/>
              <w:t> </w:t>
            </w:r>
            <w:bookmarkStart w:id="211" w:name="xdx_405_eus-gaap--FairValueAdjustmentOfW"/>
            <w:bookmarkEnd w:id="211"/>
          </w:p>
        </w:tc>
      </w:tr>
      <w:tr>
        <w:trPr/>
        <w:tc>
          <w:tcPr>
            <w:tcW w:w="4565"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(19,327</w:t>
            </w:r>
          </w:p>
        </w:tc>
        <w:tc>
          <w:tcPr>
            <w:tcW w:w="110" w:type="dxa"/>
            <w:tcBorders/>
            <w:shd w:fill="CCEEFF" w:val="clear"/>
            <w:vAlign w:val="center"/>
          </w:tcPr>
          <w:p>
            <w:pPr>
              <w:pStyle w:val="TableContents"/>
              <w:bidi w:val="0"/>
              <w:spacing w:before="0" w:after="283"/>
              <w:jc w:val="left"/>
              <w:rPr/>
            </w:pPr>
            <w:r>
              <w:rPr/>
              <w:t>)</w:t>
            </w:r>
            <w:bookmarkStart w:id="212" w:name="xdx_40E_eus-gaap--PaidInKindInterest_i02"/>
            <w:bookmarkEnd w:id="212"/>
          </w:p>
        </w:tc>
      </w:tr>
      <w:tr>
        <w:trPr/>
        <w:tc>
          <w:tcPr>
            <w:tcW w:w="4565" w:type="dxa"/>
            <w:tcBorders/>
            <w:shd w:fill="FFFFFF" w:val="clear"/>
            <w:vAlign w:val="center"/>
          </w:tcPr>
          <w:p>
            <w:pPr>
              <w:pStyle w:val="TableContents"/>
              <w:bidi w:val="0"/>
              <w:spacing w:before="0" w:after="283"/>
              <w:jc w:val="left"/>
              <w:rPr/>
            </w:pPr>
            <w:r>
              <w:rPr/>
              <w:t>Non-cash interest expense (paid-in kind)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4,582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2,510</w:t>
            </w:r>
          </w:p>
        </w:tc>
        <w:tc>
          <w:tcPr>
            <w:tcW w:w="110" w:type="dxa"/>
            <w:tcBorders/>
            <w:shd w:fill="FFFFFF" w:val="clear"/>
            <w:vAlign w:val="center"/>
          </w:tcPr>
          <w:p>
            <w:pPr>
              <w:pStyle w:val="TableContents"/>
              <w:bidi w:val="0"/>
              <w:spacing w:before="0" w:after="283"/>
              <w:jc w:val="left"/>
              <w:rPr/>
            </w:pPr>
            <w:r>
              <w:rPr/>
              <w:t> </w:t>
            </w:r>
            <w:bookmarkStart w:id="213" w:name="xdx_40E_eus-gaap--ProvisionForDoubtfulAc"/>
            <w:bookmarkEnd w:id="213"/>
          </w:p>
        </w:tc>
      </w:tr>
      <w:tr>
        <w:trPr/>
        <w:tc>
          <w:tcPr>
            <w:tcW w:w="4565" w:type="dxa"/>
            <w:tcBorders/>
            <w:shd w:fill="CCEEFF" w:val="clear"/>
            <w:vAlign w:val="center"/>
          </w:tcPr>
          <w:p>
            <w:pPr>
              <w:pStyle w:val="TableContents"/>
              <w:bidi w:val="0"/>
              <w:spacing w:before="0" w:after="283"/>
              <w:jc w:val="left"/>
              <w:rPr/>
            </w:pPr>
            <w:r>
              <w:rPr/>
              <w:t>Provision for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93</w:t>
            </w:r>
          </w:p>
        </w:tc>
        <w:tc>
          <w:tcPr>
            <w:tcW w:w="110" w:type="dxa"/>
            <w:tcBorders/>
            <w:shd w:fill="CCEEFF" w:val="clear"/>
            <w:vAlign w:val="center"/>
          </w:tcPr>
          <w:p>
            <w:pPr>
              <w:pStyle w:val="TableContents"/>
              <w:bidi w:val="0"/>
              <w:spacing w:before="0" w:after="283"/>
              <w:jc w:val="left"/>
              <w:rPr/>
            </w:pPr>
            <w:r>
              <w:rPr/>
              <w:t> </w:t>
            </w:r>
            <w:bookmarkStart w:id="214" w:name="xdx_40B_eus-gaap--DepreciationDepletionA"/>
            <w:bookmarkEnd w:id="214"/>
          </w:p>
        </w:tc>
      </w:tr>
      <w:tr>
        <w:trPr/>
        <w:tc>
          <w:tcPr>
            <w:tcW w:w="456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593</w:t>
            </w:r>
          </w:p>
        </w:tc>
        <w:tc>
          <w:tcPr>
            <w:tcW w:w="110" w:type="dxa"/>
            <w:tcBorders/>
            <w:shd w:fill="FFFFFF" w:val="clear"/>
            <w:vAlign w:val="center"/>
          </w:tcPr>
          <w:p>
            <w:pPr>
              <w:pStyle w:val="TableContents"/>
              <w:bidi w:val="0"/>
              <w:spacing w:before="0" w:after="283"/>
              <w:jc w:val="left"/>
              <w:rPr/>
            </w:pPr>
            <w:r>
              <w:rPr/>
              <w:t> </w:t>
            </w:r>
            <w:bookmarkStart w:id="215" w:name="xdx_40D_eus-gaap--OperatingLeaseRightOfU"/>
            <w:bookmarkEnd w:id="215"/>
          </w:p>
        </w:tc>
      </w:tr>
      <w:tr>
        <w:trPr/>
        <w:tc>
          <w:tcPr>
            <w:tcW w:w="4565" w:type="dxa"/>
            <w:tcBorders/>
            <w:shd w:fill="CCEEFF" w:val="clear"/>
            <w:vAlign w:val="center"/>
          </w:tcPr>
          <w:p>
            <w:pPr>
              <w:pStyle w:val="TableContents"/>
              <w:bidi w:val="0"/>
              <w:spacing w:before="0" w:after="283"/>
              <w:jc w:val="left"/>
              <w:rPr/>
            </w:pPr>
            <w:r>
              <w:rPr/>
              <w:t>Amortization of right of use of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601</w:t>
            </w:r>
          </w:p>
        </w:tc>
        <w:tc>
          <w:tcPr>
            <w:tcW w:w="110" w:type="dxa"/>
            <w:tcBorders/>
            <w:shd w:fill="CCEEFF" w:val="clear"/>
            <w:vAlign w:val="center"/>
          </w:tcPr>
          <w:p>
            <w:pPr>
              <w:pStyle w:val="TableContents"/>
              <w:bidi w:val="0"/>
              <w:spacing w:before="0" w:after="283"/>
              <w:jc w:val="left"/>
              <w:rPr/>
            </w:pPr>
            <w:r>
              <w:rPr/>
              <w:t> </w:t>
            </w:r>
            <w:bookmarkStart w:id="216" w:name="xdx_40D_eus-gaap--GainLossOnSaleOfProper"/>
            <w:bookmarkEnd w:id="216"/>
          </w:p>
        </w:tc>
      </w:tr>
      <w:tr>
        <w:trPr/>
        <w:tc>
          <w:tcPr>
            <w:tcW w:w="4565" w:type="dxa"/>
            <w:tcBorders/>
            <w:shd w:fill="FFFFFF" w:val="clear"/>
            <w:vAlign w:val="center"/>
          </w:tcPr>
          <w:p>
            <w:pPr>
              <w:pStyle w:val="TableContents"/>
              <w:bidi w:val="0"/>
              <w:spacing w:before="0" w:after="283"/>
              <w:jc w:val="left"/>
              <w:rPr/>
            </w:pPr>
            <w:r>
              <w:rPr/>
              <w:t>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116</w:t>
            </w:r>
          </w:p>
        </w:tc>
        <w:tc>
          <w:tcPr>
            <w:tcW w:w="110" w:type="dxa"/>
            <w:tcBorders/>
            <w:shd w:fill="FFFFFF" w:val="clear"/>
            <w:vAlign w:val="center"/>
          </w:tcPr>
          <w:p>
            <w:pPr>
              <w:pStyle w:val="TableContents"/>
              <w:bidi w:val="0"/>
              <w:spacing w:before="0" w:after="283"/>
              <w:jc w:val="left"/>
              <w:rPr/>
            </w:pPr>
            <w:r>
              <w:rPr/>
              <w:t> </w:t>
            </w:r>
            <w:bookmarkStart w:id="217" w:name="xdx_407_eus-gaap--IncreaseDecreaseInOper"/>
            <w:bookmarkEnd w:id="217"/>
          </w:p>
        </w:tc>
      </w:tr>
      <w:tr>
        <w:trPr/>
        <w:tc>
          <w:tcPr>
            <w:tcW w:w="4565" w:type="dxa"/>
            <w:tcBorders/>
            <w:shd w:fill="CCEEFF" w:val="clear"/>
            <w:vAlign w:val="center"/>
          </w:tcPr>
          <w:p>
            <w:pPr>
              <w:pStyle w:val="TableContents"/>
              <w:bidi w:val="0"/>
              <w:spacing w:before="0" w:after="283"/>
              <w:jc w:val="left"/>
              <w:rPr/>
            </w:pPr>
            <w:r>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8" w:name="xdx_402_eus-gaap--IncreaseDecreaseInAcco"/>
            <w:bookmarkEnd w:id="218"/>
          </w:p>
        </w:tc>
      </w:tr>
      <w:tr>
        <w:trPr/>
        <w:tc>
          <w:tcPr>
            <w:tcW w:w="4565"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(821</w:t>
            </w:r>
          </w:p>
        </w:tc>
        <w:tc>
          <w:tcPr>
            <w:tcW w:w="110" w:type="dxa"/>
            <w:tcBorders/>
            <w:shd w:fill="FFFFFF" w:val="clear"/>
            <w:vAlign w:val="center"/>
          </w:tcPr>
          <w:p>
            <w:pPr>
              <w:pStyle w:val="TableContents"/>
              <w:bidi w:val="0"/>
              <w:spacing w:before="0" w:after="283"/>
              <w:jc w:val="left"/>
              <w:rPr/>
            </w:pPr>
            <w:r>
              <w:rPr/>
              <w:t>)</w:t>
            </w:r>
            <w:bookmarkStart w:id="219" w:name="xdx_409_eus-gaap--IncreaseDecreaseInInve"/>
            <w:bookmarkEnd w:id="219"/>
          </w:p>
        </w:tc>
      </w:tr>
      <w:tr>
        <w:trPr/>
        <w:tc>
          <w:tcPr>
            <w:tcW w:w="4565"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10,125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5,648</w:t>
            </w:r>
          </w:p>
        </w:tc>
        <w:tc>
          <w:tcPr>
            <w:tcW w:w="110" w:type="dxa"/>
            <w:tcBorders/>
            <w:shd w:fill="CCEEFF" w:val="clear"/>
            <w:vAlign w:val="center"/>
          </w:tcPr>
          <w:p>
            <w:pPr>
              <w:pStyle w:val="TableContents"/>
              <w:bidi w:val="0"/>
              <w:spacing w:before="0" w:after="283"/>
              <w:jc w:val="left"/>
              <w:rPr/>
            </w:pPr>
            <w:r>
              <w:rPr/>
              <w:t> </w:t>
            </w:r>
            <w:bookmarkStart w:id="220" w:name="xdx_404_eus-gaap--IncreaseDecreaseInPrep"/>
            <w:bookmarkEnd w:id="220"/>
          </w:p>
        </w:tc>
      </w:tr>
      <w:tr>
        <w:trPr/>
        <w:tc>
          <w:tcPr>
            <w:tcW w:w="4565"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425</w:t>
            </w:r>
          </w:p>
        </w:tc>
        <w:tc>
          <w:tcPr>
            <w:tcW w:w="110" w:type="dxa"/>
            <w:tcBorders/>
            <w:shd w:fill="FFFFFF" w:val="clear"/>
            <w:vAlign w:val="center"/>
          </w:tcPr>
          <w:p>
            <w:pPr>
              <w:pStyle w:val="TableContents"/>
              <w:bidi w:val="0"/>
              <w:spacing w:before="0" w:after="283"/>
              <w:jc w:val="left"/>
              <w:rPr/>
            </w:pPr>
            <w:r>
              <w:rPr/>
              <w:t> </w:t>
            </w:r>
            <w:bookmarkStart w:id="221" w:name="xdx_406_ecustom--IncreaseDecreaseInPrepa"/>
            <w:bookmarkEnd w:id="221"/>
          </w:p>
        </w:tc>
      </w:tr>
      <w:tr>
        <w:trPr/>
        <w:tc>
          <w:tcPr>
            <w:tcW w:w="4565" w:type="dxa"/>
            <w:tcBorders/>
            <w:shd w:fill="CCEEFF" w:val="clear"/>
            <w:vAlign w:val="center"/>
          </w:tcPr>
          <w:p>
            <w:pPr>
              <w:pStyle w:val="TableContents"/>
              <w:bidi w:val="0"/>
              <w:spacing w:before="0" w:after="283"/>
              <w:jc w:val="left"/>
              <w:rPr/>
            </w:pPr>
            <w:r>
              <w:rPr/>
              <w:t>Prepaid 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(940</w:t>
            </w:r>
          </w:p>
        </w:tc>
        <w:tc>
          <w:tcPr>
            <w:tcW w:w="110" w:type="dxa"/>
            <w:tcBorders/>
            <w:shd w:fill="CCEEFF" w:val="clear"/>
            <w:vAlign w:val="center"/>
          </w:tcPr>
          <w:p>
            <w:pPr>
              <w:pStyle w:val="TableContents"/>
              <w:bidi w:val="0"/>
              <w:spacing w:before="0" w:after="283"/>
              <w:jc w:val="left"/>
              <w:rPr/>
            </w:pPr>
            <w:r>
              <w:rPr/>
              <w:t>)</w:t>
            </w:r>
            <w:bookmarkStart w:id="222" w:name="xdx_40C_eus-gaap--IncreaseDecreaseInOthe"/>
            <w:bookmarkEnd w:id="222"/>
          </w:p>
        </w:tc>
      </w:tr>
      <w:tr>
        <w:trPr/>
        <w:tc>
          <w:tcPr>
            <w:tcW w:w="456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w:t>
            </w:r>
          </w:p>
        </w:tc>
        <w:tc>
          <w:tcPr>
            <w:tcW w:w="110" w:type="dxa"/>
            <w:tcBorders/>
            <w:shd w:fill="FFFFFF" w:val="clear"/>
            <w:vAlign w:val="center"/>
          </w:tcPr>
          <w:p>
            <w:pPr>
              <w:pStyle w:val="TableContents"/>
              <w:bidi w:val="0"/>
              <w:spacing w:before="0" w:after="283"/>
              <w:jc w:val="left"/>
              <w:rPr/>
            </w:pPr>
            <w:r>
              <w:rPr/>
              <w:t> </w:t>
            </w:r>
            <w:bookmarkStart w:id="223" w:name="xdx_40B_eus-gaap--IncreaseDecreaseInOthe"/>
            <w:bookmarkEnd w:id="223"/>
          </w:p>
        </w:tc>
      </w:tr>
      <w:tr>
        <w:trPr/>
        <w:tc>
          <w:tcPr>
            <w:tcW w:w="4565"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24" w:name="xdx_40C_eus-gaap--IncreaseDecreaseInAccr"/>
            <w:bookmarkEnd w:id="224"/>
          </w:p>
        </w:tc>
      </w:tr>
      <w:tr>
        <w:trPr/>
        <w:tc>
          <w:tcPr>
            <w:tcW w:w="4565" w:type="dxa"/>
            <w:tcBorders/>
            <w:shd w:fill="FFFFFF" w:val="clear"/>
            <w:vAlign w:val="center"/>
          </w:tcPr>
          <w:p>
            <w:pPr>
              <w:pStyle w:val="TableContents"/>
              <w:bidi w:val="0"/>
              <w:spacing w:before="0" w:after="283"/>
              <w:jc w:val="left"/>
              <w:rPr/>
            </w:pPr>
            <w:r>
              <w:rPr/>
              <w:t>Income taxes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w:t>
            </w:r>
          </w:p>
        </w:tc>
        <w:tc>
          <w:tcPr>
            <w:tcW w:w="110" w:type="dxa"/>
            <w:tcBorders/>
            <w:shd w:fill="FFFFFF" w:val="clear"/>
            <w:vAlign w:val="center"/>
          </w:tcPr>
          <w:p>
            <w:pPr>
              <w:pStyle w:val="TableContents"/>
              <w:bidi w:val="0"/>
              <w:spacing w:before="0" w:after="283"/>
              <w:jc w:val="left"/>
              <w:rPr/>
            </w:pPr>
            <w:r>
              <w:rPr/>
              <w:t>)</w:t>
            </w:r>
            <w:bookmarkStart w:id="225" w:name="xdx_40D_eus-gaap--IncreaseDecreaseInAcco"/>
            <w:bookmarkEnd w:id="225"/>
          </w:p>
        </w:tc>
      </w:tr>
      <w:tr>
        <w:trPr/>
        <w:tc>
          <w:tcPr>
            <w:tcW w:w="4565"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6,272</w:t>
            </w:r>
          </w:p>
        </w:tc>
        <w:tc>
          <w:tcPr>
            <w:tcW w:w="110" w:type="dxa"/>
            <w:tcBorders/>
            <w:shd w:fill="CCEEFF" w:val="clear"/>
            <w:vAlign w:val="center"/>
          </w:tcPr>
          <w:p>
            <w:pPr>
              <w:pStyle w:val="TableContents"/>
              <w:bidi w:val="0"/>
              <w:spacing w:before="0" w:after="283"/>
              <w:jc w:val="left"/>
              <w:rPr/>
            </w:pPr>
            <w:r>
              <w:rPr/>
              <w:t> </w:t>
            </w:r>
            <w:bookmarkStart w:id="226" w:name="xdx_40E_ecustom--IncreaseDecreaseInAccru"/>
            <w:bookmarkEnd w:id="226"/>
          </w:p>
        </w:tc>
      </w:tr>
      <w:tr>
        <w:trPr/>
        <w:tc>
          <w:tcPr>
            <w:tcW w:w="4565" w:type="dxa"/>
            <w:tcBorders/>
            <w:shd w:fill="FFFFFF" w:val="clear"/>
            <w:vAlign w:val="center"/>
          </w:tcPr>
          <w:p>
            <w:pPr>
              <w:pStyle w:val="TableContents"/>
              <w:bidi w:val="0"/>
              <w:spacing w:before="0" w:after="283"/>
              <w:jc w:val="left"/>
              <w:rPr/>
            </w:pPr>
            <w:r>
              <w:rPr/>
              <w:t>Accrued tariffs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316</w:t>
            </w:r>
          </w:p>
        </w:tc>
        <w:tc>
          <w:tcPr>
            <w:tcW w:w="110" w:type="dxa"/>
            <w:tcBorders/>
            <w:shd w:fill="FFFFFF" w:val="clear"/>
            <w:vAlign w:val="center"/>
          </w:tcPr>
          <w:p>
            <w:pPr>
              <w:pStyle w:val="TableContents"/>
              <w:bidi w:val="0"/>
              <w:spacing w:before="0" w:after="283"/>
              <w:jc w:val="left"/>
              <w:rPr/>
            </w:pPr>
            <w:r>
              <w:rPr/>
              <w:t> </w:t>
            </w:r>
            <w:bookmarkStart w:id="227" w:name="xdx_405_eus-gaap--IncreaseDecreaseInCont"/>
            <w:bookmarkEnd w:id="227"/>
          </w:p>
        </w:tc>
      </w:tr>
      <w:tr>
        <w:trPr/>
        <w:tc>
          <w:tcPr>
            <w:tcW w:w="4565" w:type="dxa"/>
            <w:tcBorders/>
            <w:shd w:fill="CCEEFF" w:val="clear"/>
            <w:vAlign w:val="center"/>
          </w:tcPr>
          <w:p>
            <w:pPr>
              <w:pStyle w:val="TableContents"/>
              <w:bidi w:val="0"/>
              <w:spacing w:before="0" w:after="283"/>
              <w:jc w:val="left"/>
              <w:rPr/>
            </w:pPr>
            <w:r>
              <w:rPr/>
              <w:t>Customer deposits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(86</w:t>
            </w:r>
          </w:p>
        </w:tc>
        <w:tc>
          <w:tcPr>
            <w:tcW w:w="110" w:type="dxa"/>
            <w:tcBorders/>
            <w:shd w:fill="CCEEFF" w:val="clear"/>
            <w:vAlign w:val="center"/>
          </w:tcPr>
          <w:p>
            <w:pPr>
              <w:pStyle w:val="TableContents"/>
              <w:bidi w:val="0"/>
              <w:spacing w:before="0" w:after="283"/>
              <w:jc w:val="left"/>
              <w:rPr/>
            </w:pPr>
            <w:r>
              <w:rPr/>
              <w:t>)</w:t>
            </w:r>
            <w:bookmarkStart w:id="228" w:name="xdx_40C_eus-gaap--AdjustmentsToReconcile"/>
            <w:bookmarkEnd w:id="228"/>
          </w:p>
        </w:tc>
      </w:tr>
      <w:tr>
        <w:trPr/>
        <w:tc>
          <w:tcPr>
            <w:tcW w:w="4565" w:type="dxa"/>
            <w:tcBorders/>
            <w:shd w:fill="FFFFFF" w:val="clear"/>
            <w:vAlign w:val="center"/>
          </w:tcPr>
          <w:p>
            <w:pPr>
              <w:pStyle w:val="TableContents"/>
              <w:bidi w:val="0"/>
              <w:spacing w:before="0" w:after="283"/>
              <w:jc w:val="left"/>
              <w:rPr/>
            </w:pPr>
            <w:r>
              <w:rPr/>
              <w:t>Total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16,564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1,485</w:t>
            </w:r>
          </w:p>
        </w:tc>
        <w:tc>
          <w:tcPr>
            <w:tcW w:w="110" w:type="dxa"/>
            <w:tcBorders/>
            <w:shd w:fill="FFFFFF" w:val="clear"/>
            <w:vAlign w:val="center"/>
          </w:tcPr>
          <w:p>
            <w:pPr>
              <w:pStyle w:val="TableContents"/>
              <w:bidi w:val="0"/>
              <w:spacing w:before="0" w:after="283"/>
              <w:jc w:val="left"/>
              <w:rPr/>
            </w:pPr>
            <w:r>
              <w:rPr/>
              <w:t> </w:t>
            </w:r>
            <w:bookmarkStart w:id="229" w:name="xdx_400_eus-gaap--NetCashProvidedByUsedI"/>
            <w:bookmarkEnd w:id="229"/>
          </w:p>
        </w:tc>
      </w:tr>
      <w:tr>
        <w:trPr/>
        <w:tc>
          <w:tcPr>
            <w:tcW w:w="4565"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(7,430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(5,639</w:t>
            </w:r>
          </w:p>
        </w:tc>
        <w:tc>
          <w:tcPr>
            <w:tcW w:w="110" w:type="dxa"/>
            <w:tcBorders/>
            <w:shd w:fill="CCEEFF" w:val="clear"/>
            <w:vAlign w:val="center"/>
          </w:tcPr>
          <w:p>
            <w:pPr>
              <w:pStyle w:val="TableContents"/>
              <w:bidi w:val="0"/>
              <w:spacing w:before="0" w:after="283"/>
              <w:jc w:val="left"/>
              <w:rPr/>
            </w:pPr>
            <w:r>
              <w:rPr/>
              <w:t>)</w:t>
            </w:r>
          </w:p>
        </w:tc>
      </w:tr>
      <w:tr>
        <w:trPr/>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0" w:name="xdx_407_eus-gaap--NetCashProvidedByUsedI"/>
            <w:bookmarkEnd w:id="230"/>
          </w:p>
        </w:tc>
      </w:tr>
      <w:tr>
        <w:trPr/>
        <w:tc>
          <w:tcPr>
            <w:tcW w:w="4565" w:type="dxa"/>
            <w:tcBorders/>
            <w:shd w:fill="CCEEFF" w:val="clear"/>
            <w:vAlign w:val="center"/>
          </w:tcPr>
          <w:p>
            <w:pPr>
              <w:pStyle w:val="TableContents"/>
              <w:bidi w:val="0"/>
              <w:spacing w:before="0" w:after="283"/>
              <w:jc w:val="left"/>
              <w:rPr/>
            </w:pPr>
            <w:r>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31" w:name="xdx_40E_eus-gaap--PaymentsToAcquirePrope"/>
            <w:bookmarkEnd w:id="231"/>
          </w:p>
        </w:tc>
      </w:tr>
      <w:tr>
        <w:trPr/>
        <w:tc>
          <w:tcPr>
            <w:tcW w:w="4565" w:type="dxa"/>
            <w:tcBorders/>
            <w:shd w:fill="FFFFFF" w:val="clear"/>
            <w:vAlign w:val="center"/>
          </w:tcPr>
          <w:p>
            <w:pPr>
              <w:pStyle w:val="TableContents"/>
              <w:bidi w:val="0"/>
              <w:spacing w:before="0" w:after="283"/>
              <w:jc w:val="left"/>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(1,324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(2,571</w:t>
            </w:r>
          </w:p>
        </w:tc>
        <w:tc>
          <w:tcPr>
            <w:tcW w:w="110" w:type="dxa"/>
            <w:tcBorders/>
            <w:shd w:fill="FFFFFF" w:val="clear"/>
            <w:vAlign w:val="center"/>
          </w:tcPr>
          <w:p>
            <w:pPr>
              <w:pStyle w:val="TableContents"/>
              <w:bidi w:val="0"/>
              <w:spacing w:before="0" w:after="283"/>
              <w:jc w:val="left"/>
              <w:rPr/>
            </w:pPr>
            <w:r>
              <w:rPr/>
              <w:t>)</w:t>
            </w:r>
            <w:bookmarkStart w:id="232" w:name="xdx_408_eus-gaap--NetCashProvidedByUsedI"/>
            <w:bookmarkEnd w:id="232"/>
          </w:p>
        </w:tc>
      </w:tr>
      <w:tr>
        <w:trPr/>
        <w:tc>
          <w:tcPr>
            <w:tcW w:w="4565"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(1,324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(2,571</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Unaudited Condensed Consolidated Statements of Cash Flows (continued)</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For the SIX Months Ended June 30, 2024 and 2023</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40"/>
        <w:gridCol w:w="60"/>
        <w:gridCol w:w="140"/>
        <w:gridCol w:w="680"/>
        <w:gridCol w:w="95"/>
        <w:gridCol w:w="60"/>
        <w:gridCol w:w="140"/>
        <w:gridCol w:w="680"/>
        <w:gridCol w:w="110"/>
      </w:tblGrid>
      <w:tr>
        <w:trPr/>
        <w:tc>
          <w:tcPr>
            <w:tcW w:w="8240" w:type="dxa"/>
            <w:tcBorders/>
            <w:vAlign w:val="center"/>
          </w:tcPr>
          <w:p>
            <w:pPr>
              <w:pStyle w:val="TableContents"/>
              <w:bidi w:val="0"/>
              <w:spacing w:before="0" w:after="283"/>
              <w:jc w:val="both"/>
              <w:rPr/>
            </w:pPr>
            <w:r>
              <w:rPr/>
              <w:t>(continued from previous page)</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110" w:type="dxa"/>
            <w:tcBorders/>
            <w:vAlign w:val="center"/>
          </w:tcPr>
          <w:p>
            <w:pPr>
              <w:pStyle w:val="TableContents"/>
              <w:bidi w:val="0"/>
              <w:spacing w:before="0" w:after="283"/>
              <w:jc w:val="center"/>
              <w:rPr/>
            </w:pPr>
            <w:r>
              <w:rPr/>
              <w:t> </w:t>
            </w:r>
            <w:bookmarkStart w:id="233" w:name="xdx_40D_eus-gaap--NetCashProvidedByUsedI"/>
            <w:bookmarkEnd w:id="233"/>
          </w:p>
        </w:tc>
      </w:tr>
      <w:tr>
        <w:trPr/>
        <w:tc>
          <w:tcPr>
            <w:tcW w:w="8240" w:type="dxa"/>
            <w:tcBorders/>
            <w:shd w:fill="CCEEFF" w:val="clear"/>
            <w:vAlign w:val="center"/>
          </w:tcPr>
          <w:p>
            <w:pPr>
              <w:pStyle w:val="TableContents"/>
              <w:bidi w:val="0"/>
              <w:spacing w:before="0" w:after="283"/>
              <w:jc w:val="left"/>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34" w:name="xdx_40E_eus-gaap--ProceedsFromIssuanceIn"/>
            <w:bookmarkEnd w:id="234"/>
          </w:p>
        </w:tc>
      </w:tr>
      <w:tr>
        <w:trPr/>
        <w:tc>
          <w:tcPr>
            <w:tcW w:w="8240" w:type="dxa"/>
            <w:tcBorders/>
            <w:shd w:fill="FFFFFF" w:val="clear"/>
            <w:vAlign w:val="center"/>
          </w:tcPr>
          <w:p>
            <w:pPr>
              <w:pStyle w:val="TableContents"/>
              <w:bidi w:val="0"/>
              <w:spacing w:before="0" w:after="283"/>
              <w:jc w:val="left"/>
              <w:rPr/>
            </w:pPr>
            <w:r>
              <w:rPr/>
              <w:t>Proceeds from public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23,527</w:t>
            </w:r>
          </w:p>
        </w:tc>
        <w:tc>
          <w:tcPr>
            <w:tcW w:w="110" w:type="dxa"/>
            <w:tcBorders/>
            <w:shd w:fill="FFFFFF" w:val="clear"/>
            <w:vAlign w:val="center"/>
          </w:tcPr>
          <w:p>
            <w:pPr>
              <w:pStyle w:val="TableContents"/>
              <w:bidi w:val="0"/>
              <w:spacing w:before="0" w:after="283"/>
              <w:jc w:val="left"/>
              <w:rPr/>
            </w:pPr>
            <w:r>
              <w:rPr/>
              <w:t> </w:t>
            </w:r>
            <w:bookmarkStart w:id="235" w:name="xdx_40F_eus-gaap--PaymentsOfStockIssuanc"/>
            <w:bookmarkEnd w:id="235"/>
          </w:p>
        </w:tc>
      </w:tr>
      <w:tr>
        <w:trPr/>
        <w:tc>
          <w:tcPr>
            <w:tcW w:w="8240" w:type="dxa"/>
            <w:tcBorders/>
            <w:shd w:fill="CCEEFF" w:val="clear"/>
            <w:vAlign w:val="center"/>
          </w:tcPr>
          <w:p>
            <w:pPr>
              <w:pStyle w:val="TableContents"/>
              <w:bidi w:val="0"/>
              <w:spacing w:before="0" w:after="283"/>
              <w:jc w:val="left"/>
              <w:rPr/>
            </w:pPr>
            <w:r>
              <w:rPr/>
              <w:t>Payments from public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(1,216</w:t>
            </w:r>
          </w:p>
        </w:tc>
        <w:tc>
          <w:tcPr>
            <w:tcW w:w="110" w:type="dxa"/>
            <w:tcBorders/>
            <w:shd w:fill="CCEEFF" w:val="clear"/>
            <w:vAlign w:val="center"/>
          </w:tcPr>
          <w:p>
            <w:pPr>
              <w:pStyle w:val="TableContents"/>
              <w:bidi w:val="0"/>
              <w:spacing w:before="0" w:after="283"/>
              <w:jc w:val="left"/>
              <w:rPr/>
            </w:pPr>
            <w:r>
              <w:rPr/>
              <w:t>)</w:t>
            </w:r>
            <w:bookmarkStart w:id="236" w:name="xdx_40F_eus-gaap--ProceedsFromNotesPayab"/>
            <w:bookmarkEnd w:id="236"/>
          </w:p>
        </w:tc>
      </w:tr>
      <w:tr>
        <w:trPr/>
        <w:tc>
          <w:tcPr>
            <w:tcW w:w="8240" w:type="dxa"/>
            <w:tcBorders/>
            <w:shd w:fill="FFFFFF" w:val="clear"/>
            <w:vAlign w:val="center"/>
          </w:tcPr>
          <w:p>
            <w:pPr>
              <w:pStyle w:val="TableContents"/>
              <w:bidi w:val="0"/>
              <w:spacing w:before="0" w:after="283"/>
              <w:jc w:val="left"/>
              <w:rPr/>
            </w:pPr>
            <w:r>
              <w:rPr/>
              <w:t>Proceeds from note payable,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2,700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jc w:val="left"/>
              <w:rPr/>
            </w:pPr>
            <w:r>
              <w:rPr/>
              <w:t> </w:t>
            </w:r>
            <w:bookmarkStart w:id="237" w:name="xdx_40C_eus-gaap--RepaymentsOfNotesPayab"/>
            <w:bookmarkEnd w:id="237"/>
          </w:p>
        </w:tc>
      </w:tr>
      <w:tr>
        <w:trPr/>
        <w:tc>
          <w:tcPr>
            <w:tcW w:w="8240" w:type="dxa"/>
            <w:tcBorders/>
            <w:shd w:fill="CCEEFF" w:val="clear"/>
            <w:vAlign w:val="center"/>
          </w:tcPr>
          <w:p>
            <w:pPr>
              <w:pStyle w:val="TableContents"/>
              <w:bidi w:val="0"/>
              <w:spacing w:before="0" w:after="283"/>
              <w:jc w:val="left"/>
              <w:rPr/>
            </w:pPr>
            <w:r>
              <w:rPr/>
              <w:t>Repayment of note payable,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(2,700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w:t>
            </w:r>
            <w:bookmarkStart w:id="238" w:name="xdx_404_eus-gaap--ProceedsFromWarrantExe"/>
            <w:bookmarkEnd w:id="238"/>
          </w:p>
        </w:tc>
      </w:tr>
      <w:tr>
        <w:trPr/>
        <w:tc>
          <w:tcPr>
            <w:tcW w:w="8240" w:type="dxa"/>
            <w:tcBorders/>
            <w:shd w:fill="FFFFFF" w:val="clear"/>
            <w:vAlign w:val="center"/>
          </w:tcPr>
          <w:p>
            <w:pPr>
              <w:pStyle w:val="TableContents"/>
              <w:bidi w:val="0"/>
              <w:spacing w:before="0" w:after="283"/>
              <w:jc w:val="left"/>
              <w:rPr/>
            </w:pPr>
            <w:r>
              <w:rPr/>
              <w:t>Proceeds from exercise of public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747</w:t>
            </w:r>
          </w:p>
        </w:tc>
        <w:tc>
          <w:tcPr>
            <w:tcW w:w="110" w:type="dxa"/>
            <w:tcBorders/>
            <w:shd w:fill="FFFFFF" w:val="clear"/>
            <w:vAlign w:val="center"/>
          </w:tcPr>
          <w:p>
            <w:pPr>
              <w:pStyle w:val="TableContents"/>
              <w:bidi w:val="0"/>
              <w:spacing w:before="0" w:after="283"/>
              <w:jc w:val="left"/>
              <w:rPr/>
            </w:pPr>
            <w:r>
              <w:rPr/>
              <w:t> </w:t>
            </w:r>
            <w:bookmarkStart w:id="239" w:name="xdx_405_eus-gaap--ProceedsFromStockOptio"/>
            <w:bookmarkEnd w:id="239"/>
          </w:p>
        </w:tc>
      </w:tr>
      <w:tr>
        <w:trPr/>
        <w:tc>
          <w:tcPr>
            <w:tcW w:w="8240" w:type="dxa"/>
            <w:tcBorders/>
            <w:shd w:fill="CCEEFF" w:val="clear"/>
            <w:vAlign w:val="center"/>
          </w:tcPr>
          <w:p>
            <w:pPr>
              <w:pStyle w:val="TableContents"/>
              <w:bidi w:val="0"/>
              <w:spacing w:before="0" w:after="283"/>
              <w:jc w:val="left"/>
              <w:rPr/>
            </w:pPr>
            <w:r>
              <w:rPr/>
              <w:t>Proceeds from exercise of options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323</w:t>
            </w:r>
          </w:p>
        </w:tc>
        <w:tc>
          <w:tcPr>
            <w:tcW w:w="110" w:type="dxa"/>
            <w:tcBorders/>
            <w:shd w:fill="CCEEFF" w:val="clear"/>
            <w:vAlign w:val="center"/>
          </w:tcPr>
          <w:p>
            <w:pPr>
              <w:pStyle w:val="TableContents"/>
              <w:bidi w:val="0"/>
              <w:spacing w:before="0" w:after="283"/>
              <w:jc w:val="left"/>
              <w:rPr/>
            </w:pPr>
            <w:r>
              <w:rPr/>
              <w:t> </w:t>
            </w:r>
          </w:p>
        </w:tc>
      </w:tr>
      <w:tr>
        <w:trPr/>
        <w:tc>
          <w:tcPr>
            <w:tcW w:w="8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0" w:name="xdx_407_eus-gaap--NetCashProvidedByUsedI"/>
            <w:bookmarkEnd w:id="240"/>
          </w:p>
        </w:tc>
      </w:tr>
      <w:tr>
        <w:trPr/>
        <w:tc>
          <w:tcPr>
            <w:tcW w:w="824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740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23,381</w:t>
            </w:r>
          </w:p>
        </w:tc>
        <w:tc>
          <w:tcPr>
            <w:tcW w:w="110" w:type="dxa"/>
            <w:tcBorders/>
            <w:shd w:fill="CCEEFF" w:val="clear"/>
            <w:vAlign w:val="center"/>
          </w:tcPr>
          <w:p>
            <w:pPr>
              <w:pStyle w:val="TableContents"/>
              <w:bidi w:val="0"/>
              <w:spacing w:before="0" w:after="283"/>
              <w:jc w:val="left"/>
              <w:rPr/>
            </w:pPr>
            <w:r>
              <w:rPr/>
              <w:t> </w:t>
            </w:r>
          </w:p>
        </w:tc>
      </w:tr>
      <w:tr>
        <w:trPr/>
        <w:tc>
          <w:tcPr>
            <w:tcW w:w="8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1" w:name="xdx_400_eus-gaap--CashCashEquivalentsRes"/>
            <w:bookmarkEnd w:id="241"/>
          </w:p>
        </w:tc>
      </w:tr>
      <w:tr>
        <w:trPr/>
        <w:tc>
          <w:tcPr>
            <w:tcW w:w="8240" w:type="dxa"/>
            <w:tcBorders/>
            <w:shd w:fill="CCEEFF" w:val="clear"/>
            <w:vAlign w:val="center"/>
          </w:tcPr>
          <w:p>
            <w:pPr>
              <w:pStyle w:val="TableContents"/>
              <w:bidi w:val="0"/>
              <w:spacing w:before="0" w:after="283"/>
              <w:jc w:val="left"/>
              <w:rPr/>
            </w:pPr>
            <w:r>
              <w:rPr/>
              <w:t>Net (Decrease)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(8,014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15,171</w:t>
            </w:r>
          </w:p>
        </w:tc>
        <w:tc>
          <w:tcPr>
            <w:tcW w:w="110" w:type="dxa"/>
            <w:tcBorders/>
            <w:shd w:fill="CCEEFF" w:val="clear"/>
            <w:vAlign w:val="center"/>
          </w:tcPr>
          <w:p>
            <w:pPr>
              <w:pStyle w:val="TableContents"/>
              <w:bidi w:val="0"/>
              <w:spacing w:before="0" w:after="283"/>
              <w:jc w:val="left"/>
              <w:rPr/>
            </w:pPr>
            <w:r>
              <w:rPr/>
              <w:t> </w:t>
            </w:r>
            <w:bookmarkStart w:id="242" w:name="xdx_407_eus-gaap--CashCashEquivalentsRes"/>
            <w:bookmarkEnd w:id="242"/>
          </w:p>
        </w:tc>
      </w:tr>
      <w:tr>
        <w:trPr/>
        <w:tc>
          <w:tcPr>
            <w:tcW w:w="8240" w:type="dxa"/>
            <w:tcBorders/>
            <w:shd w:fill="FFFFFF" w:val="clear"/>
            <w:vAlign w:val="center"/>
          </w:tcPr>
          <w:p>
            <w:pPr>
              <w:pStyle w:val="TableContents"/>
              <w:bidi w:val="0"/>
              <w:spacing w:before="0" w:after="283"/>
              <w:jc w:val="left"/>
              <w:rPr/>
            </w:pPr>
            <w:r>
              <w:rPr/>
              <w:t>Beginning Cash and cash equivalents - beginning of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12,713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17,781</w:t>
            </w:r>
          </w:p>
        </w:tc>
        <w:tc>
          <w:tcPr>
            <w:tcW w:w="110" w:type="dxa"/>
            <w:tcBorders/>
            <w:shd w:fill="FFFFFF" w:val="clear"/>
            <w:vAlign w:val="center"/>
          </w:tcPr>
          <w:p>
            <w:pPr>
              <w:pStyle w:val="TableContents"/>
              <w:bidi w:val="0"/>
              <w:spacing w:before="0" w:after="283"/>
              <w:jc w:val="left"/>
              <w:rPr/>
            </w:pPr>
            <w:r>
              <w:rPr/>
              <w:t> </w:t>
            </w:r>
            <w:bookmarkStart w:id="243" w:name="xdx_407_eus-gaap--CashCashEquivalentsRes"/>
            <w:bookmarkEnd w:id="243"/>
          </w:p>
        </w:tc>
      </w:tr>
      <w:tr>
        <w:trPr/>
        <w:tc>
          <w:tcPr>
            <w:tcW w:w="8240" w:type="dxa"/>
            <w:tcBorders/>
            <w:shd w:fill="CCEEFF" w:val="clear"/>
            <w:vAlign w:val="center"/>
          </w:tcPr>
          <w:p>
            <w:pPr>
              <w:pStyle w:val="TableContents"/>
              <w:bidi w:val="0"/>
              <w:spacing w:before="0" w:after="283"/>
              <w:jc w:val="left"/>
              <w:rPr/>
            </w:pPr>
            <w:r>
              <w:rPr/>
              <w:t>Ending Cash and cash equivalents - end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4,699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32,952</w:t>
            </w:r>
          </w:p>
        </w:tc>
        <w:tc>
          <w:tcPr>
            <w:tcW w:w="110" w:type="dxa"/>
            <w:tcBorders/>
            <w:shd w:fill="CCEEFF" w:val="clear"/>
            <w:vAlign w:val="center"/>
          </w:tcPr>
          <w:p>
            <w:pPr>
              <w:pStyle w:val="TableContents"/>
              <w:bidi w:val="0"/>
              <w:spacing w:before="0" w:after="283"/>
              <w:jc w:val="left"/>
              <w:rPr/>
            </w:pPr>
            <w:r>
              <w:rPr/>
              <w:t> </w:t>
            </w:r>
          </w:p>
        </w:tc>
      </w:tr>
      <w:tr>
        <w:trPr/>
        <w:tc>
          <w:tcPr>
            <w:tcW w:w="8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4" w:name="xdx_40F_eus-gaap--SupplementalCashFlowIn"/>
            <w:bookmarkEnd w:id="244"/>
          </w:p>
        </w:tc>
      </w:tr>
      <w:tr>
        <w:trPr/>
        <w:tc>
          <w:tcPr>
            <w:tcW w:w="8240" w:type="dxa"/>
            <w:tcBorders/>
            <w:shd w:fill="CCEEFF" w:val="clear"/>
            <w:vAlign w:val="center"/>
          </w:tcPr>
          <w:p>
            <w:pPr>
              <w:pStyle w:val="TableContents"/>
              <w:bidi w:val="0"/>
              <w:spacing w:before="0" w:after="283"/>
              <w:jc w:val="left"/>
              <w:rPr/>
            </w:pPr>
            <w:r>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5" w:name="xdx_406_eus-gaap--IncomeTaxesPaidNet_i01"/>
            <w:bookmarkEnd w:id="245"/>
          </w:p>
        </w:tc>
      </w:tr>
      <w:tr>
        <w:trPr/>
        <w:tc>
          <w:tcPr>
            <w:tcW w:w="8240" w:type="dxa"/>
            <w:tcBorders/>
            <w:shd w:fill="FFFFFF" w:val="clear"/>
            <w:vAlign w:val="center"/>
          </w:tcPr>
          <w:p>
            <w:pPr>
              <w:pStyle w:val="TableContents"/>
              <w:bidi w:val="0"/>
              <w:spacing w:before="0" w:after="283"/>
              <w:jc w:val="left"/>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237</w:t>
            </w:r>
          </w:p>
        </w:tc>
        <w:tc>
          <w:tcPr>
            <w:tcW w:w="110" w:type="dxa"/>
            <w:tcBorders/>
            <w:shd w:fill="FFFFFF" w:val="clear"/>
            <w:vAlign w:val="center"/>
          </w:tcPr>
          <w:p>
            <w:pPr>
              <w:pStyle w:val="TableContents"/>
              <w:bidi w:val="0"/>
              <w:spacing w:before="0" w:after="283"/>
              <w:jc w:val="left"/>
              <w:rPr/>
            </w:pPr>
            <w:r>
              <w:rPr/>
              <w:t> </w:t>
            </w:r>
            <w:bookmarkStart w:id="246" w:name="xdx_406_eus-gaap--InterestPaidNet_i01_pn"/>
            <w:bookmarkEnd w:id="246"/>
          </w:p>
        </w:tc>
      </w:tr>
      <w:tr>
        <w:trPr/>
        <w:tc>
          <w:tcPr>
            <w:tcW w:w="824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4,780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4,361</w:t>
            </w:r>
          </w:p>
        </w:tc>
        <w:tc>
          <w:tcPr>
            <w:tcW w:w="110" w:type="dxa"/>
            <w:tcBorders/>
            <w:shd w:fill="CCEEFF" w:val="clear"/>
            <w:vAlign w:val="center"/>
          </w:tcPr>
          <w:p>
            <w:pPr>
              <w:pStyle w:val="TableContents"/>
              <w:bidi w:val="0"/>
              <w:spacing w:before="0" w:after="283"/>
              <w:jc w:val="left"/>
              <w:rPr/>
            </w:pPr>
            <w:r>
              <w:rPr/>
              <w:t> </w:t>
            </w:r>
            <w:bookmarkStart w:id="247" w:name="xdx_405_eus-gaap--CashFlowNoncashInvesti"/>
            <w:bookmarkEnd w:id="247"/>
          </w:p>
        </w:tc>
      </w:tr>
      <w:tr>
        <w:trPr/>
        <w:tc>
          <w:tcPr>
            <w:tcW w:w="8240" w:type="dxa"/>
            <w:tcBorders/>
            <w:shd w:fill="FFFFFF" w:val="clear"/>
            <w:vAlign w:val="center"/>
          </w:tcPr>
          <w:p>
            <w:pPr>
              <w:pStyle w:val="TableContents"/>
              <w:bidi w:val="0"/>
              <w:spacing w:before="0" w:after="283"/>
              <w:jc w:val="left"/>
              <w:rPr/>
            </w:pPr>
            <w:r>
              <w:rPr/>
              <w:t>Supplemental Non-Cash Items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8" w:name="xdx_401_eus-gaap--CapitalExpendituresInc"/>
            <w:bookmarkEnd w:id="248"/>
          </w:p>
        </w:tc>
      </w:tr>
      <w:tr>
        <w:trPr/>
        <w:tc>
          <w:tcPr>
            <w:tcW w:w="8240" w:type="dxa"/>
            <w:tcBorders/>
            <w:shd w:fill="CCEEFF" w:val="clear"/>
            <w:vAlign w:val="center"/>
          </w:tcPr>
          <w:p>
            <w:pPr>
              <w:pStyle w:val="TableContents"/>
              <w:bidi w:val="0"/>
              <w:spacing w:before="0" w:after="283"/>
              <w:jc w:val="left"/>
              <w:rPr/>
            </w:pPr>
            <w:r>
              <w:rPr/>
              <w:t>Purchases of property and equipment, not yet paid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2,278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3,583</w:t>
            </w:r>
          </w:p>
        </w:tc>
        <w:tc>
          <w:tcPr>
            <w:tcW w:w="110" w:type="dxa"/>
            <w:tcBorders/>
            <w:shd w:fill="CCEEFF" w:val="clear"/>
            <w:vAlign w:val="center"/>
          </w:tcPr>
          <w:p>
            <w:pPr>
              <w:pStyle w:val="TableContents"/>
              <w:bidi w:val="0"/>
              <w:spacing w:before="0" w:after="283"/>
              <w:jc w:val="left"/>
              <w:rPr/>
            </w:pPr>
            <w:r>
              <w:rPr/>
              <w:t> </w:t>
            </w:r>
            <w:bookmarkStart w:id="249" w:name="xdx_400_eus-gaap--RightOfUseAssetObtaine"/>
            <w:bookmarkEnd w:id="249"/>
          </w:p>
        </w:tc>
      </w:tr>
      <w:tr>
        <w:trPr/>
        <w:tc>
          <w:tcPr>
            <w:tcW w:w="8240" w:type="dxa"/>
            <w:tcBorders/>
            <w:shd w:fill="FFFFFF" w:val="clear"/>
            <w:vAlign w:val="center"/>
          </w:tcPr>
          <w:p>
            <w:pPr>
              <w:pStyle w:val="TableContents"/>
              <w:bidi w:val="0"/>
              <w:spacing w:before="0" w:after="283"/>
              <w:jc w:val="left"/>
              <w:rPr/>
            </w:pPr>
            <w:r>
              <w:rPr/>
              <w:t>Recognition of right of use asset obtained in exchange for operating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18,653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50" w:name="xdx_404_ecustom--RecognitionOfLeaseholdI"/>
            <w:bookmarkEnd w:id="250"/>
          </w:p>
        </w:tc>
      </w:tr>
      <w:tr>
        <w:trPr/>
        <w:tc>
          <w:tcPr>
            <w:tcW w:w="8240" w:type="dxa"/>
            <w:tcBorders/>
            <w:shd w:fill="CCEEFF" w:val="clear"/>
            <w:vAlign w:val="center"/>
          </w:tcPr>
          <w:p>
            <w:pPr>
              <w:pStyle w:val="TableContents"/>
              <w:bidi w:val="0"/>
              <w:spacing w:before="0" w:after="283"/>
              <w:jc w:val="left"/>
              <w:rPr/>
            </w:pPr>
            <w:r>
              <w:rPr/>
              <w:t>Recognition of leasehold improvements obtained in exchange for operating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4,683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51" w:name="xdx_404_ecustom--RecognitionOfWarrantLia"/>
            <w:bookmarkEnd w:id="251"/>
          </w:p>
        </w:tc>
      </w:tr>
      <w:tr>
        <w:trPr/>
        <w:tc>
          <w:tcPr>
            <w:tcW w:w="8240" w:type="dxa"/>
            <w:tcBorders/>
            <w:shd w:fill="FFFFFF" w:val="clear"/>
            <w:vAlign w:val="center"/>
          </w:tcPr>
          <w:p>
            <w:pPr>
              <w:pStyle w:val="TableContents"/>
              <w:bidi w:val="0"/>
              <w:spacing w:before="0" w:after="283"/>
              <w:jc w:val="left"/>
              <w:rPr/>
            </w:pPr>
            <w:r>
              <w:rPr/>
              <w:t>Recognition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4,796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52" w:name="xdx_400_ecustom--SettlementOfAccruedLiab"/>
            <w:bookmarkEnd w:id="252"/>
          </w:p>
        </w:tc>
      </w:tr>
      <w:tr>
        <w:trPr/>
        <w:tc>
          <w:tcPr>
            <w:tcW w:w="8240" w:type="dxa"/>
            <w:tcBorders/>
            <w:shd w:fill="CCEEFF" w:val="clear"/>
            <w:vAlign w:val="center"/>
          </w:tcPr>
          <w:p>
            <w:pPr>
              <w:pStyle w:val="TableContents"/>
              <w:bidi w:val="0"/>
              <w:spacing w:before="0" w:after="283"/>
              <w:jc w:val="left"/>
              <w:rPr/>
            </w:pPr>
            <w:r>
              <w:rPr/>
              <w:t>Settlement of accrued liability for employee stock purchase plan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53" w:name="xdx_406_ecustom--CashlessExerciseOfLiabi"/>
            <w:bookmarkEnd w:id="253"/>
          </w:p>
        </w:tc>
      </w:tr>
      <w:tr>
        <w:trPr/>
        <w:tc>
          <w:tcPr>
            <w:tcW w:w="8240" w:type="dxa"/>
            <w:tcBorders/>
            <w:shd w:fill="FFFFFF" w:val="clear"/>
            <w:vAlign w:val="center"/>
          </w:tcPr>
          <w:p>
            <w:pPr>
              <w:pStyle w:val="TableContents"/>
              <w:bidi w:val="0"/>
              <w:spacing w:before="0" w:after="283"/>
              <w:jc w:val="left"/>
              <w:rPr/>
            </w:pPr>
            <w:r>
              <w:rPr/>
              <w:t>Cashless exercise of liability classified warrants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12,628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bookmarkStart w:id="254" w:name="ku_007"/>
      <w:bookmarkEnd w:id="254"/>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255" w:name="xdx_80E_eus-gaap--NatureOfOperations_z1h"/>
      <w:bookmarkEnd w:id="255"/>
      <w:r>
        <w:rPr>
          <w:rFonts w:ascii="Times New Roman;Times;Serif" w:hAnsi="Times New Roman;Times;Serif"/>
          <w:b/>
          <w:i w:val="false"/>
          <w:caps/>
          <w:sz w:val="20"/>
        </w:rPr>
        <w:t xml:space="preserve">Note 1 - </w:t>
      </w:r>
      <w:bookmarkStart w:id="256" w:name="xdx_820_zztw6i95Ytyc"/>
      <w:bookmarkEnd w:id="256"/>
      <w:r>
        <w:rPr>
          <w:rFonts w:ascii="Times New Roman;Times;Serif" w:hAnsi="Times New Roman;Times;Serif"/>
          <w:b/>
          <w:i w:val="false"/>
          <w:caps/>
          <w:sz w:val="20"/>
        </w:rPr>
        <w:t>NATURE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(“New Dragonfly” or the “Company”) sells lithium-ion battery packs for use in a wide variety of applications. The Company sells to distributors under the Dragonfly Energy brand name, and sells direct to consumers under the trade name Battleborn Batteries. In addition, the Company develops technology for improved lithium-ion battery manufacturing and assembly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257" w:name="xdx_80C_eus-gaap--SignificantAccountingP"/>
      <w:bookmarkEnd w:id="257"/>
      <w:r>
        <w:rPr>
          <w:rFonts w:ascii="Times New Roman;Times;Serif" w:hAnsi="Times New Roman;Times;Serif"/>
          <w:b/>
          <w:i w:val="false"/>
          <w:caps/>
          <w:sz w:val="20"/>
        </w:rPr>
        <w:t xml:space="preserve">Note 2 - </w:t>
      </w:r>
      <w:bookmarkStart w:id="258" w:name="xdx_82F_zOa7IhPeTt76"/>
      <w:bookmarkEnd w:id="258"/>
      <w:r>
        <w:rPr>
          <w:rFonts w:ascii="Times New Roman;Times;Serif" w:hAnsi="Times New Roman;Times;Serif"/>
          <w:b/>
          <w:i w:val="false"/>
          <w:caps/>
          <w:sz w:val="20"/>
        </w:rPr>
        <w:t>SUMMARY OF SIGNIFICANT ACCOUNTING POLICIES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59" w:name="xdx_84E_eus-gaap--ConsolidationPolicyTex"/>
      <w:bookmarkEnd w:id="259"/>
      <w:r>
        <w:rPr>
          <w:rFonts w:ascii="Times New Roman;Times;Serif" w:hAnsi="Times New Roman;Times;Serif"/>
          <w:b w:val="false"/>
          <w:i/>
          <w:caps w:val="false"/>
          <w:smallCaps w:val="false"/>
          <w:sz w:val="20"/>
          <w:u w:val="single"/>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and related notes have been prepared in accordance with accounting principles generally accepted in the United States of America (“U.S. GAAP”) and present the consolidated financial statements of the Company and its wholly owned subsidiary. All significant intercompany transactions and balances are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60" w:name="xdx_845_eus-gaap--BasisOfAccountingPolic"/>
      <w:bookmarkEnd w:id="260"/>
      <w:r>
        <w:rPr>
          <w:rFonts w:ascii="Times New Roman;Times;Serif" w:hAnsi="Times New Roman;Times;Serif"/>
          <w:b w:val="false"/>
          <w:i/>
          <w:caps w:val="false"/>
          <w:smallCaps w:val="false"/>
          <w:sz w:val="20"/>
          <w:u w:val="single"/>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and related notes have been prepared in accordance with U.S. GAAP for interim financial information, and with the rules and regulations of the United States Securities and Exchange Commission (the “SEC”) set forth in Article 8 of Regulation S-X. Accordingly, they do not include all of the information and footnotes required by U.S. GAAP for complete financial statements. The unaudited interim financial statements furnished reflect all adjustments (consisting of normal recurring accruals) which are, in the opinion of management, necessary to a fair statement of the results for the interim periods presented. Unaudited interim results are not necessarily indicative of the results for the full fiscal year. These condensed consolidated financial statements should be read along with the 10-K filed with the SEC on April 16, 2024 (as amended April 29, 2024, the “Annual Report”) of the Company for the annual period ended December 31, 2023. The consolidated balance sheet as of December 31, 2023 was derived from the audited consolidated financial statements as of and for the year then 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61" w:name="xdx_84C_ecustom--GoingConcernPolicyTextB"/>
      <w:bookmarkEnd w:id="261"/>
      <w:r>
        <w:rPr>
          <w:rFonts w:ascii="Times New Roman;Times;Serif" w:hAnsi="Times New Roman;Times;Serif"/>
          <w:b w:val="false"/>
          <w:i/>
          <w:caps w:val="false"/>
          <w:smallCaps w:val="false"/>
          <w:sz w:val="20"/>
          <w:u w:val="single"/>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have been prepared on a going concern basis, which contemplates the realization of assets and the satisfaction of liabilities in the normal course of business. The condensed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2024 and 2023, the Company incurred losses from operations and had negative cash flow from operations. As of June 30, 2024, the Company had $</w:t>
      </w:r>
      <w:bookmarkStart w:id="262" w:name="xdx_905_eus-gaap--Cash_iI_pn3n3_c2024063"/>
      <w:bookmarkEnd w:id="262"/>
      <w:r>
        <w:rPr>
          <w:rFonts w:ascii="Times New Roman;Times;Serif" w:hAnsi="Times New Roman;Times;Serif"/>
          <w:b w:val="false"/>
          <w:i w:val="false"/>
          <w:caps w:val="false"/>
          <w:smallCaps w:val="false"/>
          <w:sz w:val="20"/>
        </w:rPr>
        <w:t>4,699 in cash and cash equivalents and a working capital deficit of $</w:t>
      </w:r>
      <w:bookmarkStart w:id="263" w:name="xdx_905_ecustom--WorkingCapital_pn3n3_c2"/>
      <w:bookmarkEnd w:id="263"/>
      <w:r>
        <w:rPr>
          <w:rFonts w:ascii="Times New Roman;Times;Serif" w:hAnsi="Times New Roman;Times;Serif"/>
          <w:b w:val="false"/>
          <w:i w:val="false"/>
          <w:caps w:val="false"/>
          <w:smallCaps w:val="false"/>
          <w:sz w:val="20"/>
        </w:rPr>
        <w:t>4,584. The Company’s ability to achieve profitability and positive cash flow depends on its ability to increase revenue, contain its expenses and maintain compliance with the financial covenants in its outstanding indebtedness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senior secured term loan facility in an aggregate principal amount of $</w:t>
      </w:r>
      <w:bookmarkStart w:id="264" w:name="xdx_90E_eus-gaap--DebtInstrumentFaceAmou"/>
      <w:bookmarkEnd w:id="264"/>
      <w:r>
        <w:rPr>
          <w:rFonts w:ascii="Times New Roman;Times;Serif" w:hAnsi="Times New Roman;Times;Serif"/>
          <w:b w:val="false"/>
          <w:i w:val="false"/>
          <w:caps w:val="false"/>
          <w:smallCaps w:val="false"/>
          <w:sz w:val="20"/>
        </w:rPr>
        <w:t xml:space="preserve">75,000 (as amended, the “Term Loan”), the Company is obligated to comply with certain financial covenants, which include maintaining a maximum senior leverage ratio, minimum liquidity, a springing fixed charge coverage ratio, and maximum capital expenditures </w:t>
      </w:r>
      <w:r>
        <w:rPr>
          <w:rFonts w:ascii="Times New Roman;Times;Serif" w:hAnsi="Times New Roman;Times;Serif"/>
          <w:b/>
          <w:i w:val="false"/>
          <w:caps w:val="false"/>
          <w:smallCaps w:val="false"/>
          <w:sz w:val="20"/>
        </w:rPr>
        <w:t>(See Note 6).</w:t>
      </w:r>
      <w:r>
        <w:rPr>
          <w:rFonts w:ascii="Times New Roman;Times;Serif" w:hAnsi="Times New Roman;Times;Serif"/>
          <w:b w:val="false"/>
          <w:i w:val="false"/>
          <w:caps w:val="false"/>
          <w:smallCaps w:val="false"/>
          <w:sz w:val="20"/>
        </w:rPr>
        <w:t xml:space="preserve"> On March 31, 2024, April 29, 2024 and June 28, 2024, the Company obtained waivers from the Term Loan administrative agent and lenders of its failures to satisfy the liquidity requirement under the Term Loan for the quarters ended March 31, 2024 and June 30, 2024 and the fiscal month ended April 30, 2024, as applicable. If the Company is unable to obtain a waiver or if the Company is unable to comply with such covenants, the lenders have the right to accelerate the maturity of the Term Loan. These conditions raise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may need to raise additional debt and/or equity financings to fund its operations, strategic plans, and meet its financial covenants. The Company has historically been able to raise additional capital through issuance of equity and/or debt financings and the Company intends to use its equity facility and raise additional capital as needed. However, the Company cannot guarantee that it will be able to raise additional equity, contain expenses, or increase revenue, and comply with the financial covenants under the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265" w:name="xdx_84C_ecustom--RecentlyAdoptedAccounti"/>
      <w:bookmarkEnd w:id="265"/>
      <w:r>
        <w:rPr>
          <w:rFonts w:ascii="Times New Roman;Times;Serif" w:hAnsi="Times New Roman;Times;Serif"/>
          <w:b w:val="false"/>
          <w:i/>
          <w:caps w:val="false"/>
          <w:smallCaps w:val="false"/>
          <w:sz w:val="20"/>
          <w:u w:val="single"/>
        </w:rPr>
        <w:t>Recently issued accounting pronouncements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Financial Accounting Standards Board (“FASB”) issued Accounting Standards Update (“ASU”) 2023-07, Segment Reporting (Topic 280): Improvements to Reportable Segment Disclosures (“ASU 2023-07”). ASU 2023-07 requires, among other updates, enhanced disclosures about significant segment expenses that are regularly provided to the CODM, as well as the aggregate amount of other segment items included in the reported measure of segment profit or loss. ASU 2023-07 is effective for fiscal years beginning after December 15, 2023, and interim periods within fiscal years beginning after December 15, 2024, and requires retrospective adoption. Early adoption is permitted. The Company is evaluating the impact of this guidance on its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(“ASU 2023-09”). ASU 2023-09 requires enhanced annual disclosures regarding the rate reconciliation and income taxes paid information. ASU 2023-09 is effective for fiscal years beginning after December 15, 2024, and may be adopted on a prospective or retrospective basis. Early adoption is permitted. The Company is evaluating the impact of this guidance on its consolidated financial statements and related disclosures.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66" w:name="xdx_84C_eus-gaap--CashAndCashEquivalents"/>
      <w:bookmarkEnd w:id="266"/>
      <w:r>
        <w:rPr>
          <w:rFonts w:ascii="Times New Roman;Times;Serif" w:hAnsi="Times New Roman;Times;Serif"/>
          <w:b w:val="false"/>
          <w:i/>
          <w:caps w:val="false"/>
          <w:smallCaps w:val="false"/>
          <w:sz w:val="20"/>
          <w:u w:val="single"/>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considers all short-term debt securities purchased with a maturity of three months or less to be cash equivalents. As of June 30, 2024 and December 31, 2023, the Company held </w:t>
      </w:r>
      <w:bookmarkStart w:id="267" w:name="xdx_905_eus-gaap--RestrictedCash_iI_do_c"/>
      <w:bookmarkStart w:id="268" w:name="xdx_900_eus-gaap--RestrictedCash_iI_do_c"/>
      <w:bookmarkEnd w:id="267"/>
      <w:bookmarkEnd w:id="268"/>
      <w:r>
        <w:rPr>
          <w:rFonts w:ascii="Times New Roman;Times;Serif" w:hAnsi="Times New Roman;Times;Serif"/>
          <w:b w:val="false"/>
          <w:i w:val="false"/>
          <w:caps w:val="false"/>
          <w:smallCaps w:val="false"/>
          <w:sz w:val="20"/>
        </w:rPr>
        <w:t>no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has amounts on deposit with financial institutions that exceed federally insured limits. The Company has not experienced any significant losses in such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69" w:name="xdx_84E_eus-gaap--TradeAndOtherAccountsR"/>
      <w:bookmarkEnd w:id="269"/>
      <w:r>
        <w:rPr>
          <w:rFonts w:ascii="Times New Roman;Times;Serif" w:hAnsi="Times New Roman;Times;Serif"/>
          <w:b w:val="false"/>
          <w:i/>
          <w:caps w:val="false"/>
          <w:smallCaps w:val="false"/>
          <w:sz w:val="20"/>
          <w:u w:val="single"/>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trade receivables are recorded when billed and represent claims against third parties that will be settled in cash. Generally, payment is due from customers within 30- 90 days of the invoice date and the contracts do not have significant financing components. Trade accounts receivables are recorded gross and are net of any applicable allowance. The allowance for credit losses as of June 30, 2024 and December 31, 2023 were not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70" w:name="xdx_84F_eus-gaap--InventoryPolicyTextBlo"/>
      <w:bookmarkEnd w:id="270"/>
      <w:r>
        <w:rPr>
          <w:rFonts w:ascii="Times New Roman;Times;Serif" w:hAnsi="Times New Roman;Times;Serif"/>
          <w:b w:val="false"/>
          <w:i/>
          <w:caps w:val="false"/>
          <w:smallCaps w:val="false"/>
          <w:sz w:val="20"/>
          <w:u w:val="single"/>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w:t>
      </w:r>
      <w:r>
        <w:rPr>
          <w:rFonts w:ascii="Times New Roman;Times;Serif" w:hAnsi="Times New Roman;Times;Serif"/>
          <w:b/>
          <w:i w:val="false"/>
          <w:caps w:val="false"/>
          <w:smallCaps w:val="false"/>
          <w:sz w:val="20"/>
        </w:rPr>
        <w:t>Note 4</w:t>
      </w:r>
      <w:r>
        <w:rPr>
          <w:rFonts w:ascii="Times New Roman;Times;Serif" w:hAnsi="Times New Roman;Times;Serif"/>
          <w:b w:val="false"/>
          <w:i w:val="false"/>
          <w:caps w:val="false"/>
          <w:smallCaps w:val="false"/>
          <w:sz w:val="20"/>
        </w:rPr>
        <w:t>), which consist of raw materials and finished goods, are stated at the lower of cost (first in, first out) or net realizable value, net of reserves for obsolete inventory. The Company continually analyzes its slow moving and excess inventories. Based on historical and projected sales volumes and anticipated selling prices, the Company established reserves. Inventory that is in excess of current and projected use is reduced by an allowance to a level that approximates its estimate of future demand. Products that are determined to be obsolete are written down to net realizable value. The inventory reserve as of June 30, 2024 and December 31, 2023 was not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71" w:name="xdx_848_eus-gaap--UseOfEstimates_zcxcGPV"/>
      <w:bookmarkEnd w:id="271"/>
      <w:r>
        <w:rPr>
          <w:rFonts w:ascii="Times New Roman;Times;Serif" w:hAnsi="Times New Roman;Times;Serif"/>
          <w:b w:val="false"/>
          <w:i/>
          <w:caps w:val="false"/>
          <w:smallCaps w:val="false"/>
          <w:sz w:val="20"/>
          <w:u w:val="single"/>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Company utilizes the use of estimates in its calculations for the reserve for obsolete or slow-moving inventory, right of use asset, warrant liability, equity-based compensation, and income taxes.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72" w:name="xdx_84D_eus-gaap--RevenueFromContractWit"/>
      <w:bookmarkEnd w:id="272"/>
      <w:r>
        <w:rPr>
          <w:rFonts w:ascii="Times New Roman;Times;Serif" w:hAnsi="Times New Roman;Times;Serif"/>
          <w:b w:val="false"/>
          <w:i/>
          <w:caps w:val="false"/>
          <w:smallCaps w:val="false"/>
          <w:sz w:val="20"/>
          <w:u w:val="single"/>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receive payments at the onset of the contract before delivery of goods for customers in the retail channel. Payment terms for distributors and OEMs are typically due within </w:t>
      </w:r>
      <w:bookmarkStart w:id="273" w:name="xdx_908_ecustom--PaymentTermForDistribut"/>
      <w:bookmarkEnd w:id="273"/>
      <w:r>
        <w:rPr>
          <w:rFonts w:ascii="Times New Roman;Times;Serif" w:hAnsi="Times New Roman;Times;Serif"/>
          <w:b w:val="false"/>
          <w:i w:val="false"/>
          <w:caps w:val="false"/>
          <w:smallCaps w:val="false"/>
          <w:sz w:val="20"/>
        </w:rPr>
        <w:t>30-</w:t>
      </w:r>
      <w:bookmarkStart w:id="274" w:name="xdx_906_ecustom--PaymentTermForDistribut"/>
      <w:bookmarkEnd w:id="274"/>
      <w:r>
        <w:rPr>
          <w:rFonts w:ascii="Times New Roman;Times;Serif" w:hAnsi="Times New Roman;Times;Serif"/>
          <w:b w:val="false"/>
          <w:i w:val="false"/>
          <w:caps w:val="false"/>
          <w:smallCaps w:val="false"/>
          <w:sz w:val="20"/>
        </w:rPr>
        <w:t>90 days after shipment. In such instances, the Company records a customer deposit liability. The Company recognizes these contract liabilities as sales after the revenue criteria are met. As of June 30, 2024 and December 31, 2023, the contract liability related to the Company’s customer deposits were approximately $</w:t>
      </w:r>
      <w:bookmarkStart w:id="275" w:name="xdx_90A_eus-gaap--ContractWithCustomerLi"/>
      <w:bookmarkEnd w:id="275"/>
      <w:r>
        <w:rPr>
          <w:rFonts w:ascii="Times New Roman;Times;Serif" w:hAnsi="Times New Roman;Times;Serif"/>
          <w:b w:val="false"/>
          <w:i w:val="false"/>
          <w:caps w:val="false"/>
          <w:smallCaps w:val="false"/>
          <w:sz w:val="20"/>
        </w:rPr>
        <w:t>250 and $</w:t>
      </w:r>
      <w:bookmarkStart w:id="276" w:name="xdx_906_eus-gaap--ContractWithCustomerLi"/>
      <w:bookmarkEnd w:id="276"/>
      <w:r>
        <w:rPr>
          <w:rFonts w:ascii="Times New Roman;Times;Serif" w:hAnsi="Times New Roman;Times;Serif"/>
          <w:b w:val="false"/>
          <w:i w:val="false"/>
          <w:caps w:val="false"/>
          <w:smallCaps w:val="false"/>
          <w:sz w:val="20"/>
        </w:rPr>
        <w:t>201,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w:t>
      </w:r>
      <w:bookmarkStart w:id="277" w:name="xdx_902_eus-gaap--ContractWithCustomerLi"/>
      <w:bookmarkStart w:id="278" w:name="xdx_900_eus-gaap--ContractWithCustomerLi"/>
      <w:bookmarkEnd w:id="277"/>
      <w:bookmarkEnd w:id="278"/>
      <w:r>
        <w:rPr>
          <w:rFonts w:ascii="Times New Roman;Times;Serif" w:hAnsi="Times New Roman;Times;Serif"/>
          <w:b w:val="false"/>
          <w:i w:val="false"/>
          <w:caps w:val="false"/>
          <w:smallCaps w:val="false"/>
          <w:sz w:val="20"/>
        </w:rPr>
        <w:t>153 of the contract liability as of December 31, 2023 during the six months ended June 30, 2024. The Company recognized $</w:t>
      </w:r>
      <w:bookmarkStart w:id="279" w:name="xdx_906_eus-gaap--ContractWithCustomerLi"/>
      <w:bookmarkStart w:id="280" w:name="xdx_907_eus-gaap--ContractWithCustomerLi"/>
      <w:bookmarkEnd w:id="279"/>
      <w:bookmarkEnd w:id="280"/>
      <w:r>
        <w:rPr>
          <w:rFonts w:ascii="Times New Roman;Times;Serif" w:hAnsi="Times New Roman;Times;Serif"/>
          <w:b w:val="false"/>
          <w:i w:val="false"/>
          <w:caps w:val="false"/>
          <w:smallCaps w:val="false"/>
          <w:sz w:val="20"/>
        </w:rPr>
        <w:t>211 of the contract liability as of December 31, 2022 during the six months ended June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81" w:name="xdx_84A_ecustom--DisaggregationOfRevenue"/>
      <w:bookmarkEnd w:id="281"/>
      <w:r>
        <w:rPr>
          <w:rFonts w:ascii="Times New Roman;Times;Serif" w:hAnsi="Times New Roman;Times;Serif"/>
          <w:b w:val="false"/>
          <w:i/>
          <w:caps w:val="false"/>
          <w:smallCaps w:val="false"/>
          <w:sz w:val="20"/>
          <w:u w:val="single"/>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82" w:name="xdx_892_eus-gaap--DisaggregationOfRevenu"/>
      <w:bookmarkEnd w:id="282"/>
      <w:r>
        <w:rPr>
          <w:rFonts w:ascii="Times New Roman;Times;Serif" w:hAnsi="Times New Roman;Times;Serif"/>
          <w:b w:val="false"/>
          <w:i w:val="false"/>
          <w:caps w:val="false"/>
          <w:smallCaps w:val="false"/>
          <w:sz w:val="20"/>
        </w:rPr>
        <w:t>The following table present our disaggregated revenues by distribution channel: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283" w:name="xdx_8B0_zi9f92g5HpCk"/>
      <w:bookmarkEnd w:id="283"/>
      <w:r>
        <w:rPr>
          <w:rFonts w:ascii="Times New Roman;Times;Serif" w:hAnsi="Times New Roman;Times;Serif"/>
          <w:b w:val="false"/>
          <w:i w:val="false"/>
          <w:caps w:val="false"/>
          <w:smallCaps w:val="false"/>
          <w:sz w:val="20"/>
        </w:rPr>
        <w:t>SCHEDULE OF DISAGGREGATED REVENUES BY DISTRIBUTION CHANNEL </w:t>
      </w:r>
    </w:p>
    <w:tbl>
      <w:tblPr>
        <w:tblW w:w="8634" w:type="dxa"/>
        <w:jc w:val="left"/>
        <w:tblInd w:w="0" w:type="dxa"/>
        <w:tblLayout w:type="fixed"/>
        <w:tblCellMar>
          <w:top w:w="0" w:type="dxa"/>
          <w:left w:w="0" w:type="dxa"/>
          <w:bottom w:w="0" w:type="dxa"/>
          <w:right w:w="0" w:type="dxa"/>
        </w:tblCellMar>
      </w:tblPr>
      <w:tblGrid>
        <w:gridCol w:w="3095"/>
        <w:gridCol w:w="60"/>
        <w:gridCol w:w="219"/>
        <w:gridCol w:w="1068"/>
        <w:gridCol w:w="94"/>
        <w:gridCol w:w="94"/>
        <w:gridCol w:w="219"/>
        <w:gridCol w:w="1068"/>
        <w:gridCol w:w="60"/>
        <w:gridCol w:w="60"/>
        <w:gridCol w:w="200"/>
        <w:gridCol w:w="975"/>
        <w:gridCol w:w="86"/>
        <w:gridCol w:w="86"/>
        <w:gridCol w:w="200"/>
        <w:gridCol w:w="975"/>
        <w:gridCol w:w="75"/>
      </w:tblGrid>
      <w:tr>
        <w:trPr/>
        <w:tc>
          <w:tcPr>
            <w:tcW w:w="30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bookmarkStart w:id="284" w:name="xdx_491_20240401__20240630_zT2m2BCb8Gid"/>
            <w:bookmarkEnd w:id="284"/>
          </w:p>
        </w:tc>
        <w:tc>
          <w:tcPr>
            <w:tcW w:w="1287"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bookmarkStart w:id="285" w:name="xdx_49E_20230401__20230630_zBaNF808zQEd"/>
            <w:bookmarkEnd w:id="285"/>
          </w:p>
        </w:tc>
        <w:tc>
          <w:tcPr>
            <w:tcW w:w="1287"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6" w:name="xdx_492_20240101__20240630_ze5mh2wxeK6e"/>
            <w:bookmarkEnd w:id="286"/>
          </w:p>
        </w:tc>
        <w:tc>
          <w:tcPr>
            <w:tcW w:w="1175"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bookmarkStart w:id="287" w:name="xdx_495_20230101__20230630_zsOUydJwdjuk"/>
            <w:bookmarkEnd w:id="287"/>
          </w:p>
        </w:tc>
        <w:tc>
          <w:tcPr>
            <w:tcW w:w="1175"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2" w:type="dxa"/>
            <w:gridSpan w:val="6"/>
            <w:tcBorders/>
            <w:vAlign w:val="center"/>
          </w:tcPr>
          <w:p>
            <w:pPr>
              <w:pStyle w:val="TableContents"/>
              <w:bidi w:val="0"/>
              <w:spacing w:before="0" w:after="283"/>
              <w:jc w:val="center"/>
              <w:rPr/>
            </w:pPr>
            <w:r>
              <w:rPr/>
              <w:t>For the 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2" w:type="dxa"/>
            <w:gridSpan w:val="6"/>
            <w:tcBorders/>
            <w:vAlign w:val="center"/>
          </w:tcPr>
          <w:p>
            <w:pPr>
              <w:pStyle w:val="TableContents"/>
              <w:bidi w:val="0"/>
              <w:spacing w:before="0" w:after="283"/>
              <w:jc w:val="center"/>
              <w:rPr/>
            </w:pPr>
            <w:r>
              <w:rPr/>
              <w:t>For the Six Months Ended</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2" w:type="dxa"/>
            <w:gridSpan w:val="6"/>
            <w:tcBorders>
              <w:bottom w:val="single" w:sz="12" w:space="0" w:color="000000"/>
            </w:tcBorders>
            <w:tcMar>
              <w:bottom w:w="28" w:type="dxa"/>
            </w:tcMar>
            <w:vAlign w:val="center"/>
          </w:tcPr>
          <w:p>
            <w:pPr>
              <w:pStyle w:val="TableContents"/>
              <w:bidi w:val="0"/>
              <w:spacing w:before="0" w:after="283"/>
              <w:jc w:val="center"/>
              <w:rPr/>
            </w:pPr>
            <w:r>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2" w:type="dxa"/>
            <w:gridSpan w:val="6"/>
            <w:tcBorders>
              <w:bottom w:val="single" w:sz="12" w:space="0" w:color="000000"/>
            </w:tcBorders>
            <w:tcMar>
              <w:bottom w:w="28" w:type="dxa"/>
            </w:tcMar>
            <w:vAlign w:val="center"/>
          </w:tcPr>
          <w:p>
            <w:pPr>
              <w:pStyle w:val="TableContents"/>
              <w:bidi w:val="0"/>
              <w:spacing w:before="0" w:after="283"/>
              <w:jc w:val="center"/>
              <w:rPr/>
            </w:pPr>
            <w:r>
              <w:rPr/>
              <w:t>June 30</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Sales</w:t>
            </w:r>
          </w:p>
        </w:tc>
        <w:tc>
          <w:tcPr>
            <w:tcW w:w="60" w:type="dxa"/>
            <w:tcBorders/>
            <w:vAlign w:val="center"/>
          </w:tcPr>
          <w:p>
            <w:pPr>
              <w:pStyle w:val="TableContents"/>
              <w:bidi w:val="0"/>
              <w:spacing w:before="0" w:after="283"/>
              <w:jc w:val="left"/>
              <w:rPr/>
            </w:pPr>
            <w:r>
              <w:rPr/>
              <w:t> </w:t>
            </w:r>
          </w:p>
        </w:tc>
        <w:tc>
          <w:tcPr>
            <w:tcW w:w="1287"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87"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75" w:type="dxa"/>
            <w:tcBorders/>
            <w:vAlign w:val="center"/>
          </w:tcPr>
          <w:p>
            <w:pPr>
              <w:pStyle w:val="TableContents"/>
              <w:bidi w:val="0"/>
              <w:spacing w:before="0" w:after="283"/>
              <w:jc w:val="left"/>
              <w:rPr/>
            </w:pPr>
            <w:r>
              <w:rPr/>
              <w:t> </w:t>
            </w:r>
            <w:bookmarkStart w:id="288" w:name="xdx_400_eus-gaap--RevenueFromContractWit"/>
            <w:bookmarkEnd w:id="288"/>
          </w:p>
        </w:tc>
      </w:tr>
      <w:tr>
        <w:trPr/>
        <w:tc>
          <w:tcPr>
            <w:tcW w:w="3095" w:type="dxa"/>
            <w:tcBorders/>
            <w:shd w:fill="CCEEFF" w:val="clear"/>
            <w:vAlign w:val="center"/>
          </w:tcPr>
          <w:p>
            <w:pPr>
              <w:pStyle w:val="TableContents"/>
              <w:bidi w:val="0"/>
              <w:spacing w:before="0" w:after="283"/>
              <w:jc w:val="left"/>
              <w:rPr/>
            </w:pPr>
            <w:r>
              <w:rPr/>
              <w:t>Direct to Customer</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6,534</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9,972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11,737</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20,009</w:t>
            </w:r>
          </w:p>
        </w:tc>
        <w:tc>
          <w:tcPr>
            <w:tcW w:w="75" w:type="dxa"/>
            <w:tcBorders/>
            <w:shd w:fill="CCEEFF" w:val="clear"/>
            <w:vAlign w:val="center"/>
          </w:tcPr>
          <w:p>
            <w:pPr>
              <w:pStyle w:val="TableContents"/>
              <w:bidi w:val="0"/>
              <w:spacing w:before="0" w:after="283"/>
              <w:jc w:val="left"/>
              <w:rPr/>
            </w:pPr>
            <w:r>
              <w:rPr/>
              <w:t> </w:t>
            </w:r>
            <w:bookmarkStart w:id="289" w:name="xdx_402_eus-gaap--RevenueFromContractWit"/>
            <w:bookmarkEnd w:id="289"/>
          </w:p>
        </w:tc>
      </w:tr>
      <w:tr>
        <w:trPr/>
        <w:tc>
          <w:tcPr>
            <w:tcW w:w="3095" w:type="dxa"/>
            <w:tcBorders/>
            <w:shd w:fill="FFFFFF" w:val="clear"/>
            <w:vAlign w:val="center"/>
          </w:tcPr>
          <w:p>
            <w:pPr>
              <w:pStyle w:val="TableContents"/>
              <w:bidi w:val="0"/>
              <w:spacing w:before="0" w:after="283"/>
              <w:jc w:val="left"/>
              <w:rPr/>
            </w:pPr>
            <w:r>
              <w:rPr/>
              <w:t>Original equipment manufacture</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shd w:fill="FFFFFF" w:val="clear"/>
            <w:tcMar>
              <w:bottom w:w="28" w:type="dxa"/>
            </w:tcMar>
            <w:vAlign w:val="center"/>
          </w:tcPr>
          <w:p>
            <w:pPr>
              <w:pStyle w:val="TableContents"/>
              <w:bidi w:val="0"/>
              <w:spacing w:before="0" w:after="283"/>
              <w:jc w:val="right"/>
              <w:rPr/>
            </w:pPr>
            <w:r>
              <w:rPr/>
              <w:t>6,674</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shd w:fill="FFFFFF" w:val="clear"/>
            <w:tcMar>
              <w:bottom w:w="28" w:type="dxa"/>
            </w:tcMar>
            <w:vAlign w:val="center"/>
          </w:tcPr>
          <w:p>
            <w:pPr>
              <w:pStyle w:val="TableContents"/>
              <w:bidi w:val="0"/>
              <w:spacing w:before="0" w:after="283"/>
              <w:jc w:val="right"/>
              <w:rPr/>
            </w:pPr>
            <w:r>
              <w:rPr/>
              <w:t>9,302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12" w:space="0" w:color="000000"/>
            </w:tcBorders>
            <w:shd w:fill="FFFFFF" w:val="clear"/>
            <w:tcMar>
              <w:bottom w:w="28" w:type="dxa"/>
            </w:tcMar>
            <w:vAlign w:val="center"/>
          </w:tcPr>
          <w:p>
            <w:pPr>
              <w:pStyle w:val="TableContents"/>
              <w:bidi w:val="0"/>
              <w:spacing w:before="0" w:after="283"/>
              <w:jc w:val="right"/>
              <w:rPr/>
            </w:pPr>
            <w:r>
              <w:rPr/>
              <w:t>13,976</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12" w:space="0" w:color="000000"/>
            </w:tcBorders>
            <w:shd w:fill="FFFFFF" w:val="clear"/>
            <w:tcMar>
              <w:bottom w:w="28" w:type="dxa"/>
            </w:tcMar>
            <w:vAlign w:val="center"/>
          </w:tcPr>
          <w:p>
            <w:pPr>
              <w:pStyle w:val="TableContents"/>
              <w:bidi w:val="0"/>
              <w:spacing w:before="0" w:after="283"/>
              <w:jc w:val="right"/>
              <w:rPr/>
            </w:pPr>
            <w:r>
              <w:rPr/>
              <w:t>18,056</w:t>
            </w:r>
          </w:p>
        </w:tc>
        <w:tc>
          <w:tcPr>
            <w:tcW w:w="75" w:type="dxa"/>
            <w:tcBorders/>
            <w:shd w:fill="FFFFFF" w:val="clear"/>
            <w:vAlign w:val="center"/>
          </w:tcPr>
          <w:p>
            <w:pPr>
              <w:pStyle w:val="TableContents"/>
              <w:bidi w:val="0"/>
              <w:spacing w:before="0" w:after="283"/>
              <w:jc w:val="left"/>
              <w:rPr/>
            </w:pPr>
            <w:r>
              <w:rPr/>
              <w:t> </w:t>
            </w:r>
            <w:bookmarkStart w:id="290" w:name="xdx_402_eus-gaap--RevenueFromContractWit"/>
            <w:bookmarkEnd w:id="290"/>
          </w:p>
        </w:tc>
      </w:tr>
      <w:tr>
        <w:trPr/>
        <w:tc>
          <w:tcPr>
            <w:tcW w:w="309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8" w:type="dxa"/>
            <w:tcBorders>
              <w:bottom w:val="double" w:sz="6" w:space="0" w:color="000000"/>
            </w:tcBorders>
            <w:shd w:fill="CCEEFF" w:val="clear"/>
            <w:tcMar>
              <w:bottom w:w="28" w:type="dxa"/>
            </w:tcMar>
            <w:vAlign w:val="center"/>
          </w:tcPr>
          <w:p>
            <w:pPr>
              <w:pStyle w:val="TableContents"/>
              <w:bidi w:val="0"/>
              <w:spacing w:before="0" w:after="283"/>
              <w:jc w:val="right"/>
              <w:rPr/>
            </w:pPr>
            <w:r>
              <w:rPr/>
              <w:t>13,208</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8" w:type="dxa"/>
            <w:tcBorders>
              <w:bottom w:val="double" w:sz="6" w:space="0" w:color="000000"/>
            </w:tcBorders>
            <w:shd w:fill="CCEEFF" w:val="clear"/>
            <w:tcMar>
              <w:bottom w:w="28" w:type="dxa"/>
            </w:tcMar>
            <w:vAlign w:val="center"/>
          </w:tcPr>
          <w:p>
            <w:pPr>
              <w:pStyle w:val="TableContents"/>
              <w:bidi w:val="0"/>
              <w:spacing w:before="0" w:after="283"/>
              <w:jc w:val="right"/>
              <w:rPr/>
            </w:pPr>
            <w:r>
              <w:rPr/>
              <w:t>19,274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5" w:type="dxa"/>
            <w:tcBorders>
              <w:bottom w:val="double" w:sz="6" w:space="0" w:color="000000"/>
            </w:tcBorders>
            <w:shd w:fill="CCEEFF" w:val="clear"/>
            <w:tcMar>
              <w:bottom w:w="28" w:type="dxa"/>
            </w:tcMar>
            <w:vAlign w:val="center"/>
          </w:tcPr>
          <w:p>
            <w:pPr>
              <w:pStyle w:val="TableContents"/>
              <w:bidi w:val="0"/>
              <w:spacing w:before="0" w:after="283"/>
              <w:jc w:val="right"/>
              <w:rPr/>
            </w:pPr>
            <w:r>
              <w:rPr/>
              <w:t>25,713</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5" w:type="dxa"/>
            <w:tcBorders>
              <w:bottom w:val="double" w:sz="6" w:space="0" w:color="000000"/>
            </w:tcBorders>
            <w:shd w:fill="CCEEFF" w:val="clear"/>
            <w:tcMar>
              <w:bottom w:w="28" w:type="dxa"/>
            </w:tcMar>
            <w:vAlign w:val="center"/>
          </w:tcPr>
          <w:p>
            <w:pPr>
              <w:pStyle w:val="TableContents"/>
              <w:bidi w:val="0"/>
              <w:spacing w:before="0" w:after="283"/>
              <w:jc w:val="right"/>
              <w:rPr/>
            </w:pPr>
            <w:r>
              <w:rPr/>
              <w:t>38,065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91" w:name="xdx_8A7_z09pqR9bJUSe"/>
      <w:bookmarkEnd w:id="29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deemed it more appropriate to classify Retail and Distributor revenues as a single line item referred to as direct-to-consumer revenue. The Company has combined previously reported retail and distributor amounts to direct-to-consumer revenue to conform with current year presentation. The consolidation into direct-to-consumer revenue is motivated by The Company’s strategic perspective on its operations and better represents how it evaluates their sales channels.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92" w:name="xdx_845_eus-gaap--StandardProductWarrant"/>
      <w:bookmarkEnd w:id="292"/>
      <w:r>
        <w:rPr>
          <w:rFonts w:ascii="Times New Roman;Times;Serif" w:hAnsi="Times New Roman;Times;Serif"/>
          <w:b w:val="false"/>
          <w:i/>
          <w:caps w:val="false"/>
          <w:smallCaps w:val="false"/>
          <w:sz w:val="20"/>
          <w:u w:val="single"/>
        </w:rPr>
        <w:t>Product Warranty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offers assurance type warranties from </w:t>
      </w:r>
      <w:bookmarkStart w:id="293" w:name="xdx_903_ecustom--ProductWarrantyTermProv"/>
      <w:bookmarkEnd w:id="293"/>
      <w:r>
        <w:rPr>
          <w:rFonts w:ascii="Times New Roman;Times;Serif" w:hAnsi="Times New Roman;Times;Serif"/>
          <w:b w:val="false"/>
          <w:i w:val="false"/>
          <w:caps w:val="false"/>
          <w:smallCaps w:val="false"/>
          <w:sz w:val="20"/>
        </w:rPr>
        <w:t xml:space="preserve">5 to </w:t>
      </w:r>
      <w:bookmarkStart w:id="294" w:name="xdx_90B_ecustom--ProductWarrantyTermProv"/>
      <w:bookmarkEnd w:id="294"/>
      <w:r>
        <w:rPr>
          <w:rFonts w:ascii="Times New Roman;Times;Serif" w:hAnsi="Times New Roman;Times;Serif"/>
          <w:b w:val="false"/>
          <w:i w:val="false"/>
          <w:caps w:val="false"/>
          <w:smallCaps w:val="false"/>
          <w:sz w:val="20"/>
        </w:rPr>
        <w:t>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its warranties and record a liability in the amount of such estimate at the time a product is sold. Factors that affect our warranty liability include the number of units sold, historical and anticipated rates of warranty claims, and cost per claim. The Company periodically assesses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at June 30, 2024 and December 31, 2023 to be $</w:t>
      </w:r>
      <w:bookmarkStart w:id="295" w:name="xdx_903_eus-gaap--ProductWarrantyAccrual"/>
      <w:bookmarkEnd w:id="295"/>
      <w:r>
        <w:rPr>
          <w:rFonts w:ascii="Times New Roman;Times;Serif" w:hAnsi="Times New Roman;Times;Serif"/>
          <w:b w:val="false"/>
          <w:i w:val="false"/>
          <w:caps w:val="false"/>
          <w:smallCaps w:val="false"/>
          <w:sz w:val="20"/>
        </w:rPr>
        <w:t>467 and $</w:t>
      </w:r>
      <w:bookmarkStart w:id="296" w:name="xdx_902_eus-gaap--ProductWarrantyAccrual"/>
      <w:bookmarkEnd w:id="296"/>
      <w:r>
        <w:rPr>
          <w:rFonts w:ascii="Times New Roman;Times;Serif" w:hAnsi="Times New Roman;Times;Serif"/>
          <w:b w:val="false"/>
          <w:i w:val="false"/>
          <w:caps w:val="false"/>
          <w:smallCaps w:val="false"/>
          <w:sz w:val="20"/>
        </w:rPr>
        <w:t>307,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97" w:name="xdx_897_eus-gaap--ScheduleOfProductWarra"/>
      <w:bookmarkEnd w:id="297"/>
      <w:r>
        <w:rPr>
          <w:caps w:val="false"/>
          <w:smallCaps w:val="false"/>
        </w:rPr>
        <w:t> </w:t>
      </w:r>
      <w:bookmarkStart w:id="298" w:name="xdx_8B1_zhExOgVo6oQ9"/>
      <w:bookmarkEnd w:id="298"/>
      <w:r>
        <w:rPr>
          <w:rFonts w:ascii="Times New Roman;Times;Serif" w:hAnsi="Times New Roman;Times;Serif"/>
          <w:b w:val="false"/>
          <w:i w:val="false"/>
          <w:caps w:val="false"/>
          <w:smallCaps w:val="false"/>
          <w:sz w:val="20"/>
        </w:rPr>
        <w:t>SCHEDULE OF WARRANTY OBLIGATION </w:t>
      </w:r>
    </w:p>
    <w:tbl>
      <w:tblPr>
        <w:tblW w:w="6503" w:type="dxa"/>
        <w:jc w:val="left"/>
        <w:tblInd w:w="0" w:type="dxa"/>
        <w:tblLayout w:type="fixed"/>
        <w:tblCellMar>
          <w:top w:w="0" w:type="dxa"/>
          <w:left w:w="0" w:type="dxa"/>
          <w:bottom w:w="0" w:type="dxa"/>
          <w:right w:w="0" w:type="dxa"/>
        </w:tblCellMar>
      </w:tblPr>
      <w:tblGrid>
        <w:gridCol w:w="2930"/>
        <w:gridCol w:w="60"/>
        <w:gridCol w:w="318"/>
        <w:gridCol w:w="1036"/>
        <w:gridCol w:w="95"/>
        <w:gridCol w:w="60"/>
        <w:gridCol w:w="445"/>
        <w:gridCol w:w="1449"/>
        <w:gridCol w:w="110"/>
      </w:tblGrid>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99" w:name="xdx_496_20240101__20240630_z3Vox5ui8tE3"/>
            <w:bookmarkEnd w:id="299"/>
          </w:p>
        </w:tc>
        <w:tc>
          <w:tcPr>
            <w:tcW w:w="1354" w:type="dxa"/>
            <w:gridSpan w:val="2"/>
            <w:tcBorders>
              <w:bottom w:val="single" w:sz="12" w:space="0" w:color="000000"/>
            </w:tcBorders>
            <w:tcMar>
              <w:bottom w:w="28" w:type="dxa"/>
            </w:tcMar>
            <w:vAlign w:val="center"/>
          </w:tcPr>
          <w:p>
            <w:pPr>
              <w:pStyle w:val="TableContents"/>
              <w:bidi w:val="0"/>
              <w:spacing w:before="0" w:after="283"/>
              <w:jc w:val="center"/>
              <w:rPr/>
            </w:pPr>
            <w:r>
              <w:rPr/>
              <w:t>June 30, 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0" w:name="xdx_493_20230101__20231231_zaFHSTy9Rx01"/>
            <w:bookmarkEnd w:id="300"/>
          </w:p>
        </w:tc>
        <w:tc>
          <w:tcPr>
            <w:tcW w:w="1894" w:type="dxa"/>
            <w:gridSpan w:val="2"/>
            <w:tcBorders>
              <w:bottom w:val="single" w:sz="12" w:space="0" w:color="000000"/>
            </w:tcBorders>
            <w:tcMar>
              <w:bottom w:w="28" w:type="dxa"/>
            </w:tcMar>
            <w:vAlign w:val="center"/>
          </w:tcPr>
          <w:p>
            <w:pPr>
              <w:pStyle w:val="TableContents"/>
              <w:bidi w:val="0"/>
              <w:spacing w:before="0" w:after="283"/>
              <w:jc w:val="center"/>
              <w:rPr/>
            </w:pPr>
            <w:r>
              <w:rPr/>
              <w:t>December 31, 2023</w:t>
            </w:r>
          </w:p>
        </w:tc>
        <w:tc>
          <w:tcPr>
            <w:tcW w:w="110" w:type="dxa"/>
            <w:tcBorders/>
            <w:vAlign w:val="center"/>
          </w:tcPr>
          <w:p>
            <w:pPr>
              <w:pStyle w:val="TableContents"/>
              <w:bidi w:val="0"/>
              <w:spacing w:before="0" w:after="283"/>
              <w:jc w:val="left"/>
              <w:rPr/>
            </w:pPr>
            <w:r>
              <w:rPr/>
              <w:t> </w:t>
            </w:r>
            <w:bookmarkStart w:id="301" w:name="xdx_404_eus-gaap--ProductWarrantyAccrual"/>
            <w:bookmarkEnd w:id="301"/>
          </w:p>
        </w:tc>
      </w:tr>
      <w:tr>
        <w:trPr/>
        <w:tc>
          <w:tcPr>
            <w:tcW w:w="2930" w:type="dxa"/>
            <w:tcBorders/>
            <w:shd w:fill="CCEEFF" w:val="clear"/>
            <w:vAlign w:val="center"/>
          </w:tcPr>
          <w:p>
            <w:pPr>
              <w:pStyle w:val="TableContents"/>
              <w:bidi w:val="0"/>
              <w:spacing w:before="0" w:after="283"/>
              <w:jc w:val="left"/>
              <w:rPr/>
            </w:pPr>
            <w:r>
              <w:rPr/>
              <w:t>Beginning warranty obligation</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307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328</w:t>
            </w:r>
          </w:p>
        </w:tc>
        <w:tc>
          <w:tcPr>
            <w:tcW w:w="110" w:type="dxa"/>
            <w:tcBorders/>
            <w:shd w:fill="CCEEFF" w:val="clear"/>
            <w:vAlign w:val="center"/>
          </w:tcPr>
          <w:p>
            <w:pPr>
              <w:pStyle w:val="TableContents"/>
              <w:bidi w:val="0"/>
              <w:spacing w:before="0" w:after="283"/>
              <w:jc w:val="left"/>
              <w:rPr/>
            </w:pPr>
            <w:r>
              <w:rPr/>
              <w:t> </w:t>
            </w:r>
            <w:bookmarkStart w:id="302" w:name="xdx_406_eus-gaap--ProductWarrantyAccrual"/>
            <w:bookmarkEnd w:id="302"/>
          </w:p>
        </w:tc>
      </w:tr>
      <w:tr>
        <w:trPr/>
        <w:tc>
          <w:tcPr>
            <w:tcW w:w="2930" w:type="dxa"/>
            <w:tcBorders/>
            <w:shd w:fill="FFFFFF" w:val="clear"/>
            <w:vAlign w:val="center"/>
          </w:tcPr>
          <w:p>
            <w:pPr>
              <w:pStyle w:val="TableContents"/>
              <w:bidi w:val="0"/>
              <w:spacing w:before="0" w:after="283"/>
              <w:jc w:val="left"/>
              <w:rPr/>
            </w:pPr>
            <w:r>
              <w:rPr/>
              <w:t>Provision of warranty expense</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319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397</w:t>
            </w:r>
          </w:p>
        </w:tc>
        <w:tc>
          <w:tcPr>
            <w:tcW w:w="110" w:type="dxa"/>
            <w:tcBorders/>
            <w:shd w:fill="FFFFFF" w:val="clear"/>
            <w:vAlign w:val="center"/>
          </w:tcPr>
          <w:p>
            <w:pPr>
              <w:pStyle w:val="TableContents"/>
              <w:bidi w:val="0"/>
              <w:spacing w:before="0" w:after="283"/>
              <w:jc w:val="left"/>
              <w:rPr/>
            </w:pPr>
            <w:r>
              <w:rPr/>
              <w:t> </w:t>
            </w:r>
            <w:bookmarkStart w:id="303" w:name="xdx_40A_eus-gaap--ProductWarrantyAccrual"/>
            <w:bookmarkEnd w:id="303"/>
          </w:p>
        </w:tc>
      </w:tr>
      <w:tr>
        <w:trPr/>
        <w:tc>
          <w:tcPr>
            <w:tcW w:w="2930" w:type="dxa"/>
            <w:tcBorders/>
            <w:shd w:fill="CCEEFF" w:val="clear"/>
            <w:vAlign w:val="center"/>
          </w:tcPr>
          <w:p>
            <w:pPr>
              <w:pStyle w:val="TableContents"/>
              <w:bidi w:val="0"/>
              <w:spacing w:before="0" w:after="283"/>
              <w:jc w:val="left"/>
              <w:rPr/>
            </w:pPr>
            <w:r>
              <w:rPr/>
              <w:t>Settlement of warranty claims</w:t>
            </w:r>
          </w:p>
        </w:tc>
        <w:tc>
          <w:tcPr>
            <w:tcW w:w="60" w:type="dxa"/>
            <w:tcBorders/>
            <w:shd w:fill="CCEEFF" w:val="clear"/>
            <w:vAlign w:val="center"/>
          </w:tcPr>
          <w:p>
            <w:pPr>
              <w:pStyle w:val="TableContents"/>
              <w:bidi w:val="0"/>
              <w:spacing w:before="0" w:after="283"/>
              <w:jc w:val="left"/>
              <w:rPr/>
            </w:pPr>
            <w:r>
              <w:rPr/>
              <w:t> </w:t>
            </w:r>
          </w:p>
        </w:tc>
        <w:tc>
          <w:tcPr>
            <w:tcW w:w="3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(159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49" w:type="dxa"/>
            <w:tcBorders>
              <w:bottom w:val="single" w:sz="12" w:space="0" w:color="000000"/>
            </w:tcBorders>
            <w:shd w:fill="CCEEFF" w:val="clear"/>
            <w:tcMar>
              <w:bottom w:w="28" w:type="dxa"/>
            </w:tcMar>
            <w:vAlign w:val="center"/>
          </w:tcPr>
          <w:p>
            <w:pPr>
              <w:pStyle w:val="TableContents"/>
              <w:bidi w:val="0"/>
              <w:spacing w:before="0" w:after="283"/>
              <w:jc w:val="right"/>
              <w:rPr/>
            </w:pPr>
            <w:r>
              <w:rPr/>
              <w:t>(418</w:t>
            </w:r>
          </w:p>
        </w:tc>
        <w:tc>
          <w:tcPr>
            <w:tcW w:w="110" w:type="dxa"/>
            <w:tcBorders/>
            <w:shd w:fill="CCEEFF" w:val="clear"/>
            <w:vAlign w:val="center"/>
          </w:tcPr>
          <w:p>
            <w:pPr>
              <w:pStyle w:val="TableContents"/>
              <w:bidi w:val="0"/>
              <w:spacing w:before="0" w:after="283"/>
              <w:jc w:val="left"/>
              <w:rPr/>
            </w:pPr>
            <w:r>
              <w:rPr/>
              <w:t>)</w:t>
            </w:r>
            <w:bookmarkStart w:id="304" w:name="xdx_40E_eus-gaap--ProductWarrantyAccrual"/>
            <w:bookmarkEnd w:id="304"/>
          </w:p>
        </w:tc>
      </w:tr>
      <w:tr>
        <w:trPr/>
        <w:tc>
          <w:tcPr>
            <w:tcW w:w="2930" w:type="dxa"/>
            <w:tcBorders/>
            <w:shd w:fill="FFFFFF" w:val="clear"/>
            <w:vAlign w:val="center"/>
          </w:tcPr>
          <w:p>
            <w:pPr>
              <w:pStyle w:val="TableContents"/>
              <w:bidi w:val="0"/>
              <w:spacing w:before="0" w:after="283"/>
              <w:jc w:val="left"/>
              <w:rPr/>
            </w:pPr>
            <w:r>
              <w:rPr/>
              <w:t>Ending warrant obligation</w:t>
            </w:r>
          </w:p>
        </w:tc>
        <w:tc>
          <w:tcPr>
            <w:tcW w:w="60" w:type="dxa"/>
            <w:tcBorders/>
            <w:shd w:fill="FFFFFF" w:val="cle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36" w:type="dxa"/>
            <w:tcBorders>
              <w:bottom w:val="double" w:sz="6" w:space="0" w:color="000000"/>
            </w:tcBorders>
            <w:shd w:fill="FFFFFF" w:val="clear"/>
            <w:tcMar>
              <w:bottom w:w="28" w:type="dxa"/>
            </w:tcMar>
            <w:vAlign w:val="center"/>
          </w:tcPr>
          <w:p>
            <w:pPr>
              <w:pStyle w:val="TableContents"/>
              <w:bidi w:val="0"/>
              <w:spacing w:before="0" w:after="283"/>
              <w:jc w:val="right"/>
              <w:rPr/>
            </w:pPr>
            <w:r>
              <w:rPr/>
              <w:t>467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49" w:type="dxa"/>
            <w:tcBorders>
              <w:bottom w:val="double" w:sz="6" w:space="0" w:color="000000"/>
            </w:tcBorders>
            <w:shd w:fill="FFFFFF" w:val="clear"/>
            <w:tcMar>
              <w:bottom w:w="28" w:type="dxa"/>
            </w:tcMar>
            <w:vAlign w:val="center"/>
          </w:tcPr>
          <w:p>
            <w:pPr>
              <w:pStyle w:val="TableContents"/>
              <w:bidi w:val="0"/>
              <w:spacing w:before="0" w:after="283"/>
              <w:jc w:val="right"/>
              <w:rPr/>
            </w:pPr>
            <w:r>
              <w:rPr/>
              <w:t>307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05" w:name="xdx_8A6_z5ddBiYyzIS2"/>
      <w:bookmarkEnd w:id="305"/>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06" w:name="xdx_842_eus-gaap--ConcentrationRiskCredi"/>
      <w:bookmarkEnd w:id="306"/>
      <w:r>
        <w:rPr>
          <w:rFonts w:ascii="Times New Roman;Times;Serif" w:hAnsi="Times New Roman;Times;Serif"/>
          <w:b w:val="false"/>
          <w:i/>
          <w:caps w:val="false"/>
          <w:smallCaps w:val="false"/>
          <w:sz w:val="20"/>
          <w:u w:val="single"/>
        </w:rPr>
        <w:t>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2024, receivables from Customer A and Customer B comprised approximately </w:t>
      </w:r>
      <w:bookmarkStart w:id="307" w:name="xdx_909_eus-gaap--ConcentrationRiskPerce"/>
      <w:bookmarkEnd w:id="307"/>
      <w:r>
        <w:rPr>
          <w:rFonts w:ascii="Times New Roman;Times;Serif" w:hAnsi="Times New Roman;Times;Serif"/>
          <w:b w:val="false"/>
          <w:i w:val="false"/>
          <w:caps w:val="false"/>
          <w:smallCaps w:val="false"/>
          <w:sz w:val="20"/>
        </w:rPr>
        <w:t xml:space="preserve">21% and </w:t>
      </w:r>
      <w:bookmarkStart w:id="308" w:name="xdx_908_eus-gaap--ConcentrationRiskPerce"/>
      <w:bookmarkEnd w:id="308"/>
      <w:r>
        <w:rPr>
          <w:rFonts w:ascii="Times New Roman;Times;Serif" w:hAnsi="Times New Roman;Times;Serif"/>
          <w:b w:val="false"/>
          <w:i w:val="false"/>
          <w:caps w:val="false"/>
          <w:smallCaps w:val="false"/>
          <w:sz w:val="20"/>
        </w:rPr>
        <w:t xml:space="preserve">17%, respectively, of accounts receivable. As of December 31, 2023, receivables from Customer A and C comprised approximately </w:t>
      </w:r>
      <w:bookmarkStart w:id="309" w:name="xdx_90C_eus-gaap--ConcentrationRiskPerce"/>
      <w:bookmarkEnd w:id="309"/>
      <w:r>
        <w:rPr>
          <w:rFonts w:ascii="Times New Roman;Times;Serif" w:hAnsi="Times New Roman;Times;Serif"/>
          <w:b w:val="false"/>
          <w:i w:val="false"/>
          <w:caps w:val="false"/>
          <w:smallCaps w:val="false"/>
          <w:sz w:val="20"/>
        </w:rPr>
        <w:t xml:space="preserve">28% and </w:t>
      </w:r>
      <w:bookmarkStart w:id="310" w:name="xdx_90B_eus-gaap--ConcentrationRiskPerce"/>
      <w:bookmarkEnd w:id="310"/>
      <w:r>
        <w:rPr>
          <w:rFonts w:ascii="Times New Roman;Times;Serif" w:hAnsi="Times New Roman;Times;Serif"/>
          <w:b w:val="false"/>
          <w:i w:val="false"/>
          <w:caps w:val="false"/>
          <w:smallCaps w:val="false"/>
          <w:sz w:val="20"/>
        </w:rPr>
        <w:t>10%, respectively, of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2024, sales from Customer A comprised approximately </w:t>
      </w:r>
      <w:bookmarkStart w:id="311" w:name="xdx_901_eus-gaap--ConcentrationRiskPerce"/>
      <w:bookmarkEnd w:id="311"/>
      <w:r>
        <w:rPr>
          <w:rFonts w:ascii="Times New Roman;Times;Serif" w:hAnsi="Times New Roman;Times;Serif"/>
          <w:b w:val="false"/>
          <w:i w:val="false"/>
          <w:caps w:val="false"/>
          <w:smallCaps w:val="false"/>
          <w:sz w:val="20"/>
        </w:rPr>
        <w:t xml:space="preserve">14% of the Company’s total revenue. For the six months ended June 30, 2023, sales from Customer B accounted for approximately </w:t>
      </w:r>
      <w:bookmarkStart w:id="312" w:name="xdx_903_eus-gaap--ConcentrationRiskPerce"/>
      <w:bookmarkEnd w:id="312"/>
      <w:r>
        <w:rPr>
          <w:rFonts w:ascii="Times New Roman;Times;Serif" w:hAnsi="Times New Roman;Times;Serif"/>
          <w:b w:val="false"/>
          <w:i w:val="false"/>
          <w:caps w:val="false"/>
          <w:smallCaps w:val="false"/>
          <w:sz w:val="20"/>
        </w:rPr>
        <w:t xml:space="preserve">26% of the Company’s total revenue. For the three months ended June 30, 2024, sales from Customer A comprised approximately </w:t>
      </w:r>
      <w:bookmarkStart w:id="313" w:name="xdx_909_eus-gaap--ConcentrationRiskPerce"/>
      <w:bookmarkEnd w:id="313"/>
      <w:r>
        <w:rPr>
          <w:rFonts w:ascii="Times New Roman;Times;Serif" w:hAnsi="Times New Roman;Times;Serif"/>
          <w:b w:val="false"/>
          <w:i w:val="false"/>
          <w:caps w:val="false"/>
          <w:smallCaps w:val="false"/>
          <w:sz w:val="20"/>
        </w:rPr>
        <w:t xml:space="preserve">12% of the Company’s total revenue. For the three months ended June 30, 2023, sales from Customer B accounted for approximately </w:t>
      </w:r>
      <w:bookmarkStart w:id="314" w:name="xdx_90D_eus-gaap--ConcentrationRiskPerce"/>
      <w:bookmarkEnd w:id="314"/>
      <w:r>
        <w:rPr>
          <w:rFonts w:ascii="Times New Roman;Times;Serif" w:hAnsi="Times New Roman;Times;Serif"/>
          <w:b w:val="false"/>
          <w:i w:val="false"/>
          <w:caps w:val="false"/>
          <w:smallCaps w:val="false"/>
          <w:sz w:val="20"/>
        </w:rPr>
        <w:t>27% of the Company’s total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2024, payables to Vendor A and Vendor B comprised approximately </w:t>
      </w:r>
      <w:bookmarkStart w:id="315" w:name="xdx_90E_eus-gaap--ConcentrationRiskPerce"/>
      <w:bookmarkEnd w:id="315"/>
      <w:r>
        <w:rPr>
          <w:rFonts w:ascii="Times New Roman;Times;Serif" w:hAnsi="Times New Roman;Times;Serif"/>
          <w:b w:val="false"/>
          <w:i w:val="false"/>
          <w:caps w:val="false"/>
          <w:smallCaps w:val="false"/>
          <w:sz w:val="20"/>
        </w:rPr>
        <w:t xml:space="preserve">39% and </w:t>
      </w:r>
      <w:bookmarkStart w:id="316" w:name="xdx_90E_eus-gaap--ConcentrationRiskPerce"/>
      <w:bookmarkEnd w:id="316"/>
      <w:r>
        <w:rPr>
          <w:rFonts w:ascii="Times New Roman;Times;Serif" w:hAnsi="Times New Roman;Times;Serif"/>
          <w:b w:val="false"/>
          <w:i w:val="false"/>
          <w:caps w:val="false"/>
          <w:smallCaps w:val="false"/>
          <w:sz w:val="20"/>
        </w:rPr>
        <w:t xml:space="preserve">13%, respectively, of accounts payables. As of December 31, 2023, payables to Vendor A comprised approximately </w:t>
      </w:r>
      <w:bookmarkStart w:id="317" w:name="xdx_90D_eus-gaap--ConcentrationRiskPerce"/>
      <w:bookmarkEnd w:id="317"/>
      <w:r>
        <w:rPr>
          <w:rFonts w:ascii="Times New Roman;Times;Serif" w:hAnsi="Times New Roman;Times;Serif"/>
          <w:b w:val="false"/>
          <w:i w:val="false"/>
          <w:caps w:val="false"/>
          <w:smallCaps w:val="false"/>
          <w:sz w:val="20"/>
        </w:rPr>
        <w:t>65% of accounts payables.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2024, there were </w:t>
      </w:r>
      <w:bookmarkStart w:id="318" w:name="xdx_906_eus-gaap--ConcentrationRiskPerce"/>
      <w:bookmarkEnd w:id="318"/>
      <w:r>
        <w:rPr>
          <w:rFonts w:ascii="Times New Roman;Times;Serif" w:hAnsi="Times New Roman;Times;Serif"/>
          <w:b w:val="false"/>
          <w:i w:val="false"/>
          <w:caps w:val="false"/>
          <w:smallCaps w:val="false"/>
          <w:sz w:val="20"/>
        </w:rPr>
        <w:t xml:space="preserve">no purchase concentrations present. For the six months ended June 30, 2023, Vendor A accounted for approximately </w:t>
      </w:r>
      <w:bookmarkStart w:id="319" w:name="xdx_907_eus-gaap--ConcentrationRiskPerce"/>
      <w:bookmarkEnd w:id="319"/>
      <w:r>
        <w:rPr>
          <w:rFonts w:ascii="Times New Roman;Times;Serif" w:hAnsi="Times New Roman;Times;Serif"/>
          <w:b w:val="false"/>
          <w:i w:val="false"/>
          <w:caps w:val="false"/>
          <w:smallCaps w:val="false"/>
          <w:sz w:val="20"/>
        </w:rPr>
        <w:t xml:space="preserve">22% of the Company’s total purchases. For the three months ended June 30, 2024, Vendor B accounted for approximately </w:t>
      </w:r>
      <w:bookmarkStart w:id="320" w:name="xdx_902_eus-gaap--ConcentrationRiskPerce"/>
      <w:bookmarkEnd w:id="320"/>
      <w:r>
        <w:rPr>
          <w:rFonts w:ascii="Times New Roman;Times;Serif" w:hAnsi="Times New Roman;Times;Serif"/>
          <w:b w:val="false"/>
          <w:i w:val="false"/>
          <w:caps w:val="false"/>
          <w:smallCaps w:val="false"/>
          <w:sz w:val="20"/>
        </w:rPr>
        <w:t xml:space="preserve">15% of the Company’s total purchases. For the three months ended June 30, 2023, Vendor C accounted for approximately </w:t>
      </w:r>
      <w:bookmarkStart w:id="321" w:name="xdx_908_eus-gaap--ConcentrationRiskPerce"/>
      <w:bookmarkEnd w:id="321"/>
      <w:r>
        <w:rPr>
          <w:rFonts w:ascii="Times New Roman;Times;Serif" w:hAnsi="Times New Roman;Times;Serif"/>
          <w:b w:val="false"/>
          <w:i w:val="false"/>
          <w:caps w:val="false"/>
          <w:smallCaps w:val="false"/>
          <w:sz w:val="20"/>
        </w:rPr>
        <w:t>10% of the Company’s total 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22" w:name="xdx_84E_eus-gaap--ShareBasedCompensation"/>
      <w:bookmarkEnd w:id="322"/>
      <w:r>
        <w:rPr>
          <w:rFonts w:ascii="Times New Roman;Times;Serif" w:hAnsi="Times New Roman;Times;Serif"/>
          <w:b w:val="false"/>
          <w:i/>
          <w:caps w:val="false"/>
          <w:smallCaps w:val="false"/>
          <w:sz w:val="20"/>
          <w:u w:val="single"/>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stock-based compensation arrangements with employees and non-employee consultants using a fair value method which requires the recognition of compensation expense for costs related to all stock-based payments, including stock options (</w:t>
      </w:r>
      <w:r>
        <w:rPr>
          <w:rFonts w:ascii="Times New Roman;Times;Serif" w:hAnsi="Times New Roman;Times;Serif"/>
          <w:b/>
          <w:i w:val="false"/>
          <w:caps w:val="false"/>
          <w:smallCaps w:val="false"/>
          <w:sz w:val="20"/>
        </w:rPr>
        <w:t>Note 11</w:t>
      </w:r>
      <w:r>
        <w:rPr>
          <w:rFonts w:ascii="Times New Roman;Times;Serif" w:hAnsi="Times New Roman;Times;Serif"/>
          <w:b w:val="false"/>
          <w:i w:val="false"/>
          <w:caps w:val="false"/>
          <w:smallCaps w:val="false"/>
          <w:sz w:val="20"/>
        </w:rPr>
        <w:t>). The fair value method requires the Company to estimate the fair value of stock-based payment awards to employees and non-employees on the date of grant using an option pricing model. Stock based compensation costs are based on the fair value of the underlying option calculated using the Black Scholes option pricing model and recognized as expense on a straight-line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equity-based compensation awards granted to non-employees at fair value as the awards vest and recognizes the resulting value as compensation expense at each financial reporting period.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23" w:name="xdx_846_eus-gaap--IncomeTaxPolicyTextBlo"/>
      <w:bookmarkEnd w:id="323"/>
      <w:r>
        <w:rPr>
          <w:rFonts w:ascii="Times New Roman;Times;Serif" w:hAnsi="Times New Roman;Times;Serif"/>
          <w:b w:val="false"/>
          <w:i/>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 and liabilities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 tax benefit for an uncertain tax position only if it is more likely than not that the tax position will be sustained on examination by taxing authorities, based on the technical merits of the position. The Company had a liability of $</w:t>
      </w:r>
      <w:bookmarkStart w:id="324" w:name="xdx_905_eus-gaap--UnrecognizedTaxBenefit"/>
      <w:bookmarkStart w:id="325" w:name="xdx_909_eus-gaap--UnrecognizedTaxBenefit"/>
      <w:bookmarkEnd w:id="324"/>
      <w:bookmarkEnd w:id="325"/>
      <w:r>
        <w:rPr>
          <w:rFonts w:ascii="Times New Roman;Times;Serif" w:hAnsi="Times New Roman;Times;Serif"/>
          <w:b w:val="false"/>
          <w:i w:val="false"/>
          <w:caps w:val="false"/>
          <w:smallCaps w:val="false"/>
          <w:sz w:val="20"/>
        </w:rPr>
        <w:t>91 as of June 30, 2024, and December 31, 2023, of 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accounting policy is to include penalties and interest related to income taxes if any, in selling, general and administrative expenses. The Company regularly assesses the need to record a valuation allowance against net deferred tax assets if, based upon the available evidence, it is more likely than not that some or all of the deferred tax assets will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26" w:name="xdx_844_eus-gaap--EarningsPerSharePolicy"/>
      <w:bookmarkEnd w:id="326"/>
      <w:r>
        <w:rPr>
          <w:rFonts w:ascii="Times New Roman;Times;Serif" w:hAnsi="Times New Roman;Times;Serif"/>
          <w:b w:val="false"/>
          <w:i/>
          <w:caps w:val="false"/>
          <w:smallCaps w:val="false"/>
          <w:sz w:val="20"/>
          <w:u w:val="single"/>
        </w:rPr>
        <w:t>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calculated by dividing net loss by the weighted-average number of common shares outstanding during the period. Diluted net loss per share is calculated using the weighted-average number of common shares outstanding during the period and, if dilutive, the weighted-average number of potential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number of common shares included in the computation of diluted net loss gives effect to all potentially dilutive common equivalent shares, including outstanding stock options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equivalent shares are excluded from the computation of diluted net loss per share if their effect is antidilutive. In periods in which the Company reports a net loss, diluted net loss per share is generally the same as basic net loss per share since dilutive common shares are not assumed to have been issued if their effect is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27" w:name="xdx_89A_eus-gaap--ScheduleOfAntidilutive"/>
      <w:bookmarkEnd w:id="327"/>
      <w:r>
        <w:rPr>
          <w:rFonts w:ascii="Times New Roman;Times;Serif" w:hAnsi="Times New Roman;Times;Serif"/>
          <w:b w:val="false"/>
          <w:i w:val="false"/>
          <w:caps w:val="false"/>
          <w:smallCaps w:val="false"/>
          <w:sz w:val="20"/>
        </w:rPr>
        <w:t>The following table sets forth the number of potential shares of common stock that have been excluded from diluted net loss per share because their effect was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328" w:name="xdx_8B6_zCaSFCWu3mVl"/>
      <w:bookmarkEnd w:id="328"/>
      <w:r>
        <w:rPr>
          <w:rFonts w:ascii="Times New Roman;Times;Serif" w:hAnsi="Times New Roman;Times;Serif"/>
          <w:b w:val="false"/>
          <w:i w:val="false"/>
          <w:caps w:val="false"/>
          <w:smallCaps w:val="false"/>
          <w:sz w:val="20"/>
        </w:rPr>
        <w:t>SCHEDULE OF POTENTIAL SHARES OF COMMON STOCK EXCLUDED FROM DILUTED NET LOSS PER SHARE </w:t>
      </w:r>
    </w:p>
    <w:tbl>
      <w:tblPr>
        <w:tblW w:w="7828" w:type="dxa"/>
        <w:jc w:val="left"/>
        <w:tblInd w:w="0" w:type="dxa"/>
        <w:tblLayout w:type="fixed"/>
        <w:tblCellMar>
          <w:top w:w="0" w:type="dxa"/>
          <w:left w:w="0" w:type="dxa"/>
          <w:bottom w:w="0" w:type="dxa"/>
          <w:right w:w="0" w:type="dxa"/>
        </w:tblCellMar>
      </w:tblPr>
      <w:tblGrid>
        <w:gridCol w:w="4865"/>
        <w:gridCol w:w="60"/>
        <w:gridCol w:w="70"/>
        <w:gridCol w:w="1284"/>
        <w:gridCol w:w="60"/>
        <w:gridCol w:w="60"/>
        <w:gridCol w:w="70"/>
        <w:gridCol w:w="1284"/>
        <w:gridCol w:w="75"/>
      </w:tblGrid>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9" w:name="xdx_496_20240101__20240630_zQFeAAhSiqw2"/>
            <w:bookmarkEnd w:id="329"/>
          </w:p>
        </w:tc>
        <w:tc>
          <w:tcPr>
            <w:tcW w:w="1354" w:type="dxa"/>
            <w:gridSpan w:val="2"/>
            <w:tcBorders>
              <w:bottom w:val="single" w:sz="12" w:space="0" w:color="000000"/>
            </w:tcBorders>
            <w:tcMar>
              <w:bottom w:w="28" w:type="dxa"/>
            </w:tcMar>
            <w:vAlign w:val="center"/>
          </w:tcPr>
          <w:p>
            <w:pPr>
              <w:pStyle w:val="TableContents"/>
              <w:bidi w:val="0"/>
              <w:spacing w:before="0" w:after="283"/>
              <w:jc w:val="center"/>
              <w:rPr/>
            </w:pPr>
            <w:r>
              <w:rPr/>
              <w:t>June 30,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0" w:name="xdx_491_20230101__20230630_zq3WosEO7J92"/>
            <w:bookmarkEnd w:id="330"/>
          </w:p>
        </w:tc>
        <w:tc>
          <w:tcPr>
            <w:tcW w:w="1354" w:type="dxa"/>
            <w:gridSpan w:val="2"/>
            <w:tcBorders>
              <w:bottom w:val="single" w:sz="12" w:space="0" w:color="000000"/>
            </w:tcBorders>
            <w:tcMar>
              <w:bottom w:w="28" w:type="dxa"/>
            </w:tcMar>
            <w:vAlign w:val="center"/>
          </w:tcPr>
          <w:p>
            <w:pPr>
              <w:pStyle w:val="TableContents"/>
              <w:bidi w:val="0"/>
              <w:spacing w:before="0" w:after="283"/>
              <w:jc w:val="center"/>
              <w:rPr/>
            </w:pPr>
            <w:r>
              <w:rPr/>
              <w:t>June 30, 2023</w:t>
            </w:r>
          </w:p>
        </w:tc>
        <w:tc>
          <w:tcPr>
            <w:tcW w:w="75" w:type="dxa"/>
            <w:tcBorders/>
            <w:vAlign w:val="center"/>
          </w:tcPr>
          <w:p>
            <w:pPr>
              <w:pStyle w:val="TableContents"/>
              <w:bidi w:val="0"/>
              <w:spacing w:before="0" w:after="283"/>
              <w:jc w:val="left"/>
              <w:rPr/>
            </w:pPr>
            <w:r>
              <w:rPr/>
              <w:t> </w:t>
            </w:r>
            <w:bookmarkStart w:id="331" w:name="xdx_401_eus-gaap--AntidilutiveSecurities"/>
            <w:bookmarkEnd w:id="331"/>
          </w:p>
        </w:tc>
      </w:tr>
      <w:tr>
        <w:trPr/>
        <w:tc>
          <w:tcPr>
            <w:tcW w:w="4865" w:type="dxa"/>
            <w:tcBorders/>
            <w:shd w:fill="CCEEFF" w:val="clear"/>
            <w:vAlign w:val="center"/>
          </w:tcPr>
          <w:p>
            <w:pPr>
              <w:pStyle w:val="TableContents"/>
              <w:bidi w:val="0"/>
              <w:spacing w:before="0" w:after="283"/>
              <w:jc w:val="left"/>
              <w:rPr/>
            </w:pPr>
            <w:r>
              <w:rPr/>
              <w:t>Warrants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29,168,251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23,492,221</w:t>
            </w:r>
          </w:p>
        </w:tc>
        <w:tc>
          <w:tcPr>
            <w:tcW w:w="75" w:type="dxa"/>
            <w:tcBorders/>
            <w:shd w:fill="CCEEFF" w:val="clear"/>
            <w:vAlign w:val="center"/>
          </w:tcPr>
          <w:p>
            <w:pPr>
              <w:pStyle w:val="TableContents"/>
              <w:bidi w:val="0"/>
              <w:spacing w:before="0" w:after="283"/>
              <w:jc w:val="left"/>
              <w:rPr/>
            </w:pPr>
            <w:r>
              <w:rPr/>
              <w:t> </w:t>
            </w:r>
            <w:bookmarkStart w:id="332" w:name="xdx_407_eus-gaap--AntidilutiveSecurities"/>
            <w:bookmarkEnd w:id="332"/>
          </w:p>
        </w:tc>
      </w:tr>
      <w:tr>
        <w:trPr/>
        <w:tc>
          <w:tcPr>
            <w:tcW w:w="4865" w:type="dxa"/>
            <w:tcBorders/>
            <w:shd w:fill="FFFFFF" w:val="clear"/>
            <w:vAlign w:val="center"/>
          </w:tcPr>
          <w:p>
            <w:pPr>
              <w:pStyle w:val="TableContents"/>
              <w:bidi w:val="0"/>
              <w:spacing w:before="0" w:after="283"/>
              <w:jc w:val="left"/>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106,000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208,000</w:t>
            </w:r>
          </w:p>
        </w:tc>
        <w:tc>
          <w:tcPr>
            <w:tcW w:w="75" w:type="dxa"/>
            <w:tcBorders/>
            <w:shd w:fill="FFFFFF" w:val="clear"/>
            <w:vAlign w:val="center"/>
          </w:tcPr>
          <w:p>
            <w:pPr>
              <w:pStyle w:val="TableContents"/>
              <w:bidi w:val="0"/>
              <w:spacing w:before="0" w:after="283"/>
              <w:jc w:val="left"/>
              <w:rPr/>
            </w:pPr>
            <w:r>
              <w:rPr/>
              <w:t> </w:t>
            </w:r>
            <w:bookmarkStart w:id="333" w:name="xdx_407_eus-gaap--AntidilutiveSecurities"/>
            <w:bookmarkEnd w:id="333"/>
          </w:p>
        </w:tc>
      </w:tr>
      <w:tr>
        <w:trPr/>
        <w:tc>
          <w:tcPr>
            <w:tcW w:w="4865" w:type="dxa"/>
            <w:tcBorders/>
            <w:shd w:fill="CCEEFF" w:val="clear"/>
            <w:vAlign w:val="center"/>
          </w:tcPr>
          <w:p>
            <w:pPr>
              <w:pStyle w:val="TableContents"/>
              <w:bidi w:val="0"/>
              <w:spacing w:before="0" w:after="283"/>
              <w:jc w:val="left"/>
              <w:rPr/>
            </w:pPr>
            <w:r>
              <w:rPr/>
              <w:t>Options</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4" w:type="dxa"/>
            <w:tcBorders>
              <w:bottom w:val="single" w:sz="12" w:space="0" w:color="000000"/>
            </w:tcBorders>
            <w:shd w:fill="CCEEFF" w:val="clear"/>
            <w:tcMar>
              <w:bottom w:w="28" w:type="dxa"/>
            </w:tcMar>
            <w:vAlign w:val="center"/>
          </w:tcPr>
          <w:p>
            <w:pPr>
              <w:pStyle w:val="TableContents"/>
              <w:bidi w:val="0"/>
              <w:spacing w:before="0" w:after="283"/>
              <w:jc w:val="right"/>
              <w:rPr/>
            </w:pPr>
            <w:r>
              <w:rPr/>
              <w:t>1,908,821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4" w:type="dxa"/>
            <w:tcBorders>
              <w:bottom w:val="single" w:sz="12" w:space="0" w:color="000000"/>
            </w:tcBorders>
            <w:shd w:fill="CCEEFF" w:val="clear"/>
            <w:tcMar>
              <w:bottom w:w="28" w:type="dxa"/>
            </w:tcMar>
            <w:vAlign w:val="center"/>
          </w:tcPr>
          <w:p>
            <w:pPr>
              <w:pStyle w:val="TableContents"/>
              <w:bidi w:val="0"/>
              <w:spacing w:before="0" w:after="283"/>
              <w:jc w:val="right"/>
              <w:rPr/>
            </w:pPr>
            <w:r>
              <w:rPr/>
              <w:t>3,443,099</w:t>
            </w:r>
          </w:p>
        </w:tc>
        <w:tc>
          <w:tcPr>
            <w:tcW w:w="75" w:type="dxa"/>
            <w:tcBorders/>
            <w:shd w:fill="CCEEFF" w:val="clear"/>
            <w:vAlign w:val="center"/>
          </w:tcPr>
          <w:p>
            <w:pPr>
              <w:pStyle w:val="TableContents"/>
              <w:bidi w:val="0"/>
              <w:spacing w:before="0" w:after="283"/>
              <w:jc w:val="left"/>
              <w:rPr/>
            </w:pPr>
            <w:r>
              <w:rPr/>
              <w:t> </w:t>
            </w:r>
            <w:bookmarkStart w:id="334" w:name="xdx_40D_eus-gaap--AntidilutiveSecurities"/>
            <w:bookmarkEnd w:id="334"/>
          </w:p>
        </w:tc>
      </w:tr>
      <w:tr>
        <w:trPr/>
        <w:tc>
          <w:tcPr>
            <w:tcW w:w="4865" w:type="dxa"/>
            <w:tcBorders/>
            <w:shd w:fill="FFFFFF" w:val="clear"/>
            <w:vAlign w:val="center"/>
          </w:tcPr>
          <w:p>
            <w:pPr>
              <w:pStyle w:val="TableContents"/>
              <w:bidi w:val="0"/>
              <w:spacing w:before="0" w:after="283"/>
              <w:jc w:val="left"/>
              <w:rPr/>
            </w:pPr>
            <w:r>
              <w:rPr/>
              <w:t>Weighted average number of common shares-basic</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4" w:type="dxa"/>
            <w:tcBorders>
              <w:bottom w:val="double" w:sz="6" w:space="0" w:color="000000"/>
            </w:tcBorders>
            <w:shd w:fill="FFFFFF" w:val="clear"/>
            <w:tcMar>
              <w:bottom w:w="28" w:type="dxa"/>
            </w:tcMar>
            <w:vAlign w:val="center"/>
          </w:tcPr>
          <w:p>
            <w:pPr>
              <w:pStyle w:val="TableContents"/>
              <w:bidi w:val="0"/>
              <w:spacing w:before="0" w:after="283"/>
              <w:jc w:val="right"/>
              <w:rPr/>
            </w:pPr>
            <w:r>
              <w:rPr/>
              <w:t>31,183,072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4" w:type="dxa"/>
            <w:tcBorders>
              <w:bottom w:val="double" w:sz="6" w:space="0" w:color="000000"/>
            </w:tcBorders>
            <w:shd w:fill="FFFFFF" w:val="clear"/>
            <w:tcMar>
              <w:bottom w:w="28" w:type="dxa"/>
            </w:tcMar>
            <w:vAlign w:val="center"/>
          </w:tcPr>
          <w:p>
            <w:pPr>
              <w:pStyle w:val="TableContents"/>
              <w:bidi w:val="0"/>
              <w:spacing w:before="0" w:after="283"/>
              <w:jc w:val="right"/>
              <w:rPr/>
            </w:pPr>
            <w:r>
              <w:rPr/>
              <w:t>27,143,320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35" w:name="xdx_8A5_zffsSUrzj3o9"/>
      <w:bookmarkEnd w:id="335"/>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36" w:name="xdx_84A_eus-gaap--LesseeLeasesPolicyText"/>
      <w:bookmarkEnd w:id="336"/>
      <w:r>
        <w:rPr>
          <w:rFonts w:ascii="Times New Roman;Times;Serif" w:hAnsi="Times New Roman;Times;Serif"/>
          <w:b w:val="false"/>
          <w:i/>
          <w:caps w:val="false"/>
          <w:smallCaps w:val="false"/>
          <w:sz w:val="20"/>
          <w:u w:val="single"/>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inception of an arrangement, the Company determines whether the arrangement is or contains a lease based on the unique facts and circumstances present in the arrangement including the use of an identified asset(s) and the Company’s control over the use of that identified asset. The Company elected, as allowed under FASB ASU 2016-02, Leases (“ASC 842”), to not recognize leases with a lease term of one year or less on its balance sheet. Leases with a term greater than one year are recognized on the balance sheet as right-of-use (“ROU”) assets and current and non-current lease liabilities, as applicable.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37" w:name="xdx_84F_eus-gaap--SegmentReportingPolicy"/>
      <w:bookmarkEnd w:id="337"/>
      <w:r>
        <w:rPr>
          <w:rFonts w:ascii="Times New Roman;Times;Serif" w:hAnsi="Times New Roman;Times;Serif"/>
          <w:b w:val="false"/>
          <w:i/>
          <w:caps w:val="false"/>
          <w:smallCaps w:val="false"/>
          <w:sz w:val="20"/>
          <w:u w:val="single"/>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38" w:name="xdx_842_eus-gaap--PriorPeriodReclassific"/>
      <w:bookmarkEnd w:id="338"/>
      <w:r>
        <w:rPr>
          <w:rFonts w:ascii="Times New Roman;Times;Serif" w:hAnsi="Times New Roman;Times;Serif"/>
          <w:b w:val="false"/>
          <w:i/>
          <w:caps w:val="false"/>
          <w:smallCaps w:val="false"/>
          <w:sz w:val="20"/>
          <w:u w:val="single"/>
        </w:rPr>
        <w:t>Reclassifications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 period amounts have been reclassified to conform to the current period presentation in the condensed consolidated financial statements and these accompanying notes. The reclassifications did not have a material impact on the Company’s unaudited condensed consolidated financial statements and related disclosures. The impact on any prior period disclosures was immaterial.</w:t>
      </w:r>
    </w:p>
    <w:p>
      <w:pPr>
        <w:pStyle w:val="TextBody"/>
        <w:bidi w:val="0"/>
        <w:spacing w:before="0" w:after="0"/>
        <w:ind w:left="0" w:right="0" w:hanging="0"/>
        <w:jc w:val="both"/>
        <w:rPr>
          <w:caps w:val="false"/>
          <w:smallCaps w:val="false"/>
        </w:rPr>
      </w:pPr>
      <w:bookmarkStart w:id="339" w:name="xdx_850_zwtQlG6onCij"/>
      <w:bookmarkEnd w:id="339"/>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340" w:name="xdx_80A_eus-gaap--FairValueDisclosuresTe"/>
      <w:bookmarkEnd w:id="340"/>
      <w:r>
        <w:rPr>
          <w:rFonts w:ascii="Times New Roman;Times;Serif" w:hAnsi="Times New Roman;Times;Serif"/>
          <w:b/>
          <w:i w:val="false"/>
          <w:caps/>
          <w:sz w:val="20"/>
        </w:rPr>
        <w:t xml:space="preserve">Note 3 - </w:t>
      </w:r>
      <w:bookmarkStart w:id="341" w:name="xdx_82B_z3GifrWK7wKd"/>
      <w:bookmarkEnd w:id="341"/>
      <w:r>
        <w:rPr>
          <w:rFonts w:ascii="Times New Roman;Times;Serif" w:hAnsi="Times New Roman;Times;Serif"/>
          <w:b/>
          <w:i w:val="false"/>
          <w:caps/>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Fair Value Measurements and Disclosures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inputs are quoted prices (unadjusted) in active markets for identical assets or liabilities.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are inputs other than quoted prices included within Level 1 that are observable for a similar asset or liability, either directly or indirectly.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inputs are unobservable inputs that reflect the Company’s own assumptions about the inputs that market participants would use in pricing the asset or liability.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2" w:name="xdx_892_eus-gaap--ScheduleOfFairValueAss"/>
      <w:bookmarkEnd w:id="342"/>
      <w:r>
        <w:rPr>
          <w:rFonts w:ascii="Times New Roman;Times;Serif" w:hAnsi="Times New Roman;Times;Serif"/>
          <w:b w:val="false"/>
          <w:i w:val="false"/>
          <w:caps w:val="false"/>
          <w:smallCaps w:val="false"/>
          <w:sz w:val="20"/>
        </w:rPr>
        <w:t>The following table presents assets and liabilities that were measured at fair value in the Condensed Consolidated Balance Sheets on a recurring basis as of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343" w:name="xdx_8BB_z3UfIvS50kLl"/>
      <w:bookmarkEnd w:id="343"/>
      <w:r>
        <w:rPr>
          <w:rFonts w:ascii="Times New Roman;Times;Serif" w:hAnsi="Times New Roman;Times;Serif"/>
          <w:b w:val="false"/>
          <w:i w:val="false"/>
          <w:caps w:val="false"/>
          <w:smallCaps w:val="false"/>
          <w:sz w:val="20"/>
        </w:rPr>
        <w:t>SCHEDULE OF FAIR VALUE OF ASSETS AND LIABILITIES </w:t>
      </w:r>
    </w:p>
    <w:tbl>
      <w:tblPr>
        <w:tblW w:w="9477" w:type="dxa"/>
        <w:jc w:val="left"/>
        <w:tblInd w:w="0" w:type="dxa"/>
        <w:tblLayout w:type="fixed"/>
        <w:tblCellMar>
          <w:top w:w="0" w:type="dxa"/>
          <w:left w:w="0" w:type="dxa"/>
          <w:bottom w:w="0" w:type="dxa"/>
          <w:right w:w="0" w:type="dxa"/>
        </w:tblCellMar>
      </w:tblPr>
      <w:tblGrid>
        <w:gridCol w:w="4310"/>
        <w:gridCol w:w="60"/>
        <w:gridCol w:w="146"/>
        <w:gridCol w:w="714"/>
        <w:gridCol w:w="60"/>
        <w:gridCol w:w="60"/>
        <w:gridCol w:w="175"/>
        <w:gridCol w:w="850"/>
        <w:gridCol w:w="60"/>
        <w:gridCol w:w="60"/>
        <w:gridCol w:w="262"/>
        <w:gridCol w:w="627"/>
        <w:gridCol w:w="60"/>
        <w:gridCol w:w="60"/>
        <w:gridCol w:w="311"/>
        <w:gridCol w:w="578"/>
        <w:gridCol w:w="60"/>
        <w:gridCol w:w="60"/>
        <w:gridCol w:w="151"/>
        <w:gridCol w:w="738"/>
        <w:gridCol w:w="75"/>
      </w:tblGrid>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pPr>
            <w:r>
              <w:rPr/>
              <w:t>Carrying</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pPr>
            <w:r>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283"/>
              <w:jc w:val="center"/>
              <w:rPr/>
            </w:pPr>
            <w:r>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283"/>
              <w:jc w:val="center"/>
              <w:rPr/>
            </w:pPr>
            <w:r>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283"/>
              <w:jc w:val="center"/>
              <w:rPr/>
            </w:pPr>
            <w:r>
              <w:rPr/>
              <w:t>(Level 3)</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32" w:type="dxa"/>
            <w:gridSpan w:val="18"/>
            <w:tcBorders>
              <w:bottom w:val="single" w:sz="12" w:space="0" w:color="000000"/>
            </w:tcBorders>
            <w:tcMar>
              <w:bottom w:w="28" w:type="dxa"/>
            </w:tcMar>
            <w:vAlign w:val="center"/>
          </w:tcPr>
          <w:p>
            <w:pPr>
              <w:pStyle w:val="TableContents"/>
              <w:bidi w:val="0"/>
              <w:spacing w:before="0" w:after="283"/>
              <w:jc w:val="center"/>
              <w:rPr/>
            </w:pPr>
            <w:r>
              <w:rPr/>
              <w:t>As of June 30, 2024</w:t>
            </w:r>
          </w:p>
        </w:tc>
        <w:tc>
          <w:tcPr>
            <w:tcW w:w="75" w:type="dxa"/>
            <w:tcBorders/>
            <w:vAlign w:val="center"/>
          </w:tcPr>
          <w:p>
            <w:pPr>
              <w:pStyle w:val="TableContents"/>
              <w:bidi w:val="0"/>
              <w:spacing w:before="0" w:after="283"/>
              <w:jc w:val="left"/>
              <w:rPr/>
            </w:pPr>
            <w:r>
              <w:rPr/>
              <w:t> </w:t>
            </w:r>
          </w:p>
        </w:tc>
      </w:tr>
      <w:tr>
        <w:trPr/>
        <w:tc>
          <w:tcPr>
            <w:tcW w:w="4310" w:type="dxa"/>
            <w:tcBorders>
              <w:bottom w:val="single" w:sz="12" w:space="0" w:color="000000"/>
            </w:tcBorders>
            <w:tcMar>
              <w:bottom w:w="28" w:type="dxa"/>
            </w:tcMar>
            <w:vAlign w:val="center"/>
          </w:tcPr>
          <w:p>
            <w:pPr>
              <w:pStyle w:val="TableContents"/>
              <w:bidi w:val="0"/>
              <w:spacing w:before="0" w:after="283"/>
              <w:jc w:val="left"/>
              <w:rPr/>
            </w:pPr>
            <w:r>
              <w:rPr/>
              <w:t>Liabilities</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Warrant liability- Term Loan</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bookmarkStart w:id="344" w:name="xdx_981_ecustom--LiabilitiesCarryingValu"/>
            <w:bookmarkEnd w:id="344"/>
          </w:p>
        </w:tc>
        <w:tc>
          <w:tcPr>
            <w:tcW w:w="714" w:type="dxa"/>
            <w:tcBorders/>
            <w:shd w:fill="CCEEFF" w:val="clear"/>
            <w:vAlign w:val="center"/>
          </w:tcPr>
          <w:p>
            <w:pPr>
              <w:pStyle w:val="TableContents"/>
              <w:bidi w:val="0"/>
              <w:spacing w:before="0" w:after="283"/>
              <w:jc w:val="right"/>
              <w:rPr/>
            </w:pPr>
            <w:r>
              <w:rPr/>
              <w:t>5,502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bookmarkStart w:id="345" w:name="xdx_98D_eus-gaap--LiabilitiesFairValueDi"/>
            <w:bookmarkEnd w:id="345"/>
          </w:p>
        </w:tc>
        <w:tc>
          <w:tcPr>
            <w:tcW w:w="850" w:type="dxa"/>
            <w:tcBorders/>
            <w:shd w:fill="CCEEFF" w:val="clear"/>
            <w:vAlign w:val="center"/>
          </w:tcPr>
          <w:p>
            <w:pPr>
              <w:pStyle w:val="TableContents"/>
              <w:bidi w:val="0"/>
              <w:spacing w:before="0" w:after="283"/>
              <w:jc w:val="right"/>
              <w:rPr/>
            </w:pPr>
            <w:r>
              <w:rPr/>
              <w:t>5,502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bookmarkStart w:id="346" w:name="xdx_985_eus-gaap--LiabilitiesFairValueDi"/>
            <w:bookmarkEnd w:id="346"/>
          </w:p>
        </w:tc>
        <w:tc>
          <w:tcPr>
            <w:tcW w:w="627"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w:t>
            </w:r>
            <w:bookmarkStart w:id="347" w:name="xdx_98A_eus-gaap--LiabilitiesFairValueDi"/>
            <w:bookmarkEnd w:id="347"/>
          </w:p>
        </w:tc>
        <w:tc>
          <w:tcPr>
            <w:tcW w:w="5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bookmarkStart w:id="348" w:name="xdx_989_eus-gaap--LiabilitiesFairValueDi"/>
            <w:bookmarkEnd w:id="348"/>
          </w:p>
        </w:tc>
        <w:tc>
          <w:tcPr>
            <w:tcW w:w="738" w:type="dxa"/>
            <w:tcBorders/>
            <w:shd w:fill="CCEEFF" w:val="clear"/>
            <w:vAlign w:val="center"/>
          </w:tcPr>
          <w:p>
            <w:pPr>
              <w:pStyle w:val="TableContents"/>
              <w:bidi w:val="0"/>
              <w:spacing w:before="0" w:after="283"/>
              <w:jc w:val="right"/>
              <w:rPr/>
            </w:pPr>
            <w:r>
              <w:rPr/>
              <w:t>5,502</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Warrant liability- June Public Offering</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bookmarkStart w:id="349" w:name="xdx_98F_ecustom--LiabilitiesCarryingValu"/>
            <w:bookmarkEnd w:id="349"/>
          </w:p>
        </w:tc>
        <w:tc>
          <w:tcPr>
            <w:tcW w:w="714" w:type="dxa"/>
            <w:tcBorders/>
            <w:shd w:fill="FFFFFF" w:val="clear"/>
            <w:vAlign w:val="center"/>
          </w:tcPr>
          <w:p>
            <w:pPr>
              <w:pStyle w:val="TableContents"/>
              <w:bidi w:val="0"/>
              <w:spacing w:before="0" w:after="283"/>
              <w:jc w:val="right"/>
              <w:rPr/>
            </w:pPr>
            <w:r>
              <w:rPr/>
              <w:t>5,491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bookmarkStart w:id="350" w:name="xdx_98B_eus-gaap--LiabilitiesFairValueDi"/>
            <w:bookmarkEnd w:id="350"/>
          </w:p>
        </w:tc>
        <w:tc>
          <w:tcPr>
            <w:tcW w:w="850" w:type="dxa"/>
            <w:tcBorders/>
            <w:shd w:fill="FFFFFF" w:val="clear"/>
            <w:vAlign w:val="center"/>
          </w:tcPr>
          <w:p>
            <w:pPr>
              <w:pStyle w:val="TableContents"/>
              <w:bidi w:val="0"/>
              <w:spacing w:before="0" w:after="283"/>
              <w:jc w:val="right"/>
              <w:rPr/>
            </w:pPr>
            <w:r>
              <w:rPr/>
              <w:t>5,491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bookmarkStart w:id="351" w:name="xdx_984_eus-gaap--LiabilitiesFairValueDi"/>
            <w:bookmarkEnd w:id="351"/>
          </w:p>
        </w:tc>
        <w:tc>
          <w:tcPr>
            <w:tcW w:w="62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bookmarkStart w:id="352" w:name="xdx_98E_eus-gaap--LiabilitiesFairValueDi"/>
            <w:bookmarkEnd w:id="352"/>
          </w:p>
        </w:tc>
        <w:tc>
          <w:tcPr>
            <w:tcW w:w="5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bookmarkStart w:id="353" w:name="xdx_984_eus-gaap--LiabilitiesFairValueDi"/>
            <w:bookmarkEnd w:id="353"/>
          </w:p>
        </w:tc>
        <w:tc>
          <w:tcPr>
            <w:tcW w:w="738" w:type="dxa"/>
            <w:tcBorders/>
            <w:shd w:fill="FFFFFF" w:val="clear"/>
            <w:vAlign w:val="center"/>
          </w:tcPr>
          <w:p>
            <w:pPr>
              <w:pStyle w:val="TableContents"/>
              <w:bidi w:val="0"/>
              <w:spacing w:before="0" w:after="283"/>
              <w:jc w:val="right"/>
              <w:rPr/>
            </w:pPr>
            <w:r>
              <w:rPr/>
              <w:t>5,491</w:t>
            </w:r>
          </w:p>
        </w:tc>
        <w:tc>
          <w:tcPr>
            <w:tcW w:w="75"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Warrant liability- Private Placement Warrants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354" w:name="xdx_98D_ecustom--LiabilitiesCarryingValu"/>
            <w:bookmarkEnd w:id="354"/>
          </w:p>
        </w:tc>
        <w:tc>
          <w:tcPr>
            <w:tcW w:w="714"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355" w:name="xdx_988_eus-gaap--LiabilitiesFairValueDi"/>
            <w:bookmarkEnd w:id="355"/>
          </w:p>
        </w:tc>
        <w:tc>
          <w:tcPr>
            <w:tcW w:w="850"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356" w:name="xdx_986_eus-gaap--LiabilitiesFairValueDi"/>
            <w:bookmarkEnd w:id="356"/>
          </w:p>
        </w:tc>
        <w:tc>
          <w:tcPr>
            <w:tcW w:w="62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357" w:name="xdx_98C_eus-gaap--LiabilitiesFairValueDi"/>
            <w:bookmarkEnd w:id="357"/>
          </w:p>
        </w:tc>
        <w:tc>
          <w:tcPr>
            <w:tcW w:w="578"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358" w:name="xdx_982_eus-gaap--LiabilitiesFairValueDi"/>
            <w:bookmarkEnd w:id="358"/>
          </w:p>
        </w:tc>
        <w:tc>
          <w:tcPr>
            <w:tcW w:w="73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59" w:name="xdx_980_ecustom--LiabilitiesCarryingValu"/>
            <w:bookmarkEnd w:id="359"/>
          </w:p>
        </w:tc>
        <w:tc>
          <w:tcPr>
            <w:tcW w:w="714" w:type="dxa"/>
            <w:tcBorders>
              <w:bottom w:val="double" w:sz="6" w:space="0" w:color="000000"/>
            </w:tcBorders>
            <w:shd w:fill="FFFFFF" w:val="clear"/>
            <w:tcMar>
              <w:bottom w:w="28" w:type="dxa"/>
            </w:tcMar>
            <w:vAlign w:val="center"/>
          </w:tcPr>
          <w:p>
            <w:pPr>
              <w:pStyle w:val="TableContents"/>
              <w:bidi w:val="0"/>
              <w:spacing w:before="0" w:after="283"/>
              <w:jc w:val="right"/>
              <w:rPr/>
            </w:pPr>
            <w:r>
              <w:rPr/>
              <w:t>11,004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60" w:name="xdx_98C_eus-gaap--LiabilitiesFairValueDi"/>
            <w:bookmarkEnd w:id="360"/>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pPr>
            <w:r>
              <w:rPr/>
              <w:t>11,004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61" w:name="xdx_983_eus-gaap--LiabilitiesFairValueDi"/>
            <w:bookmarkEnd w:id="361"/>
          </w:p>
        </w:tc>
        <w:tc>
          <w:tcPr>
            <w:tcW w:w="627"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62" w:name="xdx_98A_eus-gaap--LiabilitiesFairValueDi"/>
            <w:bookmarkEnd w:id="362"/>
          </w:p>
        </w:tc>
        <w:tc>
          <w:tcPr>
            <w:tcW w:w="578" w:type="dxa"/>
            <w:tcBorders>
              <w:bottom w:val="double" w:sz="6" w:space="0" w:color="000000"/>
            </w:tcBorders>
            <w:shd w:fill="FFFFFF" w:val="clear"/>
            <w:tcMar>
              <w:bottom w:w="28" w:type="dxa"/>
            </w:tcMar>
            <w:vAlign w:val="center"/>
          </w:tcPr>
          <w:p>
            <w:pPr>
              <w:pStyle w:val="TableContents"/>
              <w:bidi w:val="0"/>
              <w:spacing w:before="0" w:after="283"/>
              <w:jc w:val="right"/>
              <w:rPr/>
            </w:pPr>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63" w:name="xdx_98E_eus-gaap--LiabilitiesFairValueDi"/>
            <w:bookmarkEnd w:id="363"/>
          </w:p>
        </w:tc>
        <w:tc>
          <w:tcPr>
            <w:tcW w:w="738" w:type="dxa"/>
            <w:tcBorders>
              <w:bottom w:val="double" w:sz="6" w:space="0" w:color="000000"/>
            </w:tcBorders>
            <w:shd w:fill="FFFFFF" w:val="clear"/>
            <w:tcMar>
              <w:bottom w:w="28" w:type="dxa"/>
            </w:tcMar>
            <w:vAlign w:val="center"/>
          </w:tcPr>
          <w:p>
            <w:pPr>
              <w:pStyle w:val="TableContents"/>
              <w:bidi w:val="0"/>
              <w:spacing w:before="0" w:after="283"/>
              <w:jc w:val="right"/>
              <w:rPr/>
            </w:pPr>
            <w:r>
              <w:rPr/>
              <w:t>10,993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assets and liabilities that were measured at fair value in the Condensed Consolidated Balance Sheets on a recurring basis as of December 31, 2023:</w:t>
      </w:r>
    </w:p>
    <w:p>
      <w:pPr>
        <w:pStyle w:val="TextBody"/>
        <w:bidi w:val="0"/>
        <w:spacing w:before="0" w:after="0"/>
        <w:ind w:left="0" w:right="0" w:hanging="0"/>
        <w:jc w:val="both"/>
        <w:rPr>
          <w:caps w:val="false"/>
          <w:smallCaps w:val="false"/>
        </w:rPr>
      </w:pPr>
      <w:r>
        <w:rPr>
          <w:caps w:val="false"/>
          <w:smallCaps w:val="false"/>
        </w:rPr>
        <w:t> </w:t>
      </w:r>
    </w:p>
    <w:tbl>
      <w:tblPr>
        <w:tblW w:w="9418" w:type="dxa"/>
        <w:jc w:val="left"/>
        <w:tblInd w:w="0" w:type="dxa"/>
        <w:tblLayout w:type="fixed"/>
        <w:tblCellMar>
          <w:top w:w="0" w:type="dxa"/>
          <w:left w:w="0" w:type="dxa"/>
          <w:bottom w:w="0" w:type="dxa"/>
          <w:right w:w="0" w:type="dxa"/>
        </w:tblCellMar>
      </w:tblPr>
      <w:tblGrid>
        <w:gridCol w:w="4250"/>
        <w:gridCol w:w="60"/>
        <w:gridCol w:w="172"/>
        <w:gridCol w:w="688"/>
        <w:gridCol w:w="60"/>
        <w:gridCol w:w="60"/>
        <w:gridCol w:w="205"/>
        <w:gridCol w:w="820"/>
        <w:gridCol w:w="60"/>
        <w:gridCol w:w="60"/>
        <w:gridCol w:w="262"/>
        <w:gridCol w:w="627"/>
        <w:gridCol w:w="60"/>
        <w:gridCol w:w="60"/>
        <w:gridCol w:w="311"/>
        <w:gridCol w:w="578"/>
        <w:gridCol w:w="60"/>
        <w:gridCol w:w="60"/>
        <w:gridCol w:w="178"/>
        <w:gridCol w:w="712"/>
        <w:gridCol w:w="75"/>
      </w:tblGrid>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pPr>
            <w:r>
              <w:rPr/>
              <w:t>Carrying</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pPr>
            <w:r>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283"/>
              <w:jc w:val="center"/>
              <w:rPr/>
            </w:pPr>
            <w:r>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283"/>
              <w:jc w:val="center"/>
              <w:rPr/>
            </w:pPr>
            <w:r>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pPr>
            <w:r>
              <w:rPr/>
              <w:t>(Level 3)</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33" w:type="dxa"/>
            <w:gridSpan w:val="18"/>
            <w:tcBorders>
              <w:bottom w:val="single" w:sz="12" w:space="0" w:color="000000"/>
            </w:tcBorders>
            <w:tcMar>
              <w:bottom w:w="28" w:type="dxa"/>
            </w:tcMar>
            <w:vAlign w:val="center"/>
          </w:tcPr>
          <w:p>
            <w:pPr>
              <w:pStyle w:val="TableContents"/>
              <w:bidi w:val="0"/>
              <w:spacing w:before="0" w:after="283"/>
              <w:jc w:val="center"/>
              <w:rPr/>
            </w:pPr>
            <w:r>
              <w:rPr/>
              <w:t>As of December 31, 2023</w:t>
            </w:r>
          </w:p>
        </w:tc>
        <w:tc>
          <w:tcPr>
            <w:tcW w:w="75" w:type="dxa"/>
            <w:tcBorders/>
            <w:vAlign w:val="center"/>
          </w:tcPr>
          <w:p>
            <w:pPr>
              <w:pStyle w:val="TableContents"/>
              <w:bidi w:val="0"/>
              <w:spacing w:before="0" w:after="283"/>
              <w:jc w:val="left"/>
              <w:rPr/>
            </w:pPr>
            <w:r>
              <w:rPr/>
              <w:t> </w:t>
            </w:r>
          </w:p>
        </w:tc>
      </w:tr>
      <w:tr>
        <w:trPr/>
        <w:tc>
          <w:tcPr>
            <w:tcW w:w="4250" w:type="dxa"/>
            <w:tcBorders>
              <w:bottom w:val="single" w:sz="12" w:space="0" w:color="000000"/>
            </w:tcBorders>
            <w:tcMar>
              <w:bottom w:w="28" w:type="dxa"/>
            </w:tcMar>
            <w:vAlign w:val="center"/>
          </w:tcPr>
          <w:p>
            <w:pPr>
              <w:pStyle w:val="TableContents"/>
              <w:bidi w:val="0"/>
              <w:spacing w:before="0" w:after="283"/>
              <w:jc w:val="left"/>
              <w:rPr/>
            </w:pPr>
            <w:r>
              <w:rPr/>
              <w:t>Liabilities</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Warrant liability- Term Loan</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bookmarkStart w:id="364" w:name="xdx_984_ecustom--LiabilitiesCarryingValu"/>
            <w:bookmarkEnd w:id="364"/>
          </w:p>
        </w:tc>
        <w:tc>
          <w:tcPr>
            <w:tcW w:w="688" w:type="dxa"/>
            <w:tcBorders/>
            <w:shd w:fill="CCEEFF" w:val="clear"/>
            <w:vAlign w:val="center"/>
          </w:tcPr>
          <w:p>
            <w:pPr>
              <w:pStyle w:val="TableContents"/>
              <w:bidi w:val="0"/>
              <w:spacing w:before="0" w:after="283"/>
              <w:jc w:val="right"/>
              <w:rPr/>
            </w:pPr>
            <w:r>
              <w:rPr/>
              <w:t>1,014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bookmarkStart w:id="365" w:name="xdx_980_eus-gaap--LiabilitiesFairValueDi"/>
            <w:bookmarkEnd w:id="365"/>
          </w:p>
        </w:tc>
        <w:tc>
          <w:tcPr>
            <w:tcW w:w="820" w:type="dxa"/>
            <w:tcBorders/>
            <w:shd w:fill="CCEEFF" w:val="clear"/>
            <w:vAlign w:val="center"/>
          </w:tcPr>
          <w:p>
            <w:pPr>
              <w:pStyle w:val="TableContents"/>
              <w:bidi w:val="0"/>
              <w:spacing w:before="0" w:after="283"/>
              <w:jc w:val="right"/>
              <w:rPr/>
            </w:pPr>
            <w:r>
              <w:rPr/>
              <w:t>1,014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bookmarkStart w:id="366" w:name="xdx_98F_eus-gaap--LiabilitiesFairValueDi"/>
            <w:bookmarkEnd w:id="366"/>
          </w:p>
        </w:tc>
        <w:tc>
          <w:tcPr>
            <w:tcW w:w="627"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w:t>
            </w:r>
            <w:bookmarkStart w:id="367" w:name="xdx_988_eus-gaap--LiabilitiesFairValueDi"/>
            <w:bookmarkEnd w:id="367"/>
          </w:p>
        </w:tc>
        <w:tc>
          <w:tcPr>
            <w:tcW w:w="5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bookmarkStart w:id="368" w:name="xdx_984_eus-gaap--LiabilitiesFairValueDi"/>
            <w:bookmarkEnd w:id="368"/>
          </w:p>
        </w:tc>
        <w:tc>
          <w:tcPr>
            <w:tcW w:w="712" w:type="dxa"/>
            <w:tcBorders/>
            <w:shd w:fill="CCEEFF" w:val="clear"/>
            <w:vAlign w:val="center"/>
          </w:tcPr>
          <w:p>
            <w:pPr>
              <w:pStyle w:val="TableContents"/>
              <w:bidi w:val="0"/>
              <w:spacing w:before="0" w:after="283"/>
              <w:jc w:val="right"/>
              <w:rPr/>
            </w:pPr>
            <w:r>
              <w:rPr/>
              <w:t>1,014</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Warrant liability- June Public Offering</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bookmarkStart w:id="369" w:name="xdx_982_ecustom--LiabilitiesCarryingValu"/>
            <w:bookmarkEnd w:id="369"/>
          </w:p>
        </w:tc>
        <w:tc>
          <w:tcPr>
            <w:tcW w:w="688" w:type="dxa"/>
            <w:tcBorders/>
            <w:shd w:fill="FFFFFF" w:val="clear"/>
            <w:vAlign w:val="center"/>
          </w:tcPr>
          <w:p>
            <w:pPr>
              <w:pStyle w:val="TableContents"/>
              <w:bidi w:val="0"/>
              <w:spacing w:before="0" w:after="283"/>
              <w:jc w:val="right"/>
              <w:rPr/>
            </w:pPr>
            <w:r>
              <w:rPr/>
              <w:t>3,434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bookmarkStart w:id="370" w:name="xdx_98E_eus-gaap--LiabilitiesFairValueDi"/>
            <w:bookmarkEnd w:id="370"/>
          </w:p>
        </w:tc>
        <w:tc>
          <w:tcPr>
            <w:tcW w:w="820" w:type="dxa"/>
            <w:tcBorders/>
            <w:shd w:fill="FFFFFF" w:val="clear"/>
            <w:vAlign w:val="center"/>
          </w:tcPr>
          <w:p>
            <w:pPr>
              <w:pStyle w:val="TableContents"/>
              <w:bidi w:val="0"/>
              <w:spacing w:before="0" w:after="283"/>
              <w:jc w:val="right"/>
              <w:rPr/>
            </w:pPr>
            <w:r>
              <w:rPr/>
              <w:t>3,434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bookmarkStart w:id="371" w:name="xdx_984_eus-gaap--LiabilitiesFairValueDi"/>
            <w:bookmarkEnd w:id="371"/>
          </w:p>
        </w:tc>
        <w:tc>
          <w:tcPr>
            <w:tcW w:w="62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bookmarkStart w:id="372" w:name="xdx_985_eus-gaap--LiabilitiesFairValueDi"/>
            <w:bookmarkEnd w:id="372"/>
          </w:p>
        </w:tc>
        <w:tc>
          <w:tcPr>
            <w:tcW w:w="5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bookmarkStart w:id="373" w:name="xdx_985_eus-gaap--LiabilitiesFairValueDi"/>
            <w:bookmarkEnd w:id="373"/>
          </w:p>
        </w:tc>
        <w:tc>
          <w:tcPr>
            <w:tcW w:w="712" w:type="dxa"/>
            <w:tcBorders/>
            <w:shd w:fill="FFFFFF" w:val="clear"/>
            <w:vAlign w:val="center"/>
          </w:tcPr>
          <w:p>
            <w:pPr>
              <w:pStyle w:val="TableContents"/>
              <w:bidi w:val="0"/>
              <w:spacing w:before="0" w:after="283"/>
              <w:jc w:val="right"/>
              <w:rPr/>
            </w:pPr>
            <w:r>
              <w:rPr/>
              <w:t>3,434</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Warrant liability- Private placement warrants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374" w:name="xdx_987_ecustom--LiabilitiesCarryingValu"/>
            <w:bookmarkEnd w:id="374"/>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375" w:name="xdx_984_eus-gaap--LiabilitiesFairValueDi"/>
            <w:bookmarkEnd w:id="375"/>
          </w:p>
        </w:tc>
        <w:tc>
          <w:tcPr>
            <w:tcW w:w="820" w:type="dxa"/>
            <w:tcBorders>
              <w:bottom w:val="single" w:sz="12" w:space="0" w:color="000000"/>
            </w:tcBorders>
            <w:shd w:fill="CCEEFF" w:val="clear"/>
            <w:tcMar>
              <w:bottom w:w="28" w:type="dxa"/>
            </w:tcMar>
            <w:vAlign w:val="center"/>
          </w:tcPr>
          <w:p>
            <w:pPr>
              <w:pStyle w:val="TableContents"/>
              <w:bidi w:val="0"/>
              <w:spacing w:before="0" w:after="283"/>
              <w:jc w:val="right"/>
              <w:rPr/>
            </w:pPr>
            <w:r>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376" w:name="xdx_98A_eus-gaap--LiabilitiesFairValueDi"/>
            <w:bookmarkEnd w:id="376"/>
          </w:p>
        </w:tc>
        <w:tc>
          <w:tcPr>
            <w:tcW w:w="62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377" w:name="xdx_982_eus-gaap--LiabilitiesFairValueDi"/>
            <w:bookmarkEnd w:id="377"/>
          </w:p>
        </w:tc>
        <w:tc>
          <w:tcPr>
            <w:tcW w:w="578" w:type="dxa"/>
            <w:tcBorders>
              <w:bottom w:val="single" w:sz="12" w:space="0" w:color="000000"/>
            </w:tcBorders>
            <w:shd w:fill="CCEEFF" w:val="clear"/>
            <w:tcMar>
              <w:bottom w:w="28" w:type="dxa"/>
            </w:tcMar>
            <w:vAlign w:val="center"/>
          </w:tcPr>
          <w:p>
            <w:pPr>
              <w:pStyle w:val="TableContents"/>
              <w:bidi w:val="0"/>
              <w:spacing w:before="0" w:after="283"/>
              <w:jc w:val="right"/>
              <w:rPr/>
            </w:pPr>
            <w:r>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378" w:name="xdx_98A_eus-gaap--LiabilitiesFairValueDi"/>
            <w:bookmarkEnd w:id="378"/>
          </w:p>
        </w:tc>
        <w:tc>
          <w:tcPr>
            <w:tcW w:w="71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79" w:name="xdx_986_ecustom--LiabilitiesCarryingValu"/>
            <w:bookmarkEnd w:id="379"/>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pPr>
            <w:r>
              <w:rPr/>
              <w:t>4,463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80" w:name="xdx_987_eus-gaap--LiabilitiesFairValueDi"/>
            <w:bookmarkEnd w:id="380"/>
          </w:p>
        </w:tc>
        <w:tc>
          <w:tcPr>
            <w:tcW w:w="820" w:type="dxa"/>
            <w:tcBorders>
              <w:bottom w:val="double" w:sz="6" w:space="0" w:color="000000"/>
            </w:tcBorders>
            <w:shd w:fill="FFFFFF" w:val="clear"/>
            <w:tcMar>
              <w:bottom w:w="28" w:type="dxa"/>
            </w:tcMar>
            <w:vAlign w:val="center"/>
          </w:tcPr>
          <w:p>
            <w:pPr>
              <w:pStyle w:val="TableContents"/>
              <w:bidi w:val="0"/>
              <w:spacing w:before="0" w:after="283"/>
              <w:jc w:val="right"/>
              <w:rPr/>
            </w:pPr>
            <w:r>
              <w:rPr/>
              <w:t>4,463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81" w:name="xdx_98B_eus-gaap--LiabilitiesFairValueDi"/>
            <w:bookmarkEnd w:id="381"/>
          </w:p>
        </w:tc>
        <w:tc>
          <w:tcPr>
            <w:tcW w:w="627"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82" w:name="xdx_98D_eus-gaap--LiabilitiesFairValueDi"/>
            <w:bookmarkEnd w:id="382"/>
          </w:p>
        </w:tc>
        <w:tc>
          <w:tcPr>
            <w:tcW w:w="578" w:type="dxa"/>
            <w:tcBorders>
              <w:bottom w:val="double" w:sz="6" w:space="0" w:color="000000"/>
            </w:tcBorders>
            <w:shd w:fill="FFFFFF" w:val="clear"/>
            <w:tcMar>
              <w:bottom w:w="28" w:type="dxa"/>
            </w:tcMar>
            <w:vAlign w:val="center"/>
          </w:tcPr>
          <w:p>
            <w:pPr>
              <w:pStyle w:val="TableContents"/>
              <w:bidi w:val="0"/>
              <w:spacing w:before="0" w:after="283"/>
              <w:jc w:val="right"/>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83" w:name="xdx_982_eus-gaap--LiabilitiesFairValueDi"/>
            <w:bookmarkEnd w:id="383"/>
          </w:p>
        </w:tc>
        <w:tc>
          <w:tcPr>
            <w:tcW w:w="712" w:type="dxa"/>
            <w:tcBorders>
              <w:bottom w:val="double" w:sz="6" w:space="0" w:color="000000"/>
            </w:tcBorders>
            <w:shd w:fill="FFFFFF" w:val="clear"/>
            <w:tcMar>
              <w:bottom w:w="28" w:type="dxa"/>
            </w:tcMar>
            <w:vAlign w:val="center"/>
          </w:tcPr>
          <w:p>
            <w:pPr>
              <w:pStyle w:val="TableContents"/>
              <w:bidi w:val="0"/>
              <w:spacing w:before="0" w:after="283"/>
              <w:jc w:val="right"/>
              <w:rPr/>
            </w:pPr>
            <w:r>
              <w:rPr/>
              <w:t>4,448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84" w:name="xdx_8A5_zQXobiP5BZC8"/>
      <w:bookmarkEnd w:id="38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accounts receivable and accounts payable are considered level 1 and approximate fair value as of June 30, 2024 and December 31, 2023 because of the relatively short maturity of these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the term loan as of June 30, 2024 and December 31, 2023 approximates fair value as the interest rate does not differ significantly from the current market rates available to the Company for similar debt and is considered level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 Roll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measurements categorized within Level 3 are sensitive to changes in assumptions or methodology used to determine fair value, and such changes could result in a significant increase or decrease in the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5" w:name="xdx_892_eus-gaap--FairValueLiabilitiesMe"/>
      <w:bookmarkEnd w:id="385"/>
      <w:r>
        <w:rPr>
          <w:rFonts w:ascii="Times New Roman;Times;Serif" w:hAnsi="Times New Roman;Times;Serif"/>
          <w:b w:val="false"/>
          <w:i w:val="false"/>
          <w:caps w:val="false"/>
          <w:smallCaps w:val="false"/>
          <w:sz w:val="20"/>
        </w:rPr>
        <w:t>The changes for Level 3 items measured at fair value on recurring basis using significant unobservable inputs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386" w:name="xdx_8B6_zRWHrKhYNwk1"/>
      <w:bookmarkEnd w:id="386"/>
      <w:r>
        <w:rPr>
          <w:rFonts w:ascii="Times New Roman;Times;Serif" w:hAnsi="Times New Roman;Times;Serif"/>
          <w:b w:val="false"/>
          <w:i w:val="false"/>
          <w:caps w:val="false"/>
          <w:smallCaps w:val="false"/>
          <w:sz w:val="20"/>
        </w:rPr>
        <w:t>SCHEDULE OF FAIR VALUE ON RECURRING BASIS USING SIGNIFICANT UNOBSERVABLE INPUTS</w:t>
      </w:r>
    </w:p>
    <w:tbl>
      <w:tblPr>
        <w:tblW w:w="10205" w:type="dxa"/>
        <w:jc w:val="left"/>
        <w:tblInd w:w="0" w:type="dxa"/>
        <w:tblLayout w:type="fixed"/>
        <w:tblCellMar>
          <w:top w:w="0" w:type="dxa"/>
          <w:left w:w="0" w:type="dxa"/>
          <w:bottom w:w="0" w:type="dxa"/>
          <w:right w:w="0" w:type="dxa"/>
        </w:tblCellMar>
      </w:tblPr>
      <w:tblGrid>
        <w:gridCol w:w="3906"/>
        <w:gridCol w:w="60"/>
        <w:gridCol w:w="521"/>
        <w:gridCol w:w="2085"/>
        <w:gridCol w:w="95"/>
        <w:gridCol w:w="60"/>
        <w:gridCol w:w="673"/>
        <w:gridCol w:w="2693"/>
        <w:gridCol w:w="112"/>
      </w:tblGrid>
      <w:tr>
        <w:trPr/>
        <w:tc>
          <w:tcPr>
            <w:tcW w:w="390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87" w:name="xdx_4B4_us-gaap--FinancialInstrumentAxis"/>
            <w:bookmarkEnd w:id="387"/>
          </w:p>
        </w:tc>
        <w:tc>
          <w:tcPr>
            <w:tcW w:w="2606" w:type="dxa"/>
            <w:gridSpan w:val="2"/>
            <w:tcBorders>
              <w:bottom w:val="single" w:sz="12" w:space="0" w:color="000000"/>
            </w:tcBorders>
            <w:tcMar>
              <w:bottom w:w="28" w:type="dxa"/>
            </w:tcMar>
            <w:vAlign w:val="center"/>
          </w:tcPr>
          <w:p>
            <w:pPr>
              <w:pStyle w:val="TableContents"/>
              <w:bidi w:val="0"/>
              <w:spacing w:before="0" w:after="283"/>
              <w:jc w:val="center"/>
              <w:rPr/>
            </w:pPr>
            <w:r>
              <w:rPr/>
              <w:t>Warrant Liability – Term Loan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88" w:name="xdx_4B4_us-gaap--FinancialInstrumentAxis"/>
            <w:bookmarkEnd w:id="388"/>
          </w:p>
        </w:tc>
        <w:tc>
          <w:tcPr>
            <w:tcW w:w="3366" w:type="dxa"/>
            <w:gridSpan w:val="2"/>
            <w:tcBorders>
              <w:bottom w:val="single" w:sz="12" w:space="0" w:color="000000"/>
            </w:tcBorders>
            <w:tcMar>
              <w:bottom w:w="28" w:type="dxa"/>
            </w:tcMar>
            <w:vAlign w:val="center"/>
          </w:tcPr>
          <w:p>
            <w:pPr>
              <w:pStyle w:val="TableContents"/>
              <w:bidi w:val="0"/>
              <w:spacing w:before="0" w:after="283"/>
              <w:jc w:val="center"/>
              <w:rPr/>
            </w:pPr>
            <w:r>
              <w:rPr/>
              <w:t>Warrant Liability – June Public Offering</w:t>
            </w:r>
          </w:p>
        </w:tc>
        <w:tc>
          <w:tcPr>
            <w:tcW w:w="112" w:type="dxa"/>
            <w:tcBorders/>
            <w:vAlign w:val="center"/>
          </w:tcPr>
          <w:p>
            <w:pPr>
              <w:pStyle w:val="TableContents"/>
              <w:bidi w:val="0"/>
              <w:spacing w:before="0" w:after="283"/>
              <w:jc w:val="center"/>
              <w:rPr/>
            </w:pPr>
            <w:r>
              <w:rPr/>
              <w:t> </w:t>
            </w:r>
            <w:bookmarkStart w:id="389" w:name="xdx_433_c20240101__20240331_eus-gaap--Fa"/>
            <w:bookmarkEnd w:id="389"/>
          </w:p>
        </w:tc>
      </w:tr>
      <w:tr>
        <w:trPr/>
        <w:tc>
          <w:tcPr>
            <w:tcW w:w="3906" w:type="dxa"/>
            <w:tcBorders/>
            <w:shd w:fill="CCEEFF" w:val="clear"/>
            <w:vAlign w:val="center"/>
          </w:tcPr>
          <w:p>
            <w:pPr>
              <w:pStyle w:val="TableContents"/>
              <w:bidi w:val="0"/>
              <w:spacing w:before="0" w:after="283"/>
              <w:jc w:val="left"/>
              <w:rPr>
                <w:b/>
              </w:rPr>
            </w:pPr>
            <w:r>
              <w:rPr>
                <w:b/>
              </w:rPr>
              <w:t>Fair value as of January 1, 2024</w:t>
            </w:r>
          </w:p>
        </w:tc>
        <w:tc>
          <w:tcPr>
            <w:tcW w:w="6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w:t>
            </w:r>
          </w:p>
        </w:tc>
        <w:tc>
          <w:tcPr>
            <w:tcW w:w="2085" w:type="dxa"/>
            <w:tcBorders/>
            <w:shd w:fill="CCEEFF" w:val="clear"/>
            <w:vAlign w:val="center"/>
          </w:tcPr>
          <w:p>
            <w:pPr>
              <w:pStyle w:val="TableContents"/>
              <w:bidi w:val="0"/>
              <w:spacing w:before="0" w:after="283"/>
              <w:jc w:val="right"/>
              <w:rPr/>
            </w:pPr>
            <w:r>
              <w:rPr/>
              <w:t>1,014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w:t>
            </w:r>
          </w:p>
        </w:tc>
        <w:tc>
          <w:tcPr>
            <w:tcW w:w="2693" w:type="dxa"/>
            <w:tcBorders/>
            <w:shd w:fill="CCEEFF" w:val="clear"/>
            <w:vAlign w:val="center"/>
          </w:tcPr>
          <w:p>
            <w:pPr>
              <w:pStyle w:val="TableContents"/>
              <w:bidi w:val="0"/>
              <w:spacing w:before="0" w:after="283"/>
              <w:jc w:val="right"/>
              <w:rPr/>
            </w:pPr>
            <w:r>
              <w:rPr/>
              <w:t>3,434</w:t>
            </w:r>
          </w:p>
        </w:tc>
        <w:tc>
          <w:tcPr>
            <w:tcW w:w="112" w:type="dxa"/>
            <w:tcBorders/>
            <w:shd w:fill="CCEEFF" w:val="clear"/>
            <w:vAlign w:val="center"/>
          </w:tcPr>
          <w:p>
            <w:pPr>
              <w:pStyle w:val="TableContents"/>
              <w:bidi w:val="0"/>
              <w:spacing w:before="0" w:after="283"/>
              <w:jc w:val="left"/>
              <w:rPr/>
            </w:pPr>
            <w:r>
              <w:rPr/>
              <w:t> </w:t>
            </w:r>
            <w:bookmarkStart w:id="390" w:name="xdx_40D_eus-gaap--FairValueMeasurementWi"/>
            <w:bookmarkEnd w:id="390"/>
          </w:p>
        </w:tc>
      </w:tr>
      <w:tr>
        <w:trPr/>
        <w:tc>
          <w:tcPr>
            <w:tcW w:w="3906" w:type="dxa"/>
            <w:tcBorders/>
            <w:shd w:fill="CCEEFF" w:val="clear"/>
            <w:vAlign w:val="center"/>
          </w:tcPr>
          <w:p>
            <w:pPr>
              <w:pStyle w:val="TableContents"/>
              <w:bidi w:val="0"/>
              <w:spacing w:before="0" w:after="283"/>
              <w:jc w:val="left"/>
              <w:rPr/>
            </w:pPr>
            <w:r>
              <w:rPr/>
              <w:t>Warrants Issued</w:t>
            </w:r>
          </w:p>
        </w:tc>
        <w:tc>
          <w:tcPr>
            <w:tcW w:w="6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 </w:t>
            </w:r>
          </w:p>
        </w:tc>
        <w:tc>
          <w:tcPr>
            <w:tcW w:w="2085"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2693"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pPr>
            <w:r>
              <w:rPr/>
              <w:t> </w:t>
            </w:r>
            <w:bookmarkStart w:id="391" w:name="xdx_40D_ecustom--FairValueMeasurementWit"/>
            <w:bookmarkEnd w:id="391"/>
          </w:p>
        </w:tc>
      </w:tr>
      <w:tr>
        <w:trPr/>
        <w:tc>
          <w:tcPr>
            <w:tcW w:w="3906" w:type="dxa"/>
            <w:tcBorders/>
            <w:shd w:fill="CCEEFF" w:val="clear"/>
            <w:vAlign w:val="center"/>
          </w:tcPr>
          <w:p>
            <w:pPr>
              <w:pStyle w:val="TableContents"/>
              <w:bidi w:val="0"/>
              <w:spacing w:before="0" w:after="283"/>
              <w:jc w:val="left"/>
              <w:rPr/>
            </w:pPr>
            <w:r>
              <w:rPr/>
              <w:t>Warrant exercises</w:t>
            </w:r>
          </w:p>
        </w:tc>
        <w:tc>
          <w:tcPr>
            <w:tcW w:w="6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 </w:t>
            </w:r>
          </w:p>
        </w:tc>
        <w:tc>
          <w:tcPr>
            <w:tcW w:w="20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2693"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39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left"/>
              <w:rPr/>
            </w:pPr>
            <w:r>
              <w:rPr/>
              <w:t> </w:t>
            </w:r>
          </w:p>
        </w:tc>
        <w:tc>
          <w:tcPr>
            <w:tcW w:w="20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269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92" w:name="xdx_407_eus-gaap--FairValueMeasurementWi"/>
            <w:bookmarkEnd w:id="392"/>
          </w:p>
        </w:tc>
      </w:tr>
      <w:tr>
        <w:trPr/>
        <w:tc>
          <w:tcPr>
            <w:tcW w:w="39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gain included in net loss</w:t>
            </w:r>
            <w:bookmarkStart w:id="393" w:name="xdx_F49_zzQElZxGVbb5"/>
            <w:bookmarkEnd w:id="393"/>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 </w:t>
            </w:r>
          </w:p>
        </w:tc>
        <w:tc>
          <w:tcPr>
            <w:tcW w:w="2085" w:type="dxa"/>
            <w:tcBorders/>
            <w:shd w:fill="CCEEFF" w:val="cle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2693" w:type="dxa"/>
            <w:tcBorders/>
            <w:shd w:fill="CCEEFF" w:val="clear"/>
            <w:vAlign w:val="center"/>
          </w:tcPr>
          <w:p>
            <w:pPr>
              <w:pStyle w:val="TableContents"/>
              <w:bidi w:val="0"/>
              <w:spacing w:before="0" w:after="283"/>
              <w:jc w:val="right"/>
              <w:rPr/>
            </w:pPr>
            <w:r>
              <w:rPr/>
              <w:t>(220</w:t>
            </w:r>
          </w:p>
        </w:tc>
        <w:tc>
          <w:tcPr>
            <w:tcW w:w="112" w:type="dxa"/>
            <w:tcBorders/>
            <w:shd w:fill="CCEEFF" w:val="clear"/>
            <w:vAlign w:val="center"/>
          </w:tcPr>
          <w:p>
            <w:pPr>
              <w:pStyle w:val="TableContents"/>
              <w:bidi w:val="0"/>
              <w:spacing w:before="0" w:after="283"/>
              <w:jc w:val="left"/>
              <w:rPr/>
            </w:pPr>
            <w:r>
              <w:rPr/>
              <w:t>)</w:t>
            </w:r>
            <w:bookmarkStart w:id="394" w:name="xdx_43B_c20240401__20240630_eus-gaap--Fa"/>
            <w:bookmarkEnd w:id="394"/>
          </w:p>
        </w:tc>
      </w:tr>
      <w:tr>
        <w:trPr/>
        <w:tc>
          <w:tcPr>
            <w:tcW w:w="3906" w:type="dxa"/>
            <w:tcBorders/>
            <w:shd w:fill="FFFFFF" w:val="clear"/>
            <w:vAlign w:val="center"/>
          </w:tcPr>
          <w:p>
            <w:pPr>
              <w:pStyle w:val="TableContents"/>
              <w:bidi w:val="0"/>
              <w:spacing w:before="0" w:after="283"/>
              <w:jc w:val="left"/>
              <w:rPr>
                <w:b/>
              </w:rPr>
            </w:pPr>
            <w:r>
              <w:rPr>
                <w:b/>
              </w:rPr>
              <w:t>Fair value as of March 31, 2024</w:t>
            </w:r>
          </w:p>
        </w:tc>
        <w:tc>
          <w:tcPr>
            <w:tcW w:w="60" w:type="dxa"/>
            <w:tcBorders/>
            <w:shd w:fill="FFFFFF" w:val="clear"/>
            <w:vAlign w:val="center"/>
          </w:tcPr>
          <w:p>
            <w:pPr>
              <w:pStyle w:val="TableContents"/>
              <w:bidi w:val="0"/>
              <w:spacing w:before="0" w:after="283"/>
              <w:jc w:val="left"/>
              <w:rPr/>
            </w:pPr>
            <w:r>
              <w:rPr/>
              <w:t> </w:t>
            </w:r>
          </w:p>
        </w:tc>
        <w:tc>
          <w:tcPr>
            <w:tcW w:w="52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085" w:type="dxa"/>
            <w:tcBorders>
              <w:bottom w:val="double" w:sz="6" w:space="0" w:color="000000"/>
            </w:tcBorders>
            <w:shd w:fill="FFFFFF" w:val="clear"/>
            <w:tcMar>
              <w:bottom w:w="28" w:type="dxa"/>
            </w:tcMar>
            <w:vAlign w:val="center"/>
          </w:tcPr>
          <w:p>
            <w:pPr>
              <w:pStyle w:val="TableContents"/>
              <w:bidi w:val="0"/>
              <w:spacing w:before="0" w:after="283"/>
              <w:jc w:val="right"/>
              <w:rPr/>
            </w:pPr>
            <w:r>
              <w:rPr/>
              <w:t>1,010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693" w:type="dxa"/>
            <w:tcBorders>
              <w:bottom w:val="double" w:sz="6" w:space="0" w:color="000000"/>
            </w:tcBorders>
            <w:shd w:fill="FFFFFF" w:val="clear"/>
            <w:tcMar>
              <w:bottom w:w="28" w:type="dxa"/>
            </w:tcMar>
            <w:vAlign w:val="center"/>
          </w:tcPr>
          <w:p>
            <w:pPr>
              <w:pStyle w:val="TableContents"/>
              <w:bidi w:val="0"/>
              <w:spacing w:before="0" w:after="283"/>
              <w:jc w:val="right"/>
              <w:rPr/>
            </w:pPr>
            <w:r>
              <w:rPr/>
              <w:t>3,214</w:t>
            </w:r>
          </w:p>
        </w:tc>
        <w:tc>
          <w:tcPr>
            <w:tcW w:w="112" w:type="dxa"/>
            <w:tcBorders/>
            <w:shd w:fill="FFFFFF" w:val="clear"/>
            <w:vAlign w:val="center"/>
          </w:tcPr>
          <w:p>
            <w:pPr>
              <w:pStyle w:val="TableContents"/>
              <w:bidi w:val="0"/>
              <w:spacing w:before="0" w:after="283"/>
              <w:jc w:val="left"/>
              <w:rPr/>
            </w:pPr>
            <w:r>
              <w:rPr/>
              <w:t> </w:t>
            </w:r>
            <w:bookmarkStart w:id="395" w:name="xdx_405_eus-gaap--FairValueMeasurementWi"/>
            <w:bookmarkEnd w:id="395"/>
          </w:p>
        </w:tc>
      </w:tr>
      <w:tr>
        <w:trPr/>
        <w:tc>
          <w:tcPr>
            <w:tcW w:w="3906" w:type="dxa"/>
            <w:tcBorders/>
            <w:shd w:fill="CCEEFF" w:val="clear"/>
            <w:vAlign w:val="center"/>
          </w:tcPr>
          <w:p>
            <w:pPr>
              <w:pStyle w:val="TableContents"/>
              <w:bidi w:val="0"/>
              <w:spacing w:before="0" w:after="283"/>
              <w:jc w:val="left"/>
              <w:rPr/>
            </w:pPr>
            <w:r>
              <w:rPr/>
              <w:t>Warrants Issued</w:t>
            </w:r>
          </w:p>
        </w:tc>
        <w:tc>
          <w:tcPr>
            <w:tcW w:w="6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 </w:t>
            </w:r>
          </w:p>
        </w:tc>
        <w:tc>
          <w:tcPr>
            <w:tcW w:w="2085" w:type="dxa"/>
            <w:tcBorders/>
            <w:shd w:fill="CCEEFF" w:val="clear"/>
            <w:vAlign w:val="center"/>
          </w:tcPr>
          <w:p>
            <w:pPr>
              <w:pStyle w:val="TableContents"/>
              <w:bidi w:val="0"/>
              <w:spacing w:before="0" w:after="283"/>
              <w:jc w:val="right"/>
              <w:rPr/>
            </w:pPr>
            <w:r>
              <w:rPr/>
              <w:t>4,796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2693"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39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left"/>
              <w:rPr/>
            </w:pPr>
            <w:r>
              <w:rPr/>
              <w:t> </w:t>
            </w:r>
          </w:p>
        </w:tc>
        <w:tc>
          <w:tcPr>
            <w:tcW w:w="20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269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96" w:name="xdx_407_eus-gaap--FairValueMeasurementWi"/>
            <w:bookmarkEnd w:id="396"/>
          </w:p>
        </w:tc>
      </w:tr>
      <w:tr>
        <w:trPr/>
        <w:tc>
          <w:tcPr>
            <w:tcW w:w="39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(gain) loss included in net loss</w:t>
            </w:r>
            <w:bookmarkStart w:id="397" w:name="xdx_F4B_zNAbAUOniEe1"/>
            <w:bookmarkEnd w:id="397"/>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 </w:t>
            </w:r>
          </w:p>
        </w:tc>
        <w:tc>
          <w:tcPr>
            <w:tcW w:w="2085" w:type="dxa"/>
            <w:tcBorders/>
            <w:shd w:fill="CCEEFF" w:val="clear"/>
            <w:vAlign w:val="center"/>
          </w:tcPr>
          <w:p>
            <w:pPr>
              <w:pStyle w:val="TableContents"/>
              <w:bidi w:val="0"/>
              <w:spacing w:before="0" w:after="283"/>
              <w:jc w:val="right"/>
              <w:rPr/>
            </w:pPr>
            <w:r>
              <w:rPr/>
              <w:t>(304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2693" w:type="dxa"/>
            <w:tcBorders/>
            <w:shd w:fill="CCEEFF" w:val="clear"/>
            <w:vAlign w:val="center"/>
          </w:tcPr>
          <w:p>
            <w:pPr>
              <w:pStyle w:val="TableContents"/>
              <w:bidi w:val="0"/>
              <w:spacing w:before="0" w:after="283"/>
              <w:jc w:val="right"/>
              <w:rPr/>
            </w:pPr>
            <w:r>
              <w:rPr/>
              <w:t>2,277</w:t>
            </w:r>
          </w:p>
        </w:tc>
        <w:tc>
          <w:tcPr>
            <w:tcW w:w="112" w:type="dxa"/>
            <w:tcBorders/>
            <w:shd w:fill="CCEEFF" w:val="clear"/>
            <w:vAlign w:val="center"/>
          </w:tcPr>
          <w:p>
            <w:pPr>
              <w:pStyle w:val="TableContents"/>
              <w:bidi w:val="0"/>
              <w:spacing w:before="0" w:after="283"/>
              <w:jc w:val="left"/>
              <w:rPr/>
            </w:pPr>
            <w:r>
              <w:rPr/>
              <w:t> </w:t>
            </w:r>
            <w:bookmarkStart w:id="398" w:name="xdx_430_c20240401__20240630_eus-gaap--Fa"/>
            <w:bookmarkEnd w:id="398"/>
          </w:p>
        </w:tc>
      </w:tr>
      <w:tr>
        <w:trPr/>
        <w:tc>
          <w:tcPr>
            <w:tcW w:w="3906" w:type="dxa"/>
            <w:tcBorders/>
            <w:shd w:fill="FFFFFF" w:val="clear"/>
            <w:vAlign w:val="center"/>
          </w:tcPr>
          <w:p>
            <w:pPr>
              <w:pStyle w:val="TableContents"/>
              <w:bidi w:val="0"/>
              <w:spacing w:before="0" w:after="283"/>
              <w:jc w:val="left"/>
              <w:rPr>
                <w:b/>
              </w:rPr>
            </w:pPr>
            <w:r>
              <w:rPr>
                <w:b/>
              </w:rPr>
              <w:t>Fair value as of June 30, 2024</w:t>
            </w:r>
          </w:p>
        </w:tc>
        <w:tc>
          <w:tcPr>
            <w:tcW w:w="60" w:type="dxa"/>
            <w:tcBorders/>
            <w:shd w:fill="FFFFFF" w:val="clear"/>
            <w:vAlign w:val="center"/>
          </w:tcPr>
          <w:p>
            <w:pPr>
              <w:pStyle w:val="TableContents"/>
              <w:bidi w:val="0"/>
              <w:spacing w:before="0" w:after="283"/>
              <w:jc w:val="left"/>
              <w:rPr/>
            </w:pPr>
            <w:r>
              <w:rPr/>
              <w:t> </w:t>
            </w:r>
          </w:p>
        </w:tc>
        <w:tc>
          <w:tcPr>
            <w:tcW w:w="5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085" w:type="dxa"/>
            <w:tcBorders>
              <w:bottom w:val="double" w:sz="6" w:space="0" w:color="000000"/>
            </w:tcBorders>
            <w:shd w:fill="FFFFFF" w:val="clear"/>
            <w:tcMar>
              <w:bottom w:w="28" w:type="dxa"/>
            </w:tcMar>
            <w:vAlign w:val="center"/>
          </w:tcPr>
          <w:p>
            <w:pPr>
              <w:pStyle w:val="TableContents"/>
              <w:bidi w:val="0"/>
              <w:spacing w:before="0" w:after="283"/>
              <w:jc w:val="right"/>
              <w:rPr/>
            </w:pPr>
            <w:r>
              <w:rPr/>
              <w:t>5,502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693" w:type="dxa"/>
            <w:tcBorders>
              <w:bottom w:val="double" w:sz="6" w:space="0" w:color="000000"/>
            </w:tcBorders>
            <w:shd w:fill="FFFFFF" w:val="clear"/>
            <w:tcMar>
              <w:bottom w:w="28" w:type="dxa"/>
            </w:tcMar>
            <w:vAlign w:val="center"/>
          </w:tcPr>
          <w:p>
            <w:pPr>
              <w:pStyle w:val="TableContents"/>
              <w:bidi w:val="0"/>
              <w:spacing w:before="0" w:after="283"/>
              <w:jc w:val="right"/>
              <w:rPr/>
            </w:pPr>
            <w:r>
              <w:rPr/>
              <w:t>5,491</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35"/>
        <w:gridCol w:w="60"/>
        <w:gridCol w:w="426"/>
        <w:gridCol w:w="2304"/>
        <w:gridCol w:w="95"/>
        <w:gridCol w:w="60"/>
        <w:gridCol w:w="579"/>
        <w:gridCol w:w="2833"/>
        <w:gridCol w:w="113"/>
      </w:tblGrid>
      <w:tr>
        <w:trPr/>
        <w:tc>
          <w:tcPr>
            <w:tcW w:w="37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99" w:name="xdx_4B4_us-gaap--FinancialInstrumentAxis"/>
            <w:bookmarkEnd w:id="399"/>
          </w:p>
        </w:tc>
        <w:tc>
          <w:tcPr>
            <w:tcW w:w="2730" w:type="dxa"/>
            <w:gridSpan w:val="2"/>
            <w:tcBorders>
              <w:bottom w:val="single" w:sz="12" w:space="0" w:color="000000"/>
            </w:tcBorders>
            <w:tcMar>
              <w:bottom w:w="28" w:type="dxa"/>
            </w:tcMar>
            <w:vAlign w:val="center"/>
          </w:tcPr>
          <w:p>
            <w:pPr>
              <w:pStyle w:val="TableContents"/>
              <w:bidi w:val="0"/>
              <w:spacing w:before="0" w:after="283"/>
              <w:jc w:val="center"/>
              <w:rPr/>
            </w:pPr>
            <w:r>
              <w:rPr/>
              <w:t>Warrant Liability - Term Loan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0" w:name="xdx_4B4_us-gaap--FinancialInstrumentAxis"/>
            <w:bookmarkEnd w:id="400"/>
          </w:p>
        </w:tc>
        <w:tc>
          <w:tcPr>
            <w:tcW w:w="3412" w:type="dxa"/>
            <w:gridSpan w:val="2"/>
            <w:tcBorders>
              <w:bottom w:val="single" w:sz="12" w:space="0" w:color="000000"/>
            </w:tcBorders>
            <w:tcMar>
              <w:bottom w:w="28" w:type="dxa"/>
            </w:tcMar>
            <w:vAlign w:val="center"/>
          </w:tcPr>
          <w:p>
            <w:pPr>
              <w:pStyle w:val="TableContents"/>
              <w:bidi w:val="0"/>
              <w:spacing w:before="0" w:after="283"/>
              <w:jc w:val="center"/>
              <w:rPr/>
            </w:pPr>
            <w:r>
              <w:rPr/>
              <w:t>Warrant liability- June Public Offering</w:t>
            </w:r>
          </w:p>
        </w:tc>
        <w:tc>
          <w:tcPr>
            <w:tcW w:w="113" w:type="dxa"/>
            <w:tcBorders/>
            <w:vAlign w:val="center"/>
          </w:tcPr>
          <w:p>
            <w:pPr>
              <w:pStyle w:val="TableContents"/>
              <w:bidi w:val="0"/>
              <w:spacing w:before="0" w:after="283"/>
              <w:jc w:val="left"/>
              <w:rPr/>
            </w:pPr>
            <w:r>
              <w:rPr/>
              <w:t> </w:t>
            </w:r>
            <w:bookmarkStart w:id="401" w:name="xdx_43E_c20230101__20230331_eus-gaap--Fa"/>
            <w:bookmarkEnd w:id="401"/>
          </w:p>
        </w:tc>
      </w:tr>
      <w:tr>
        <w:trPr/>
        <w:tc>
          <w:tcPr>
            <w:tcW w:w="3735" w:type="dxa"/>
            <w:tcBorders/>
            <w:shd w:fill="CCEEFF" w:val="clear"/>
            <w:vAlign w:val="center"/>
          </w:tcPr>
          <w:p>
            <w:pPr>
              <w:pStyle w:val="TableContents"/>
              <w:bidi w:val="0"/>
              <w:spacing w:before="0" w:after="283"/>
              <w:jc w:val="left"/>
              <w:rPr>
                <w:b/>
              </w:rPr>
            </w:pPr>
            <w:r>
              <w:rPr>
                <w:b/>
              </w:rPr>
              <w:t>Fair value as of January 1, 2023</w:t>
            </w:r>
          </w:p>
        </w:tc>
        <w:tc>
          <w:tcPr>
            <w:tcW w:w="60"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left"/>
              <w:rPr/>
            </w:pPr>
            <w:r>
              <w:rPr/>
              <w:t>$</w:t>
            </w:r>
          </w:p>
        </w:tc>
        <w:tc>
          <w:tcPr>
            <w:tcW w:w="2304" w:type="dxa"/>
            <w:tcBorders/>
            <w:shd w:fill="CCEEFF" w:val="clear"/>
            <w:vAlign w:val="center"/>
          </w:tcPr>
          <w:p>
            <w:pPr>
              <w:pStyle w:val="TableContents"/>
              <w:bidi w:val="0"/>
              <w:spacing w:before="0" w:after="283"/>
              <w:jc w:val="right"/>
              <w:rPr/>
            </w:pPr>
            <w:r>
              <w:rPr/>
              <w:t>30,841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9" w:type="dxa"/>
            <w:tcBorders/>
            <w:shd w:fill="CCEEFF" w:val="clear"/>
            <w:vAlign w:val="center"/>
          </w:tcPr>
          <w:p>
            <w:pPr>
              <w:pStyle w:val="TableContents"/>
              <w:bidi w:val="0"/>
              <w:spacing w:before="0" w:after="283"/>
              <w:jc w:val="left"/>
              <w:rPr/>
            </w:pPr>
            <w:r>
              <w:rPr/>
              <w:t>$</w:t>
            </w:r>
          </w:p>
        </w:tc>
        <w:tc>
          <w:tcPr>
            <w:tcW w:w="2833"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402" w:name="xdx_400_eus-gaap--FairValueMeasurementWi"/>
            <w:bookmarkEnd w:id="402"/>
          </w:p>
        </w:tc>
      </w:tr>
      <w:tr>
        <w:trPr/>
        <w:tc>
          <w:tcPr>
            <w:tcW w:w="3735" w:type="dxa"/>
            <w:tcBorders/>
            <w:shd w:fill="CCEEFF" w:val="clear"/>
            <w:vAlign w:val="center"/>
          </w:tcPr>
          <w:p>
            <w:pPr>
              <w:pStyle w:val="TableContents"/>
              <w:bidi w:val="0"/>
              <w:spacing w:before="0" w:after="283"/>
              <w:jc w:val="left"/>
              <w:rPr/>
            </w:pPr>
            <w:r>
              <w:rPr/>
              <w:t>Warrants Issued</w:t>
            </w:r>
          </w:p>
        </w:tc>
        <w:tc>
          <w:tcPr>
            <w:tcW w:w="60"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left"/>
              <w:rPr/>
            </w:pPr>
            <w:r>
              <w:rPr/>
              <w:t> </w:t>
            </w:r>
          </w:p>
        </w:tc>
        <w:tc>
          <w:tcPr>
            <w:tcW w:w="2304"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9" w:type="dxa"/>
            <w:tcBorders/>
            <w:shd w:fill="CCEEFF" w:val="clear"/>
            <w:vAlign w:val="center"/>
          </w:tcPr>
          <w:p>
            <w:pPr>
              <w:pStyle w:val="TableContents"/>
              <w:bidi w:val="0"/>
              <w:spacing w:before="0" w:after="283"/>
              <w:jc w:val="left"/>
              <w:rPr/>
            </w:pPr>
            <w:r>
              <w:rPr/>
              <w:t> </w:t>
            </w:r>
          </w:p>
        </w:tc>
        <w:tc>
          <w:tcPr>
            <w:tcW w:w="2833" w:type="dxa"/>
            <w:tcBorders/>
            <w:shd w:fill="CCEEFF" w:val="cle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pPr>
            <w:r>
              <w:rPr/>
              <w:t> </w:t>
            </w:r>
          </w:p>
        </w:tc>
      </w:tr>
      <w:tr>
        <w:trPr/>
        <w:tc>
          <w:tcPr>
            <w:tcW w:w="3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23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left"/>
              <w:rPr/>
            </w:pPr>
            <w:r>
              <w:rPr/>
              <w:t> </w:t>
            </w:r>
          </w:p>
        </w:tc>
        <w:tc>
          <w:tcPr>
            <w:tcW w:w="283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403" w:name="xdx_40C_ecustom--FairValueMeasurementWit"/>
            <w:bookmarkEnd w:id="403"/>
          </w:p>
        </w:tc>
      </w:tr>
      <w:tr>
        <w:trPr/>
        <w:tc>
          <w:tcPr>
            <w:tcW w:w="3735" w:type="dxa"/>
            <w:tcBorders/>
            <w:shd w:fill="CCEEFF" w:val="clear"/>
            <w:vAlign w:val="center"/>
          </w:tcPr>
          <w:p>
            <w:pPr>
              <w:pStyle w:val="TableContents"/>
              <w:bidi w:val="0"/>
              <w:spacing w:before="0" w:after="283"/>
              <w:jc w:val="left"/>
              <w:rPr/>
            </w:pPr>
            <w:r>
              <w:rPr/>
              <w:t>Warrant exercises</w:t>
            </w:r>
          </w:p>
        </w:tc>
        <w:tc>
          <w:tcPr>
            <w:tcW w:w="60"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left"/>
              <w:rPr/>
            </w:pPr>
            <w:r>
              <w:rPr/>
              <w:t> </w:t>
            </w:r>
          </w:p>
        </w:tc>
        <w:tc>
          <w:tcPr>
            <w:tcW w:w="2304" w:type="dxa"/>
            <w:tcBorders/>
            <w:shd w:fill="CCEEFF" w:val="clear"/>
            <w:vAlign w:val="center"/>
          </w:tcPr>
          <w:p>
            <w:pPr>
              <w:pStyle w:val="TableContents"/>
              <w:bidi w:val="0"/>
              <w:spacing w:before="0" w:after="283"/>
              <w:jc w:val="right"/>
              <w:rPr/>
            </w:pPr>
            <w:r>
              <w:rPr/>
              <w:t>(8,822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79" w:type="dxa"/>
            <w:tcBorders/>
            <w:shd w:fill="CCEEFF" w:val="clear"/>
            <w:vAlign w:val="center"/>
          </w:tcPr>
          <w:p>
            <w:pPr>
              <w:pStyle w:val="TableContents"/>
              <w:bidi w:val="0"/>
              <w:spacing w:before="0" w:after="283"/>
              <w:jc w:val="left"/>
              <w:rPr/>
            </w:pPr>
            <w:r>
              <w:rPr/>
              <w:t> </w:t>
            </w:r>
          </w:p>
        </w:tc>
        <w:tc>
          <w:tcPr>
            <w:tcW w:w="2833"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404" w:name="xdx_407_eus-gaap--FairValueMeasurementWi"/>
            <w:bookmarkEnd w:id="404"/>
          </w:p>
        </w:tc>
      </w:tr>
      <w:tr>
        <w:trPr/>
        <w:tc>
          <w:tcPr>
            <w:tcW w:w="37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gain included in net loss</w:t>
            </w:r>
            <w:bookmarkStart w:id="405" w:name="xdx_F4D_zl04b8Oqoswe"/>
            <w:bookmarkEnd w:id="405"/>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2304" w:type="dxa"/>
            <w:tcBorders/>
            <w:shd w:fill="FFFFFF" w:val="clear"/>
            <w:vAlign w:val="center"/>
          </w:tcPr>
          <w:p>
            <w:pPr>
              <w:pStyle w:val="TableContents"/>
              <w:bidi w:val="0"/>
              <w:spacing w:before="0" w:after="283"/>
              <w:jc w:val="right"/>
              <w:rPr/>
            </w:pPr>
            <w:r>
              <w:rPr/>
              <w:t>(17,998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left"/>
              <w:rPr/>
            </w:pPr>
            <w:r>
              <w:rPr/>
              <w:t> </w:t>
            </w:r>
          </w:p>
        </w:tc>
        <w:tc>
          <w:tcPr>
            <w:tcW w:w="2833"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406" w:name="xdx_43E_c20230401__20230630_eus-gaap--Fa"/>
            <w:bookmarkEnd w:id="406"/>
          </w:p>
        </w:tc>
      </w:tr>
      <w:tr>
        <w:trPr/>
        <w:tc>
          <w:tcPr>
            <w:tcW w:w="3735" w:type="dxa"/>
            <w:tcBorders/>
            <w:shd w:fill="CCEEFF" w:val="clear"/>
            <w:vAlign w:val="center"/>
          </w:tcPr>
          <w:p>
            <w:pPr>
              <w:pStyle w:val="TableContents"/>
              <w:bidi w:val="0"/>
              <w:spacing w:before="0" w:after="283"/>
              <w:jc w:val="left"/>
              <w:rPr>
                <w:b/>
              </w:rPr>
            </w:pPr>
            <w:r>
              <w:rPr>
                <w:b/>
              </w:rPr>
              <w:t>Fair value as of March 31, 2023</w:t>
            </w:r>
          </w:p>
        </w:tc>
        <w:tc>
          <w:tcPr>
            <w:tcW w:w="60" w:type="dxa"/>
            <w:tcBorders/>
            <w:shd w:fill="CCEEFF" w:val="clear"/>
            <w:vAlign w:val="center"/>
          </w:tcPr>
          <w:p>
            <w:pPr>
              <w:pStyle w:val="TableContents"/>
              <w:bidi w:val="0"/>
              <w:spacing w:before="0" w:after="283"/>
              <w:jc w:val="left"/>
              <w:rPr/>
            </w:pPr>
            <w:r>
              <w:rPr/>
              <w:t> </w:t>
            </w:r>
          </w:p>
        </w:tc>
        <w:tc>
          <w:tcPr>
            <w:tcW w:w="4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304" w:type="dxa"/>
            <w:tcBorders>
              <w:bottom w:val="double" w:sz="6" w:space="0" w:color="000000"/>
            </w:tcBorders>
            <w:shd w:fill="CCEEFF" w:val="clear"/>
            <w:tcMar>
              <w:bottom w:w="28" w:type="dxa"/>
            </w:tcMar>
            <w:vAlign w:val="center"/>
          </w:tcPr>
          <w:p>
            <w:pPr>
              <w:pStyle w:val="TableContents"/>
              <w:bidi w:val="0"/>
              <w:spacing w:before="0" w:after="283"/>
              <w:jc w:val="right"/>
              <w:rPr/>
            </w:pPr>
            <w:r>
              <w:rPr/>
              <w:t>4,021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83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407" w:name="xdx_405_eus-gaap--FairValueMeasurementWi"/>
            <w:bookmarkEnd w:id="407"/>
          </w:p>
        </w:tc>
      </w:tr>
      <w:tr>
        <w:trPr/>
        <w:tc>
          <w:tcPr>
            <w:tcW w:w="3735" w:type="dxa"/>
            <w:tcBorders/>
            <w:shd w:fill="FFFFFF" w:val="clear"/>
            <w:vAlign w:val="center"/>
          </w:tcPr>
          <w:p>
            <w:pPr>
              <w:pStyle w:val="TableContents"/>
              <w:bidi w:val="0"/>
              <w:spacing w:before="0" w:after="283"/>
              <w:jc w:val="left"/>
              <w:rPr/>
            </w:pPr>
            <w:r>
              <w:rPr/>
              <w:t>Warrants Issued</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23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left"/>
              <w:rPr/>
            </w:pPr>
            <w:r>
              <w:rPr/>
              <w:t> </w:t>
            </w:r>
          </w:p>
        </w:tc>
        <w:tc>
          <w:tcPr>
            <w:tcW w:w="2833" w:type="dxa"/>
            <w:tcBorders/>
            <w:shd w:fill="FFFFFF" w:val="clear"/>
            <w:vAlign w:val="center"/>
          </w:tcPr>
          <w:p>
            <w:pPr>
              <w:pStyle w:val="TableContents"/>
              <w:bidi w:val="0"/>
              <w:spacing w:before="0" w:after="283"/>
              <w:jc w:val="right"/>
              <w:rPr/>
            </w:pPr>
            <w:r>
              <w:rPr/>
              <w:t>13,762</w:t>
            </w:r>
          </w:p>
        </w:tc>
        <w:tc>
          <w:tcPr>
            <w:tcW w:w="113" w:type="dxa"/>
            <w:tcBorders/>
            <w:shd w:fill="FFFFFF" w:val="clear"/>
            <w:vAlign w:val="center"/>
          </w:tcPr>
          <w:p>
            <w:pPr>
              <w:pStyle w:val="TableContents"/>
              <w:bidi w:val="0"/>
              <w:spacing w:before="0" w:after="283"/>
              <w:jc w:val="left"/>
              <w:rPr/>
            </w:pPr>
            <w:r>
              <w:rPr/>
              <w:t> </w:t>
            </w:r>
            <w:bookmarkStart w:id="408" w:name="xdx_40C_ecustom--FairValueMeasurementWit"/>
            <w:bookmarkEnd w:id="408"/>
          </w:p>
        </w:tc>
      </w:tr>
      <w:tr>
        <w:trPr/>
        <w:tc>
          <w:tcPr>
            <w:tcW w:w="3735" w:type="dxa"/>
            <w:tcBorders/>
            <w:shd w:fill="CCEEFF" w:val="clear"/>
            <w:vAlign w:val="center"/>
          </w:tcPr>
          <w:p>
            <w:pPr>
              <w:pStyle w:val="TableContents"/>
              <w:bidi w:val="0"/>
              <w:spacing w:before="0" w:after="283"/>
              <w:jc w:val="left"/>
              <w:rPr/>
            </w:pPr>
            <w:r>
              <w:rPr/>
              <w:t>Warrant exercises</w:t>
            </w:r>
          </w:p>
        </w:tc>
        <w:tc>
          <w:tcPr>
            <w:tcW w:w="60"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left"/>
              <w:rPr/>
            </w:pPr>
            <w:r>
              <w:rPr/>
              <w:t> </w:t>
            </w:r>
          </w:p>
        </w:tc>
        <w:tc>
          <w:tcPr>
            <w:tcW w:w="2304" w:type="dxa"/>
            <w:tcBorders/>
            <w:shd w:fill="CCEEFF" w:val="clear"/>
            <w:vAlign w:val="center"/>
          </w:tcPr>
          <w:p>
            <w:pPr>
              <w:pStyle w:val="TableContents"/>
              <w:bidi w:val="0"/>
              <w:spacing w:before="0" w:after="283"/>
              <w:jc w:val="right"/>
              <w:rPr/>
            </w:pPr>
            <w:r>
              <w:rPr/>
              <w:t>(2,462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79" w:type="dxa"/>
            <w:tcBorders/>
            <w:shd w:fill="CCEEFF" w:val="clear"/>
            <w:vAlign w:val="center"/>
          </w:tcPr>
          <w:p>
            <w:pPr>
              <w:pStyle w:val="TableContents"/>
              <w:bidi w:val="0"/>
              <w:spacing w:before="0" w:after="283"/>
              <w:jc w:val="left"/>
              <w:rPr/>
            </w:pPr>
            <w:r>
              <w:rPr/>
              <w:t> </w:t>
            </w:r>
          </w:p>
        </w:tc>
        <w:tc>
          <w:tcPr>
            <w:tcW w:w="2833"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409" w:name="xdx_407_eus-gaap--FairValueMeasurementWi"/>
            <w:bookmarkEnd w:id="409"/>
          </w:p>
        </w:tc>
      </w:tr>
      <w:tr>
        <w:trPr/>
        <w:tc>
          <w:tcPr>
            <w:tcW w:w="37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gain included in net loss</w:t>
            </w:r>
            <w:bookmarkStart w:id="410" w:name="xdx_F44_zG1WyRI9evbj"/>
            <w:bookmarkEnd w:id="410"/>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2304" w:type="dxa"/>
            <w:tcBorders/>
            <w:shd w:fill="FFFFFF" w:val="clear"/>
            <w:vAlign w:val="center"/>
          </w:tcPr>
          <w:p>
            <w:pPr>
              <w:pStyle w:val="TableContents"/>
              <w:bidi w:val="0"/>
              <w:spacing w:before="0" w:after="283"/>
              <w:jc w:val="right"/>
              <w:rPr/>
            </w:pPr>
            <w:r>
              <w:rPr/>
              <w:t>(684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left"/>
              <w:rPr/>
            </w:pPr>
            <w:r>
              <w:rPr/>
              <w:t> </w:t>
            </w:r>
          </w:p>
        </w:tc>
        <w:tc>
          <w:tcPr>
            <w:tcW w:w="2833" w:type="dxa"/>
            <w:tcBorders/>
            <w:shd w:fill="FFFFFF" w:val="clear"/>
            <w:vAlign w:val="center"/>
          </w:tcPr>
          <w:p>
            <w:pPr>
              <w:pStyle w:val="TableContents"/>
              <w:bidi w:val="0"/>
              <w:spacing w:before="0" w:after="283"/>
              <w:jc w:val="right"/>
              <w:rPr/>
            </w:pPr>
            <w:r>
              <w:rPr/>
              <w:t>(150</w:t>
            </w:r>
          </w:p>
        </w:tc>
        <w:tc>
          <w:tcPr>
            <w:tcW w:w="113" w:type="dxa"/>
            <w:tcBorders/>
            <w:shd w:fill="FFFFFF" w:val="clear"/>
            <w:vAlign w:val="center"/>
          </w:tcPr>
          <w:p>
            <w:pPr>
              <w:pStyle w:val="TableContents"/>
              <w:bidi w:val="0"/>
              <w:spacing w:before="0" w:after="283"/>
              <w:jc w:val="left"/>
              <w:rPr/>
            </w:pPr>
            <w:r>
              <w:rPr/>
              <w:t>)</w:t>
            </w:r>
            <w:bookmarkStart w:id="411" w:name="xdx_439_c20230401__20230630_eus-gaap--Fa"/>
            <w:bookmarkEnd w:id="411"/>
          </w:p>
        </w:tc>
      </w:tr>
      <w:tr>
        <w:trPr/>
        <w:tc>
          <w:tcPr>
            <w:tcW w:w="3735" w:type="dxa"/>
            <w:tcBorders/>
            <w:shd w:fill="CCEEFF" w:val="clear"/>
            <w:vAlign w:val="center"/>
          </w:tcPr>
          <w:p>
            <w:pPr>
              <w:pStyle w:val="TableContents"/>
              <w:bidi w:val="0"/>
              <w:spacing w:before="0" w:after="283"/>
              <w:jc w:val="left"/>
              <w:rPr>
                <w:b/>
              </w:rPr>
            </w:pPr>
            <w:r>
              <w:rPr>
                <w:b/>
              </w:rPr>
              <w:t>Fair value as of June 30, 2023</w:t>
            </w:r>
          </w:p>
        </w:tc>
        <w:tc>
          <w:tcPr>
            <w:tcW w:w="60" w:type="dxa"/>
            <w:tcBorders/>
            <w:shd w:fill="CCEEFF" w:val="clear"/>
            <w:vAlign w:val="center"/>
          </w:tcPr>
          <w:p>
            <w:pPr>
              <w:pStyle w:val="TableContents"/>
              <w:bidi w:val="0"/>
              <w:spacing w:before="0" w:after="283"/>
              <w:jc w:val="left"/>
              <w:rPr/>
            </w:pPr>
            <w:r>
              <w:rPr/>
              <w:t> </w:t>
            </w:r>
          </w:p>
        </w:tc>
        <w:tc>
          <w:tcPr>
            <w:tcW w:w="42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304" w:type="dxa"/>
            <w:tcBorders>
              <w:bottom w:val="double" w:sz="6" w:space="0" w:color="000000"/>
            </w:tcBorders>
            <w:shd w:fill="CCEEFF" w:val="clear"/>
            <w:tcMar>
              <w:bottom w:w="28" w:type="dxa"/>
            </w:tcMar>
            <w:vAlign w:val="center"/>
          </w:tcPr>
          <w:p>
            <w:pPr>
              <w:pStyle w:val="TableContents"/>
              <w:bidi w:val="0"/>
              <w:spacing w:before="0" w:after="283"/>
              <w:jc w:val="right"/>
              <w:rPr/>
            </w:pPr>
            <w:r>
              <w:rPr/>
              <w:t>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833" w:type="dxa"/>
            <w:tcBorders>
              <w:bottom w:val="double" w:sz="6" w:space="0" w:color="000000"/>
            </w:tcBorders>
            <w:shd w:fill="CCEEFF" w:val="clear"/>
            <w:tcMar>
              <w:bottom w:w="28" w:type="dxa"/>
            </w:tcMar>
            <w:vAlign w:val="center"/>
          </w:tcPr>
          <w:p>
            <w:pPr>
              <w:pStyle w:val="TableContents"/>
              <w:bidi w:val="0"/>
              <w:spacing w:before="0" w:after="283"/>
              <w:jc w:val="right"/>
              <w:rPr/>
            </w:pPr>
            <w:r>
              <w:rPr/>
              <w:t>13,612</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12" w:name="xdx_F05_zxceA8VQNAVl"/>
            <w:bookmarkEnd w:id="412"/>
            <w:r>
              <w:rPr>
                <w:rFonts w:ascii="Times New Roman;Times;Serif" w:hAnsi="Times New Roman;Times;Serif"/>
                <w:b w:val="false"/>
                <w:i w:val="false"/>
                <w:caps w:val="false"/>
                <w:smallCaps w:val="false"/>
                <w:sz w:val="20"/>
              </w:rPr>
              <w:t>(1)</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bookmarkStart w:id="413" w:name="xdx_F1E_zkTrh4ONGock"/>
            <w:bookmarkEnd w:id="413"/>
            <w:r>
              <w:rPr>
                <w:rFonts w:ascii="Times New Roman;Times;Serif" w:hAnsi="Times New Roman;Times;Serif"/>
                <w:b w:val="false"/>
                <w:i/>
                <w:caps w:val="false"/>
                <w:smallCaps w:val="false"/>
                <w:sz w:val="20"/>
              </w:rPr>
              <w:t>Changes in fair value of warrant liabilities are disclosed separately in the Condensed Consolidated Statements of Operations</w:t>
            </w:r>
          </w:p>
        </w:tc>
      </w:tr>
    </w:tbl>
    <w:p>
      <w:pPr>
        <w:pStyle w:val="TextBody"/>
        <w:bidi w:val="0"/>
        <w:spacing w:before="0" w:after="0"/>
        <w:ind w:left="0" w:right="0" w:hanging="0"/>
        <w:jc w:val="both"/>
        <w:rPr>
          <w:caps w:val="false"/>
          <w:smallCaps w:val="false"/>
        </w:rPr>
      </w:pPr>
      <w:bookmarkStart w:id="414" w:name="xdx_8A8_z53eBusdBUI3"/>
      <w:bookmarkEnd w:id="414"/>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415" w:name="xdx_802_eus-gaap--InventoryDisclosureTex"/>
      <w:bookmarkEnd w:id="415"/>
      <w:r>
        <w:rPr>
          <w:rFonts w:ascii="Times New Roman;Times;Serif" w:hAnsi="Times New Roman;Times;Serif"/>
          <w:b/>
          <w:i w:val="false"/>
          <w:caps/>
          <w:sz w:val="20"/>
        </w:rPr>
        <w:t xml:space="preserve">Note 4 - </w:t>
      </w:r>
      <w:bookmarkStart w:id="416" w:name="xdx_82B_zXqA18RfQdya"/>
      <w:bookmarkEnd w:id="416"/>
      <w:r>
        <w:rPr>
          <w:rFonts w:ascii="Times New Roman;Times;Serif" w:hAnsi="Times New Roman;Times;Serif"/>
          <w:b/>
          <w:i w:val="false"/>
          <w:caps/>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7" w:name="xdx_893_eus-gaap--ScheduleOfInventoryCur"/>
      <w:bookmarkEnd w:id="417"/>
      <w:r>
        <w:rPr>
          <w:rFonts w:ascii="Times New Roman;Times;Serif" w:hAnsi="Times New Roman;Times;Serif"/>
          <w:b w:val="false"/>
          <w:i w:val="false"/>
          <w:caps w:val="false"/>
          <w:smallCaps w:val="false"/>
          <w:sz w:val="20"/>
        </w:rPr>
        <w:t>Inventory consists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bookmarkStart w:id="418" w:name="xdx_8BD_zl4TgyNwdL66"/>
      <w:bookmarkEnd w:id="418"/>
      <w:r>
        <w:rPr>
          <w:rFonts w:ascii="Times New Roman;Times;Serif" w:hAnsi="Times New Roman;Times;Serif"/>
          <w:b w:val="false"/>
          <w:i w:val="false"/>
          <w:caps w:val="false"/>
          <w:smallCaps w:val="false"/>
          <w:sz w:val="20"/>
        </w:rPr>
        <w:t>SCHEDULE OF INVENTORY </w:t>
      </w:r>
    </w:p>
    <w:tbl>
      <w:tblPr>
        <w:tblW w:w="4033" w:type="dxa"/>
        <w:jc w:val="left"/>
        <w:tblInd w:w="0" w:type="dxa"/>
        <w:tblLayout w:type="fixed"/>
        <w:tblCellMar>
          <w:top w:w="0" w:type="dxa"/>
          <w:left w:w="0" w:type="dxa"/>
          <w:bottom w:w="0" w:type="dxa"/>
          <w:right w:w="0" w:type="dxa"/>
        </w:tblCellMar>
      </w:tblPr>
      <w:tblGrid>
        <w:gridCol w:w="1490"/>
        <w:gridCol w:w="60"/>
        <w:gridCol w:w="149"/>
        <w:gridCol w:w="725"/>
        <w:gridCol w:w="60"/>
        <w:gridCol w:w="60"/>
        <w:gridCol w:w="240"/>
        <w:gridCol w:w="1174"/>
        <w:gridCol w:w="75"/>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9" w:name="xdx_494_20240630_zDlT69EUoYbd"/>
            <w:bookmarkEnd w:id="419"/>
          </w:p>
        </w:tc>
        <w:tc>
          <w:tcPr>
            <w:tcW w:w="87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June 30, </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0" w:name="xdx_495_20231231_zwf9tj20QGn3"/>
            <w:bookmarkEnd w:id="420"/>
          </w:p>
        </w:tc>
        <w:tc>
          <w:tcPr>
            <w:tcW w:w="141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December 31, </w:t>
              <w:br/>
              <w:t>2023</w:t>
            </w:r>
          </w:p>
        </w:tc>
        <w:tc>
          <w:tcPr>
            <w:tcW w:w="75" w:type="dxa"/>
            <w:tcBorders/>
            <w:vAlign w:val="center"/>
          </w:tcPr>
          <w:p>
            <w:pPr>
              <w:pStyle w:val="TableContents"/>
              <w:bidi w:val="0"/>
              <w:spacing w:before="0" w:after="283"/>
              <w:jc w:val="left"/>
              <w:rPr/>
            </w:pPr>
            <w:r>
              <w:rPr/>
              <w:t> </w:t>
            </w:r>
            <w:bookmarkStart w:id="421" w:name="xdx_404_eus-gaap--InventoryRawMaterials_"/>
            <w:bookmarkEnd w:id="421"/>
          </w:p>
        </w:tc>
      </w:tr>
      <w:tr>
        <w:trPr/>
        <w:tc>
          <w:tcPr>
            <w:tcW w:w="1490" w:type="dxa"/>
            <w:tcBorders/>
            <w:shd w:fill="CCEEFF" w:val="clear"/>
            <w:vAlign w:val="center"/>
          </w:tcPr>
          <w:p>
            <w:pPr>
              <w:pStyle w:val="TableContents"/>
              <w:bidi w:val="0"/>
              <w:spacing w:before="0" w:after="283"/>
              <w:jc w:val="left"/>
              <w:rPr/>
            </w:pPr>
            <w:r>
              <w:rPr/>
              <w:t>Raw material</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23,192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31,604</w:t>
            </w:r>
          </w:p>
        </w:tc>
        <w:tc>
          <w:tcPr>
            <w:tcW w:w="75" w:type="dxa"/>
            <w:tcBorders/>
            <w:shd w:fill="CCEEFF" w:val="clear"/>
            <w:vAlign w:val="center"/>
          </w:tcPr>
          <w:p>
            <w:pPr>
              <w:pStyle w:val="TableContents"/>
              <w:bidi w:val="0"/>
              <w:spacing w:before="0" w:after="283"/>
              <w:jc w:val="left"/>
              <w:rPr/>
            </w:pPr>
            <w:r>
              <w:rPr/>
              <w:t> </w:t>
            </w:r>
            <w:bookmarkStart w:id="422" w:name="xdx_401_eus-gaap--InventoryFinishedGoods"/>
            <w:bookmarkEnd w:id="422"/>
          </w:p>
        </w:tc>
      </w:tr>
      <w:tr>
        <w:trPr/>
        <w:tc>
          <w:tcPr>
            <w:tcW w:w="1490" w:type="dxa"/>
            <w:tcBorders/>
            <w:shd w:fill="FFFFFF" w:val="clear"/>
            <w:vAlign w:val="center"/>
          </w:tcPr>
          <w:p>
            <w:pPr>
              <w:pStyle w:val="TableContents"/>
              <w:bidi w:val="0"/>
              <w:spacing w:before="0" w:after="283"/>
              <w:jc w:val="left"/>
              <w:rPr/>
            </w:pPr>
            <w:r>
              <w:rPr/>
              <w:t>Finished goods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FFFFFF" w:val="clear"/>
            <w:tcMar>
              <w:bottom w:w="28" w:type="dxa"/>
            </w:tcMar>
            <w:vAlign w:val="center"/>
          </w:tcPr>
          <w:p>
            <w:pPr>
              <w:pStyle w:val="TableContents"/>
              <w:bidi w:val="0"/>
              <w:spacing w:before="0" w:after="283"/>
              <w:jc w:val="right"/>
              <w:rPr/>
            </w:pPr>
            <w:r>
              <w:rPr/>
              <w:t>5,461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12" w:space="0" w:color="000000"/>
            </w:tcBorders>
            <w:shd w:fill="FFFFFF" w:val="clear"/>
            <w:tcMar>
              <w:bottom w:w="28" w:type="dxa"/>
            </w:tcMar>
            <w:vAlign w:val="center"/>
          </w:tcPr>
          <w:p>
            <w:pPr>
              <w:pStyle w:val="TableContents"/>
              <w:bidi w:val="0"/>
              <w:spacing w:before="0" w:after="283"/>
              <w:jc w:val="right"/>
              <w:rPr/>
            </w:pPr>
            <w:r>
              <w:rPr/>
              <w:t>7,174</w:t>
            </w:r>
          </w:p>
        </w:tc>
        <w:tc>
          <w:tcPr>
            <w:tcW w:w="75" w:type="dxa"/>
            <w:tcBorders/>
            <w:shd w:fill="FFFFFF" w:val="clear"/>
            <w:vAlign w:val="center"/>
          </w:tcPr>
          <w:p>
            <w:pPr>
              <w:pStyle w:val="TableContents"/>
              <w:bidi w:val="0"/>
              <w:spacing w:before="0" w:after="283"/>
              <w:jc w:val="left"/>
              <w:rPr/>
            </w:pPr>
            <w:r>
              <w:rPr/>
              <w:t> </w:t>
            </w:r>
            <w:bookmarkStart w:id="423" w:name="xdx_40B_eus-gaap--InventoryNet_iTI_pn3n3"/>
            <w:bookmarkEnd w:id="423"/>
          </w:p>
        </w:tc>
      </w:tr>
      <w:tr>
        <w:trPr/>
        <w:tc>
          <w:tcPr>
            <w:tcW w:w="1490" w:type="dxa"/>
            <w:tcBorders/>
            <w:shd w:fill="CCEEFF" w:val="clear"/>
            <w:vAlign w:val="center"/>
          </w:tcPr>
          <w:p>
            <w:pPr>
              <w:pStyle w:val="TableContents"/>
              <w:bidi w:val="0"/>
              <w:spacing w:before="0" w:after="283"/>
              <w:jc w:val="left"/>
              <w:rPr/>
            </w:pPr>
            <w:r>
              <w:rPr/>
              <w:t>Total inventory</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25" w:type="dxa"/>
            <w:tcBorders>
              <w:bottom w:val="double" w:sz="6" w:space="0" w:color="000000"/>
            </w:tcBorders>
            <w:shd w:fill="CCEEFF" w:val="clear"/>
            <w:tcMar>
              <w:bottom w:w="28" w:type="dxa"/>
            </w:tcMar>
            <w:vAlign w:val="center"/>
          </w:tcPr>
          <w:p>
            <w:pPr>
              <w:pStyle w:val="TableContents"/>
              <w:bidi w:val="0"/>
              <w:spacing w:before="0" w:after="283"/>
              <w:jc w:val="right"/>
              <w:rPr/>
            </w:pPr>
            <w:r>
              <w:rPr/>
              <w:t>28,653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4" w:type="dxa"/>
            <w:tcBorders>
              <w:bottom w:val="double" w:sz="6" w:space="0" w:color="000000"/>
            </w:tcBorders>
            <w:shd w:fill="CCEEFF" w:val="clear"/>
            <w:tcMar>
              <w:bottom w:w="28" w:type="dxa"/>
            </w:tcMar>
            <w:vAlign w:val="center"/>
          </w:tcPr>
          <w:p>
            <w:pPr>
              <w:pStyle w:val="TableContents"/>
              <w:bidi w:val="0"/>
              <w:spacing w:before="0" w:after="283"/>
              <w:jc w:val="right"/>
              <w:rPr/>
            </w:pPr>
            <w:r>
              <w:rPr/>
              <w:t>38,778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24" w:name="xdx_8A8_zGqYs7ZZfWnj"/>
      <w:bookmarkEnd w:id="424"/>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425" w:name="xdx_806_eus-gaap--CommitmentsAndContinge"/>
      <w:bookmarkEnd w:id="425"/>
      <w:r>
        <w:rPr>
          <w:rFonts w:ascii="Times New Roman;Times;Serif" w:hAnsi="Times New Roman;Times;Serif"/>
          <w:b/>
          <w:i w:val="false"/>
          <w:caps/>
          <w:sz w:val="20"/>
        </w:rPr>
        <w:t xml:space="preserve">Note 5 - </w:t>
      </w:r>
      <w:bookmarkStart w:id="426" w:name="xdx_828_z0OGQCNJ006l"/>
      <w:bookmarkEnd w:id="426"/>
      <w:r>
        <w:rPr>
          <w:rFonts w:ascii="Times New Roman;Times;Serif" w:hAnsi="Times New Roman;Times;Serif"/>
          <w:b/>
          <w:i w:val="false"/>
          <w:caps/>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leases related to the main office, warehouse space, research and development lab, engineering office, and sales office, all located in Reno, Nevada. The leases require annual escalating monthly payments ranging from $</w:t>
      </w:r>
      <w:bookmarkStart w:id="427" w:name="xdx_904_eus-gaap--OperatingLeasePayments"/>
      <w:bookmarkEnd w:id="427"/>
      <w:r>
        <w:rPr>
          <w:rFonts w:ascii="Times New Roman;Times;Serif" w:hAnsi="Times New Roman;Times;Serif"/>
          <w:b w:val="false"/>
          <w:i w:val="false"/>
          <w:caps w:val="false"/>
          <w:smallCaps w:val="false"/>
          <w:sz w:val="20"/>
        </w:rPr>
        <w:t>111 to $</w:t>
      </w:r>
      <w:bookmarkStart w:id="428" w:name="xdx_903_eus-gaap--OperatingLeasePayments"/>
      <w:bookmarkEnd w:id="428"/>
      <w:r>
        <w:rPr>
          <w:rFonts w:ascii="Times New Roman;Times;Serif" w:hAnsi="Times New Roman;Times;Serif"/>
          <w:b w:val="false"/>
          <w:i w:val="false"/>
          <w:caps w:val="false"/>
          <w:smallCaps w:val="false"/>
          <w:sz w:val="20"/>
        </w:rPr>
        <w:t>309. On February 2, 2022, the Company entered into a 124-month lease agreement in Reno, Nevada. The lease calls for monthly base rent of $</w:t>
      </w:r>
      <w:bookmarkStart w:id="429" w:name="xdx_903_ecustom--LesseeOperatingLeaseMon"/>
      <w:bookmarkEnd w:id="429"/>
      <w:r>
        <w:rPr>
          <w:rFonts w:ascii="Times New Roman;Times;Serif" w:hAnsi="Times New Roman;Times;Serif"/>
          <w:b w:val="false"/>
          <w:i w:val="false"/>
          <w:caps w:val="false"/>
          <w:smallCaps w:val="false"/>
          <w:sz w:val="20"/>
        </w:rPr>
        <w:t>230, $</w:t>
      </w:r>
      <w:bookmarkStart w:id="430" w:name="xdx_903_eus-gaap--OperatingLeaseCost_pn3"/>
      <w:bookmarkEnd w:id="430"/>
      <w:r>
        <w:rPr>
          <w:rFonts w:ascii="Times New Roman;Times;Serif" w:hAnsi="Times New Roman;Times;Serif"/>
          <w:b w:val="false"/>
          <w:i w:val="false"/>
          <w:caps w:val="false"/>
          <w:smallCaps w:val="false"/>
          <w:sz w:val="20"/>
        </w:rPr>
        <w:t>23 of fixed operating expense costs, and estimated monthly property taxes of $</w:t>
      </w:r>
      <w:bookmarkStart w:id="431" w:name="xdx_909_ecustom--LesseeOperatingLeaseEst"/>
      <w:bookmarkEnd w:id="431"/>
      <w:r>
        <w:rPr>
          <w:rFonts w:ascii="Times New Roman;Times;Serif" w:hAnsi="Times New Roman;Times;Serif"/>
          <w:b w:val="false"/>
          <w:i w:val="false"/>
          <w:caps w:val="false"/>
          <w:smallCaps w:val="false"/>
          <w:sz w:val="20"/>
        </w:rPr>
        <w:t xml:space="preserve">21. The monthly base rent and fixed operating expense costs are subject to escalation of </w:t>
      </w:r>
      <w:bookmarkStart w:id="432" w:name="xdx_902_ecustom--LesseeOperatingLeasePer"/>
      <w:bookmarkEnd w:id="432"/>
      <w:r>
        <w:rPr>
          <w:rFonts w:ascii="Times New Roman;Times;Serif" w:hAnsi="Times New Roman;Times;Serif"/>
          <w:b w:val="false"/>
          <w:i w:val="false"/>
          <w:caps w:val="false"/>
          <w:smallCaps w:val="false"/>
          <w:sz w:val="20"/>
        </w:rPr>
        <w:t xml:space="preserve">3% and </w:t>
      </w:r>
      <w:bookmarkStart w:id="433" w:name="xdx_905_ecustom--LesseeOperatingLeasePer"/>
      <w:bookmarkEnd w:id="433"/>
      <w:r>
        <w:rPr>
          <w:rFonts w:ascii="Times New Roman;Times;Serif" w:hAnsi="Times New Roman;Times;Serif"/>
          <w:b w:val="false"/>
          <w:i w:val="false"/>
          <w:caps w:val="false"/>
          <w:smallCaps w:val="false"/>
          <w:sz w:val="20"/>
        </w:rPr>
        <w:t>2.4%, respectively, on an annual basis. A certificate of substantial completion has been issued and the lease commencement date was March 25, 2024. The Company began paying monthly rent under the lease on July 24, 2024.</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12, 2024 the Company entered into a lease agreement, pursuant to which the Company agreed to lease an approximately </w:t>
      </w:r>
      <w:bookmarkStart w:id="434" w:name="xdx_900_eus-gaap--AreaOfLand_iI_usqft_c2"/>
      <w:bookmarkEnd w:id="434"/>
      <w:r>
        <w:rPr>
          <w:rFonts w:ascii="Times New Roman;Times;Serif" w:hAnsi="Times New Roman;Times;Serif"/>
          <w:b w:val="false"/>
          <w:i w:val="false"/>
          <w:caps w:val="false"/>
          <w:smallCaps w:val="false"/>
          <w:sz w:val="20"/>
        </w:rPr>
        <w:t>64,000 square foot facility (the “Premises”) located in Fernley, Nevada, to be used for general, warehousing, assembly/light manufacturing, painting of products, storage fulfillment, distribution of the Company’s products, and other uses as permitted under the Fernley Lease Agreement (the “Fernley Lease Agreement”). The effective date of the lease is April 1, 2024 (the “Lease Commencement Date”). However, the initial term of the Fernley Lease Agreement (the “Term”) is for a period of sixty (60) months, effective June 1, 2024 (the “Rent Commencement Date”). The base rent for the Premises, payable monthly, is $</w:t>
      </w:r>
      <w:bookmarkStart w:id="435" w:name="xdx_902_eus-gaap--PaymentsForRent_pn3n3_"/>
      <w:bookmarkEnd w:id="435"/>
      <w:r>
        <w:rPr>
          <w:rFonts w:ascii="Times New Roman;Times;Serif" w:hAnsi="Times New Roman;Times;Serif"/>
          <w:b w:val="false"/>
          <w:i w:val="false"/>
          <w:caps w:val="false"/>
          <w:smallCaps w:val="false"/>
          <w:sz w:val="20"/>
        </w:rPr>
        <w:t>45 for the first ten months, starting June 1, 2024, and is subject to a three percent (</w:t>
      </w:r>
      <w:bookmarkStart w:id="436" w:name="xdx_90F_ecustom--LeaseTermPercentage_pid"/>
      <w:bookmarkEnd w:id="436"/>
      <w:r>
        <w:rPr>
          <w:rFonts w:ascii="Times New Roman;Times;Serif" w:hAnsi="Times New Roman;Times;Serif"/>
          <w:b w:val="false"/>
          <w:i w:val="false"/>
          <w:caps w:val="false"/>
          <w:smallCaps w:val="false"/>
          <w:sz w:val="20"/>
        </w:rPr>
        <w:t>3.0%) increase on the anniversary of the Lease Commencement Date each year. The Company also will be responsible for twenty-five percent (25%) of any operating expenses, taxes and insurance expenses incurred by the Landlord in connection with the building in which the Premises are located (the “Expenses”) as well as utility expenses. The Expenses are subject to recalculation and increase upon the completion of the Initial Improvements (as defined in the Fernley Lease Agreement). The Landlord is responsible for completing the Initial Improvements. The Fernley Lease Agreement also contains customary default provisions allowing the Landlord to terminate the Fernley Lease Agreement if the Company fails to cure certain breaches of its obligations under the Fernley Lease Agreement within a specified period of time upon written notice to the Company. Concurrent with the execution of the Fernley Lease Agreement, the Company paid the Landlord a security deposit of $</w:t>
      </w:r>
      <w:bookmarkStart w:id="437" w:name="xdx_909_eus-gaap--SecurityDeposit_iI_pn3"/>
      <w:bookmarkEnd w:id="437"/>
      <w:r>
        <w:rPr>
          <w:rFonts w:ascii="Times New Roman;Times;Serif" w:hAnsi="Times New Roman;Times;Serif"/>
          <w:b w:val="false"/>
          <w:i w:val="false"/>
          <w:caps w:val="false"/>
          <w:smallCaps w:val="false"/>
          <w:sz w:val="20"/>
        </w:rPr>
        <w:t>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8" w:name="xdx_89A_ecustom--ScheduleOfBreakoutOfOpe"/>
      <w:bookmarkEnd w:id="438"/>
      <w:r>
        <w:rPr>
          <w:rFonts w:ascii="Times New Roman;Times;Serif" w:hAnsi="Times New Roman;Times;Serif"/>
          <w:b w:val="false"/>
          <w:i w:val="false"/>
          <w:caps w:val="false"/>
          <w:smallCaps w:val="false"/>
          <w:sz w:val="20"/>
        </w:rPr>
        <w:t>The following table presents the breakout of the operating leases as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439" w:name="xdx_8BE_zwX2CGkomBbb"/>
      <w:bookmarkEnd w:id="439"/>
      <w:r>
        <w:rPr>
          <w:rFonts w:ascii="Times New Roman;Times;Serif" w:hAnsi="Times New Roman;Times;Serif"/>
          <w:b w:val="false"/>
          <w:i w:val="false"/>
          <w:caps w:val="false"/>
          <w:smallCaps w:val="false"/>
          <w:sz w:val="20"/>
        </w:rPr>
        <w:t>SCHEDULE OF BREAKOUT OF OPERATING LEASES </w:t>
      </w:r>
    </w:p>
    <w:tbl>
      <w:tblPr>
        <w:tblW w:w="6720" w:type="dxa"/>
        <w:jc w:val="left"/>
        <w:tblInd w:w="0" w:type="dxa"/>
        <w:tblLayout w:type="fixed"/>
        <w:tblCellMar>
          <w:top w:w="0" w:type="dxa"/>
          <w:left w:w="0" w:type="dxa"/>
          <w:bottom w:w="0" w:type="dxa"/>
          <w:right w:w="0" w:type="dxa"/>
        </w:tblCellMar>
      </w:tblPr>
      <w:tblGrid>
        <w:gridCol w:w="3755"/>
        <w:gridCol w:w="60"/>
        <w:gridCol w:w="140"/>
        <w:gridCol w:w="845"/>
        <w:gridCol w:w="215"/>
        <w:gridCol w:w="60"/>
        <w:gridCol w:w="283"/>
        <w:gridCol w:w="1132"/>
        <w:gridCol w:w="230"/>
      </w:tblGrid>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40" w:name="xdx_494_20240630_zPCY2HwwhWYh"/>
            <w:bookmarkEnd w:id="440"/>
          </w:p>
        </w:tc>
        <w:tc>
          <w:tcPr>
            <w:tcW w:w="985"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June 30, </w:t>
              <w:b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1" w:name="xdx_499_20231231_z5f9cNarrkNg"/>
            <w:bookmarkEnd w:id="441"/>
          </w:p>
        </w:tc>
        <w:tc>
          <w:tcPr>
            <w:tcW w:w="1415"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December 31, </w:t>
              <w:br/>
              <w:t>2023</w:t>
            </w:r>
          </w:p>
        </w:tc>
        <w:tc>
          <w:tcPr>
            <w:tcW w:w="230" w:type="dxa"/>
            <w:tcBorders/>
            <w:vAlign w:val="center"/>
          </w:tcPr>
          <w:p>
            <w:pPr>
              <w:pStyle w:val="TableContents"/>
              <w:bidi w:val="0"/>
              <w:spacing w:before="0" w:after="283"/>
              <w:jc w:val="left"/>
              <w:rPr/>
            </w:pPr>
            <w:r>
              <w:rPr/>
              <w:t> </w:t>
            </w:r>
            <w:bookmarkStart w:id="442" w:name="xdx_40E_eus-gaap--OperatingLeaseRightOfU"/>
            <w:bookmarkEnd w:id="442"/>
          </w:p>
        </w:tc>
      </w:tr>
      <w:tr>
        <w:trPr/>
        <w:tc>
          <w:tcPr>
            <w:tcW w:w="3755"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pPr>
            <w:r>
              <w:rPr/>
              <w:t>20,949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3,315</w:t>
            </w:r>
          </w:p>
        </w:tc>
        <w:tc>
          <w:tcPr>
            <w:tcW w:w="230" w:type="dxa"/>
            <w:tcBorders/>
            <w:shd w:fill="CCEEFF" w:val="clear"/>
            <w:vAlign w:val="center"/>
          </w:tcPr>
          <w:p>
            <w:pPr>
              <w:pStyle w:val="TableContents"/>
              <w:bidi w:val="0"/>
              <w:spacing w:before="0" w:after="283"/>
              <w:jc w:val="left"/>
              <w:rPr/>
            </w:pPr>
            <w:r>
              <w:rPr/>
              <w:t> </w:t>
            </w:r>
            <w:bookmarkStart w:id="443" w:name="xdx_402_eus-gaap--OperatingLeaseLiabilit"/>
            <w:bookmarkEnd w:id="443"/>
          </w:p>
        </w:tc>
      </w:tr>
      <w:tr>
        <w:trPr/>
        <w:tc>
          <w:tcPr>
            <w:tcW w:w="3755" w:type="dxa"/>
            <w:tcBorders/>
            <w:shd w:fill="FFFFFF" w:val="clear"/>
            <w:vAlign w:val="center"/>
          </w:tcPr>
          <w:p>
            <w:pPr>
              <w:pStyle w:val="TableContents"/>
              <w:bidi w:val="0"/>
              <w:spacing w:before="0" w:after="283"/>
              <w:jc w:val="left"/>
              <w:rPr/>
            </w:pPr>
            <w:r>
              <w:rPr/>
              <w:t>Short-term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2,807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1,288</w:t>
            </w:r>
          </w:p>
        </w:tc>
        <w:tc>
          <w:tcPr>
            <w:tcW w:w="230" w:type="dxa"/>
            <w:tcBorders/>
            <w:shd w:fill="FFFFFF" w:val="clear"/>
            <w:vAlign w:val="center"/>
          </w:tcPr>
          <w:p>
            <w:pPr>
              <w:pStyle w:val="TableContents"/>
              <w:bidi w:val="0"/>
              <w:spacing w:before="0" w:after="283"/>
              <w:jc w:val="left"/>
              <w:rPr/>
            </w:pPr>
            <w:r>
              <w:rPr/>
              <w:t> </w:t>
            </w:r>
            <w:bookmarkStart w:id="444" w:name="xdx_401_eus-gaap--OperatingLeaseLiabilit"/>
            <w:bookmarkEnd w:id="444"/>
          </w:p>
        </w:tc>
      </w:tr>
      <w:tr>
        <w:trPr/>
        <w:tc>
          <w:tcPr>
            <w:tcW w:w="3755" w:type="dxa"/>
            <w:tcBorders/>
            <w:shd w:fill="CCEEFF" w:val="clear"/>
            <w:vAlign w:val="center"/>
          </w:tcPr>
          <w:p>
            <w:pPr>
              <w:pStyle w:val="TableContents"/>
              <w:bidi w:val="0"/>
              <w:spacing w:before="0" w:after="283"/>
              <w:jc w:val="left"/>
              <w:rPr/>
            </w:pPr>
            <w:r>
              <w:rPr/>
              <w:t>Long-term 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pPr>
            <w:r>
              <w:rPr/>
              <w:t>23,990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2,234</w:t>
            </w:r>
          </w:p>
        </w:tc>
        <w:tc>
          <w:tcPr>
            <w:tcW w:w="230" w:type="dxa"/>
            <w:tcBorders/>
            <w:shd w:fill="CCEEFF" w:val="clear"/>
            <w:vAlign w:val="center"/>
          </w:tcPr>
          <w:p>
            <w:pPr>
              <w:pStyle w:val="TableContents"/>
              <w:bidi w:val="0"/>
              <w:spacing w:before="0" w:after="283"/>
              <w:jc w:val="left"/>
              <w:rPr/>
            </w:pPr>
            <w:r>
              <w:rPr/>
              <w:t> </w:t>
            </w:r>
            <w:bookmarkStart w:id="445" w:name="xdx_409_eus-gaap--OperatingLeaseLiabilit"/>
            <w:bookmarkEnd w:id="445"/>
          </w:p>
        </w:tc>
      </w:tr>
      <w:tr>
        <w:trPr/>
        <w:tc>
          <w:tcPr>
            <w:tcW w:w="3755" w:type="dxa"/>
            <w:tcBorders/>
            <w:shd w:fill="FFFFFF" w:val="clear"/>
            <w:vAlign w:val="center"/>
          </w:tcPr>
          <w:p>
            <w:pPr>
              <w:pStyle w:val="TableContents"/>
              <w:bidi w:val="0"/>
              <w:spacing w:before="0" w:after="283"/>
              <w:jc w:val="left"/>
              <w:rPr/>
            </w:pPr>
            <w:r>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pPr>
            <w:r>
              <w:rPr/>
              <w:t>26,797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3,522</w:t>
            </w:r>
          </w:p>
        </w:tc>
        <w:tc>
          <w:tcPr>
            <w:tcW w:w="23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Weighted average remaining lease term</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bookmarkStart w:id="446" w:name="xdx_908_eus-gaap--OperatingLeaseWeighted"/>
            <w:bookmarkEnd w:id="446"/>
            <w:r>
              <w:rPr>
                <w:rFonts w:ascii="Times New Roman;Times;Serif" w:hAnsi="Times New Roman;Times;Serif"/>
                <w:sz w:val="20"/>
              </w:rPr>
              <w:t>8.78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rFonts w:ascii="Times New Roman;Times;Serif" w:hAnsi="Times New Roman;Times;Serif"/>
                <w:sz w:val="20"/>
              </w:rPr>
            </w:pPr>
            <w:bookmarkStart w:id="447" w:name="xdx_904_eus-gaap--OperatingLeaseWeighted"/>
            <w:bookmarkEnd w:id="447"/>
            <w:r>
              <w:rPr>
                <w:rFonts w:ascii="Times New Roman;Times;Serif" w:hAnsi="Times New Roman;Times;Serif"/>
                <w:sz w:val="20"/>
              </w:rPr>
              <w:t>2.6 years</w:t>
            </w:r>
          </w:p>
        </w:tc>
        <w:tc>
          <w:tcPr>
            <w:tcW w:w="23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bookmarkStart w:id="448" w:name="xdx_901_eus-gaap--OperatingLeaseWeighted"/>
            <w:bookmarkEnd w:id="448"/>
            <w:r>
              <w:rPr/>
              <w:t>7.82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bookmarkStart w:id="449" w:name="xdx_907_eus-gaap--OperatingLeaseWeighted"/>
            <w:bookmarkEnd w:id="449"/>
            <w:r>
              <w:rPr/>
              <w:t>5.2</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450" w:name="xdx_8A4_z2MzDhBHfgO"/>
      <w:bookmarkEnd w:id="45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used in determining the Company’s incremental borrowing rate include its implied credit rating and an estimate of secured borrowing rates based on comparable market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51" w:name="xdx_89B_eus-gaap--LesseeOperatingLeaseLi"/>
      <w:bookmarkEnd w:id="451"/>
      <w:r>
        <w:rPr>
          <w:rFonts w:ascii="Times New Roman;Times;Serif" w:hAnsi="Times New Roman;Times;Serif"/>
          <w:b w:val="false"/>
          <w:i w:val="false"/>
          <w:caps w:val="false"/>
          <w:smallCaps w:val="false"/>
          <w:sz w:val="20"/>
        </w:rPr>
        <w:t>At June 30, 2024, the future minimum lease payments under these operating leases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452" w:name="xdx_8BB_zI8THY7GFmul"/>
      <w:bookmarkEnd w:id="452"/>
      <w:r>
        <w:rPr>
          <w:rFonts w:ascii="Times New Roman;Times;Serif" w:hAnsi="Times New Roman;Times;Serif"/>
          <w:b w:val="false"/>
          <w:i w:val="false"/>
          <w:caps w:val="false"/>
          <w:smallCaps w:val="false"/>
          <w:sz w:val="20"/>
        </w:rPr>
        <w:t>SCHEDULE OF FUTURE MINIMUM LEASE PAYMENTS UNDER OPERATING LEASES </w:t>
      </w:r>
    </w:p>
    <w:tbl>
      <w:tblPr>
        <w:tblW w:w="3855" w:type="dxa"/>
        <w:jc w:val="left"/>
        <w:tblInd w:w="0" w:type="dxa"/>
        <w:tblLayout w:type="fixed"/>
        <w:tblCellMar>
          <w:top w:w="0" w:type="dxa"/>
          <w:left w:w="0" w:type="dxa"/>
          <w:bottom w:w="0" w:type="dxa"/>
          <w:right w:w="0" w:type="dxa"/>
        </w:tblCellMar>
      </w:tblPr>
      <w:tblGrid>
        <w:gridCol w:w="2900"/>
        <w:gridCol w:w="60"/>
        <w:gridCol w:w="140"/>
        <w:gridCol w:w="680"/>
        <w:gridCol w:w="75"/>
      </w:tblGrid>
      <w:tr>
        <w:trPr/>
        <w:tc>
          <w:tcPr>
            <w:tcW w:w="2900" w:type="dxa"/>
            <w:tcBorders/>
            <w:shd w:fill="CCEEFF" w:val="clear"/>
            <w:vAlign w:val="center"/>
          </w:tcPr>
          <w:p>
            <w:pPr>
              <w:pStyle w:val="TableContents"/>
              <w:bidi w:val="0"/>
              <w:spacing w:before="0" w:after="283"/>
              <w:jc w:val="left"/>
              <w:rPr/>
            </w:pPr>
            <w:r>
              <w:rPr/>
              <w:t>Fiscal Years Ending</w:t>
            </w:r>
          </w:p>
        </w:tc>
        <w:tc>
          <w:tcPr>
            <w:tcW w:w="60" w:type="dxa"/>
            <w:tcBorders/>
            <w:shd w:fill="CCEEFF" w:val="clear"/>
            <w:vAlign w:val="center"/>
          </w:tcPr>
          <w:p>
            <w:pPr>
              <w:pStyle w:val="TableContents"/>
              <w:bidi w:val="0"/>
              <w:spacing w:before="0" w:after="283"/>
              <w:jc w:val="left"/>
              <w:rPr/>
            </w:pPr>
            <w:r>
              <w:rPr/>
              <w:t> </w:t>
            </w:r>
            <w:bookmarkStart w:id="453" w:name="xdx_492_20240630_zprvAkgznoVh"/>
            <w:bookmarkEnd w:id="453"/>
          </w:p>
        </w:tc>
        <w:tc>
          <w:tcPr>
            <w:tcW w:w="82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454" w:name="xdx_405_eus-gaap--LesseeOperatingLeaseLi"/>
            <w:bookmarkEnd w:id="454"/>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December 31, 2024</w:t>
            </w:r>
            <w:bookmarkStart w:id="455" w:name="xdx_F4A_zdE7nOOD8Iwa"/>
            <w:bookmarkEnd w:id="455"/>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2,371</w:t>
            </w:r>
          </w:p>
        </w:tc>
        <w:tc>
          <w:tcPr>
            <w:tcW w:w="75" w:type="dxa"/>
            <w:tcBorders/>
            <w:shd w:fill="FFFFFF" w:val="clear"/>
            <w:vAlign w:val="center"/>
          </w:tcPr>
          <w:p>
            <w:pPr>
              <w:pStyle w:val="TableContents"/>
              <w:bidi w:val="0"/>
              <w:spacing w:before="0" w:after="283"/>
              <w:jc w:val="left"/>
              <w:rPr/>
            </w:pPr>
            <w:r>
              <w:rPr/>
              <w:t> </w:t>
            </w:r>
            <w:bookmarkStart w:id="456" w:name="xdx_40C_eus-gaap--LesseeOperatingLeaseLi"/>
            <w:bookmarkEnd w:id="456"/>
          </w:p>
        </w:tc>
      </w:tr>
      <w:tr>
        <w:trPr/>
        <w:tc>
          <w:tcPr>
            <w:tcW w:w="2900" w:type="dxa"/>
            <w:tcBorders/>
            <w:shd w:fill="CCEEFF" w:val="clear"/>
            <w:vAlign w:val="center"/>
          </w:tcPr>
          <w:p>
            <w:pPr>
              <w:pStyle w:val="TableContents"/>
              <w:bidi w:val="0"/>
              <w:spacing w:before="0" w:after="283"/>
              <w:jc w:val="left"/>
              <w:rPr/>
            </w:pPr>
            <w:r>
              <w:rPr/>
              <w:t>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4,817</w:t>
            </w:r>
          </w:p>
        </w:tc>
        <w:tc>
          <w:tcPr>
            <w:tcW w:w="75" w:type="dxa"/>
            <w:tcBorders/>
            <w:shd w:fill="CCEEFF" w:val="clear"/>
            <w:vAlign w:val="center"/>
          </w:tcPr>
          <w:p>
            <w:pPr>
              <w:pStyle w:val="TableContents"/>
              <w:bidi w:val="0"/>
              <w:spacing w:before="0" w:after="283"/>
              <w:jc w:val="left"/>
              <w:rPr/>
            </w:pPr>
            <w:r>
              <w:rPr/>
              <w:t> </w:t>
            </w:r>
            <w:bookmarkStart w:id="457" w:name="xdx_40B_eus-gaap--LesseeOperatingLeaseLi"/>
            <w:bookmarkEnd w:id="457"/>
          </w:p>
        </w:tc>
      </w:tr>
      <w:tr>
        <w:trPr/>
        <w:tc>
          <w:tcPr>
            <w:tcW w:w="2900" w:type="dxa"/>
            <w:tcBorders/>
            <w:shd w:fill="FFFFFF" w:val="clear"/>
            <w:vAlign w:val="center"/>
          </w:tcPr>
          <w:p>
            <w:pPr>
              <w:pStyle w:val="TableContents"/>
              <w:bidi w:val="0"/>
              <w:spacing w:before="0" w:after="283"/>
              <w:jc w:val="left"/>
              <w:rPr/>
            </w:pPr>
            <w:r>
              <w:rPr/>
              <w:t>December 31,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4,376</w:t>
            </w:r>
          </w:p>
        </w:tc>
        <w:tc>
          <w:tcPr>
            <w:tcW w:w="75" w:type="dxa"/>
            <w:tcBorders/>
            <w:shd w:fill="FFFFFF" w:val="clear"/>
            <w:vAlign w:val="center"/>
          </w:tcPr>
          <w:p>
            <w:pPr>
              <w:pStyle w:val="TableContents"/>
              <w:bidi w:val="0"/>
              <w:spacing w:before="0" w:after="283"/>
              <w:jc w:val="left"/>
              <w:rPr/>
            </w:pPr>
            <w:r>
              <w:rPr/>
              <w:t> </w:t>
            </w:r>
            <w:bookmarkStart w:id="458" w:name="xdx_403_eus-gaap--LesseeOperatingLeaseLi"/>
            <w:bookmarkEnd w:id="458"/>
          </w:p>
        </w:tc>
      </w:tr>
      <w:tr>
        <w:trPr/>
        <w:tc>
          <w:tcPr>
            <w:tcW w:w="2900" w:type="dxa"/>
            <w:tcBorders/>
            <w:shd w:fill="CCEEFF" w:val="clear"/>
            <w:vAlign w:val="center"/>
          </w:tcPr>
          <w:p>
            <w:pPr>
              <w:pStyle w:val="TableContents"/>
              <w:bidi w:val="0"/>
              <w:spacing w:before="0" w:after="283"/>
              <w:jc w:val="left"/>
              <w:rPr/>
            </w:pPr>
            <w:r>
              <w:rPr/>
              <w:t>December 31, 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3,588</w:t>
            </w:r>
          </w:p>
        </w:tc>
        <w:tc>
          <w:tcPr>
            <w:tcW w:w="75" w:type="dxa"/>
            <w:tcBorders/>
            <w:shd w:fill="CCEEFF" w:val="clear"/>
            <w:vAlign w:val="center"/>
          </w:tcPr>
          <w:p>
            <w:pPr>
              <w:pStyle w:val="TableContents"/>
              <w:bidi w:val="0"/>
              <w:spacing w:before="0" w:after="283"/>
              <w:jc w:val="left"/>
              <w:rPr/>
            </w:pPr>
            <w:r>
              <w:rPr/>
              <w:t> </w:t>
            </w:r>
            <w:bookmarkStart w:id="459" w:name="xdx_40E_eus-gaap--LesseeOperatingLeaseLi"/>
            <w:bookmarkEnd w:id="459"/>
          </w:p>
        </w:tc>
      </w:tr>
      <w:tr>
        <w:trPr/>
        <w:tc>
          <w:tcPr>
            <w:tcW w:w="2900" w:type="dxa"/>
            <w:tcBorders/>
            <w:shd w:fill="FFFFFF" w:val="clear"/>
            <w:vAlign w:val="center"/>
          </w:tcPr>
          <w:p>
            <w:pPr>
              <w:pStyle w:val="TableContents"/>
              <w:bidi w:val="0"/>
              <w:spacing w:before="0" w:after="283"/>
              <w:jc w:val="left"/>
              <w:rPr/>
            </w:pPr>
            <w:r>
              <w:rPr/>
              <w:t>December 31, 2028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3,695</w:t>
            </w:r>
          </w:p>
        </w:tc>
        <w:tc>
          <w:tcPr>
            <w:tcW w:w="75" w:type="dxa"/>
            <w:tcBorders/>
            <w:shd w:fill="FFFFFF" w:val="clear"/>
            <w:vAlign w:val="center"/>
          </w:tcPr>
          <w:p>
            <w:pPr>
              <w:pStyle w:val="TableContents"/>
              <w:bidi w:val="0"/>
              <w:spacing w:before="0" w:after="283"/>
              <w:jc w:val="left"/>
              <w:rPr/>
            </w:pPr>
            <w:r>
              <w:rPr/>
              <w:t> </w:t>
            </w:r>
            <w:bookmarkStart w:id="460" w:name="xdx_401_ecustom--LesseeOperatingLeaseLia"/>
            <w:bookmarkEnd w:id="460"/>
          </w:p>
        </w:tc>
      </w:tr>
      <w:tr>
        <w:trPr/>
        <w:tc>
          <w:tcPr>
            <w:tcW w:w="2900" w:type="dxa"/>
            <w:tcBorders/>
            <w:shd w:fill="CCEEFF" w:val="clear"/>
            <w:vAlign w:val="center"/>
          </w:tcPr>
          <w:p>
            <w:pPr>
              <w:pStyle w:val="TableContents"/>
              <w:bidi w:val="0"/>
              <w:spacing w:before="0" w:after="283"/>
              <w:jc w:val="left"/>
              <w:rPr/>
            </w:pPr>
            <w:r>
              <w:rPr/>
              <w:t>Thereafter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19,221</w:t>
            </w:r>
          </w:p>
        </w:tc>
        <w:tc>
          <w:tcPr>
            <w:tcW w:w="75" w:type="dxa"/>
            <w:tcBorders/>
            <w:shd w:fill="CCEEFF" w:val="clear"/>
            <w:vAlign w:val="center"/>
          </w:tcPr>
          <w:p>
            <w:pPr>
              <w:pStyle w:val="TableContents"/>
              <w:bidi w:val="0"/>
              <w:spacing w:before="0" w:after="283"/>
              <w:jc w:val="left"/>
              <w:rPr/>
            </w:pPr>
            <w:r>
              <w:rPr/>
              <w:t> </w:t>
            </w:r>
            <w:bookmarkStart w:id="461" w:name="xdx_40F_eus-gaap--LesseeOperatingLeaseLi"/>
            <w:bookmarkEnd w:id="461"/>
          </w:p>
        </w:tc>
      </w:tr>
      <w:tr>
        <w:trPr/>
        <w:tc>
          <w:tcPr>
            <w:tcW w:w="2900" w:type="dxa"/>
            <w:tcBorders/>
            <w:shd w:fill="FFFFFF" w:val="clear"/>
            <w:vAlign w:val="center"/>
          </w:tcPr>
          <w:p>
            <w:pPr>
              <w:pStyle w:val="TableContents"/>
              <w:bidi w:val="0"/>
              <w:spacing w:before="0" w:after="283"/>
              <w:jc w:val="left"/>
              <w:rPr/>
            </w:pPr>
            <w:r>
              <w:rPr/>
              <w:t>Total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38,068</w:t>
            </w:r>
          </w:p>
        </w:tc>
        <w:tc>
          <w:tcPr>
            <w:tcW w:w="75" w:type="dxa"/>
            <w:tcBorders/>
            <w:shd w:fill="FFFFFF" w:val="clear"/>
            <w:vAlign w:val="center"/>
          </w:tcPr>
          <w:p>
            <w:pPr>
              <w:pStyle w:val="TableContents"/>
              <w:bidi w:val="0"/>
              <w:spacing w:before="0" w:after="283"/>
              <w:jc w:val="left"/>
              <w:rPr/>
            </w:pPr>
            <w:r>
              <w:rPr/>
              <w:t> </w:t>
            </w:r>
            <w:bookmarkStart w:id="462" w:name="xdx_40E_eus-gaap--LesseeOperatingLeaseLi"/>
            <w:bookmarkEnd w:id="462"/>
          </w:p>
        </w:tc>
      </w:tr>
      <w:tr>
        <w:trPr/>
        <w:tc>
          <w:tcPr>
            <w:tcW w:w="2900" w:type="dxa"/>
            <w:tcBorders/>
            <w:shd w:fill="CCEEFF" w:val="clear"/>
            <w:vAlign w:val="center"/>
          </w:tcPr>
          <w:p>
            <w:pPr>
              <w:pStyle w:val="TableContents"/>
              <w:bidi w:val="0"/>
              <w:spacing w:before="0" w:after="283"/>
              <w:jc w:val="left"/>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11,271</w:t>
            </w:r>
          </w:p>
        </w:tc>
        <w:tc>
          <w:tcPr>
            <w:tcW w:w="75" w:type="dxa"/>
            <w:tcBorders/>
            <w:shd w:fill="CCEEFF" w:val="clear"/>
            <w:vAlign w:val="center"/>
          </w:tcPr>
          <w:p>
            <w:pPr>
              <w:pStyle w:val="TableContents"/>
              <w:bidi w:val="0"/>
              <w:spacing w:before="0" w:after="283"/>
              <w:jc w:val="left"/>
              <w:rPr/>
            </w:pPr>
            <w:r>
              <w:rPr/>
              <w:t> </w:t>
            </w:r>
            <w:bookmarkStart w:id="463" w:name="xdx_40A_eus-gaap--OperatingLeaseLiabilit"/>
            <w:bookmarkEnd w:id="463"/>
          </w:p>
        </w:tc>
      </w:tr>
      <w:tr>
        <w:trPr/>
        <w:tc>
          <w:tcPr>
            <w:tcW w:w="2900" w:type="dxa"/>
            <w:tcBorders/>
            <w:shd w:fill="FFFFFF" w:val="clear"/>
            <w:vAlign w:val="center"/>
          </w:tcPr>
          <w:p>
            <w:pPr>
              <w:pStyle w:val="TableContents"/>
              <w:bidi w:val="0"/>
              <w:spacing w:before="0" w:after="283"/>
              <w:jc w:val="left"/>
              <w:rPr/>
            </w:pPr>
            <w:r>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26,797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260"/>
        <w:gridCol w:w="7775"/>
      </w:tblGrid>
      <w:tr>
        <w:trPr/>
        <w:tc>
          <w:tcPr>
            <w:tcW w:w="2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64" w:name="xdx_F0A_z9mXnRGEdNU"/>
            <w:bookmarkEnd w:id="464"/>
            <w:r>
              <w:rPr>
                <w:rFonts w:ascii="Times New Roman;Times;Serif" w:hAnsi="Times New Roman;Times;Serif"/>
                <w:b w:val="false"/>
                <w:i w:val="false"/>
                <w:caps w:val="false"/>
                <w:smallCaps w:val="false"/>
                <w:sz w:val="20"/>
              </w:rPr>
              <w:t>(1)</w:t>
            </w:r>
          </w:p>
        </w:tc>
        <w:tc>
          <w:tcPr>
            <w:tcW w:w="7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65" w:name="xdx_F1A_zOfdHuFsDmMl"/>
            <w:bookmarkEnd w:id="465"/>
            <w:r>
              <w:rPr>
                <w:rFonts w:ascii="Times New Roman;Times;Serif" w:hAnsi="Times New Roman;Times;Serif"/>
                <w:b w:val="false"/>
                <w:i w:val="false"/>
                <w:caps w:val="false"/>
                <w:smallCaps w:val="false"/>
                <w:sz w:val="20"/>
              </w:rPr>
              <w:t>Represents scheduled payments for the remaining six-month period ending December 31, 2024.</w:t>
            </w:r>
          </w:p>
        </w:tc>
      </w:tr>
    </w:tbl>
    <w:p>
      <w:pPr>
        <w:pStyle w:val="TextBody"/>
        <w:bidi w:val="0"/>
        <w:spacing w:before="0" w:after="283"/>
        <w:jc w:val="left"/>
        <w:rPr/>
      </w:pPr>
      <w:bookmarkStart w:id="466" w:name="xdx_8A8_z5bHOwtyUIpd"/>
      <w:bookmarkEnd w:id="466"/>
      <w:r>
        <w:rPr/>
        <w:t> </w:t>
      </w:r>
    </w:p>
    <w:p>
      <w:pPr>
        <w:pStyle w:val="TextBody"/>
        <w:bidi w:val="0"/>
        <w:spacing w:before="0" w:after="0"/>
        <w:ind w:left="0" w:right="0" w:hanging="0"/>
        <w:jc w:val="left"/>
        <w:rPr>
          <w:caps w:val="false"/>
          <w:smallCaps w:val="false"/>
        </w:rPr>
      </w:pPr>
      <w:bookmarkStart w:id="467" w:name="xdx_89F_eus-gaap--LeaseCostTableTextBloc"/>
      <w:bookmarkEnd w:id="467"/>
      <w:r>
        <w:rPr>
          <w:caps w:val="false"/>
          <w:smallCaps w:val="false"/>
        </w:rPr>
        <w:t> </w:t>
      </w:r>
      <w:bookmarkStart w:id="468" w:name="xdx_8B6_zddilQjbkgeg"/>
      <w:bookmarkEnd w:id="468"/>
      <w:r>
        <w:rPr>
          <w:rFonts w:ascii="Times New Roman;Times;Serif" w:hAnsi="Times New Roman;Times;Serif"/>
          <w:b w:val="false"/>
          <w:i w:val="false"/>
          <w:caps w:val="false"/>
          <w:smallCaps w:val="false"/>
          <w:sz w:val="20"/>
        </w:rPr>
        <w:t>SCHEDULE OF LEASE COST</w:t>
      </w:r>
    </w:p>
    <w:tbl>
      <w:tblPr>
        <w:tblW w:w="8998" w:type="dxa"/>
        <w:jc w:val="left"/>
        <w:tblInd w:w="0" w:type="dxa"/>
        <w:tblLayout w:type="fixed"/>
        <w:tblCellMar>
          <w:top w:w="0" w:type="dxa"/>
          <w:left w:w="0" w:type="dxa"/>
          <w:bottom w:w="0" w:type="dxa"/>
          <w:right w:w="0" w:type="dxa"/>
        </w:tblCellMar>
      </w:tblPr>
      <w:tblGrid>
        <w:gridCol w:w="1940"/>
        <w:gridCol w:w="60"/>
        <w:gridCol w:w="2570"/>
        <w:gridCol w:w="60"/>
        <w:gridCol w:w="227"/>
        <w:gridCol w:w="911"/>
        <w:gridCol w:w="97"/>
        <w:gridCol w:w="97"/>
        <w:gridCol w:w="227"/>
        <w:gridCol w:w="618"/>
        <w:gridCol w:w="60"/>
        <w:gridCol w:w="60"/>
        <w:gridCol w:w="208"/>
        <w:gridCol w:w="835"/>
        <w:gridCol w:w="89"/>
        <w:gridCol w:w="89"/>
        <w:gridCol w:w="208"/>
        <w:gridCol w:w="567"/>
        <w:gridCol w:w="75"/>
      </w:tblGrid>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7" w:type="dxa"/>
            <w:gridSpan w:val="6"/>
            <w:tcBorders/>
            <w:vAlign w:val="center"/>
          </w:tcPr>
          <w:p>
            <w:pPr>
              <w:pStyle w:val="TableContents"/>
              <w:bidi w:val="0"/>
              <w:jc w:val="center"/>
              <w:rPr/>
            </w:pPr>
            <w:r>
              <w:rPr/>
              <w:t>For The Three Months</w:t>
            </w:r>
          </w:p>
          <w:p>
            <w:pPr>
              <w:pStyle w:val="TableContents"/>
              <w:bidi w:val="0"/>
              <w:spacing w:before="0" w:after="283"/>
              <w:jc w:val="center"/>
              <w:rPr/>
            </w:pPr>
            <w:r>
              <w:rPr/>
              <w:t>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6" w:type="dxa"/>
            <w:gridSpan w:val="6"/>
            <w:tcBorders/>
            <w:vAlign w:val="center"/>
          </w:tcPr>
          <w:p>
            <w:pPr>
              <w:pStyle w:val="TableContents"/>
              <w:bidi w:val="0"/>
              <w:spacing w:before="0" w:after="283"/>
              <w:jc w:val="center"/>
              <w:rPr/>
            </w:pPr>
            <w:r>
              <w:rPr/>
              <w:t xml:space="preserve">For The Six Months </w:t>
              <w:br/>
              <w:t>Ended June 30,</w:t>
            </w:r>
          </w:p>
        </w:tc>
        <w:tc>
          <w:tcPr>
            <w:tcW w:w="75" w:type="dxa"/>
            <w:tcBorders/>
            <w:vAlign w:val="center"/>
          </w:tcPr>
          <w:p>
            <w:pPr>
              <w:pStyle w:val="TableContents"/>
              <w:bidi w:val="0"/>
              <w:spacing w:before="0" w:after="283"/>
              <w:jc w:val="left"/>
              <w:rPr/>
            </w:pPr>
            <w:r>
              <w:rPr/>
              <w:t> </w:t>
            </w:r>
          </w:p>
        </w:tc>
      </w:tr>
      <w:tr>
        <w:trPr/>
        <w:tc>
          <w:tcPr>
            <w:tcW w:w="1940" w:type="dxa"/>
            <w:tcBorders>
              <w:bottom w:val="single" w:sz="12" w:space="0" w:color="000000"/>
            </w:tcBorders>
            <w:tcMar>
              <w:bottom w:w="28" w:type="dxa"/>
            </w:tcMar>
            <w:vAlign w:val="center"/>
          </w:tcPr>
          <w:p>
            <w:pPr>
              <w:pStyle w:val="TableContents"/>
              <w:bidi w:val="0"/>
              <w:spacing w:before="0" w:after="283"/>
              <w:jc w:val="left"/>
              <w:rPr/>
            </w:pPr>
            <w:r>
              <w:rPr/>
              <w:t>Lease cost</w:t>
            </w:r>
          </w:p>
        </w:tc>
        <w:tc>
          <w:tcPr>
            <w:tcW w:w="60" w:type="dxa"/>
            <w:tcBorders/>
            <w:vAlign w:val="center"/>
          </w:tcPr>
          <w:p>
            <w:pPr>
              <w:pStyle w:val="TableContents"/>
              <w:bidi w:val="0"/>
              <w:spacing w:before="0" w:after="283"/>
              <w:jc w:val="left"/>
              <w:rPr/>
            </w:pPr>
            <w:r>
              <w:rPr/>
              <w:t> </w:t>
            </w:r>
          </w:p>
        </w:tc>
        <w:tc>
          <w:tcPr>
            <w:tcW w:w="2570" w:type="dxa"/>
            <w:tcBorders>
              <w:bottom w:val="single" w:sz="12" w:space="0" w:color="000000"/>
            </w:tcBorders>
            <w:tcMar>
              <w:bottom w:w="28" w:type="dxa"/>
            </w:tcMar>
            <w:vAlign w:val="center"/>
          </w:tcPr>
          <w:p>
            <w:pPr>
              <w:pStyle w:val="TableContents"/>
              <w:bidi w:val="0"/>
              <w:spacing w:before="0" w:after="283"/>
              <w:jc w:val="left"/>
              <w:rPr/>
            </w:pPr>
            <w:r>
              <w:rPr/>
              <w:t>Classification</w:t>
            </w:r>
          </w:p>
        </w:tc>
        <w:tc>
          <w:tcPr>
            <w:tcW w:w="60" w:type="dxa"/>
            <w:tcBorders/>
            <w:vAlign w:val="center"/>
          </w:tcPr>
          <w:p>
            <w:pPr>
              <w:pStyle w:val="TableContents"/>
              <w:bidi w:val="0"/>
              <w:spacing w:before="0" w:after="283"/>
              <w:jc w:val="left"/>
              <w:rPr/>
            </w:pPr>
            <w:r>
              <w:rPr/>
              <w:t> </w:t>
            </w:r>
          </w:p>
        </w:tc>
        <w:tc>
          <w:tcPr>
            <w:tcW w:w="1138"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3"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75"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pPr>
            <w:r>
              <w:rPr/>
              <w:t>Cost of goods sold</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bookmarkStart w:id="469" w:name="xdx_983_eus-gaap--OperatingLeaseCost_pn3"/>
            <w:bookmarkEnd w:id="469"/>
          </w:p>
        </w:tc>
        <w:tc>
          <w:tcPr>
            <w:tcW w:w="911" w:type="dxa"/>
            <w:tcBorders/>
            <w:shd w:fill="CCEEFF" w:val="clear"/>
            <w:vAlign w:val="center"/>
          </w:tcPr>
          <w:p>
            <w:pPr>
              <w:pStyle w:val="TableContents"/>
              <w:bidi w:val="0"/>
              <w:spacing w:before="0" w:after="283"/>
              <w:jc w:val="right"/>
              <w:rPr/>
            </w:pPr>
            <w:r>
              <w:rPr/>
              <w:t>341</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bookmarkStart w:id="470" w:name="xdx_98B_eus-gaap--OperatingLeaseCost_pn3"/>
            <w:bookmarkEnd w:id="470"/>
          </w:p>
        </w:tc>
        <w:tc>
          <w:tcPr>
            <w:tcW w:w="618" w:type="dxa"/>
            <w:tcBorders/>
            <w:shd w:fill="CCEEFF" w:val="clear"/>
            <w:vAlign w:val="center"/>
          </w:tcPr>
          <w:p>
            <w:pPr>
              <w:pStyle w:val="TableContents"/>
              <w:bidi w:val="0"/>
              <w:spacing w:before="0" w:after="283"/>
              <w:jc w:val="right"/>
              <w:rPr/>
            </w:pPr>
            <w:r>
              <w:rPr/>
              <w:t>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bookmarkStart w:id="471" w:name="xdx_980_eus-gaap--OperatingLeaseCost_pn3"/>
            <w:bookmarkEnd w:id="471"/>
          </w:p>
        </w:tc>
        <w:tc>
          <w:tcPr>
            <w:tcW w:w="835" w:type="dxa"/>
            <w:tcBorders/>
            <w:shd w:fill="CCEEFF" w:val="clear"/>
            <w:vAlign w:val="center"/>
          </w:tcPr>
          <w:p>
            <w:pPr>
              <w:pStyle w:val="TableContents"/>
              <w:bidi w:val="0"/>
              <w:spacing w:before="0" w:after="283"/>
              <w:jc w:val="right"/>
              <w:rPr/>
            </w:pPr>
            <w:r>
              <w:rPr/>
              <w:t>691</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bookmarkStart w:id="472" w:name="xdx_981_eus-gaap--OperatingLeaseCost_pn3"/>
            <w:bookmarkEnd w:id="472"/>
          </w:p>
        </w:tc>
        <w:tc>
          <w:tcPr>
            <w:tcW w:w="567" w:type="dxa"/>
            <w:tcBorders/>
            <w:shd w:fill="CCEEFF" w:val="clear"/>
            <w:vAlign w:val="center"/>
          </w:tcPr>
          <w:p>
            <w:pPr>
              <w:pStyle w:val="TableContents"/>
              <w:bidi w:val="0"/>
              <w:spacing w:before="0" w:after="283"/>
              <w:jc w:val="right"/>
              <w:rPr/>
            </w:pPr>
            <w:r>
              <w:rPr/>
              <w:t>695</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pPr>
            <w:r>
              <w:rPr/>
              <w:t>Operating lease cost</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bookmarkStart w:id="473" w:name="xdx_982_eus-gaap--OperatingLeaseCost_pn3"/>
            <w:bookmarkEnd w:id="473"/>
          </w:p>
        </w:tc>
        <w:tc>
          <w:tcPr>
            <w:tcW w:w="911" w:type="dxa"/>
            <w:tcBorders/>
            <w:shd w:fill="FFFFFF" w:val="clear"/>
            <w:vAlign w:val="center"/>
          </w:tcPr>
          <w:p>
            <w:pPr>
              <w:pStyle w:val="TableContents"/>
              <w:bidi w:val="0"/>
              <w:spacing w:before="0" w:after="283"/>
              <w:jc w:val="right"/>
              <w:rPr/>
            </w:pPr>
            <w:r>
              <w:rPr/>
              <w:t>130</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bookmarkStart w:id="474" w:name="xdx_98D_eus-gaap--OperatingLeaseCost_pn3"/>
            <w:bookmarkEnd w:id="474"/>
          </w:p>
        </w:tc>
        <w:tc>
          <w:tcPr>
            <w:tcW w:w="618" w:type="dxa"/>
            <w:tcBorders/>
            <w:shd w:fill="FFFFFF" w:val="clear"/>
            <w:vAlign w:val="center"/>
          </w:tcPr>
          <w:p>
            <w:pPr>
              <w:pStyle w:val="TableContents"/>
              <w:bidi w:val="0"/>
              <w:spacing w:before="0" w:after="283"/>
              <w:jc w:val="right"/>
              <w:rPr/>
            </w:pPr>
            <w:r>
              <w:rPr/>
              <w:t>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bookmarkStart w:id="475" w:name="xdx_987_eus-gaap--OperatingLeaseCost_pn3"/>
            <w:bookmarkEnd w:id="475"/>
          </w:p>
        </w:tc>
        <w:tc>
          <w:tcPr>
            <w:tcW w:w="835" w:type="dxa"/>
            <w:tcBorders/>
            <w:shd w:fill="FFFFFF" w:val="clear"/>
            <w:vAlign w:val="center"/>
          </w:tcPr>
          <w:p>
            <w:pPr>
              <w:pStyle w:val="TableContents"/>
              <w:bidi w:val="0"/>
              <w:spacing w:before="0" w:after="283"/>
              <w:jc w:val="right"/>
              <w:rPr/>
            </w:pPr>
            <w:r>
              <w:rPr/>
              <w:t>153</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bookmarkStart w:id="476" w:name="xdx_98C_eus-gaap--OperatingLeaseCost_pn3"/>
            <w:bookmarkEnd w:id="476"/>
          </w:p>
        </w:tc>
        <w:tc>
          <w:tcPr>
            <w:tcW w:w="567" w:type="dxa"/>
            <w:tcBorders/>
            <w:shd w:fill="FFFFFF" w:val="clear"/>
            <w:vAlign w:val="center"/>
          </w:tcPr>
          <w:p>
            <w:pPr>
              <w:pStyle w:val="TableContents"/>
              <w:bidi w:val="0"/>
              <w:spacing w:before="0" w:after="283"/>
              <w:jc w:val="right"/>
              <w:rPr/>
            </w:pPr>
            <w:r>
              <w:rPr/>
              <w:t>45</w:t>
            </w:r>
          </w:p>
        </w:tc>
        <w:tc>
          <w:tcPr>
            <w:tcW w:w="75" w:type="dxa"/>
            <w:tcBorders/>
            <w:shd w:fill="FFFFFF" w:val="cle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pPr>
            <w:r>
              <w:rPr/>
              <w:t>General and administration</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bookmarkStart w:id="477" w:name="xdx_989_eus-gaap--OperatingLeaseCost_pn3"/>
            <w:bookmarkEnd w:id="477"/>
          </w:p>
        </w:tc>
        <w:tc>
          <w:tcPr>
            <w:tcW w:w="911" w:type="dxa"/>
            <w:tcBorders/>
            <w:shd w:fill="CCEEFF" w:val="clear"/>
            <w:vAlign w:val="center"/>
          </w:tcPr>
          <w:p>
            <w:pPr>
              <w:pStyle w:val="TableContents"/>
              <w:bidi w:val="0"/>
              <w:spacing w:before="0" w:after="283"/>
              <w:jc w:val="right"/>
              <w:rPr/>
            </w:pPr>
            <w:r>
              <w:rPr/>
              <w:t>762</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bookmarkStart w:id="478" w:name="xdx_98A_eus-gaap--OperatingLeaseCost_pn3"/>
            <w:bookmarkEnd w:id="478"/>
          </w:p>
        </w:tc>
        <w:tc>
          <w:tcPr>
            <w:tcW w:w="618" w:type="dxa"/>
            <w:tcBorders/>
            <w:shd w:fill="CCEEFF" w:val="clear"/>
            <w:vAlign w:val="center"/>
          </w:tcPr>
          <w:p>
            <w:pPr>
              <w:pStyle w:val="TableContents"/>
              <w:bidi w:val="0"/>
              <w:spacing w:before="0" w:after="283"/>
              <w:jc w:val="right"/>
              <w:rPr/>
            </w:pPr>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bookmarkStart w:id="479" w:name="xdx_982_eus-gaap--OperatingLeaseCost_pn3"/>
            <w:bookmarkEnd w:id="479"/>
          </w:p>
        </w:tc>
        <w:tc>
          <w:tcPr>
            <w:tcW w:w="835" w:type="dxa"/>
            <w:tcBorders/>
            <w:shd w:fill="CCEEFF" w:val="clear"/>
            <w:vAlign w:val="center"/>
          </w:tcPr>
          <w:p>
            <w:pPr>
              <w:pStyle w:val="TableContents"/>
              <w:bidi w:val="0"/>
              <w:spacing w:before="0" w:after="283"/>
              <w:jc w:val="right"/>
              <w:rPr/>
            </w:pPr>
            <w:r>
              <w:rPr/>
              <w:t>1,032</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bookmarkStart w:id="480" w:name="xdx_98B_eus-gaap--OperatingLeaseCost_pn3"/>
            <w:bookmarkEnd w:id="480"/>
          </w:p>
        </w:tc>
        <w:tc>
          <w:tcPr>
            <w:tcW w:w="567" w:type="dxa"/>
            <w:tcBorders/>
            <w:shd w:fill="CCEEFF" w:val="clear"/>
            <w:vAlign w:val="center"/>
          </w:tcPr>
          <w:p>
            <w:pPr>
              <w:pStyle w:val="TableContents"/>
              <w:bidi w:val="0"/>
              <w:spacing w:before="0" w:after="283"/>
              <w:jc w:val="right"/>
              <w:rPr/>
            </w:pPr>
            <w:r>
              <w:rPr/>
              <w:t>24</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pPr>
            <w:r>
              <w:rPr/>
              <w:t>Operating lease cost</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481" w:name="xdx_989_eus-gaap--OperatingLeaseCost_pn3"/>
            <w:bookmarkEnd w:id="481"/>
          </w:p>
        </w:tc>
        <w:tc>
          <w:tcPr>
            <w:tcW w:w="911" w:type="dxa"/>
            <w:tcBorders>
              <w:bottom w:val="single" w:sz="12" w:space="0" w:color="000000"/>
            </w:tcBorders>
            <w:shd w:fill="FFFFFF" w:val="clear"/>
            <w:tcMar>
              <w:bottom w:w="28" w:type="dxa"/>
            </w:tcMar>
            <w:vAlign w:val="center"/>
          </w:tcPr>
          <w:p>
            <w:pPr>
              <w:pStyle w:val="TableContents"/>
              <w:bidi w:val="0"/>
              <w:spacing w:before="0" w:after="283"/>
              <w:jc w:val="right"/>
              <w:rPr/>
            </w:pPr>
            <w:r>
              <w:rPr/>
              <w:t>11</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482" w:name="xdx_98B_eus-gaap--OperatingLeaseCost_pn3"/>
            <w:bookmarkEnd w:id="482"/>
          </w:p>
        </w:tc>
        <w:tc>
          <w:tcPr>
            <w:tcW w:w="618" w:type="dxa"/>
            <w:tcBorders>
              <w:bottom w:val="single" w:sz="12" w:space="0" w:color="000000"/>
            </w:tcBorders>
            <w:shd w:fill="FFFFFF" w:val="clear"/>
            <w:tcMar>
              <w:bottom w:w="28" w:type="dxa"/>
            </w:tcMar>
            <w:vAlign w:val="center"/>
          </w:tcPr>
          <w:p>
            <w:pPr>
              <w:pStyle w:val="TableContents"/>
              <w:bidi w:val="0"/>
              <w:spacing w:before="0" w:after="283"/>
              <w:jc w:val="right"/>
              <w:rPr/>
            </w:pPr>
            <w:r>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483" w:name="xdx_981_eus-gaap--OperatingLeaseCost_pn3"/>
            <w:bookmarkEnd w:id="483"/>
          </w:p>
        </w:tc>
        <w:tc>
          <w:tcPr>
            <w:tcW w:w="835" w:type="dxa"/>
            <w:tcBorders>
              <w:bottom w:val="single" w:sz="12" w:space="0" w:color="000000"/>
            </w:tcBorders>
            <w:shd w:fill="FFFFFF" w:val="clear"/>
            <w:tcMar>
              <w:bottom w:w="28" w:type="dxa"/>
            </w:tcMar>
            <w:vAlign w:val="center"/>
          </w:tcPr>
          <w:p>
            <w:pPr>
              <w:pStyle w:val="TableContents"/>
              <w:bidi w:val="0"/>
              <w:spacing w:before="0" w:after="283"/>
              <w:jc w:val="right"/>
              <w:rPr/>
            </w:pPr>
            <w:r>
              <w:rPr/>
              <w:t>23</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484" w:name="xdx_989_eus-gaap--OperatingLeaseCost_pn3"/>
            <w:bookmarkEnd w:id="484"/>
          </w:p>
        </w:tc>
        <w:tc>
          <w:tcPr>
            <w:tcW w:w="567" w:type="dxa"/>
            <w:tcBorders>
              <w:bottom w:val="single" w:sz="12" w:space="0" w:color="000000"/>
            </w:tcBorders>
            <w:shd w:fill="FFFFFF" w:val="clear"/>
            <w:tcMar>
              <w:bottom w:w="28" w:type="dxa"/>
            </w:tcMar>
            <w:vAlign w:val="center"/>
          </w:tcPr>
          <w:p>
            <w:pPr>
              <w:pStyle w:val="TableContents"/>
              <w:bidi w:val="0"/>
              <w:spacing w:before="0" w:after="283"/>
              <w:jc w:val="right"/>
              <w:rPr/>
            </w:pPr>
            <w:r>
              <w:rPr/>
              <w:t>24</w:t>
            </w:r>
          </w:p>
        </w:tc>
        <w:tc>
          <w:tcPr>
            <w:tcW w:w="75" w:type="dxa"/>
            <w:tcBorders/>
            <w:shd w:fill="FFFFFF" w:val="cle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bookmarkStart w:id="485" w:name="xdx_98A_eus-gaap--OperatingLeaseCost_pn3"/>
            <w:bookmarkEnd w:id="485"/>
          </w:p>
        </w:tc>
        <w:tc>
          <w:tcPr>
            <w:tcW w:w="911" w:type="dxa"/>
            <w:tcBorders>
              <w:bottom w:val="single" w:sz="12" w:space="0" w:color="000000"/>
            </w:tcBorders>
            <w:shd w:fill="CCEEFF" w:val="clear"/>
            <w:tcMar>
              <w:bottom w:w="28" w:type="dxa"/>
            </w:tcMar>
            <w:vAlign w:val="center"/>
          </w:tcPr>
          <w:p>
            <w:pPr>
              <w:pStyle w:val="TableContents"/>
              <w:bidi w:val="0"/>
              <w:spacing w:before="0" w:after="283"/>
              <w:jc w:val="right"/>
              <w:rPr/>
            </w:pPr>
            <w:r>
              <w:rPr/>
              <w:t>1,244</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bookmarkStart w:id="486" w:name="xdx_985_eus-gaap--OperatingLeaseCost_pn3"/>
            <w:bookmarkEnd w:id="486"/>
          </w:p>
        </w:tc>
        <w:tc>
          <w:tcPr>
            <w:tcW w:w="618" w:type="dxa"/>
            <w:tcBorders>
              <w:bottom w:val="single" w:sz="12" w:space="0" w:color="000000"/>
            </w:tcBorders>
            <w:shd w:fill="CCEEFF" w:val="clear"/>
            <w:tcMar>
              <w:bottom w:w="28" w:type="dxa"/>
            </w:tcMar>
            <w:vAlign w:val="center"/>
          </w:tcPr>
          <w:p>
            <w:pPr>
              <w:pStyle w:val="TableContents"/>
              <w:bidi w:val="0"/>
              <w:spacing w:before="0" w:after="283"/>
              <w:jc w:val="right"/>
              <w:rPr/>
            </w:pPr>
            <w:r>
              <w:rPr/>
              <w:t>395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bookmarkStart w:id="487" w:name="xdx_984_eus-gaap--OperatingLeaseCost_pn3"/>
            <w:bookmarkEnd w:id="487"/>
          </w:p>
        </w:tc>
        <w:tc>
          <w:tcPr>
            <w:tcW w:w="835" w:type="dxa"/>
            <w:tcBorders>
              <w:bottom w:val="single" w:sz="12" w:space="0" w:color="000000"/>
            </w:tcBorders>
            <w:shd w:fill="CCEEFF" w:val="clear"/>
            <w:tcMar>
              <w:bottom w:w="28" w:type="dxa"/>
            </w:tcMar>
            <w:vAlign w:val="center"/>
          </w:tcPr>
          <w:p>
            <w:pPr>
              <w:pStyle w:val="TableContents"/>
              <w:bidi w:val="0"/>
              <w:spacing w:before="0" w:after="283"/>
              <w:jc w:val="right"/>
              <w:rPr/>
            </w:pPr>
            <w:r>
              <w:rPr/>
              <w:t>1,899</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bookmarkStart w:id="488" w:name="xdx_982_eus-gaap--OperatingLeaseCost_pn3"/>
            <w:bookmarkEnd w:id="488"/>
          </w:p>
        </w:tc>
        <w:tc>
          <w:tcPr>
            <w:tcW w:w="567" w:type="dxa"/>
            <w:tcBorders>
              <w:bottom w:val="single" w:sz="12" w:space="0" w:color="000000"/>
            </w:tcBorders>
            <w:shd w:fill="CCEEFF" w:val="clear"/>
            <w:tcMar>
              <w:bottom w:w="28" w:type="dxa"/>
            </w:tcMar>
            <w:vAlign w:val="center"/>
          </w:tcPr>
          <w:p>
            <w:pPr>
              <w:pStyle w:val="TableContents"/>
              <w:bidi w:val="0"/>
              <w:spacing w:before="0" w:after="283"/>
              <w:jc w:val="right"/>
              <w:rPr/>
            </w:pPr>
            <w:r>
              <w:rPr/>
              <w:t>788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89" w:name="xdx_8AE_zwjRM8IdBGe3"/>
      <w:bookmarkEnd w:id="48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lease costs included in the schedule above are fixed.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entered into finance lease agreements for equipment to support the Company’s operations. Payments under the finance lease agreements are fixed for a term of </w:t>
      </w:r>
      <w:bookmarkStart w:id="490" w:name="xdx_904_eus-gaap--LesseeFinanceLeaseTerm"/>
      <w:bookmarkEnd w:id="490"/>
      <w:r>
        <w:rPr>
          <w:rFonts w:ascii="Times New Roman;Times;Serif" w:hAnsi="Times New Roman;Times;Serif"/>
          <w:b w:val="false"/>
          <w:i w:val="false"/>
          <w:caps w:val="false"/>
          <w:smallCaps w:val="false"/>
          <w:sz w:val="20"/>
        </w:rPr>
        <w:t>3-</w:t>
      </w:r>
      <w:bookmarkStart w:id="491" w:name="xdx_900_eus-gaap--LesseeFinanceLeaseTerm"/>
      <w:bookmarkEnd w:id="491"/>
      <w:r>
        <w:rPr>
          <w:rFonts w:ascii="Times New Roman;Times;Serif" w:hAnsi="Times New Roman;Times;Serif"/>
          <w:b w:val="false"/>
          <w:i w:val="false"/>
          <w:caps w:val="false"/>
          <w:smallCaps w:val="false"/>
          <w:sz w:val="20"/>
        </w:rPr>
        <w:t>5 years. The leased assets are recognized in property plant &amp;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92" w:name="xdx_899_ecustom--ScheduleOfBreakoutOfFin"/>
      <w:bookmarkEnd w:id="492"/>
      <w:r>
        <w:rPr>
          <w:rFonts w:ascii="Times New Roman;Times;Serif" w:hAnsi="Times New Roman;Times;Serif"/>
          <w:b w:val="false"/>
          <w:i w:val="false"/>
          <w:caps w:val="false"/>
          <w:smallCaps w:val="false"/>
          <w:sz w:val="20"/>
        </w:rPr>
        <w:t>The following table presents the breakout of the financing leases as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493" w:name="xdx_8BA_zDg9I0VbNYf"/>
      <w:bookmarkEnd w:id="493"/>
      <w:r>
        <w:rPr>
          <w:rFonts w:ascii="Times New Roman;Times;Serif" w:hAnsi="Times New Roman;Times;Serif"/>
          <w:b w:val="false"/>
          <w:i w:val="false"/>
          <w:caps w:val="false"/>
          <w:smallCaps w:val="false"/>
          <w:sz w:val="20"/>
        </w:rPr>
        <w:t>SCHEDULE OF BREAKOUT OF FINANCE LEASES</w:t>
      </w:r>
      <w:r>
        <w:rPr>
          <w:rFonts w:ascii="Times New Roman;Times;Serif" w:hAnsi="Times New Roman;Times;Serif"/>
          <w:b w:val="false"/>
          <w:i w:val="false"/>
          <w:caps w:val="false"/>
          <w:smallCaps w:val="false"/>
          <w:color w:val="000000"/>
          <w:sz w:val="20"/>
        </w:rPr>
        <w:t> </w:t>
      </w:r>
    </w:p>
    <w:tbl>
      <w:tblPr>
        <w:tblW w:w="6614" w:type="dxa"/>
        <w:jc w:val="left"/>
        <w:tblInd w:w="0" w:type="dxa"/>
        <w:tblLayout w:type="fixed"/>
        <w:tblCellMar>
          <w:top w:w="0" w:type="dxa"/>
          <w:left w:w="0" w:type="dxa"/>
          <w:bottom w:w="0" w:type="dxa"/>
          <w:right w:w="0" w:type="dxa"/>
        </w:tblCellMar>
      </w:tblPr>
      <w:tblGrid>
        <w:gridCol w:w="3755"/>
        <w:gridCol w:w="60"/>
        <w:gridCol w:w="140"/>
        <w:gridCol w:w="740"/>
        <w:gridCol w:w="215"/>
        <w:gridCol w:w="60"/>
        <w:gridCol w:w="341"/>
        <w:gridCol w:w="1073"/>
        <w:gridCol w:w="230"/>
      </w:tblGrid>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94" w:name="xdx_497_20240630_zN5wLSLG0g71"/>
            <w:bookmarkEnd w:id="494"/>
          </w:p>
        </w:tc>
        <w:tc>
          <w:tcPr>
            <w:tcW w:w="880"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June 30, </w:t>
              <w:b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5" w:name="xdx_491_20231231_zLnPHcIRZAOd"/>
            <w:bookmarkEnd w:id="495"/>
          </w:p>
        </w:tc>
        <w:tc>
          <w:tcPr>
            <w:tcW w:w="141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December 31, </w:t>
              <w:br/>
              <w:t>2023</w:t>
            </w:r>
          </w:p>
        </w:tc>
        <w:tc>
          <w:tcPr>
            <w:tcW w:w="230" w:type="dxa"/>
            <w:tcBorders/>
            <w:vAlign w:val="center"/>
          </w:tcPr>
          <w:p>
            <w:pPr>
              <w:pStyle w:val="TableContents"/>
              <w:bidi w:val="0"/>
              <w:spacing w:before="0" w:after="283"/>
              <w:jc w:val="left"/>
              <w:rPr/>
            </w:pPr>
            <w:r>
              <w:rPr/>
              <w:t> </w:t>
            </w:r>
            <w:bookmarkStart w:id="496" w:name="xdx_40F_ecustom--FinanceLeaseRightOfUseA"/>
            <w:bookmarkEnd w:id="496"/>
          </w:p>
        </w:tc>
      </w:tr>
      <w:tr>
        <w:trPr/>
        <w:tc>
          <w:tcPr>
            <w:tcW w:w="3755" w:type="dxa"/>
            <w:tcBorders/>
            <w:shd w:fill="CCEEFF" w:val="clear"/>
            <w:vAlign w:val="center"/>
          </w:tcPr>
          <w:p>
            <w:pPr>
              <w:pStyle w:val="TableContents"/>
              <w:bidi w:val="0"/>
              <w:spacing w:before="0" w:after="283"/>
              <w:jc w:val="left"/>
              <w:rPr/>
            </w:pPr>
            <w:r>
              <w:rPr/>
              <w:t>Finance lease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pPr>
            <w:r>
              <w:rPr/>
              <w:t>94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73" w:type="dxa"/>
            <w:tcBorders>
              <w:bottom w:val="single" w:sz="12" w:space="0" w:color="000000"/>
            </w:tcBorders>
            <w:shd w:fill="CCEEFF" w:val="clear"/>
            <w:tcMar>
              <w:bottom w:w="28" w:type="dxa"/>
            </w:tcMar>
            <w:vAlign w:val="center"/>
          </w:tcPr>
          <w:p>
            <w:pPr>
              <w:pStyle w:val="TableContents"/>
              <w:bidi w:val="0"/>
              <w:spacing w:before="0" w:after="283"/>
              <w:jc w:val="right"/>
              <w:rPr/>
            </w:pPr>
            <w:r>
              <w:rPr/>
              <w:t>106</w:t>
            </w:r>
          </w:p>
        </w:tc>
        <w:tc>
          <w:tcPr>
            <w:tcW w:w="230" w:type="dxa"/>
            <w:tcBorders/>
            <w:shd w:fill="CCEEFF" w:val="clear"/>
            <w:vAlign w:val="center"/>
          </w:tcPr>
          <w:p>
            <w:pPr>
              <w:pStyle w:val="TableContents"/>
              <w:bidi w:val="0"/>
              <w:spacing w:before="0" w:after="283"/>
              <w:jc w:val="left"/>
              <w:rPr/>
            </w:pPr>
            <w:r>
              <w:rPr/>
              <w:t> </w:t>
            </w:r>
            <w:bookmarkStart w:id="497" w:name="xdx_403_eus-gaap--FinanceLeaseLiabilityC"/>
            <w:bookmarkEnd w:id="497"/>
          </w:p>
        </w:tc>
      </w:tr>
      <w:tr>
        <w:trPr/>
        <w:tc>
          <w:tcPr>
            <w:tcW w:w="3755" w:type="dxa"/>
            <w:tcBorders/>
            <w:shd w:fill="FFFFFF" w:val="clear"/>
            <w:vAlign w:val="center"/>
          </w:tcPr>
          <w:p>
            <w:pPr>
              <w:pStyle w:val="TableContents"/>
              <w:bidi w:val="0"/>
              <w:spacing w:before="0" w:after="283"/>
              <w:jc w:val="left"/>
              <w:rPr/>
            </w:pPr>
            <w:r>
              <w:rPr/>
              <w:t>Short-term finance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37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36</w:t>
            </w:r>
          </w:p>
        </w:tc>
        <w:tc>
          <w:tcPr>
            <w:tcW w:w="230" w:type="dxa"/>
            <w:tcBorders/>
            <w:shd w:fill="FFFFFF" w:val="clear"/>
            <w:vAlign w:val="center"/>
          </w:tcPr>
          <w:p>
            <w:pPr>
              <w:pStyle w:val="TableContents"/>
              <w:bidi w:val="0"/>
              <w:spacing w:before="0" w:after="283"/>
              <w:jc w:val="left"/>
              <w:rPr/>
            </w:pPr>
            <w:r>
              <w:rPr/>
              <w:t> </w:t>
            </w:r>
            <w:bookmarkStart w:id="498" w:name="xdx_402_eus-gaap--FinanceLeaseLiabilityN"/>
            <w:bookmarkEnd w:id="498"/>
          </w:p>
        </w:tc>
      </w:tr>
      <w:tr>
        <w:trPr/>
        <w:tc>
          <w:tcPr>
            <w:tcW w:w="3755" w:type="dxa"/>
            <w:tcBorders/>
            <w:shd w:fill="CCEEFF" w:val="clear"/>
            <w:vAlign w:val="center"/>
          </w:tcPr>
          <w:p>
            <w:pPr>
              <w:pStyle w:val="TableContents"/>
              <w:bidi w:val="0"/>
              <w:spacing w:before="0" w:after="283"/>
              <w:jc w:val="left"/>
              <w:rPr/>
            </w:pPr>
            <w:r>
              <w:rPr/>
              <w:t>Long-term finance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pPr>
            <w:r>
              <w:rPr/>
              <w:t>46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12" w:space="0" w:color="000000"/>
            </w:tcBorders>
            <w:shd w:fill="CCEEFF" w:val="clear"/>
            <w:tcMar>
              <w:bottom w:w="28" w:type="dxa"/>
            </w:tcMar>
            <w:vAlign w:val="center"/>
          </w:tcPr>
          <w:p>
            <w:pPr>
              <w:pStyle w:val="TableContents"/>
              <w:bidi w:val="0"/>
              <w:spacing w:before="0" w:after="283"/>
              <w:jc w:val="right"/>
              <w:rPr/>
            </w:pPr>
            <w:r>
              <w:rPr/>
              <w:t>66</w:t>
            </w:r>
          </w:p>
        </w:tc>
        <w:tc>
          <w:tcPr>
            <w:tcW w:w="230" w:type="dxa"/>
            <w:tcBorders/>
            <w:shd w:fill="CCEEFF" w:val="clear"/>
            <w:vAlign w:val="center"/>
          </w:tcPr>
          <w:p>
            <w:pPr>
              <w:pStyle w:val="TableContents"/>
              <w:bidi w:val="0"/>
              <w:spacing w:before="0" w:after="283"/>
              <w:jc w:val="left"/>
              <w:rPr/>
            </w:pPr>
            <w:r>
              <w:rPr/>
              <w:t> </w:t>
            </w:r>
            <w:bookmarkStart w:id="499" w:name="xdx_400_eus-gaap--FinanceLeaseLiability_"/>
            <w:bookmarkEnd w:id="499"/>
          </w:p>
        </w:tc>
      </w:tr>
      <w:tr>
        <w:trPr/>
        <w:tc>
          <w:tcPr>
            <w:tcW w:w="3755" w:type="dxa"/>
            <w:tcBorders/>
            <w:shd w:fill="FFFFFF" w:val="clear"/>
            <w:vAlign w:val="center"/>
          </w:tcPr>
          <w:p>
            <w:pPr>
              <w:pStyle w:val="TableContents"/>
              <w:bidi w:val="0"/>
              <w:spacing w:before="0" w:after="283"/>
              <w:jc w:val="left"/>
              <w:rPr/>
            </w:pPr>
            <w:r>
              <w:rPr/>
              <w:t>Total finance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pPr>
            <w:r>
              <w:rPr/>
              <w:t>83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3" w:type="dxa"/>
            <w:tcBorders>
              <w:bottom w:val="double" w:sz="6" w:space="0" w:color="000000"/>
            </w:tcBorders>
            <w:shd w:fill="FFFFFF" w:val="clear"/>
            <w:tcMar>
              <w:bottom w:w="28" w:type="dxa"/>
            </w:tcMar>
            <w:vAlign w:val="center"/>
          </w:tcPr>
          <w:p>
            <w:pPr>
              <w:pStyle w:val="TableContents"/>
              <w:bidi w:val="0"/>
              <w:spacing w:before="0" w:after="283"/>
              <w:jc w:val="right"/>
              <w:rPr/>
            </w:pPr>
            <w:r>
              <w:rPr/>
              <w:t>102</w:t>
            </w:r>
          </w:p>
        </w:tc>
        <w:tc>
          <w:tcPr>
            <w:tcW w:w="23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Weighted average remaining lease term</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20"/>
              </w:rPr>
            </w:pPr>
            <w:bookmarkStart w:id="500" w:name="xdx_900_eus-gaap--FinanceLeaseWeightedAv"/>
            <w:bookmarkEnd w:id="500"/>
            <w:r>
              <w:rPr>
                <w:rFonts w:ascii="Times New Roman;Times;Serif" w:hAnsi="Times New Roman;Times;Serif"/>
                <w:sz w:val="20"/>
              </w:rPr>
              <w:t>2.3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rFonts w:ascii="Times New Roman;Times;Serif" w:hAnsi="Times New Roman;Times;Serif"/>
                <w:sz w:val="20"/>
              </w:rPr>
            </w:pPr>
            <w:bookmarkStart w:id="501" w:name="xdx_909_eus-gaap--FinanceLeaseWeightedAv"/>
            <w:bookmarkEnd w:id="501"/>
            <w:r>
              <w:rPr>
                <w:rFonts w:ascii="Times New Roman;Times;Serif" w:hAnsi="Times New Roman;Times;Serif"/>
                <w:sz w:val="20"/>
              </w:rPr>
              <w:t>2.7 years</w:t>
            </w:r>
          </w:p>
        </w:tc>
        <w:tc>
          <w:tcPr>
            <w:tcW w:w="23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bookmarkStart w:id="502" w:name="xdx_90E_eus-gaap--FinanceLeaseWeightedAv"/>
            <w:bookmarkEnd w:id="502"/>
            <w:r>
              <w:rPr/>
              <w:t>5.2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bookmarkStart w:id="503" w:name="xdx_902_eus-gaap--FinanceLeaseWeightedAv"/>
            <w:bookmarkEnd w:id="503"/>
            <w:r>
              <w:rPr/>
              <w:t>5.2</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504" w:name="xdx_8A4_zRclUkeZ2HPi"/>
      <w:bookmarkEnd w:id="50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used in determining our incremental borrowing rate include our implied credit rating and an estimate of secured borrowing rates based on comparable market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5" w:name="xdx_897_eus-gaap--FinanceLeaseLiabilityM"/>
      <w:bookmarkEnd w:id="505"/>
      <w:r>
        <w:rPr>
          <w:rFonts w:ascii="Times New Roman;Times;Serif" w:hAnsi="Times New Roman;Times;Serif"/>
          <w:b w:val="false"/>
          <w:i w:val="false"/>
          <w:caps w:val="false"/>
          <w:smallCaps w:val="false"/>
          <w:sz w:val="20"/>
        </w:rPr>
        <w:t>At June 30, 2024, the future minimum lease payments under these operating leases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506" w:name="xdx_8B2_zkR6zWETi81a"/>
      <w:bookmarkEnd w:id="506"/>
      <w:r>
        <w:rPr>
          <w:rFonts w:ascii="Times New Roman;Times;Serif" w:hAnsi="Times New Roman;Times;Serif"/>
          <w:b w:val="false"/>
          <w:i w:val="false"/>
          <w:caps w:val="false"/>
          <w:smallCaps w:val="false"/>
          <w:sz w:val="20"/>
        </w:rPr>
        <w:t>SCHEDULE OF FUTURE MINIMUM LEASE PAYMENTS UNDER FINANCE LEASES </w:t>
      </w:r>
    </w:p>
    <w:tbl>
      <w:tblPr>
        <w:tblW w:w="3435" w:type="dxa"/>
        <w:jc w:val="left"/>
        <w:tblInd w:w="0" w:type="dxa"/>
        <w:tblLayout w:type="fixed"/>
        <w:tblCellMar>
          <w:top w:w="0" w:type="dxa"/>
          <w:left w:w="0" w:type="dxa"/>
          <w:bottom w:w="0" w:type="dxa"/>
          <w:right w:w="0" w:type="dxa"/>
        </w:tblCellMar>
      </w:tblPr>
      <w:tblGrid>
        <w:gridCol w:w="2900"/>
        <w:gridCol w:w="60"/>
        <w:gridCol w:w="140"/>
        <w:gridCol w:w="260"/>
        <w:gridCol w:w="75"/>
      </w:tblGrid>
      <w:tr>
        <w:trPr/>
        <w:tc>
          <w:tcPr>
            <w:tcW w:w="2900" w:type="dxa"/>
            <w:tcBorders/>
            <w:shd w:fill="CCEEFF" w:val="clear"/>
            <w:vAlign w:val="center"/>
          </w:tcPr>
          <w:p>
            <w:pPr>
              <w:pStyle w:val="TableContents"/>
              <w:bidi w:val="0"/>
              <w:spacing w:before="0" w:after="283"/>
              <w:jc w:val="left"/>
              <w:rPr/>
            </w:pPr>
            <w:r>
              <w:rPr/>
              <w:t>Fiscal Years Ending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07" w:name="xdx_49B_20240630_zMYnHOx90fh3"/>
            <w:bookmarkEnd w:id="507"/>
          </w:p>
        </w:tc>
        <w:tc>
          <w:tcPr>
            <w:tcW w:w="2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08" w:name="xdx_40F_eus-gaap--FinanceLeaseLiabilityP"/>
            <w:bookmarkEnd w:id="508"/>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December 31, 2024</w:t>
            </w:r>
            <w:bookmarkStart w:id="509" w:name="xdx_F4C_zxIhRWbuayX3"/>
            <w:bookmarkEnd w:id="509"/>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260" w:type="dxa"/>
            <w:tcBorders/>
            <w:shd w:fill="FFFFFF" w:val="clear"/>
            <w:vAlign w:val="center"/>
          </w:tcPr>
          <w:p>
            <w:pPr>
              <w:pStyle w:val="TableContents"/>
              <w:bidi w:val="0"/>
              <w:spacing w:before="0" w:after="283"/>
              <w:jc w:val="right"/>
              <w:rPr/>
            </w:pPr>
            <w:r>
              <w:rPr/>
              <w:t>20</w:t>
            </w:r>
          </w:p>
        </w:tc>
        <w:tc>
          <w:tcPr>
            <w:tcW w:w="75" w:type="dxa"/>
            <w:tcBorders/>
            <w:shd w:fill="FFFFFF" w:val="clear"/>
            <w:vAlign w:val="center"/>
          </w:tcPr>
          <w:p>
            <w:pPr>
              <w:pStyle w:val="TableContents"/>
              <w:bidi w:val="0"/>
              <w:spacing w:before="0" w:after="283"/>
              <w:jc w:val="left"/>
              <w:rPr/>
            </w:pPr>
            <w:r>
              <w:rPr/>
              <w:t> </w:t>
            </w:r>
            <w:bookmarkStart w:id="510" w:name="xdx_409_eus-gaap--FinanceLeaseLiabilityP"/>
            <w:bookmarkEnd w:id="510"/>
          </w:p>
        </w:tc>
      </w:tr>
      <w:tr>
        <w:trPr/>
        <w:tc>
          <w:tcPr>
            <w:tcW w:w="2900" w:type="dxa"/>
            <w:tcBorders/>
            <w:shd w:fill="CCEEFF" w:val="clear"/>
            <w:vAlign w:val="center"/>
          </w:tcPr>
          <w:p>
            <w:pPr>
              <w:pStyle w:val="TableContents"/>
              <w:bidi w:val="0"/>
              <w:spacing w:before="0" w:after="283"/>
              <w:jc w:val="left"/>
              <w:rPr/>
            </w:pPr>
            <w:r>
              <w:rPr/>
              <w:t>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41</w:t>
            </w:r>
          </w:p>
        </w:tc>
        <w:tc>
          <w:tcPr>
            <w:tcW w:w="75" w:type="dxa"/>
            <w:tcBorders/>
            <w:shd w:fill="CCEEFF" w:val="clear"/>
            <w:vAlign w:val="center"/>
          </w:tcPr>
          <w:p>
            <w:pPr>
              <w:pStyle w:val="TableContents"/>
              <w:bidi w:val="0"/>
              <w:spacing w:before="0" w:after="283"/>
              <w:jc w:val="left"/>
              <w:rPr/>
            </w:pPr>
            <w:r>
              <w:rPr/>
              <w:t> </w:t>
            </w:r>
            <w:bookmarkStart w:id="511" w:name="xdx_402_eus-gaap--FinanceLeaseLiabilityP"/>
            <w:bookmarkEnd w:id="511"/>
          </w:p>
        </w:tc>
      </w:tr>
      <w:tr>
        <w:trPr/>
        <w:tc>
          <w:tcPr>
            <w:tcW w:w="2900" w:type="dxa"/>
            <w:tcBorders/>
            <w:shd w:fill="FFFFFF" w:val="clear"/>
            <w:vAlign w:val="center"/>
          </w:tcPr>
          <w:p>
            <w:pPr>
              <w:pStyle w:val="TableContents"/>
              <w:bidi w:val="0"/>
              <w:spacing w:before="0" w:after="283"/>
              <w:jc w:val="left"/>
              <w:rPr/>
            </w:pPr>
            <w:r>
              <w:rPr/>
              <w:t>December 31,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24</w:t>
            </w:r>
          </w:p>
        </w:tc>
        <w:tc>
          <w:tcPr>
            <w:tcW w:w="75" w:type="dxa"/>
            <w:tcBorders/>
            <w:shd w:fill="FFFFFF" w:val="clear"/>
            <w:vAlign w:val="center"/>
          </w:tcPr>
          <w:p>
            <w:pPr>
              <w:pStyle w:val="TableContents"/>
              <w:bidi w:val="0"/>
              <w:spacing w:before="0" w:after="283"/>
              <w:jc w:val="left"/>
              <w:rPr/>
            </w:pPr>
            <w:r>
              <w:rPr/>
              <w:t> </w:t>
            </w:r>
            <w:bookmarkStart w:id="512" w:name="xdx_40F_eus-gaap--FinanceLeaseLiabilityP"/>
            <w:bookmarkEnd w:id="512"/>
          </w:p>
        </w:tc>
      </w:tr>
      <w:tr>
        <w:trPr/>
        <w:tc>
          <w:tcPr>
            <w:tcW w:w="2900" w:type="dxa"/>
            <w:tcBorders/>
            <w:shd w:fill="CCEEFF" w:val="clear"/>
            <w:vAlign w:val="center"/>
          </w:tcPr>
          <w:p>
            <w:pPr>
              <w:pStyle w:val="TableContents"/>
              <w:bidi w:val="0"/>
              <w:spacing w:before="0" w:after="283"/>
              <w:jc w:val="left"/>
              <w:rPr/>
            </w:pPr>
            <w:r>
              <w:rPr/>
              <w:t>December 31, 2027</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60"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75" w:type="dxa"/>
            <w:tcBorders/>
            <w:shd w:fill="CCEEFF" w:val="clear"/>
            <w:vAlign w:val="center"/>
          </w:tcPr>
          <w:p>
            <w:pPr>
              <w:pStyle w:val="TableContents"/>
              <w:bidi w:val="0"/>
              <w:spacing w:before="0" w:after="283"/>
              <w:jc w:val="left"/>
              <w:rPr/>
            </w:pPr>
            <w:r>
              <w:rPr/>
              <w:t> </w:t>
            </w:r>
            <w:bookmarkStart w:id="513" w:name="xdx_406_eus-gaap--FinanceLeaseLiabilityP"/>
            <w:bookmarkEnd w:id="513"/>
          </w:p>
        </w:tc>
      </w:tr>
      <w:tr>
        <w:trPr/>
        <w:tc>
          <w:tcPr>
            <w:tcW w:w="2900" w:type="dxa"/>
            <w:tcBorders/>
            <w:shd w:fill="FFFFFF" w:val="clear"/>
            <w:vAlign w:val="center"/>
          </w:tcPr>
          <w:p>
            <w:pPr>
              <w:pStyle w:val="TableContents"/>
              <w:bidi w:val="0"/>
              <w:spacing w:before="0" w:after="283"/>
              <w:jc w:val="left"/>
              <w:rPr/>
            </w:pPr>
            <w:r>
              <w:rPr/>
              <w:t>Total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89</w:t>
            </w:r>
          </w:p>
        </w:tc>
        <w:tc>
          <w:tcPr>
            <w:tcW w:w="75" w:type="dxa"/>
            <w:tcBorders/>
            <w:shd w:fill="FFFFFF" w:val="clear"/>
            <w:vAlign w:val="center"/>
          </w:tcPr>
          <w:p>
            <w:pPr>
              <w:pStyle w:val="TableContents"/>
              <w:bidi w:val="0"/>
              <w:spacing w:before="0" w:after="283"/>
              <w:jc w:val="left"/>
              <w:rPr/>
            </w:pPr>
            <w:r>
              <w:rPr/>
              <w:t> </w:t>
            </w:r>
            <w:bookmarkStart w:id="514" w:name="xdx_40B_eus-gaap--FinanceLeaseLiabilityU"/>
            <w:bookmarkEnd w:id="514"/>
          </w:p>
        </w:tc>
      </w:tr>
      <w:tr>
        <w:trPr/>
        <w:tc>
          <w:tcPr>
            <w:tcW w:w="2900" w:type="dxa"/>
            <w:tcBorders/>
            <w:shd w:fill="CCEEFF" w:val="clear"/>
            <w:vAlign w:val="center"/>
          </w:tcPr>
          <w:p>
            <w:pPr>
              <w:pStyle w:val="TableContents"/>
              <w:bidi w:val="0"/>
              <w:spacing w:before="0" w:after="283"/>
              <w:jc w:val="left"/>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60" w:type="dxa"/>
            <w:tcBorders>
              <w:bottom w:val="single" w:sz="12" w:space="0" w:color="000000"/>
            </w:tcBorders>
            <w:shd w:fill="CCEEFF" w:val="clear"/>
            <w:tcMar>
              <w:bottom w:w="28" w:type="dxa"/>
            </w:tcMar>
            <w:vAlign w:val="center"/>
          </w:tcPr>
          <w:p>
            <w:pPr>
              <w:pStyle w:val="TableContents"/>
              <w:bidi w:val="0"/>
              <w:spacing w:before="0" w:after="283"/>
              <w:jc w:val="right"/>
              <w:rPr/>
            </w:pPr>
            <w:r>
              <w:rPr/>
              <w:t>6</w:t>
            </w:r>
          </w:p>
        </w:tc>
        <w:tc>
          <w:tcPr>
            <w:tcW w:w="75" w:type="dxa"/>
            <w:tcBorders/>
            <w:shd w:fill="CCEEFF" w:val="clear"/>
            <w:vAlign w:val="center"/>
          </w:tcPr>
          <w:p>
            <w:pPr>
              <w:pStyle w:val="TableContents"/>
              <w:bidi w:val="0"/>
              <w:spacing w:before="0" w:after="283"/>
              <w:jc w:val="left"/>
              <w:rPr/>
            </w:pPr>
            <w:r>
              <w:rPr/>
              <w:t> </w:t>
            </w:r>
            <w:bookmarkStart w:id="515" w:name="xdx_405_eus-gaap--FinanceLeaseLiability_"/>
            <w:bookmarkEnd w:id="515"/>
          </w:p>
        </w:tc>
      </w:tr>
      <w:tr>
        <w:trPr/>
        <w:tc>
          <w:tcPr>
            <w:tcW w:w="2900" w:type="dxa"/>
            <w:tcBorders/>
            <w:shd w:fill="FFFFFF" w:val="clear"/>
            <w:vAlign w:val="center"/>
          </w:tcPr>
          <w:p>
            <w:pPr>
              <w:pStyle w:val="TableContents"/>
              <w:bidi w:val="0"/>
              <w:spacing w:before="0" w:after="283"/>
              <w:jc w:val="left"/>
              <w:rPr/>
            </w:pPr>
            <w:r>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right"/>
              <w:rPr/>
            </w:pPr>
            <w:r>
              <w:rPr/>
              <w:t>83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260"/>
        <w:gridCol w:w="7775"/>
      </w:tblGrid>
      <w:tr>
        <w:trPr/>
        <w:tc>
          <w:tcPr>
            <w:tcW w:w="2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16" w:name="xdx_F01_zsX5LusFM7O9"/>
            <w:bookmarkEnd w:id="516"/>
            <w:r>
              <w:rPr>
                <w:rFonts w:ascii="Times New Roman;Times;Serif" w:hAnsi="Times New Roman;Times;Serif"/>
                <w:b w:val="false"/>
                <w:i w:val="false"/>
                <w:caps w:val="false"/>
                <w:smallCaps w:val="false"/>
                <w:sz w:val="20"/>
              </w:rPr>
              <w:t>(1)</w:t>
            </w:r>
          </w:p>
        </w:tc>
        <w:tc>
          <w:tcPr>
            <w:tcW w:w="7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17" w:name="xdx_F1E_zDt0tNeyjySd"/>
            <w:bookmarkEnd w:id="517"/>
            <w:r>
              <w:rPr>
                <w:rFonts w:ascii="Times New Roman;Times;Serif" w:hAnsi="Times New Roman;Times;Serif"/>
                <w:b w:val="false"/>
                <w:i w:val="false"/>
                <w:caps w:val="false"/>
                <w:smallCaps w:val="false"/>
                <w:sz w:val="20"/>
              </w:rPr>
              <w:t>Represents scheduled payments for the remaining six-month period ending December 31, 2024.</w:t>
            </w:r>
          </w:p>
        </w:tc>
      </w:tr>
    </w:tbl>
    <w:p>
      <w:pPr>
        <w:pStyle w:val="TextBody"/>
        <w:bidi w:val="0"/>
        <w:spacing w:before="0" w:after="0"/>
        <w:ind w:left="0" w:right="0" w:hanging="0"/>
        <w:jc w:val="both"/>
        <w:rPr>
          <w:caps w:val="false"/>
          <w:smallCaps w:val="false"/>
        </w:rPr>
      </w:pPr>
      <w:bookmarkStart w:id="518" w:name="xdx_8AD_zYk5hkGPCNWk"/>
      <w:bookmarkEnd w:id="518"/>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7 for further discussion regarding contingent consideration arising from the April 2022 Asset Purchase agreement with Thomason Jones Company,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519" w:name="xdx_80E_eus-gaap--DebtDisclosureTextBloc"/>
      <w:bookmarkEnd w:id="519"/>
      <w:r>
        <w:rPr>
          <w:rFonts w:ascii="Times New Roman;Times;Serif" w:hAnsi="Times New Roman;Times;Serif"/>
          <w:b/>
          <w:i w:val="false"/>
          <w:caps/>
          <w:sz w:val="20"/>
        </w:rPr>
        <w:t xml:space="preserve">Note 6 - </w:t>
      </w:r>
      <w:bookmarkStart w:id="520" w:name="xdx_821_zBW5HNMU3D4"/>
      <w:bookmarkEnd w:id="520"/>
      <w:r>
        <w:rPr>
          <w:rFonts w:ascii="Times New Roman;Times;Serif" w:hAnsi="Times New Roman;Times;Serif"/>
          <w:b/>
          <w:i w:val="false"/>
          <w:caps/>
          <w:sz w:val="20"/>
        </w:rPr>
        <w:t>LONG TERM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(the “Closing Date”), in connection with the merger, CNTQ, Legacy Dragonfly and CCM Investments 5 LLC, an affiliate of CCM LLC (“CCM 5”, and in connection with the Term Loan, the “Chardan Lender”), and EICF Agent LLC (“EIP”) entered into the Term Loan, Guarantee and Security Agreement (the “Original Term Loan Agreement”) setting forth the terms of the Term Loan. The Chardan Lender backstopped its commitment under the Debt Commitment Letter by entering into a backstop commitment letter, dated as of May 20, 2022 (the “Backstop Commitment Letter”), with a certain third party financing source (the “Backstop Lender” and collectively with EIP, the “Term Loan Lenders”), pursuant to which the Backstop Lender committed to purchase from the Chardan Lender the aggregate amount of the Term Loan held by the Chardan Lender (the “Backstopped Loans”) immediately following the issuance of the Term Loan on the Closing Date. Pursuant to an assignment agreement, the Backstopped Loans were assigned by CCM 5 to the Backstop Lender on the Closing Date.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terms of the Term Loan Agreement, the Term Loan was advanced in one tranche on the Closing Date. The proceeds of the Term Loan were used (i) to refinance on the Closing Date prior indebtedness (including the obligations underlying the Trust Indenture), (ii) to support the merger and related transactions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Term Loan amortizes in the amount of </w:t>
      </w:r>
      <w:bookmarkStart w:id="521" w:name="xdx_903_ecustom--DebtInstrumentAmortizat"/>
      <w:bookmarkEnd w:id="521"/>
      <w:r>
        <w:rPr>
          <w:rFonts w:ascii="Times New Roman;Times;Serif" w:hAnsi="Times New Roman;Times;Serif"/>
          <w:b w:val="false"/>
          <w:i w:val="false"/>
          <w:caps w:val="false"/>
          <w:smallCaps w:val="false"/>
          <w:sz w:val="20"/>
        </w:rPr>
        <w:t>5% per annum (or $</w:t>
      </w:r>
      <w:bookmarkStart w:id="522" w:name="xdx_906_ecustom--DebtInstrumentAmortizat"/>
      <w:bookmarkEnd w:id="522"/>
      <w:r>
        <w:rPr>
          <w:rFonts w:ascii="Times New Roman;Times;Serif" w:hAnsi="Times New Roman;Times;Serif"/>
          <w:b w:val="false"/>
          <w:i w:val="false"/>
          <w:caps w:val="false"/>
          <w:smallCaps w:val="false"/>
          <w:sz w:val="20"/>
        </w:rPr>
        <w:t xml:space="preserve">937.5 on the first day of each calendar quarter) beginning </w:t>
      </w:r>
      <w:bookmarkStart w:id="523" w:name="xdx_902_ecustom--DebtInstrumentAmortizat"/>
      <w:bookmarkEnd w:id="523"/>
      <w:r>
        <w:rPr>
          <w:rFonts w:ascii="Times New Roman;Times;Serif" w:hAnsi="Times New Roman;Times;Serif"/>
          <w:b w:val="false"/>
          <w:i w:val="false"/>
          <w:caps w:val="false"/>
          <w:smallCaps w:val="false"/>
          <w:sz w:val="20"/>
        </w:rPr>
        <w:t xml:space="preserve">24 months after the Closing Date and matures on the fourth anniversary of the Closing Date (“Maturity Date”). The Term Loan accrues interest as follows: (i) until October 1, 2024, at a per annum rate equal to adjusted SOFR plus </w:t>
      </w:r>
      <w:bookmarkStart w:id="524" w:name="xdx_90C_ecustom--DebtInstrumentBasisSpre"/>
      <w:bookmarkEnd w:id="524"/>
      <w:r>
        <w:rPr>
          <w:rFonts w:ascii="Times New Roman;Times;Serif" w:hAnsi="Times New Roman;Times;Serif"/>
          <w:b w:val="false"/>
          <w:i w:val="false"/>
          <w:caps w:val="false"/>
          <w:smallCaps w:val="false"/>
          <w:sz w:val="20"/>
        </w:rPr>
        <w:t xml:space="preserve">7% payable in cash plus an amount ranging from </w:t>
      </w:r>
      <w:bookmarkStart w:id="525" w:name="xdx_90E_ecustom--DebtInstrumentBasisSpre"/>
      <w:bookmarkEnd w:id="525"/>
      <w:r>
        <w:rPr>
          <w:rFonts w:ascii="Times New Roman;Times;Serif" w:hAnsi="Times New Roman;Times;Serif"/>
          <w:b w:val="false"/>
          <w:i w:val="false"/>
          <w:caps w:val="false"/>
          <w:smallCaps w:val="false"/>
          <w:sz w:val="20"/>
        </w:rPr>
        <w:t xml:space="preserve">4.5% to </w:t>
      </w:r>
      <w:bookmarkStart w:id="526" w:name="xdx_90A_ecustom--DebtInstrumentBasisSpre"/>
      <w:bookmarkEnd w:id="526"/>
      <w:r>
        <w:rPr>
          <w:rFonts w:ascii="Times New Roman;Times;Serif" w:hAnsi="Times New Roman;Times;Serif"/>
          <w:b w:val="false"/>
          <w:i w:val="false"/>
          <w:caps w:val="false"/>
          <w:smallCaps w:val="false"/>
          <w:sz w:val="20"/>
        </w:rPr>
        <w:t xml:space="preserve">6.5%, depending on the senior leverage ratio of the consolidated company, which will be paid in kind; (ii) at all times thereafter, at a per annum rate equal to adjusted SOFR plus a margin ranging from </w:t>
      </w:r>
      <w:bookmarkStart w:id="527" w:name="xdx_90D_ecustom--DebtInstrumentBasisSpre"/>
      <w:bookmarkEnd w:id="527"/>
      <w:r>
        <w:rPr>
          <w:rFonts w:ascii="Times New Roman;Times;Serif" w:hAnsi="Times New Roman;Times;Serif"/>
          <w:b w:val="false"/>
          <w:i w:val="false"/>
          <w:caps w:val="false"/>
          <w:smallCaps w:val="false"/>
          <w:sz w:val="20"/>
        </w:rPr>
        <w:t xml:space="preserve">11.5% to </w:t>
      </w:r>
      <w:bookmarkStart w:id="528" w:name="xdx_908_ecustom--DebtInstrumentBasisSpre"/>
      <w:bookmarkEnd w:id="528"/>
      <w:r>
        <w:rPr>
          <w:rFonts w:ascii="Times New Roman;Times;Serif" w:hAnsi="Times New Roman;Times;Serif"/>
          <w:b w:val="false"/>
          <w:i w:val="false"/>
          <w:caps w:val="false"/>
          <w:smallCaps w:val="false"/>
          <w:sz w:val="20"/>
        </w:rPr>
        <w:t xml:space="preserve">13.5% payable in cash, depending on the senior leverage ratio of the consolidated company. In each of the foregoing cases, adjusted SOFR will be no less than </w:t>
      </w:r>
      <w:bookmarkStart w:id="529" w:name="xdx_900_eus-gaap--DebtInstrumentBasisSpr"/>
      <w:bookmarkEnd w:id="529"/>
      <w:r>
        <w:rPr>
          <w:rFonts w:ascii="Times New Roman;Times;Serif" w:hAnsi="Times New Roman;Times;Serif"/>
          <w:b w:val="false"/>
          <w:i w:val="false"/>
          <w:caps w:val="false"/>
          <w:smallCaps w:val="false"/>
          <w:sz w:val="20"/>
        </w:rPr>
        <w:t>1%; (iii) effective April 1, 2024 and thereafter, interest payable to certain lenders subject to regulations of the U.S. Small Business Administration (“SBA”) with outstanding principal on that date of $</w:t>
      </w:r>
      <w:bookmarkStart w:id="530" w:name="xdx_908_eus-gaap--DebtInstrumentFaceAmou"/>
      <w:bookmarkEnd w:id="530"/>
      <w:r>
        <w:rPr>
          <w:rFonts w:ascii="Times New Roman;Times;Serif" w:hAnsi="Times New Roman;Times;Serif"/>
          <w:b w:val="false"/>
          <w:i w:val="false"/>
          <w:caps w:val="false"/>
          <w:smallCaps w:val="false"/>
          <w:sz w:val="20"/>
        </w:rPr>
        <w:t xml:space="preserve">30,846 will be limited to </w:t>
      </w:r>
      <w:bookmarkStart w:id="531" w:name="xdx_901_eus-gaap--DebtInstrumentInterest"/>
      <w:bookmarkEnd w:id="531"/>
      <w:r>
        <w:rPr>
          <w:rFonts w:ascii="Times New Roman;Times;Serif" w:hAnsi="Times New Roman;Times;Serif"/>
          <w:b w:val="false"/>
          <w:i w:val="false"/>
          <w:caps w:val="false"/>
          <w:smallCaps w:val="false"/>
          <w:sz w:val="20"/>
        </w:rPr>
        <w:t xml:space="preserve">14.0% per annum (except for default interest permitted under SBA regulations, as applicable); and (iv) the other outstanding principal will accrue interest from April 1, 2024 thereafter until October 1, 2024, at a per annum rate equal to adjusted SOFR plus </w:t>
      </w:r>
      <w:bookmarkStart w:id="532" w:name="xdx_901_ecustom--DebtInstrumentBasisSpre"/>
      <w:bookmarkEnd w:id="532"/>
      <w:r>
        <w:rPr>
          <w:rFonts w:ascii="Times New Roman;Times;Serif" w:hAnsi="Times New Roman;Times;Serif"/>
          <w:b w:val="false"/>
          <w:i w:val="false"/>
          <w:caps w:val="false"/>
          <w:smallCaps w:val="false"/>
          <w:sz w:val="20"/>
        </w:rPr>
        <w:t xml:space="preserve">7% payable in cash plus an amount ranging from </w:t>
      </w:r>
      <w:bookmarkStart w:id="533" w:name="xdx_905_ecustom--DebtInstrumentBasisSpre"/>
      <w:bookmarkEnd w:id="533"/>
      <w:r>
        <w:rPr>
          <w:rFonts w:ascii="Times New Roman;Times;Serif" w:hAnsi="Times New Roman;Times;Serif"/>
          <w:b w:val="false"/>
          <w:i w:val="false"/>
          <w:caps w:val="false"/>
          <w:smallCaps w:val="false"/>
          <w:sz w:val="20"/>
        </w:rPr>
        <w:t xml:space="preserve">4.5% to </w:t>
      </w:r>
      <w:bookmarkStart w:id="534" w:name="xdx_903_ecustom--DebtInstrumentBasisSpre"/>
      <w:bookmarkEnd w:id="534"/>
      <w:r>
        <w:rPr>
          <w:rFonts w:ascii="Times New Roman;Times;Serif" w:hAnsi="Times New Roman;Times;Serif"/>
          <w:b w:val="false"/>
          <w:i w:val="false"/>
          <w:caps w:val="false"/>
          <w:smallCaps w:val="false"/>
          <w:sz w:val="20"/>
        </w:rPr>
        <w:t xml:space="preserve">6.5%, depending on the Company’s senior leverage ratio, and at all times thereafter, at a per annum rate equal to adjusted SOFR plus a margin ranging from </w:t>
      </w:r>
      <w:bookmarkStart w:id="535" w:name="xdx_900_ecustom--DebtInstrumentBasisSpre"/>
      <w:bookmarkEnd w:id="535"/>
      <w:r>
        <w:rPr>
          <w:rFonts w:ascii="Times New Roman;Times;Serif" w:hAnsi="Times New Roman;Times;Serif"/>
          <w:b w:val="false"/>
          <w:i w:val="false"/>
          <w:caps w:val="false"/>
          <w:smallCaps w:val="false"/>
          <w:sz w:val="20"/>
        </w:rPr>
        <w:t xml:space="preserve">11.5% to </w:t>
      </w:r>
      <w:bookmarkStart w:id="536" w:name="xdx_904_ecustom--DebtInstrumentBasisSpre"/>
      <w:bookmarkEnd w:id="536"/>
      <w:r>
        <w:rPr>
          <w:rFonts w:ascii="Times New Roman;Times;Serif" w:hAnsi="Times New Roman;Times;Serif"/>
          <w:b w:val="false"/>
          <w:i w:val="false"/>
          <w:caps w:val="false"/>
          <w:smallCaps w:val="false"/>
          <w:sz w:val="20"/>
        </w:rPr>
        <w:t>13.5%, depending on the senior leverage ratio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interest based on the Term Loan Agreement, as amended,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Interest payable on April 1, 2024, was paid in cash.</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Interest payable on July 1, 2024, became payable-in-kind.</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Interest payable on October 1, 2024, will be payable partly in cash and partly in-kind, at a per annum rate equal to adjusted SOFR plus </w:t>
      </w:r>
      <w:bookmarkStart w:id="537" w:name="xdx_90F_ecustom--DebtInstrumentBasisSpre"/>
      <w:bookmarkEnd w:id="537"/>
      <w:r>
        <w:rPr>
          <w:rFonts w:ascii="Times New Roman;Times;Serif" w:hAnsi="Times New Roman;Times;Serif"/>
          <w:b w:val="false"/>
          <w:i w:val="false"/>
          <w:caps w:val="false"/>
          <w:smallCaps w:val="false"/>
          <w:sz w:val="20"/>
        </w:rPr>
        <w:t xml:space="preserve">7% payable in cash plus an amount ranging from </w:t>
      </w:r>
      <w:bookmarkStart w:id="538" w:name="xdx_908_ecustom--DebtInstrumentBasisSpre"/>
      <w:bookmarkEnd w:id="538"/>
      <w:r>
        <w:rPr>
          <w:rFonts w:ascii="Times New Roman;Times;Serif" w:hAnsi="Times New Roman;Times;Serif"/>
          <w:b w:val="false"/>
          <w:i w:val="false"/>
          <w:caps w:val="false"/>
          <w:smallCaps w:val="false"/>
          <w:sz w:val="20"/>
        </w:rPr>
        <w:t xml:space="preserve">4.5% to </w:t>
      </w:r>
      <w:bookmarkStart w:id="539" w:name="xdx_909_ecustom--DebtInstrumentBasisSpre"/>
      <w:bookmarkEnd w:id="539"/>
      <w:r>
        <w:rPr>
          <w:rFonts w:ascii="Times New Roman;Times;Serif" w:hAnsi="Times New Roman;Times;Serif"/>
          <w:b w:val="false"/>
          <w:i w:val="false"/>
          <w:caps w:val="false"/>
          <w:smallCaps w:val="false"/>
          <w:sz w:val="20"/>
        </w:rPr>
        <w:t xml:space="preserve">6.5% paid-in-kind, depending on the senior leverage ratio of the consolidated company (subject to the </w:t>
      </w:r>
      <w:bookmarkStart w:id="540" w:name="xdx_909_eus-gaap--DebtInstrumentInterest"/>
      <w:bookmarkEnd w:id="540"/>
      <w:r>
        <w:rPr>
          <w:rFonts w:ascii="Times New Roman;Times;Serif" w:hAnsi="Times New Roman;Times;Serif"/>
          <w:b w:val="false"/>
          <w:i w:val="false"/>
          <w:caps w:val="false"/>
          <w:smallCaps w:val="false"/>
          <w:sz w:val="20"/>
        </w:rPr>
        <w:t>14.0% limit for lenders subject to SBA regulations).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For each payment date occurring on or after January 1, 2025, interest will be payable in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each of the foregoing cases, adjusted SOFR will be no less than </w:t>
      </w:r>
      <w:bookmarkStart w:id="541" w:name="xdx_908_eus-gaap--DebtInstrumentBasisSpr"/>
      <w:bookmarkEnd w:id="541"/>
      <w:r>
        <w:rPr>
          <w:rFonts w:ascii="Times New Roman;Times;Serif" w:hAnsi="Times New Roman;Times;Serif"/>
          <w:b w:val="false"/>
          <w:i w:val="false"/>
          <w:caps w:val="false"/>
          <w:smallCaps w:val="false"/>
          <w:sz w:val="2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optional prepayments by the Company upon written notice, the Term Loan Agreement provides for mandatory prepayments upon receipt of proceeds from certain transactions or casualty events. The Company is required to prepay the Term Loan based on excess cash flow, as defined in the agreement, beginning with the financial statements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prepaid the first four installments of the Term Loan which amounted to $</w:t>
      </w:r>
      <w:bookmarkStart w:id="542" w:name="xdx_90B_ecustom--PrepaymentOfDebtInstall"/>
      <w:bookmarkEnd w:id="542"/>
      <w:r>
        <w:rPr>
          <w:rFonts w:ascii="Times New Roman;Times;Serif" w:hAnsi="Times New Roman;Times;Serif"/>
          <w:b w:val="false"/>
          <w:i w:val="false"/>
          <w:caps w:val="false"/>
          <w:smallCaps w:val="false"/>
          <w:sz w:val="20"/>
        </w:rPr>
        <w:t>5,275 and pushed back the first principal payment to October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entry into the Term Loan Agreement, and as a required term and condition thereof, the Company issued (i) the penny warrants to the Term Loan Lenders exercisable to purchase an aggregate of </w:t>
      </w:r>
      <w:bookmarkStart w:id="543" w:name="xdx_905_eus-gaap--ClassOfWarrantOrRightN"/>
      <w:bookmarkEnd w:id="543"/>
      <w:r>
        <w:rPr>
          <w:rFonts w:ascii="Times New Roman;Times;Serif" w:hAnsi="Times New Roman;Times;Serif"/>
          <w:b w:val="false"/>
          <w:i w:val="false"/>
          <w:caps w:val="false"/>
          <w:smallCaps w:val="false"/>
          <w:sz w:val="20"/>
        </w:rPr>
        <w:t>2,593,056 and (ii) the $</w:t>
      </w:r>
      <w:bookmarkStart w:id="544" w:name="xdx_90C_eus-gaap--SharePrice_iI_c2024063"/>
      <w:bookmarkEnd w:id="544"/>
      <w:r>
        <w:rPr>
          <w:rFonts w:ascii="Times New Roman;Times;Serif" w:hAnsi="Times New Roman;Times;Serif"/>
          <w:b w:val="false"/>
          <w:i w:val="false"/>
          <w:caps w:val="false"/>
          <w:smallCaps w:val="false"/>
          <w:sz w:val="20"/>
        </w:rPr>
        <w:t xml:space="preserve">10 warrants to issue warrants to the Term Loan Lenders exercisable to purchase an aggregate of </w:t>
      </w:r>
      <w:bookmarkStart w:id="545" w:name="xdx_908_eus-gaap--ClassOfWarrantOrRightN"/>
      <w:bookmarkEnd w:id="545"/>
      <w:r>
        <w:rPr>
          <w:rFonts w:ascii="Times New Roman;Times;Serif" w:hAnsi="Times New Roman;Times;Serif"/>
          <w:b w:val="false"/>
          <w:i w:val="false"/>
          <w:caps w:val="false"/>
          <w:smallCaps w:val="false"/>
          <w:sz w:val="20"/>
        </w:rPr>
        <w:t>1,600,000 shares of common stock at $</w:t>
      </w:r>
      <w:bookmarkStart w:id="546" w:name="xdx_90C_eus-gaap--SharePrice_iI_c2024063"/>
      <w:bookmarkEnd w:id="546"/>
      <w:r>
        <w:rPr>
          <w:rFonts w:ascii="Times New Roman;Times;Serif" w:hAnsi="Times New Roman;Times;Serif"/>
          <w:b w:val="false"/>
          <w:i w:val="false"/>
          <w:caps w:val="false"/>
          <w:smallCaps w:val="false"/>
          <w:sz w:val="20"/>
        </w:rPr>
        <w:t>10 per share. Refer to Note 9 for 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obligations under the Term Loan are accelerated under the terms of the agreement, the maturity date will be October 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Lenders have been granted a first priority lien, and security interest in, the mortgaged properties underlying the Company’s mortgages.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2024 and 2023, a total of $</w:t>
      </w:r>
      <w:bookmarkStart w:id="547" w:name="xdx_90C_eus-gaap--InterestExpenseDebtExc"/>
      <w:bookmarkEnd w:id="547"/>
      <w:r>
        <w:rPr>
          <w:rFonts w:ascii="Times New Roman;Times;Serif" w:hAnsi="Times New Roman;Times;Serif"/>
          <w:b w:val="false"/>
          <w:i w:val="false"/>
          <w:caps w:val="false"/>
          <w:smallCaps w:val="false"/>
          <w:sz w:val="20"/>
        </w:rPr>
        <w:t>7,022 and $</w:t>
      </w:r>
      <w:bookmarkStart w:id="548" w:name="xdx_90A_eus-gaap--InterestExpenseDebtExc"/>
      <w:bookmarkEnd w:id="548"/>
      <w:r>
        <w:rPr>
          <w:rFonts w:ascii="Times New Roman;Times;Serif" w:hAnsi="Times New Roman;Times;Serif"/>
          <w:b w:val="false"/>
          <w:i w:val="false"/>
          <w:caps w:val="false"/>
          <w:smallCaps w:val="false"/>
          <w:sz w:val="20"/>
        </w:rPr>
        <w:t>7,147, respectively, of interest expense was incurred under the debt. During the three months ended June 30, 2024 and 2023, a total of $</w:t>
      </w:r>
      <w:bookmarkStart w:id="549" w:name="xdx_908_eus-gaap--InterestExpenseDebtExc"/>
      <w:bookmarkEnd w:id="549"/>
      <w:r>
        <w:rPr>
          <w:rFonts w:ascii="Times New Roman;Times;Serif" w:hAnsi="Times New Roman;Times;Serif"/>
          <w:b w:val="false"/>
          <w:i w:val="false"/>
          <w:caps w:val="false"/>
          <w:smallCaps w:val="false"/>
          <w:sz w:val="20"/>
        </w:rPr>
        <w:t>3,321 and $</w:t>
      </w:r>
      <w:bookmarkStart w:id="550" w:name="xdx_90D_eus-gaap--InterestExpenseDebtExc"/>
      <w:bookmarkEnd w:id="550"/>
      <w:r>
        <w:rPr>
          <w:rFonts w:ascii="Times New Roman;Times;Serif" w:hAnsi="Times New Roman;Times;Serif"/>
          <w:b w:val="false"/>
          <w:i w:val="false"/>
          <w:caps w:val="false"/>
          <w:smallCaps w:val="false"/>
          <w:sz w:val="20"/>
        </w:rPr>
        <w:t>3,651, respectively, of interest expense was incurred under the debt. Amortization of the debt issuance costs amounted to $</w:t>
      </w:r>
      <w:bookmarkStart w:id="551" w:name="xdx_900_eus-gaap--AmortizationOfFinancin"/>
      <w:bookmarkEnd w:id="551"/>
      <w:r>
        <w:rPr>
          <w:rFonts w:ascii="Times New Roman;Times;Serif" w:hAnsi="Times New Roman;Times;Serif"/>
          <w:b w:val="false"/>
          <w:i w:val="false"/>
          <w:caps w:val="false"/>
          <w:smallCaps w:val="false"/>
          <w:sz w:val="20"/>
        </w:rPr>
        <w:t>2,428 and $</w:t>
      </w:r>
      <w:bookmarkStart w:id="552" w:name="xdx_90D_eus-gaap--AmortizationOfFinancin"/>
      <w:bookmarkEnd w:id="552"/>
      <w:r>
        <w:rPr>
          <w:rFonts w:ascii="Times New Roman;Times;Serif" w:hAnsi="Times New Roman;Times;Serif"/>
          <w:b w:val="false"/>
          <w:i w:val="false"/>
          <w:caps w:val="false"/>
          <w:smallCaps w:val="false"/>
          <w:sz w:val="20"/>
        </w:rPr>
        <w:t>620, respectively, during the six months ended June 30, 2024 and 2023. Amortization of the debt issuance costs amounted to $</w:t>
      </w:r>
      <w:bookmarkStart w:id="553" w:name="xdx_907_eus-gaap--AmortizationOfFinancin"/>
      <w:bookmarkEnd w:id="553"/>
      <w:r>
        <w:rPr>
          <w:rFonts w:ascii="Times New Roman;Times;Serif" w:hAnsi="Times New Roman;Times;Serif"/>
          <w:b w:val="false"/>
          <w:i w:val="false"/>
          <w:caps w:val="false"/>
          <w:smallCaps w:val="false"/>
          <w:sz w:val="20"/>
        </w:rPr>
        <w:t>1,534 and $</w:t>
      </w:r>
      <w:bookmarkStart w:id="554" w:name="xdx_900_eus-gaap--AmortizationOfFinancin"/>
      <w:bookmarkEnd w:id="554"/>
      <w:r>
        <w:rPr>
          <w:rFonts w:ascii="Times New Roman;Times;Serif" w:hAnsi="Times New Roman;Times;Serif"/>
          <w:b w:val="false"/>
          <w:i w:val="false"/>
          <w:caps w:val="false"/>
          <w:smallCaps w:val="false"/>
          <w:sz w:val="20"/>
        </w:rPr>
        <w:t>401, respectively, during the three months ended June 30, 2024 and 2023.</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balance of $</w:t>
      </w:r>
      <w:bookmarkStart w:id="555" w:name="xdx_902_eus-gaap--LongTermDebt_iI_pn3n3_"/>
      <w:bookmarkEnd w:id="555"/>
      <w:r>
        <w:rPr>
          <w:rFonts w:ascii="Times New Roman;Times;Serif" w:hAnsi="Times New Roman;Times;Serif"/>
          <w:b w:val="false"/>
          <w:i w:val="false"/>
          <w:caps w:val="false"/>
          <w:smallCaps w:val="false"/>
          <w:sz w:val="20"/>
        </w:rPr>
        <w:t>21,903 on June 30, 2024, consisted of $</w:t>
      </w:r>
      <w:bookmarkStart w:id="556" w:name="xdx_90B_eus-gaap--DebtInstrumentFaceAmou"/>
      <w:bookmarkEnd w:id="556"/>
      <w:r>
        <w:rPr>
          <w:rFonts w:ascii="Times New Roman;Times;Serif" w:hAnsi="Times New Roman;Times;Serif"/>
          <w:b w:val="false"/>
          <w:i w:val="false"/>
          <w:caps w:val="false"/>
          <w:smallCaps w:val="false"/>
          <w:sz w:val="20"/>
        </w:rPr>
        <w:t>69,725 in principal, plus $</w:t>
      </w:r>
      <w:bookmarkStart w:id="557" w:name="xdx_908_eus-gaap--PaidInKindInterest_pn3"/>
      <w:bookmarkEnd w:id="557"/>
      <w:r>
        <w:rPr>
          <w:rFonts w:ascii="Times New Roman;Times;Serif" w:hAnsi="Times New Roman;Times;Serif"/>
          <w:b w:val="false"/>
          <w:i w:val="false"/>
          <w:caps w:val="false"/>
          <w:smallCaps w:val="false"/>
          <w:sz w:val="20"/>
        </w:rPr>
        <w:t>10,711 PIK interest, less $</w:t>
      </w:r>
      <w:bookmarkStart w:id="558" w:name="xdx_90B_eus-gaap--DebtInstrumentUnamorti"/>
      <w:bookmarkEnd w:id="558"/>
      <w:r>
        <w:rPr>
          <w:rFonts w:ascii="Times New Roman;Times;Serif" w:hAnsi="Times New Roman;Times;Serif"/>
          <w:b w:val="false"/>
          <w:i w:val="false"/>
          <w:caps w:val="false"/>
          <w:smallCaps w:val="false"/>
          <w:sz w:val="20"/>
        </w:rPr>
        <w:t>58,533 in unamortized debt discount related to the debt issuance costs. The carrying balance of $</w:t>
      </w:r>
      <w:bookmarkStart w:id="559" w:name="xdx_903_eus-gaap--LongTermDebt_iI_pn3n3_"/>
      <w:bookmarkEnd w:id="559"/>
      <w:r>
        <w:rPr>
          <w:rFonts w:ascii="Times New Roman;Times;Serif" w:hAnsi="Times New Roman;Times;Serif"/>
          <w:b w:val="false"/>
          <w:i w:val="false"/>
          <w:caps w:val="false"/>
          <w:smallCaps w:val="false"/>
          <w:sz w:val="20"/>
        </w:rPr>
        <w:t>19,683 on December 31, 2023, consisted of $</w:t>
      </w:r>
      <w:bookmarkStart w:id="560" w:name="xdx_904_eus-gaap--DebtInstrumentFaceAmou"/>
      <w:bookmarkEnd w:id="560"/>
      <w:r>
        <w:rPr>
          <w:rFonts w:ascii="Times New Roman;Times;Serif" w:hAnsi="Times New Roman;Times;Serif"/>
          <w:b w:val="false"/>
          <w:i w:val="false"/>
          <w:caps w:val="false"/>
          <w:smallCaps w:val="false"/>
          <w:sz w:val="20"/>
        </w:rPr>
        <w:t>69,725 in principal, plus $</w:t>
      </w:r>
      <w:bookmarkStart w:id="561" w:name="xdx_905_eus-gaap--PaidInKindInterest_pn3"/>
      <w:bookmarkEnd w:id="561"/>
      <w:r>
        <w:rPr>
          <w:rFonts w:ascii="Times New Roman;Times;Serif" w:hAnsi="Times New Roman;Times;Serif"/>
          <w:b w:val="false"/>
          <w:i w:val="false"/>
          <w:caps w:val="false"/>
          <w:smallCaps w:val="false"/>
          <w:sz w:val="20"/>
        </w:rPr>
        <w:t>6,130 PIK interest, less $</w:t>
      </w:r>
      <w:bookmarkStart w:id="562" w:name="xdx_908_eus-gaap--DebtInstrumentUnamorti"/>
      <w:bookmarkEnd w:id="562"/>
      <w:r>
        <w:rPr>
          <w:rFonts w:ascii="Times New Roman;Times;Serif" w:hAnsi="Times New Roman;Times;Serif"/>
          <w:b w:val="false"/>
          <w:i w:val="false"/>
          <w:caps w:val="false"/>
          <w:smallCaps w:val="false"/>
          <w:sz w:val="20"/>
        </w:rPr>
        <w:t>56,172 in unamortized debt discount related to the 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13, 2024, the Company received a waiver from its Administrative Agent and Term Loan Lenders (the “May 2024 Waiver”) in regards to its compliance with the Senior Leverage Ratio and Fixed Charge Coverage Ratio tests (the “Tests”) as of the last day of the quarter ended March 31, 2024. The May 2024 Waiver provided for a one-time issuance of penny warrants (the “May 2024 Penny Warrants”) to purchase up to </w:t>
      </w:r>
      <w:bookmarkStart w:id="563" w:name="xdx_907_eus-gaap--ClassOfWarrantOrRightN"/>
      <w:bookmarkEnd w:id="563"/>
      <w:r>
        <w:rPr>
          <w:rFonts w:ascii="Times New Roman;Times;Serif" w:hAnsi="Times New Roman;Times;Serif"/>
          <w:b w:val="false"/>
          <w:i w:val="false"/>
          <w:caps w:val="false"/>
          <w:smallCaps w:val="false"/>
          <w:sz w:val="20"/>
        </w:rPr>
        <w:t>2,550,000 shares of the Company’s common stock, par value $</w:t>
      </w:r>
      <w:bookmarkStart w:id="564" w:name="xdx_900_eus-gaap--CommonStockParOrStated"/>
      <w:bookmarkEnd w:id="564"/>
      <w:r>
        <w:rPr>
          <w:rFonts w:ascii="Times New Roman;Times;Serif" w:hAnsi="Times New Roman;Times;Serif"/>
          <w:b w:val="false"/>
          <w:i w:val="false"/>
          <w:caps w:val="false"/>
          <w:smallCaps w:val="false"/>
          <w:sz w:val="20"/>
        </w:rPr>
        <w:t>0.0001 per share (the “May 2024 Penny Warrant Shares”). The May 2024 Penny Warrants have an exercise price of $</w:t>
      </w:r>
      <w:bookmarkStart w:id="565" w:name="xdx_908_eus-gaap--ClassOfWarrantOrRightE"/>
      <w:bookmarkEnd w:id="565"/>
      <w:r>
        <w:rPr>
          <w:rFonts w:ascii="Times New Roman;Times;Serif" w:hAnsi="Times New Roman;Times;Serif"/>
          <w:b w:val="false"/>
          <w:i w:val="false"/>
          <w:caps w:val="false"/>
          <w:smallCaps w:val="false"/>
          <w:sz w:val="20"/>
        </w:rPr>
        <w:t>0.01 per share, were valued at $</w:t>
      </w:r>
      <w:bookmarkStart w:id="566" w:name="xdx_909_eus-gaap--WarrantsAndRightsOutst"/>
      <w:bookmarkEnd w:id="566"/>
      <w:r>
        <w:rPr>
          <w:rFonts w:ascii="Times New Roman;Times;Serif" w:hAnsi="Times New Roman;Times;Serif"/>
          <w:b w:val="false"/>
          <w:i w:val="false"/>
          <w:caps w:val="false"/>
          <w:smallCaps w:val="false"/>
          <w:sz w:val="20"/>
        </w:rPr>
        <w:t xml:space="preserve">3,022, and recorded as a debt discount. The May 2024 Penny Warrants were issued in connection with the Term Loan Lenders’ agreement to waive the Tests under the Term Loan for the quarter ended March 31, 2024. The May 2024 Penny Warrants were immediately exercisable upon issuance and will expire </w:t>
      </w:r>
      <w:bookmarkStart w:id="567" w:name="xdx_902_eus-gaap--WarrantsAndRightsOutst"/>
      <w:bookmarkEnd w:id="567"/>
      <w:r>
        <w:rPr>
          <w:rFonts w:ascii="Times New Roman;Times;Serif" w:hAnsi="Times New Roman;Times;Serif"/>
          <w:b w:val="false"/>
          <w:i w:val="false"/>
          <w:caps w:val="false"/>
          <w:smallCaps w:val="false"/>
          <w:sz w:val="20"/>
        </w:rPr>
        <w:t>ten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28, 2024, the Company entered into a Limited Waiver and First Amendment (the “Term Loan Amendment” and, together with the Term Loan Agreement, the “Term Loan Agreement”) to the Term Loan with the lenders in regards to its compliance with the Tests as of the last day of the quarter ended June 30, 2024 and certain amendments to the Term Loan. The Term Loan Amendment provided for a one-time issuance of Penny Warrants to purchase up to </w:t>
      </w:r>
      <w:bookmarkStart w:id="568" w:name="xdx_901_eus-gaap--ClassOfWarrantOrRightN"/>
      <w:bookmarkEnd w:id="568"/>
      <w:r>
        <w:rPr>
          <w:rFonts w:ascii="Times New Roman;Times;Serif" w:hAnsi="Times New Roman;Times;Serif"/>
          <w:b w:val="false"/>
          <w:i w:val="false"/>
          <w:caps w:val="false"/>
          <w:smallCaps w:val="false"/>
          <w:sz w:val="20"/>
        </w:rPr>
        <w:t>2,100,000 shares of the Company’s Common Stock at an exercise price of $</w:t>
      </w:r>
      <w:bookmarkStart w:id="569" w:name="xdx_90A_eus-gaap--ClassOfWarrantOrRightE"/>
      <w:bookmarkEnd w:id="569"/>
      <w:r>
        <w:rPr>
          <w:rFonts w:ascii="Times New Roman;Times;Serif" w:hAnsi="Times New Roman;Times;Serif"/>
          <w:b w:val="false"/>
          <w:i w:val="false"/>
          <w:caps w:val="false"/>
          <w:smallCaps w:val="false"/>
          <w:sz w:val="20"/>
        </w:rPr>
        <w:t>0.01 per share (the “June 2024 Penny Warrants”), valued at $</w:t>
      </w:r>
      <w:bookmarkStart w:id="570" w:name="xdx_902_eus-gaap--WarrantsAndRightsOutst"/>
      <w:bookmarkEnd w:id="570"/>
      <w:r>
        <w:rPr>
          <w:rFonts w:ascii="Times New Roman;Times;Serif" w:hAnsi="Times New Roman;Times;Serif"/>
          <w:b w:val="false"/>
          <w:i w:val="false"/>
          <w:caps w:val="false"/>
          <w:smallCaps w:val="false"/>
          <w:sz w:val="20"/>
        </w:rPr>
        <w:t>1,767 and recorded as a debt discount. The June 2024 Penny Warrants were issued in connection with the lenders’ agreement to waive the Tests under the Term Loan for the quarter ended June 30, 2024 and to amend the Term Loan. The June 2024 Penny Warrants are immediately exercisable upon issuance and will expire ten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Term Loan Amendment (i) reduced the liquidity requirement under the Term Loan to be $</w:t>
      </w:r>
      <w:bookmarkStart w:id="571" w:name="xdx_90C_eus-gaap--LongTermDebt_iI_pn5n6_"/>
      <w:bookmarkEnd w:id="571"/>
      <w:r>
        <w:rPr>
          <w:rFonts w:ascii="Times New Roman;Times;Serif" w:hAnsi="Times New Roman;Times;Serif"/>
          <w:b w:val="false"/>
          <w:i w:val="false"/>
          <w:caps w:val="false"/>
          <w:smallCaps w:val="false"/>
          <w:sz w:val="20"/>
        </w:rPr>
        <w:t>3.5 million as of the last day of the month ended June 30, 2024, and $</w:t>
      </w:r>
      <w:bookmarkStart w:id="572" w:name="xdx_90C_eus-gaap--LongTermDebt_iI_pn5n6_"/>
      <w:bookmarkEnd w:id="572"/>
      <w:r>
        <w:rPr>
          <w:rFonts w:ascii="Times New Roman;Times;Serif" w:hAnsi="Times New Roman;Times;Serif"/>
          <w:b w:val="false"/>
          <w:i w:val="false"/>
          <w:caps w:val="false"/>
          <w:smallCaps w:val="false"/>
          <w:sz w:val="20"/>
        </w:rPr>
        <w:t>10.0 million as of the last day of each fiscal month thereafter commencing with the fiscal month ended July 31, 2024 and (ii) provided for the interest to be paid on the Payment Date (as defined in the Term Loan) occurred on July 1, 2024 to be solely payable-in-kind.</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License Agreement (</w:t>
      </w:r>
      <w:r>
        <w:rPr>
          <w:rFonts w:ascii="Times New Roman;Times;Serif" w:hAnsi="Times New Roman;Times;Serif"/>
          <w:b/>
          <w:i w:val="false"/>
          <w:caps w:val="false"/>
          <w:smallCaps w:val="false"/>
          <w:sz w:val="20"/>
        </w:rPr>
        <w:t>See Note 14- Subsequent Events</w:t>
      </w:r>
      <w:r>
        <w:rPr>
          <w:rFonts w:ascii="Times New Roman;Times;Serif" w:hAnsi="Times New Roman;Times;Serif"/>
          <w:b w:val="false"/>
          <w:i w:val="false"/>
          <w:caps w:val="false"/>
          <w:smallCaps w:val="false"/>
          <w:sz w:val="20"/>
        </w:rPr>
        <w:t>), on July 29, 2024, the Company, DFE and Battle Born LLC entered into a Limited Waiver, Consent and Second Amendment to Term Loan, Guarantee and Security Agreement with the lenders under the Company’s Term Loan, Guarantee and Security Agreement, dated as of October 7, 2022, and Alter Domus (US) LLC, as the agent to the Lenders.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Amendment, the Lenders (i) consented to the transactions contemplated by the License Agreement and the Trademark Transfer Agreement and (ii) agreed to waive the mandatory prepayment under the Loan Agreement that would have been due to the Lenders under the Loan Agreement upon Battle Born LLC’s receipt of the Initial Licensing Fee.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Amendment, Battle Born LLC entered into a Joinder Agreement with the Lenders whereby Battle Born LLC became a guarantor and credit party to the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restrictive financial covenants pertaining to Maximum Senior Leverage Ratio, Liquidity, Fixed Charge Coverage Ratio, and Capital Expenditures as defined in the Term Loan Agreement. As of June 30, 2024, the Company was not in compliance with its financial covenants pertaining to the fixed charge coverage ratio, liquidity, and the maximum senior leverage ratio. On March 31, 2024 and June 28, 2024, the Company received a waiver from its Administrative Agent and Term Loan Lenders in regards to its compliance with the liquidity requirement under the Term Loan as of the last day of the quarter ended March 31, 2024 and June 30, 2024. If the Company is unable to obtain a waiver or if the Company is unable to comply with such covenants, the lenders have the right to accelerate the maturity of the Term Loan. Because of this, the entire debt is classified as current instead of long-term debt.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73" w:name="xdx_897_eus-gaap--ScheduleOfMaturitiesOf"/>
      <w:bookmarkEnd w:id="573"/>
      <w:r>
        <w:rPr>
          <w:rFonts w:ascii="Times New Roman;Times;Serif" w:hAnsi="Times New Roman;Times;Serif"/>
          <w:b w:val="false"/>
          <w:i w:val="false"/>
          <w:caps w:val="false"/>
          <w:smallCaps w:val="false"/>
          <w:sz w:val="20"/>
        </w:rPr>
        <w:t>At June 30, 2024, the future debt maturities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574" w:name="xdx_8BC_zkN8h8YVsG4h"/>
      <w:bookmarkEnd w:id="574"/>
      <w:r>
        <w:rPr>
          <w:rFonts w:ascii="Times New Roman;Times;Serif" w:hAnsi="Times New Roman;Times;Serif"/>
          <w:b w:val="false"/>
          <w:i w:val="false"/>
          <w:caps w:val="false"/>
          <w:smallCaps w:val="false"/>
          <w:sz w:val="20"/>
        </w:rPr>
        <w:t>SCHEDULE OF FUTURE DEBT MATURITIES </w:t>
      </w:r>
    </w:p>
    <w:tbl>
      <w:tblPr>
        <w:tblW w:w="4730" w:type="dxa"/>
        <w:jc w:val="left"/>
        <w:tblInd w:w="0" w:type="dxa"/>
        <w:tblLayout w:type="fixed"/>
        <w:tblCellMar>
          <w:top w:w="0" w:type="dxa"/>
          <w:left w:w="0" w:type="dxa"/>
          <w:bottom w:w="0" w:type="dxa"/>
          <w:right w:w="0" w:type="dxa"/>
        </w:tblCellMar>
      </w:tblPr>
      <w:tblGrid>
        <w:gridCol w:w="3665"/>
        <w:gridCol w:w="60"/>
        <w:gridCol w:w="140"/>
        <w:gridCol w:w="755"/>
        <w:gridCol w:w="110"/>
      </w:tblGrid>
      <w:tr>
        <w:trPr/>
        <w:tc>
          <w:tcPr>
            <w:tcW w:w="3665" w:type="dxa"/>
            <w:tcBorders/>
            <w:shd w:fill="CCEEFF" w:val="clear"/>
            <w:vAlign w:val="center"/>
          </w:tcPr>
          <w:p>
            <w:pPr>
              <w:pStyle w:val="TableContents"/>
              <w:bidi w:val="0"/>
              <w:spacing w:before="0" w:after="283"/>
              <w:jc w:val="both"/>
              <w:rPr/>
            </w:pPr>
            <w:r>
              <w:rPr/>
              <w:t>For Year Ended December 31,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75" w:name="xdx_498_20240630_zlqKka7NcPki"/>
            <w:bookmarkEnd w:id="575"/>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76" w:name="xdx_407_eus-gaap--LongTermDebtMaturities"/>
            <w:bookmarkEnd w:id="576"/>
          </w:p>
        </w:tc>
      </w:tr>
      <w:tr>
        <w:trPr/>
        <w:tc>
          <w:tcPr>
            <w:tcW w:w="3665" w:type="dxa"/>
            <w:tcBorders/>
            <w:shd w:fill="FFFFFF" w:val="clear"/>
            <w:vAlign w:val="center"/>
          </w:tcPr>
          <w:p>
            <w:pPr>
              <w:pStyle w:val="TableContents"/>
              <w:bidi w:val="0"/>
              <w:spacing w:before="0" w:after="283"/>
              <w:jc w:val="both"/>
              <w:rPr/>
            </w:pPr>
            <w:r>
              <w:rPr/>
              <w:t>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577" w:name="xdx_408_eus-gaap--LongTermDebtMaturities"/>
            <w:bookmarkEnd w:id="577"/>
          </w:p>
        </w:tc>
      </w:tr>
      <w:tr>
        <w:trPr/>
        <w:tc>
          <w:tcPr>
            <w:tcW w:w="3665" w:type="dxa"/>
            <w:tcBorders/>
            <w:shd w:fill="CCEEFF" w:val="clear"/>
            <w:vAlign w:val="center"/>
          </w:tcPr>
          <w:p>
            <w:pPr>
              <w:pStyle w:val="TableContents"/>
              <w:bidi w:val="0"/>
              <w:spacing w:before="0" w:after="283"/>
              <w:jc w:val="both"/>
              <w:rPr/>
            </w:pPr>
            <w:r>
              <w:rPr/>
              <w:t>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938</w:t>
            </w:r>
          </w:p>
        </w:tc>
        <w:tc>
          <w:tcPr>
            <w:tcW w:w="110" w:type="dxa"/>
            <w:tcBorders/>
            <w:shd w:fill="CCEEFF" w:val="clear"/>
            <w:vAlign w:val="center"/>
          </w:tcPr>
          <w:p>
            <w:pPr>
              <w:pStyle w:val="TableContents"/>
              <w:bidi w:val="0"/>
              <w:spacing w:before="0" w:after="283"/>
              <w:jc w:val="left"/>
              <w:rPr/>
            </w:pPr>
            <w:r>
              <w:rPr/>
              <w:t> </w:t>
            </w:r>
            <w:bookmarkStart w:id="578" w:name="xdx_40E_eus-gaap--LongTermDebtMaturities"/>
            <w:bookmarkEnd w:id="578"/>
          </w:p>
        </w:tc>
      </w:tr>
      <w:tr>
        <w:trPr/>
        <w:tc>
          <w:tcPr>
            <w:tcW w:w="3665" w:type="dxa"/>
            <w:tcBorders/>
            <w:shd w:fill="FFFFFF" w:val="clear"/>
            <w:vAlign w:val="center"/>
          </w:tcPr>
          <w:p>
            <w:pPr>
              <w:pStyle w:val="TableContents"/>
              <w:bidi w:val="0"/>
              <w:spacing w:before="0" w:after="283"/>
              <w:jc w:val="both"/>
              <w:rPr/>
            </w:pPr>
            <w:r>
              <w:rPr/>
              <w:t>2026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80,419</w:t>
            </w:r>
          </w:p>
        </w:tc>
        <w:tc>
          <w:tcPr>
            <w:tcW w:w="110" w:type="dxa"/>
            <w:tcBorders/>
            <w:shd w:fill="FFFFFF" w:val="clear"/>
            <w:vAlign w:val="center"/>
          </w:tcPr>
          <w:p>
            <w:pPr>
              <w:pStyle w:val="TableContents"/>
              <w:bidi w:val="0"/>
              <w:spacing w:before="0" w:after="283"/>
              <w:jc w:val="left"/>
              <w:rPr/>
            </w:pPr>
            <w:r>
              <w:rPr/>
              <w:t> </w:t>
            </w:r>
            <w:bookmarkStart w:id="579" w:name="xdx_408_ecustom--LongTermDebtMaturitiesR"/>
            <w:bookmarkEnd w:id="579"/>
          </w:p>
        </w:tc>
      </w:tr>
      <w:tr>
        <w:trPr/>
        <w:tc>
          <w:tcPr>
            <w:tcW w:w="3665"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81,357</w:t>
            </w:r>
          </w:p>
        </w:tc>
        <w:tc>
          <w:tcPr>
            <w:tcW w:w="110" w:type="dxa"/>
            <w:tcBorders/>
            <w:shd w:fill="CCEEFF" w:val="clear"/>
            <w:vAlign w:val="center"/>
          </w:tcPr>
          <w:p>
            <w:pPr>
              <w:pStyle w:val="TableContents"/>
              <w:bidi w:val="0"/>
              <w:spacing w:before="0" w:after="283"/>
              <w:jc w:val="left"/>
              <w:rPr/>
            </w:pPr>
            <w:r>
              <w:rPr/>
              <w:t> </w:t>
            </w:r>
            <w:bookmarkStart w:id="580" w:name="xdx_402_ecustom--EstimatedInterestPaidin"/>
            <w:bookmarkEnd w:id="580"/>
          </w:p>
        </w:tc>
      </w:tr>
      <w:tr>
        <w:trPr/>
        <w:tc>
          <w:tcPr>
            <w:tcW w:w="3665" w:type="dxa"/>
            <w:tcBorders/>
            <w:shd w:fill="FFFFFF" w:val="clear"/>
            <w:vAlign w:val="center"/>
          </w:tcPr>
          <w:p>
            <w:pPr>
              <w:pStyle w:val="TableContents"/>
              <w:bidi w:val="0"/>
              <w:spacing w:before="0" w:after="283"/>
              <w:jc w:val="both"/>
              <w:rPr/>
            </w:pPr>
            <w:r>
              <w:rPr/>
              <w:t>Less: Estimated interest paid-in-kind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(921</w:t>
            </w:r>
          </w:p>
        </w:tc>
        <w:tc>
          <w:tcPr>
            <w:tcW w:w="110" w:type="dxa"/>
            <w:tcBorders/>
            <w:shd w:fill="FFFFFF" w:val="clear"/>
            <w:vAlign w:val="center"/>
          </w:tcPr>
          <w:p>
            <w:pPr>
              <w:pStyle w:val="TableContents"/>
              <w:bidi w:val="0"/>
              <w:spacing w:before="0" w:after="283"/>
              <w:jc w:val="left"/>
              <w:rPr/>
            </w:pPr>
            <w:r>
              <w:rPr/>
              <w:t>)</w:t>
            </w:r>
            <w:bookmarkStart w:id="581" w:name="xdx_401_eus-gaap--LongTermDebt_iTI_pn3n3"/>
            <w:bookmarkEnd w:id="581"/>
          </w:p>
        </w:tc>
      </w:tr>
      <w:tr>
        <w:trPr/>
        <w:tc>
          <w:tcPr>
            <w:tcW w:w="3665" w:type="dxa"/>
            <w:tcBorders/>
            <w:shd w:fill="CCEEFF" w:val="clear"/>
            <w:vAlign w:val="center"/>
          </w:tcPr>
          <w:p>
            <w:pPr>
              <w:pStyle w:val="TableContents"/>
              <w:bidi w:val="0"/>
              <w:spacing w:before="0" w:after="283"/>
              <w:jc w:val="both"/>
              <w:rPr/>
            </w:pPr>
            <w:r>
              <w:rPr/>
              <w:t>Total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80,436</w:t>
            </w:r>
          </w:p>
        </w:tc>
        <w:tc>
          <w:tcPr>
            <w:tcW w:w="110" w:type="dxa"/>
            <w:tcBorders/>
            <w:shd w:fill="CCEEFF" w:val="clear"/>
            <w:vAlign w:val="center"/>
          </w:tcPr>
          <w:p>
            <w:pPr>
              <w:pStyle w:val="TableContents"/>
              <w:bidi w:val="0"/>
              <w:spacing w:before="0" w:after="283"/>
              <w:jc w:val="left"/>
              <w:rPr/>
            </w:pPr>
            <w:r>
              <w:rPr/>
              <w:t> </w:t>
            </w:r>
            <w:bookmarkStart w:id="582" w:name="xdx_403_eus-gaap--DebtInstrumentUnamorti"/>
            <w:bookmarkEnd w:id="582"/>
          </w:p>
        </w:tc>
      </w:tr>
      <w:tr>
        <w:trPr/>
        <w:tc>
          <w:tcPr>
            <w:tcW w:w="3665" w:type="dxa"/>
            <w:tcBorders/>
            <w:shd w:fill="FFFFFF" w:val="clear"/>
            <w:vAlign w:val="center"/>
          </w:tcPr>
          <w:p>
            <w:pPr>
              <w:pStyle w:val="TableContents"/>
              <w:bidi w:val="0"/>
              <w:spacing w:before="0" w:after="283"/>
              <w:jc w:val="both"/>
              <w:rPr/>
            </w:pPr>
            <w:r>
              <w:rPr/>
              <w:t>Less: Unamortized debt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(58,533</w:t>
            </w:r>
          </w:p>
        </w:tc>
        <w:tc>
          <w:tcPr>
            <w:tcW w:w="110" w:type="dxa"/>
            <w:tcBorders/>
            <w:shd w:fill="FFFFFF" w:val="clear"/>
            <w:vAlign w:val="center"/>
          </w:tcPr>
          <w:p>
            <w:pPr>
              <w:pStyle w:val="TableContents"/>
              <w:bidi w:val="0"/>
              <w:spacing w:before="0" w:after="283"/>
              <w:jc w:val="left"/>
              <w:rPr/>
            </w:pPr>
            <w:r>
              <w:rPr/>
              <w:t>)</w:t>
            </w:r>
            <w:bookmarkStart w:id="583" w:name="xdx_40F_eus-gaap--DebtInstrumentCarrying"/>
            <w:bookmarkEnd w:id="583"/>
          </w:p>
        </w:tc>
      </w:tr>
      <w:tr>
        <w:trPr/>
        <w:tc>
          <w:tcPr>
            <w:tcW w:w="3665" w:type="dxa"/>
            <w:tcBorders/>
            <w:shd w:fill="CCEEFF" w:val="clear"/>
            <w:vAlign w:val="center"/>
          </w:tcPr>
          <w:p>
            <w:pPr>
              <w:pStyle w:val="TableContents"/>
              <w:bidi w:val="0"/>
              <w:spacing w:before="0" w:after="283"/>
              <w:jc w:val="both"/>
              <w:rPr/>
            </w:pPr>
            <w:r>
              <w:rPr/>
              <w:t>Total carrying amount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21,903</w:t>
            </w:r>
          </w:p>
        </w:tc>
        <w:tc>
          <w:tcPr>
            <w:tcW w:w="110" w:type="dxa"/>
            <w:tcBorders/>
            <w:shd w:fill="CCEEFF" w:val="clear"/>
            <w:vAlign w:val="center"/>
          </w:tcPr>
          <w:p>
            <w:pPr>
              <w:pStyle w:val="TableContents"/>
              <w:bidi w:val="0"/>
              <w:spacing w:before="0" w:after="283"/>
              <w:jc w:val="left"/>
              <w:rPr/>
            </w:pPr>
            <w:r>
              <w:rPr/>
              <w:t> </w:t>
            </w:r>
            <w:bookmarkStart w:id="584" w:name="xdx_407_eus-gaap--LongTermDebtCurrent_iN"/>
            <w:bookmarkEnd w:id="584"/>
          </w:p>
        </w:tc>
      </w:tr>
      <w:tr>
        <w:trPr/>
        <w:tc>
          <w:tcPr>
            <w:tcW w:w="3665" w:type="dxa"/>
            <w:tcBorders/>
            <w:shd w:fill="FFFFFF" w:val="clear"/>
            <w:vAlign w:val="center"/>
          </w:tcPr>
          <w:p>
            <w:pPr>
              <w:pStyle w:val="TableContents"/>
              <w:bidi w:val="0"/>
              <w:spacing w:before="0" w:after="283"/>
              <w:jc w:val="both"/>
              <w:rPr/>
            </w:pPr>
            <w:r>
              <w:rPr/>
              <w:t>Less: Current portion of debt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(21,903</w:t>
            </w:r>
          </w:p>
        </w:tc>
        <w:tc>
          <w:tcPr>
            <w:tcW w:w="110" w:type="dxa"/>
            <w:tcBorders/>
            <w:shd w:fill="FFFFFF" w:val="clear"/>
            <w:vAlign w:val="center"/>
          </w:tcPr>
          <w:p>
            <w:pPr>
              <w:pStyle w:val="TableContents"/>
              <w:bidi w:val="0"/>
              <w:spacing w:before="0" w:after="283"/>
              <w:jc w:val="left"/>
              <w:rPr/>
            </w:pPr>
            <w:r>
              <w:rPr/>
              <w:t>)</w:t>
            </w:r>
            <w:bookmarkStart w:id="585" w:name="xdx_401_eus-gaap--LongTermDebtNoncurrent"/>
            <w:bookmarkEnd w:id="585"/>
          </w:p>
        </w:tc>
      </w:tr>
      <w:tr>
        <w:trPr/>
        <w:tc>
          <w:tcPr>
            <w:tcW w:w="3665" w:type="dxa"/>
            <w:tcBorders/>
            <w:shd w:fill="CCEEFF" w:val="clear"/>
            <w:vAlign w:val="center"/>
          </w:tcPr>
          <w:p>
            <w:pPr>
              <w:pStyle w:val="TableContents"/>
              <w:bidi w:val="0"/>
              <w:spacing w:before="0" w:after="283"/>
              <w:jc w:val="both"/>
              <w:rPr/>
            </w:pPr>
            <w:r>
              <w:rPr/>
              <w:t>Total long-term debt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86" w:name="xdx_8A0_zpez8VU5jYxj"/>
      <w:bookmarkEnd w:id="586"/>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587" w:name="xdx_80D_eus-gaap--AssetAcquisitionTextBl"/>
      <w:bookmarkEnd w:id="587"/>
      <w:r>
        <w:rPr>
          <w:rFonts w:ascii="Times New Roman;Times;Serif" w:hAnsi="Times New Roman;Times;Serif"/>
          <w:b/>
          <w:i w:val="false"/>
          <w:caps/>
          <w:sz w:val="20"/>
        </w:rPr>
        <w:t xml:space="preserve">Note 7 - </w:t>
      </w:r>
      <w:bookmarkStart w:id="588" w:name="xdx_82D_zU1x8RSh0DT1"/>
      <w:bookmarkEnd w:id="588"/>
      <w:r>
        <w:rPr>
          <w:rFonts w:ascii="Times New Roman;Times;Serif" w:hAnsi="Times New Roman;Times;Serif"/>
          <w:b/>
          <w:i w:val="false"/>
          <w:caps/>
          <w:sz w:val="20"/>
        </w:rPr>
        <w:t>ASSET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Thomason Jones Company,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2022, the Company entered into an Asset Purchase Agreement with William Thomason, Richard Jones, and Thomason Jones Company, LLC whereby the Company acquired inventory and intellectual property assets for a price not to exceed $</w:t>
      </w:r>
      <w:bookmarkStart w:id="589" w:name="xdx_903_eus-gaap--AssetAcquisitionConsid"/>
      <w:bookmarkEnd w:id="589"/>
      <w:r>
        <w:rPr>
          <w:rFonts w:ascii="Times New Roman;Times;Serif" w:hAnsi="Times New Roman;Times;Serif"/>
          <w:b w:val="false"/>
          <w:i w:val="false"/>
          <w:caps w:val="false"/>
          <w:smallCaps w:val="false"/>
          <w:sz w:val="20"/>
        </w:rPr>
        <w:t>700 cash plus contingent payments of $</w:t>
      </w:r>
      <w:bookmarkStart w:id="590" w:name="xdx_907_eus-gaap--AssetAcquisitionConsid"/>
      <w:bookmarkEnd w:id="590"/>
      <w:r>
        <w:rPr>
          <w:rFonts w:ascii="Times New Roman;Times;Serif" w:hAnsi="Times New Roman;Times;Serif"/>
          <w:b w:val="false"/>
          <w:i w:val="false"/>
          <w:caps w:val="false"/>
          <w:smallCaps w:val="false"/>
          <w:sz w:val="20"/>
        </w:rPr>
        <w:t>1,000 each to William Thomason and Richard Jones (the “Earn Out”). The transaction was determined to be a business combination under the guidance in FASB ASC 805: Business Combinations. The Company followed the guidance under ASC 805-10-55 and determined the contingent consideration to be separate from the business combination and the earn out to be recognized as contingent compensation to Mr. Thomason and Mr. Jones as the contingency became probable of being met. The Company concluded the purchase price to be $</w:t>
      </w:r>
      <w:bookmarkStart w:id="591" w:name="xdx_902_eus-gaap--AssetAcquisitionConsid"/>
      <w:bookmarkEnd w:id="591"/>
      <w:r>
        <w:rPr>
          <w:rFonts w:ascii="Times New Roman;Times;Serif" w:hAnsi="Times New Roman;Times;Serif"/>
          <w:b w:val="false"/>
          <w:i w:val="false"/>
          <w:caps w:val="false"/>
          <w:smallCaps w:val="false"/>
          <w:sz w:val="20"/>
        </w:rPr>
        <w:t>444 and was allocated in its entirety to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agreement dated April 2022, Dragonfly Energy Corp. agreed to a contingent compensation arrangement with Mr. Thomason and Mr. Jones. According to this agreement, if Dragonfly Energy Corp. realizes $</w:t>
      </w:r>
      <w:bookmarkStart w:id="592" w:name="xdx_90D_eus-gaap--CostOfGoodsAndServices"/>
      <w:bookmarkEnd w:id="592"/>
      <w:r>
        <w:rPr>
          <w:rFonts w:ascii="Times New Roman;Times;Serif" w:hAnsi="Times New Roman;Times;Serif"/>
          <w:b w:val="false"/>
          <w:i w:val="false"/>
          <w:caps w:val="false"/>
          <w:smallCaps w:val="false"/>
          <w:sz w:val="20"/>
        </w:rPr>
        <w:t>3,000 in gross sales from products sold under the Wakespeed brand or which incorporate any portion of the Purchased Intellectual Property (IP) within twenty-four months of the acquisition, the Company is obligated to pay each of Thomason and Jones $</w:t>
      </w:r>
      <w:bookmarkStart w:id="593" w:name="xdx_903_eus-gaap--RepaymentsOfRelatedPar"/>
      <w:bookmarkEnd w:id="593"/>
      <w:r>
        <w:rPr>
          <w:rFonts w:ascii="Times New Roman;Times;Serif" w:hAnsi="Times New Roman;Times;Serif"/>
          <w:b w:val="false"/>
          <w:i w:val="false"/>
          <w:caps w:val="false"/>
          <w:smallCaps w:val="false"/>
          <w:sz w:val="20"/>
        </w:rPr>
        <w:t>1,000. The Company may satisfy this obligation in cash or by issuing common stock at its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this arrangement constitutes compensation for post-acquisition services. Consequently, the Company has recognized this contingent consideration as a compensation expense, measured at its fair value at the acquisition date. The fair value was determined using a probability weighted expected outcome approach, considering the likelihood of reaching the gross sales target.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has recognized $</w:t>
      </w:r>
      <w:bookmarkStart w:id="594" w:name="xdx_90D_eus-gaap--CompensationExpenseExc"/>
      <w:bookmarkEnd w:id="594"/>
      <w:r>
        <w:rPr>
          <w:rFonts w:ascii="Times New Roman;Times;Serif" w:hAnsi="Times New Roman;Times;Serif"/>
          <w:b w:val="false"/>
          <w:i w:val="false"/>
          <w:caps w:val="false"/>
          <w:smallCaps w:val="false"/>
          <w:sz w:val="20"/>
        </w:rPr>
        <w:t>2,000 of compensation expense in connection with this arrangement. During the period January 1, 2024 through the quarter ended June 30, 2024, no compensation expense has been recognized. This expense is reflected in the statement of operations under Sales and marketing expense. The total amount was recognized as compensation expense as of December 31, 2023, since it was deemed earned and no further service performance was required.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bookmarkStart w:id="595" w:name="xdx_808_eus-gaap--RelatedPartyTransactio"/>
      <w:bookmarkEnd w:id="595"/>
      <w:r>
        <w:rPr>
          <w:rFonts w:ascii="Times New Roman;Times;Serif" w:hAnsi="Times New Roman;Times;Serif"/>
          <w:b/>
          <w:i w:val="false"/>
          <w:caps/>
          <w:sz w:val="20"/>
        </w:rPr>
        <w:t xml:space="preserve">Note 8 - </w:t>
      </w:r>
      <w:bookmarkStart w:id="596" w:name="xdx_829_zrIF2LL739o6"/>
      <w:bookmarkEnd w:id="596"/>
      <w:r>
        <w:rPr>
          <w:rFonts w:ascii="Times New Roman;Times;Serif" w:hAnsi="Times New Roman;Times;Serif"/>
          <w:b/>
          <w:i w:val="false"/>
          <w:caps/>
          <w:sz w:val="20"/>
        </w:rPr>
        <w:t>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25, 2022, the Company entered into a separation and release of claims agreement with its Chief Operating Officer (“COO”). As consideration for the COO’s execution of the agreement, the Company agreed to pay the employee a lump sum payment of $</w:t>
      </w:r>
      <w:bookmarkStart w:id="597" w:name="xdx_90F_eus-gaap--RelatedPartyTransactio"/>
      <w:bookmarkEnd w:id="597"/>
      <w:r>
        <w:rPr>
          <w:rFonts w:ascii="Times New Roman;Times;Serif" w:hAnsi="Times New Roman;Times;Serif"/>
          <w:b w:val="false"/>
          <w:i w:val="false"/>
          <w:caps w:val="false"/>
          <w:smallCaps w:val="false"/>
          <w:sz w:val="20"/>
        </w:rPr>
        <w:t>100 which is included in general and administrative expenses in the statements of operations, payments equivalent to $</w:t>
      </w:r>
      <w:bookmarkStart w:id="598" w:name="xdx_90F_eus-gaap--OtherLiabilities_iI_pn"/>
      <w:bookmarkEnd w:id="598"/>
      <w:r>
        <w:rPr>
          <w:rFonts w:ascii="Times New Roman;Times;Serif" w:hAnsi="Times New Roman;Times;Serif"/>
          <w:b w:val="false"/>
          <w:i w:val="false"/>
          <w:caps w:val="false"/>
          <w:smallCaps w:val="false"/>
          <w:sz w:val="20"/>
        </w:rPr>
        <w:t xml:space="preserve">1,000 divided into 24 monthly payments commencing on December 1, 2022, and all outstanding equity-based compensation awards to become fully vested and exercisable. The COO shall have 12 months from the termination date to exercise outstanding options. The twelve (12) month period ended on November 7, 2023 in which the COO exercised </w:t>
      </w:r>
      <w:bookmarkStart w:id="599" w:name="xdx_90A_eus-gaap--StockIssuedDuringPerio"/>
      <w:bookmarkEnd w:id="599"/>
      <w:r>
        <w:rPr>
          <w:rFonts w:ascii="Times New Roman;Times;Serif" w:hAnsi="Times New Roman;Times;Serif"/>
          <w:b w:val="false"/>
          <w:i w:val="false"/>
          <w:caps w:val="false"/>
          <w:smallCaps w:val="false"/>
          <w:sz w:val="20"/>
        </w:rPr>
        <w:t xml:space="preserve">100,000 options and </w:t>
      </w:r>
      <w:bookmarkStart w:id="600" w:name="xdx_904_eus-gaap--ShareBasedCompensation"/>
      <w:bookmarkEnd w:id="600"/>
      <w:r>
        <w:rPr>
          <w:rFonts w:ascii="Times New Roman;Times;Serif" w:hAnsi="Times New Roman;Times;Serif"/>
          <w:b w:val="false"/>
          <w:i w:val="false"/>
          <w:caps w:val="false"/>
          <w:smallCaps w:val="false"/>
          <w:sz w:val="20"/>
        </w:rPr>
        <w:t>76,316 options expired.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2023, the Company entered into an agreement with its former COO in which the COO waived their rights to a transaction bonus resulting from the merger transaction in lieu of a Company van. The Company accounted for the cost of the van as an employee bonus, resulting in $</w:t>
      </w:r>
      <w:bookmarkStart w:id="601" w:name="xdx_90C_eus-gaap--GeneralAndAdministrati"/>
      <w:bookmarkEnd w:id="601"/>
      <w:r>
        <w:rPr>
          <w:rFonts w:ascii="Times New Roman;Times;Serif" w:hAnsi="Times New Roman;Times;Serif"/>
          <w:b w:val="false"/>
          <w:i w:val="false"/>
          <w:caps w:val="false"/>
          <w:smallCaps w:val="false"/>
          <w:sz w:val="20"/>
        </w:rPr>
        <w:t>116 of general and administrative expense for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the Company entered into a convertible promissory note (the “Note”) with a board member in the amount of $</w:t>
      </w:r>
      <w:bookmarkStart w:id="602" w:name="xdx_909_eus-gaap--ConvertibleNotesPayabl"/>
      <w:bookmarkEnd w:id="602"/>
      <w:r>
        <w:rPr>
          <w:rFonts w:ascii="Times New Roman;Times;Serif" w:hAnsi="Times New Roman;Times;Serif"/>
          <w:b w:val="false"/>
          <w:i w:val="false"/>
          <w:caps w:val="false"/>
          <w:smallCaps w:val="false"/>
          <w:sz w:val="20"/>
        </w:rPr>
        <w:t>1,000, or the Principal Amount. Upon execution of the Note and funding of the original principal sum, a payment of $</w:t>
      </w:r>
      <w:bookmarkStart w:id="603" w:name="xdx_90F_eus-gaap--DebtInstrumentFeeAmoun"/>
      <w:bookmarkEnd w:id="603"/>
      <w:r>
        <w:rPr>
          <w:rFonts w:ascii="Times New Roman;Times;Serif" w:hAnsi="Times New Roman;Times;Serif"/>
          <w:b w:val="false"/>
          <w:i w:val="false"/>
          <w:caps w:val="false"/>
          <w:smallCaps w:val="false"/>
          <w:sz w:val="20"/>
        </w:rPr>
        <w:t>100 (the “Loan Fee”) was fully earned as of the date of the Note and was due and payable in full in cash on April 4, 2023. The Company paid the Principal Amount and the Loan Fee on April 1, 2023 and April 4,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2023, the Company entered into a separation and release of claims agreement with its former Chief Legal Officer (“CLO”). As consideration for the CLO’s execution of the agreement, the Company agreed to pay the employee payments equivalent to $</w:t>
      </w:r>
      <w:bookmarkStart w:id="604" w:name="xdx_902_eus-gaap--OtherLiabilities_iI_pn"/>
      <w:bookmarkEnd w:id="604"/>
      <w:r>
        <w:rPr>
          <w:rFonts w:ascii="Times New Roman;Times;Serif" w:hAnsi="Times New Roman;Times;Serif"/>
          <w:b w:val="false"/>
          <w:i w:val="false"/>
          <w:caps w:val="false"/>
          <w:smallCaps w:val="false"/>
          <w:sz w:val="20"/>
        </w:rPr>
        <w:t>720 divided into 24 monthly payments commencing on June 1, 2023, and all outstanding equity based compensation awards to become fully vested and exercisable at an expense of $</w:t>
      </w:r>
      <w:bookmarkStart w:id="605" w:name="xdx_90C_eus-gaap--EmployeeBenefitsAndSha"/>
      <w:bookmarkEnd w:id="605"/>
      <w:r>
        <w:rPr>
          <w:rFonts w:ascii="Times New Roman;Times;Serif" w:hAnsi="Times New Roman;Times;Serif"/>
          <w:b w:val="false"/>
          <w:i w:val="false"/>
          <w:caps w:val="false"/>
          <w:smallCaps w:val="false"/>
          <w:sz w:val="20"/>
        </w:rPr>
        <w:t>76. The CLO shall have 3 months from the termination date to exercise outstanding options. The three (3) month period ended on July 26, 2023 in which the options were not exercised and the options were forfeited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2024, the Company entered into a convertible promissory note (the “January Note”) with a board member in the amount of $</w:t>
      </w:r>
      <w:bookmarkStart w:id="606" w:name="xdx_90B_eus-gaap--ConvertibleNotesPayabl"/>
      <w:bookmarkEnd w:id="606"/>
      <w:r>
        <w:rPr>
          <w:rFonts w:ascii="Times New Roman;Times;Serif" w:hAnsi="Times New Roman;Times;Serif"/>
          <w:b w:val="false"/>
          <w:i w:val="false"/>
          <w:caps w:val="false"/>
          <w:smallCaps w:val="false"/>
          <w:sz w:val="20"/>
        </w:rPr>
        <w:t>1,000, or the January Principal Amount. Upon execution of the January Note and funding of the original principal sum, a payment of $</w:t>
      </w:r>
      <w:bookmarkStart w:id="607" w:name="xdx_900_eus-gaap--DebtInstrumentFeeAmoun"/>
      <w:bookmarkEnd w:id="607"/>
      <w:r>
        <w:rPr>
          <w:rFonts w:ascii="Times New Roman;Times;Serif" w:hAnsi="Times New Roman;Times;Serif"/>
          <w:b w:val="false"/>
          <w:i w:val="false"/>
          <w:caps w:val="false"/>
          <w:smallCaps w:val="false"/>
          <w:sz w:val="20"/>
        </w:rPr>
        <w:t>50 (the “January Loan Fee”) was fully earned as of the date of the January Note and was due and payable in full in cash on February 2, 2024. The Company paid the January Principal Amount and the January Loan Fee on February 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2024 the Company entered into a convertible promissory note (the “February Note”) with a board member in the amount of $</w:t>
      </w:r>
      <w:bookmarkStart w:id="608" w:name="xdx_90E_eus-gaap--ConvertibleNotesPayabl"/>
      <w:bookmarkEnd w:id="608"/>
      <w:r>
        <w:rPr>
          <w:rFonts w:ascii="Times New Roman;Times;Serif" w:hAnsi="Times New Roman;Times;Serif"/>
          <w:b w:val="false"/>
          <w:i w:val="false"/>
          <w:caps w:val="false"/>
          <w:smallCaps w:val="false"/>
          <w:sz w:val="20"/>
        </w:rPr>
        <w:t>1,700, or the February Principal Amount. Upon execution of the February Note and funding of the original principal sum, a payment of $</w:t>
      </w:r>
      <w:bookmarkStart w:id="609" w:name="xdx_907_eus-gaap--DebtInstrumentFeeAmoun"/>
      <w:bookmarkEnd w:id="609"/>
      <w:r>
        <w:rPr>
          <w:rFonts w:ascii="Times New Roman;Times;Serif" w:hAnsi="Times New Roman;Times;Serif"/>
          <w:b w:val="false"/>
          <w:i w:val="false"/>
          <w:caps w:val="false"/>
          <w:smallCaps w:val="false"/>
          <w:sz w:val="20"/>
        </w:rPr>
        <w:t>85 (the “February Loan Fee”) was fully earned as of the date of the February Note and was due and payable in full in cash on March 1, 2024. The Company paid the February Principal Amount and the February Loan Fee on March 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April 12, 2024, the Company entered into amendments to the employment agreements with its Chief Executive Officer, its Chief Revenue Officer and its Chief Marketing Officer to amend the terms of their annual equity compensation (the “Amended Employee Agreements”). The Amended Employee Agreements allow the Company to issue a combination of cash and equity awards on an annual basis up to a specified amount ($</w:t>
      </w:r>
      <w:bookmarkStart w:id="610" w:name="xdx_904_eus-gaap--PaymentOfFinancingAndS"/>
      <w:bookmarkEnd w:id="610"/>
      <w:r>
        <w:rPr>
          <w:rFonts w:ascii="Times New Roman;Times;Serif" w:hAnsi="Times New Roman;Times;Serif"/>
          <w:b w:val="false"/>
          <w:i w:val="false"/>
          <w:caps w:val="false"/>
          <w:smallCaps w:val="false"/>
          <w:sz w:val="20"/>
        </w:rPr>
        <w:t>1,532 for the Chief Executive Officer, $</w:t>
      </w:r>
      <w:bookmarkStart w:id="611" w:name="xdx_90A_eus-gaap--PaymentOfFinancingAndS"/>
      <w:bookmarkEnd w:id="611"/>
      <w:r>
        <w:rPr>
          <w:rFonts w:ascii="Times New Roman;Times;Serif" w:hAnsi="Times New Roman;Times;Serif"/>
          <w:b w:val="false"/>
          <w:i w:val="false"/>
          <w:caps w:val="false"/>
          <w:smallCaps w:val="false"/>
          <w:sz w:val="20"/>
        </w:rPr>
        <w:t>490 for the Chief Revenue Officer and $</w:t>
      </w:r>
      <w:bookmarkStart w:id="612" w:name="xdx_903_eus-gaap--PaymentOfFinancingAndS"/>
      <w:bookmarkEnd w:id="612"/>
      <w:r>
        <w:rPr>
          <w:rFonts w:ascii="Times New Roman;Times;Serif" w:hAnsi="Times New Roman;Times;Serif"/>
          <w:b w:val="false"/>
          <w:i w:val="false"/>
          <w:caps w:val="false"/>
          <w:smallCaps w:val="false"/>
          <w:sz w:val="20"/>
        </w:rPr>
        <w:t>236 for the Chief Marketing Officer), subject to approval and such other terms and conditions imposed by the compensation committee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613" w:name="xdx_806_ecustom--WarrantLiabilitiesDiscl"/>
      <w:bookmarkEnd w:id="613"/>
      <w:r>
        <w:rPr>
          <w:rFonts w:ascii="Times New Roman;Times;Serif" w:hAnsi="Times New Roman;Times;Serif"/>
          <w:b/>
          <w:i w:val="false"/>
          <w:caps/>
          <w:sz w:val="20"/>
        </w:rPr>
        <w:t xml:space="preserve">Note 9 - </w:t>
      </w:r>
      <w:bookmarkStart w:id="614" w:name="xdx_82F_zXIzXZUsJvs2"/>
      <w:bookmarkEnd w:id="614"/>
      <w:r>
        <w:rPr>
          <w:rFonts w:ascii="Times New Roman;Times;Serif" w:hAnsi="Times New Roman;Times;Serif"/>
          <w:b/>
          <w:i w:val="false"/>
          <w:caps/>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Public Warrants are classified as equity as of June 30, 2024 and June 30, 2023 there were </w:t>
      </w:r>
      <w:bookmarkStart w:id="615" w:name="xdx_902_eus-gaap--ShareBasedCompensation"/>
      <w:bookmarkStart w:id="616" w:name="xdx_908_eus-gaap--ShareBasedCompensation"/>
      <w:bookmarkStart w:id="617" w:name="xdx_909_eus-gaap--ShareBasedCompensation"/>
      <w:bookmarkStart w:id="618" w:name="xdx_90E_eus-gaap--ShareBasedCompensation"/>
      <w:bookmarkEnd w:id="615"/>
      <w:bookmarkEnd w:id="616"/>
      <w:bookmarkEnd w:id="617"/>
      <w:bookmarkEnd w:id="618"/>
      <w:r>
        <w:rPr>
          <w:rFonts w:ascii="Times New Roman;Times;Serif" w:hAnsi="Times New Roman;Times;Serif"/>
          <w:b w:val="false"/>
          <w:i w:val="false"/>
          <w:caps w:val="false"/>
          <w:smallCaps w:val="false"/>
          <w:sz w:val="20"/>
        </w:rPr>
        <w:t>9,422,529 Public Warrants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2024, </w:t>
      </w:r>
      <w:bookmarkStart w:id="619" w:name="xdx_90D_ecustom--StockIssuedDuringPeriod"/>
      <w:bookmarkEnd w:id="619"/>
      <w:r>
        <w:rPr>
          <w:rFonts w:ascii="Times New Roman;Times;Serif" w:hAnsi="Times New Roman;Times;Serif"/>
          <w:b w:val="false"/>
          <w:i w:val="false"/>
          <w:caps w:val="false"/>
          <w:smallCaps w:val="false"/>
          <w:sz w:val="20"/>
        </w:rPr>
        <w:t>no public warrants were exercised.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7, 2022, in connection with the merger, the Company assumed the outstanding private placement warrants of CNTQ. There were no Private Placement Warrants outstanding prior to the merger. The Private Placement Warrants (the “Private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 During the year ended December 31, 2023, private placement warrant holders exercised </w:t>
      </w:r>
      <w:bookmarkStart w:id="620" w:name="xdx_90E_eus-gaap--ClassOfWarrantOrRightN"/>
      <w:bookmarkEnd w:id="620"/>
      <w:r>
        <w:rPr>
          <w:rFonts w:ascii="Times New Roman;Times;Serif" w:hAnsi="Times New Roman;Times;Serif"/>
          <w:b w:val="false"/>
          <w:i w:val="false"/>
          <w:caps w:val="false"/>
          <w:smallCaps w:val="false"/>
          <w:sz w:val="20"/>
        </w:rPr>
        <w:t xml:space="preserve">3,126,472 warrants on a cashless basis, with the Company agreeing to issue </w:t>
      </w:r>
      <w:bookmarkStart w:id="621" w:name="xdx_900_eus-gaap--StockIssuedDuringPerio"/>
      <w:bookmarkEnd w:id="621"/>
      <w:r>
        <w:rPr>
          <w:rFonts w:ascii="Times New Roman;Times;Serif" w:hAnsi="Times New Roman;Times;Serif"/>
          <w:b w:val="false"/>
          <w:i w:val="false"/>
          <w:caps w:val="false"/>
          <w:smallCaps w:val="false"/>
          <w:sz w:val="20"/>
        </w:rPr>
        <w:t xml:space="preserve">1,100,000 shares of Common Stock in connection with such exercise. There were </w:t>
      </w:r>
      <w:bookmarkStart w:id="622" w:name="xdx_90A_eus-gaap--ClassOfWarrantOrRightO"/>
      <w:bookmarkStart w:id="623" w:name="xdx_906_eus-gaap--ClassOfWarrantOrRightO"/>
      <w:bookmarkEnd w:id="622"/>
      <w:bookmarkEnd w:id="623"/>
      <w:r>
        <w:rPr>
          <w:rFonts w:ascii="Times New Roman;Times;Serif" w:hAnsi="Times New Roman;Times;Serif"/>
          <w:b w:val="false"/>
          <w:i w:val="false"/>
          <w:caps w:val="false"/>
          <w:smallCaps w:val="false"/>
          <w:sz w:val="20"/>
        </w:rPr>
        <w:t>1,501,386 private warrants outstanding as of June 30, 2024 and December 31, 2023, respectively. The Company accounts for the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warrants are classified as Level 2 as the transfer of Private Placement Warrants to anyone who is not a permitted transferee would result in the Private Placement Warrants having substantially similar terms as the Public Warrants (with the exception of a different remaining life). The Company determined, through use of a Binomial Lattice model, that the fair value of each Private Placement Warrant less a discount for the difference in remaining life is equivalent to that of each Public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Loan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entry into the Term Loan Agreement on October 7, 2022, and as a required term and condition thereof, </w:t>
      </w:r>
      <w:bookmarkStart w:id="624" w:name="xdx_900_ecustom--ClassOfWarrantOrRightEx"/>
      <w:bookmarkEnd w:id="624"/>
      <w:r>
        <w:rPr>
          <w:rFonts w:ascii="Times New Roman;Times;Serif" w:hAnsi="Times New Roman;Times;Serif"/>
          <w:b w:val="false"/>
          <w:i w:val="false"/>
          <w:caps w:val="false"/>
          <w:smallCaps w:val="false"/>
          <w:sz w:val="20"/>
        </w:rPr>
        <w:t xml:space="preserve">the Company issued (i) the penny warrants to the Term Loan Lenders exercisable to purchase an aggregate of </w:t>
      </w:r>
      <w:bookmarkStart w:id="625" w:name="xdx_902_eus-gaap--ClassOfWarrantOrRightN"/>
      <w:bookmarkEnd w:id="625"/>
      <w:r>
        <w:rPr>
          <w:rFonts w:ascii="Times New Roman;Times;Serif" w:hAnsi="Times New Roman;Times;Serif"/>
          <w:b w:val="false"/>
          <w:i w:val="false"/>
          <w:caps w:val="false"/>
          <w:smallCaps w:val="false"/>
          <w:sz w:val="20"/>
        </w:rPr>
        <w:t xml:space="preserve">2,593,056 shares of Common Stock (the “Original Penny Warrants”) and (ii) the $10 warrants to issue warrants to the Term Loan Lenders exercisable to purchase an aggregate of </w:t>
      </w:r>
      <w:bookmarkStart w:id="626" w:name="xdx_90E_eus-gaap--ClassOfWarrantOrRightN"/>
      <w:bookmarkEnd w:id="626"/>
      <w:r>
        <w:rPr>
          <w:rFonts w:ascii="Times New Roman;Times;Serif" w:hAnsi="Times New Roman;Times;Serif"/>
          <w:b w:val="false"/>
          <w:i w:val="false"/>
          <w:caps w:val="false"/>
          <w:smallCaps w:val="false"/>
          <w:sz w:val="20"/>
        </w:rPr>
        <w:t>1,600,000 shares of Common Stock at $</w:t>
      </w:r>
      <w:bookmarkStart w:id="627" w:name="xdx_907_eus-gaap--SharePrice_iI_pid_c202"/>
      <w:bookmarkEnd w:id="627"/>
      <w:r>
        <w:rPr>
          <w:rFonts w:ascii="Times New Roman;Times;Serif" w:hAnsi="Times New Roman;Times;Serif"/>
          <w:b w:val="false"/>
          <w:i w:val="false"/>
          <w:caps w:val="false"/>
          <w:smallCaps w:val="false"/>
          <w:sz w:val="20"/>
        </w:rPr>
        <w:t xml:space="preserve">10 per share (the “$10 Warrants” and, together with the Original Penny Warrants, the “Term Loan Warrants”). The $10 Warrants were exercised on a cashless basis on October 10, 2022, with the Company issuing </w:t>
      </w:r>
      <w:bookmarkStart w:id="628" w:name="xdx_905_eus-gaap--ClassOfWarrantOrRightN"/>
      <w:bookmarkEnd w:id="628"/>
      <w:r>
        <w:rPr>
          <w:rFonts w:ascii="Times New Roman;Times;Serif" w:hAnsi="Times New Roman;Times;Serif"/>
          <w:b w:val="false"/>
          <w:i w:val="false"/>
          <w:caps w:val="false"/>
          <w:smallCaps w:val="false"/>
          <w:sz w:val="20"/>
        </w:rPr>
        <w:t xml:space="preserve">457,142 shares of Common Stock in connection with such exercise. During the year ended December 31, 2023, Original Penny Warrant holders exercised </w:t>
      </w:r>
      <w:bookmarkStart w:id="629" w:name="xdx_906_eus-gaap--ClassOfWarrantOrRightN"/>
      <w:bookmarkEnd w:id="629"/>
      <w:r>
        <w:rPr>
          <w:rFonts w:ascii="Times New Roman;Times;Serif" w:hAnsi="Times New Roman;Times;Serif"/>
          <w:b w:val="false"/>
          <w:i w:val="false"/>
          <w:caps w:val="false"/>
          <w:smallCaps w:val="false"/>
          <w:sz w:val="20"/>
        </w:rPr>
        <w:t xml:space="preserve">2,000,000 warrants on a cashless basis, with the Company agreeing to issue </w:t>
      </w:r>
      <w:bookmarkStart w:id="630" w:name="xdx_904_eus-gaap--ClassOfWarrantOrRightN"/>
      <w:bookmarkEnd w:id="630"/>
      <w:r>
        <w:rPr>
          <w:rFonts w:ascii="Times New Roman;Times;Serif" w:hAnsi="Times New Roman;Times;Serif"/>
          <w:b w:val="false"/>
          <w:i w:val="false"/>
          <w:caps w:val="false"/>
          <w:smallCaps w:val="false"/>
          <w:sz w:val="20"/>
        </w:rPr>
        <w:t xml:space="preserve">1,996,323 shares of Common Stock in connection with such exercise. During the year ended December 31, 2023 the Company issued additional Original Penny Warrants to purchase </w:t>
      </w:r>
      <w:bookmarkStart w:id="631" w:name="xdx_901_eus-gaap--ClassOfWarrantOrRightN"/>
      <w:bookmarkEnd w:id="631"/>
      <w:r>
        <w:rPr>
          <w:rFonts w:ascii="Times New Roman;Times;Serif" w:hAnsi="Times New Roman;Times;Serif"/>
          <w:b w:val="false"/>
          <w:i w:val="false"/>
          <w:caps w:val="false"/>
          <w:smallCaps w:val="false"/>
          <w:sz w:val="20"/>
        </w:rPr>
        <w:t xml:space="preserve">4,783 shares of Common Stock to the Term Loan Lenders in accordance with the anti-dilution provisions of the penny warrants with respect to certain sales made by the Company under the ChEF Equity Facility. In addition, pursuant to the Company’s limited waiver agreement on December 29, 2023 between the Company and the lenders and lending agent, the Company agreed to issue to the lenders additional penny warrants exercisable to purchase an aggregate </w:t>
      </w:r>
      <w:bookmarkStart w:id="632" w:name="xdx_900_eus-gaap--ClassOfWarrantOrRightN"/>
      <w:bookmarkEnd w:id="632"/>
      <w:r>
        <w:rPr>
          <w:rFonts w:ascii="Times New Roman;Times;Serif" w:hAnsi="Times New Roman;Times;Serif"/>
          <w:b w:val="false"/>
          <w:i w:val="false"/>
          <w:caps w:val="false"/>
          <w:smallCaps w:val="false"/>
          <w:sz w:val="20"/>
        </w:rPr>
        <w:t>1,286,671 shares of its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13, 2024, the Company received a waiver from its Administrative Agent and Term Loan Lenders (the “May 2024 Waiver”) in regards to its compliance with the to satisfy the Senior Leverage Ratio and Fixed Charge Coverage Ratio tests (the “Tests”) as of the last day of the quarter ended June 30, 2024 from the Term Loan Lenders in regards to its compliance with the Tests as of the last day of the quarter ended June 30, 2024. The May 2024 Waiver provided for a one-time issuance of penny warrants (the “May 2024 Penny Warrants”) to purchase up to </w:t>
      </w:r>
      <w:bookmarkStart w:id="633" w:name="xdx_90F_eus-gaap--ClassOfWarrantOrRightN"/>
      <w:bookmarkEnd w:id="633"/>
      <w:r>
        <w:rPr>
          <w:rFonts w:ascii="Times New Roman;Times;Serif" w:hAnsi="Times New Roman;Times;Serif"/>
          <w:b w:val="false"/>
          <w:i w:val="false"/>
          <w:caps w:val="false"/>
          <w:smallCaps w:val="false"/>
          <w:sz w:val="20"/>
        </w:rPr>
        <w:t>2,550,000 shares of the Company’s common stock, par value $</w:t>
      </w:r>
      <w:bookmarkStart w:id="634" w:name="xdx_907_eus-gaap--CommonStockParOrStated"/>
      <w:bookmarkEnd w:id="634"/>
      <w:r>
        <w:rPr>
          <w:rFonts w:ascii="Times New Roman;Times;Serif" w:hAnsi="Times New Roman;Times;Serif"/>
          <w:b w:val="false"/>
          <w:i w:val="false"/>
          <w:caps w:val="false"/>
          <w:smallCaps w:val="false"/>
          <w:sz w:val="20"/>
        </w:rPr>
        <w:t>0.0001 per share (the “May 2024 Penny Warrant Shares”), at an exercise price of $</w:t>
      </w:r>
      <w:bookmarkStart w:id="635" w:name="xdx_906_eus-gaap--ClassOfWarrantOrRightE"/>
      <w:bookmarkEnd w:id="635"/>
      <w:r>
        <w:rPr>
          <w:rFonts w:ascii="Times New Roman;Times;Serif" w:hAnsi="Times New Roman;Times;Serif"/>
          <w:b w:val="false"/>
          <w:i w:val="false"/>
          <w:caps w:val="false"/>
          <w:smallCaps w:val="false"/>
          <w:sz w:val="20"/>
        </w:rPr>
        <w:t xml:space="preserve">0.01 per share, in connection with the Term Loan Lenders’ agreement to waive the Tests under the Term Loan for the quarter ended June 30, 2024. The May 2024 Penny Warrants were immediately exercisable upon issuance and will expire </w:t>
      </w:r>
      <w:bookmarkStart w:id="636" w:name="xdx_908_eus-gaap--WarrantsAndRightsOutst"/>
      <w:bookmarkEnd w:id="636"/>
      <w:r>
        <w:rPr>
          <w:rFonts w:ascii="Times New Roman;Times;Serif" w:hAnsi="Times New Roman;Times;Serif"/>
          <w:b w:val="false"/>
          <w:i w:val="false"/>
          <w:caps w:val="false"/>
          <w:smallCaps w:val="false"/>
          <w:sz w:val="20"/>
        </w:rPr>
        <w:t>ten years from the date of issuance.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28, 2024, the Company entered into a limited waiver and first amendment (the “Amendment”) to the Term Loan with the lenders in regards to its compliance with the for the quarter ended June 30, 2024 and certain amendments to the Term Loan. The Amendment provided for a one-time issuance of penny warrants (the “June 2024 Penny Warrants”, collectively with the Original Penny Warrants, the May 2024 Penny Warrants and the June 2024 Penny Warrants, the “Penny Warrants”) to purchase up to </w:t>
      </w:r>
      <w:bookmarkStart w:id="637" w:name="xdx_901_eus-gaap--ClassOfWarrantOrRightN"/>
      <w:bookmarkEnd w:id="637"/>
      <w:r>
        <w:rPr>
          <w:rFonts w:ascii="Times New Roman;Times;Serif" w:hAnsi="Times New Roman;Times;Serif"/>
          <w:b w:val="false"/>
          <w:i w:val="false"/>
          <w:caps w:val="false"/>
          <w:smallCaps w:val="false"/>
          <w:sz w:val="20"/>
        </w:rPr>
        <w:t>2,100,000 shares of the Company’s common stock, par value $</w:t>
      </w:r>
      <w:bookmarkStart w:id="638" w:name="xdx_90A_eus-gaap--CommonStockParOrStated"/>
      <w:bookmarkEnd w:id="638"/>
      <w:r>
        <w:rPr>
          <w:rFonts w:ascii="Times New Roman;Times;Serif" w:hAnsi="Times New Roman;Times;Serif"/>
          <w:b w:val="false"/>
          <w:i w:val="false"/>
          <w:caps w:val="false"/>
          <w:smallCaps w:val="false"/>
          <w:sz w:val="20"/>
        </w:rPr>
        <w:t>0.0001 per share (the “June 2024 Penny Warrant Shares”), at an exercise price of $</w:t>
      </w:r>
      <w:bookmarkStart w:id="639" w:name="xdx_905_eus-gaap--ClassOfWarrantOrRightE"/>
      <w:bookmarkEnd w:id="639"/>
      <w:r>
        <w:rPr>
          <w:rFonts w:ascii="Times New Roman;Times;Serif" w:hAnsi="Times New Roman;Times;Serif"/>
          <w:b w:val="false"/>
          <w:i w:val="false"/>
          <w:caps w:val="false"/>
          <w:smallCaps w:val="false"/>
          <w:sz w:val="20"/>
        </w:rPr>
        <w:t>0.01 per share, in connection with the lenders’ agreement to waive the Tests under the Term Loan for the quarter ended June 30, 2024 and to amend the Term Loan. The June 2024 Penny Warrants are immediately exercisable upon issuance and will expire ten years from the date of issuance. The May 2024 Penny Warrants and the June 2024 Penny Warrants were valued utilizing a Black-Scholes model with the following assumptions: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40" w:name="xdx_8BA_zqNZ7DMkWqf1"/>
      <w:bookmarkStart w:id="641" w:name="xdx_89E_ecustom--ScheduleOfShareBasedPay"/>
      <w:bookmarkEnd w:id="640"/>
      <w:bookmarkEnd w:id="641"/>
      <w:r>
        <w:rPr>
          <w:rFonts w:ascii="Times New Roman;Times;Serif" w:hAnsi="Times New Roman;Times;Serif"/>
          <w:b w:val="false"/>
          <w:i w:val="false"/>
          <w:caps w:val="false"/>
          <w:smallCaps w:val="false"/>
          <w:sz w:val="20"/>
        </w:rPr>
        <w:t>SCHEDULE OF PENNY WARRANTS </w:t>
      </w:r>
    </w:p>
    <w:tbl>
      <w:tblPr>
        <w:tblW w:w="7013" w:type="dxa"/>
        <w:jc w:val="left"/>
        <w:tblInd w:w="0" w:type="dxa"/>
        <w:tblLayout w:type="fixed"/>
        <w:tblCellMar>
          <w:top w:w="0" w:type="dxa"/>
          <w:left w:w="0" w:type="dxa"/>
          <w:bottom w:w="0" w:type="dxa"/>
          <w:right w:w="0" w:type="dxa"/>
        </w:tblCellMar>
      </w:tblPr>
      <w:tblGrid>
        <w:gridCol w:w="1310"/>
        <w:gridCol w:w="60"/>
        <w:gridCol w:w="598"/>
        <w:gridCol w:w="1971"/>
        <w:gridCol w:w="215"/>
        <w:gridCol w:w="60"/>
        <w:gridCol w:w="598"/>
        <w:gridCol w:w="1971"/>
        <w:gridCol w:w="230"/>
      </w:tblGrid>
      <w:tr>
        <w:trPr/>
        <w:tc>
          <w:tcPr>
            <w:tcW w:w="1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69" w:type="dxa"/>
            <w:gridSpan w:val="2"/>
            <w:tcBorders>
              <w:bottom w:val="single" w:sz="12" w:space="0" w:color="000000"/>
            </w:tcBorders>
            <w:tcMar>
              <w:bottom w:w="28" w:type="dxa"/>
            </w:tcMar>
            <w:vAlign w:val="center"/>
          </w:tcPr>
          <w:p>
            <w:pPr>
              <w:pStyle w:val="TableContents"/>
              <w:bidi w:val="0"/>
              <w:spacing w:before="0" w:after="283"/>
              <w:jc w:val="center"/>
              <w:rPr/>
            </w:pPr>
            <w:r>
              <w:rPr/>
              <w:t>May 2024 Penny 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9" w:type="dxa"/>
            <w:gridSpan w:val="2"/>
            <w:tcBorders>
              <w:bottom w:val="single" w:sz="12" w:space="0" w:color="000000"/>
            </w:tcBorders>
            <w:tcMar>
              <w:bottom w:w="28" w:type="dxa"/>
            </w:tcMar>
            <w:vAlign w:val="center"/>
          </w:tcPr>
          <w:p>
            <w:pPr>
              <w:pStyle w:val="TableContents"/>
              <w:bidi w:val="0"/>
              <w:spacing w:before="0" w:after="283"/>
              <w:jc w:val="center"/>
              <w:rPr/>
            </w:pPr>
            <w:r>
              <w:rPr/>
              <w:t>June 2024 Penny Warrants</w:t>
            </w:r>
          </w:p>
        </w:tc>
        <w:tc>
          <w:tcPr>
            <w:tcW w:w="230"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both"/>
              <w:rPr/>
            </w:pPr>
            <w:r>
              <w:rPr/>
              <w:t>Stock price</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w:t>
            </w:r>
            <w:bookmarkStart w:id="642" w:name="xdx_982_eus-gaap--SharePrice_iI_pid_c202"/>
            <w:bookmarkEnd w:id="642"/>
          </w:p>
        </w:tc>
        <w:tc>
          <w:tcPr>
            <w:tcW w:w="1971" w:type="dxa"/>
            <w:tcBorders/>
            <w:shd w:fill="CCEEFF" w:val="clear"/>
            <w:vAlign w:val="center"/>
          </w:tcPr>
          <w:p>
            <w:pPr>
              <w:pStyle w:val="TableContents"/>
              <w:bidi w:val="0"/>
              <w:spacing w:before="0" w:after="283"/>
              <w:jc w:val="right"/>
              <w:rPr/>
            </w:pPr>
            <w:r>
              <w:rPr/>
              <w:t>1.19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w:t>
            </w:r>
            <w:bookmarkStart w:id="643" w:name="xdx_98B_eus-gaap--SharePrice_iI_pid_c202"/>
            <w:bookmarkEnd w:id="643"/>
          </w:p>
        </w:tc>
        <w:tc>
          <w:tcPr>
            <w:tcW w:w="1971" w:type="dxa"/>
            <w:tcBorders/>
            <w:shd w:fill="CCEEFF" w:val="clear"/>
            <w:vAlign w:val="center"/>
          </w:tcPr>
          <w:p>
            <w:pPr>
              <w:pStyle w:val="TableContents"/>
              <w:bidi w:val="0"/>
              <w:spacing w:before="0" w:after="283"/>
              <w:jc w:val="right"/>
              <w:rPr/>
            </w:pPr>
            <w:r>
              <w:rPr/>
              <w:t>0.85</w:t>
            </w:r>
          </w:p>
        </w:tc>
        <w:tc>
          <w:tcPr>
            <w:tcW w:w="230"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283"/>
              <w:jc w:val="both"/>
              <w:rPr/>
            </w:pPr>
            <w:r>
              <w:rPr/>
              <w:t>Strike price</w:t>
            </w:r>
          </w:p>
        </w:tc>
        <w:tc>
          <w:tcPr>
            <w:tcW w:w="60"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w:t>
            </w:r>
            <w:bookmarkStart w:id="644" w:name="xdx_98D_eus-gaap--ShareBasedCompensation"/>
            <w:bookmarkEnd w:id="644"/>
          </w:p>
        </w:tc>
        <w:tc>
          <w:tcPr>
            <w:tcW w:w="1971" w:type="dxa"/>
            <w:tcBorders/>
            <w:shd w:fill="FFFFFF" w:val="clear"/>
            <w:vAlign w:val="center"/>
          </w:tcPr>
          <w:p>
            <w:pPr>
              <w:pStyle w:val="TableContents"/>
              <w:bidi w:val="0"/>
              <w:spacing w:before="0" w:after="283"/>
              <w:jc w:val="right"/>
              <w:rPr/>
            </w:pPr>
            <w:r>
              <w:rPr/>
              <w:t>0.01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w:t>
            </w:r>
            <w:bookmarkStart w:id="645" w:name="xdx_984_eus-gaap--ShareBasedCompensation"/>
            <w:bookmarkEnd w:id="645"/>
          </w:p>
        </w:tc>
        <w:tc>
          <w:tcPr>
            <w:tcW w:w="1971" w:type="dxa"/>
            <w:tcBorders/>
            <w:shd w:fill="FFFFFF" w:val="clear"/>
            <w:vAlign w:val="center"/>
          </w:tcPr>
          <w:p>
            <w:pPr>
              <w:pStyle w:val="TableContents"/>
              <w:bidi w:val="0"/>
              <w:spacing w:before="0" w:after="283"/>
              <w:jc w:val="right"/>
              <w:rPr/>
            </w:pPr>
            <w:r>
              <w:rPr/>
              <w:t>0.01</w:t>
            </w:r>
          </w:p>
        </w:tc>
        <w:tc>
          <w:tcPr>
            <w:tcW w:w="230"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both"/>
              <w:rPr/>
            </w:pPr>
            <w:r>
              <w:rPr/>
              <w:t>Term</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971" w:type="dxa"/>
            <w:tcBorders/>
            <w:shd w:fill="CCEEFF" w:val="clear"/>
            <w:vAlign w:val="center"/>
          </w:tcPr>
          <w:p>
            <w:pPr>
              <w:pStyle w:val="TableContents"/>
              <w:bidi w:val="0"/>
              <w:spacing w:before="0" w:after="283"/>
              <w:jc w:val="right"/>
              <w:rPr>
                <w:rFonts w:ascii="Times New Roman;Times;Serif" w:hAnsi="Times New Roman;Times;Serif"/>
                <w:sz w:val="20"/>
              </w:rPr>
            </w:pPr>
            <w:bookmarkStart w:id="646" w:name="xdx_904_eus-gaap--SharebasedCompensation"/>
            <w:bookmarkEnd w:id="646"/>
            <w:r>
              <w:rPr>
                <w:rFonts w:ascii="Times New Roman;Times;Serif" w:hAnsi="Times New Roman;Times;Serif"/>
                <w:sz w:val="20"/>
              </w:rPr>
              <w:t>10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971" w:type="dxa"/>
            <w:tcBorders/>
            <w:shd w:fill="CCEEFF" w:val="clear"/>
            <w:vAlign w:val="center"/>
          </w:tcPr>
          <w:p>
            <w:pPr>
              <w:pStyle w:val="TableContents"/>
              <w:bidi w:val="0"/>
              <w:spacing w:before="0" w:after="283"/>
              <w:jc w:val="right"/>
              <w:rPr>
                <w:rFonts w:ascii="Times New Roman;Times;Serif" w:hAnsi="Times New Roman;Times;Serif"/>
                <w:sz w:val="20"/>
              </w:rPr>
            </w:pPr>
            <w:bookmarkStart w:id="647" w:name="xdx_905_eus-gaap--SharebasedCompensation"/>
            <w:bookmarkEnd w:id="647"/>
            <w:r>
              <w:rPr>
                <w:rFonts w:ascii="Times New Roman;Times;Serif" w:hAnsi="Times New Roman;Times;Serif"/>
                <w:sz w:val="20"/>
              </w:rPr>
              <w:t>10 years</w:t>
            </w:r>
          </w:p>
        </w:tc>
        <w:tc>
          <w:tcPr>
            <w:tcW w:w="230"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283"/>
              <w:jc w:val="both"/>
              <w:rPr/>
            </w:pPr>
            <w:r>
              <w:rPr/>
              <w:t>Volatility</w:t>
            </w:r>
          </w:p>
        </w:tc>
        <w:tc>
          <w:tcPr>
            <w:tcW w:w="60"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bookmarkStart w:id="648" w:name="xdx_98B_eus-gaap--ShareBasedCompensation"/>
            <w:bookmarkEnd w:id="648"/>
          </w:p>
        </w:tc>
        <w:tc>
          <w:tcPr>
            <w:tcW w:w="1971" w:type="dxa"/>
            <w:tcBorders/>
            <w:shd w:fill="FFFFFF" w:val="clear"/>
            <w:vAlign w:val="center"/>
          </w:tcPr>
          <w:p>
            <w:pPr>
              <w:pStyle w:val="TableContents"/>
              <w:bidi w:val="0"/>
              <w:spacing w:before="0" w:after="283"/>
              <w:jc w:val="right"/>
              <w:rPr/>
            </w:pPr>
            <w:r>
              <w:rPr/>
              <w:t>88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bookmarkStart w:id="649" w:name="xdx_989_eus-gaap--ShareBasedCompensation"/>
            <w:bookmarkEnd w:id="649"/>
          </w:p>
        </w:tc>
        <w:tc>
          <w:tcPr>
            <w:tcW w:w="1971" w:type="dxa"/>
            <w:tcBorders/>
            <w:shd w:fill="FFFFFF" w:val="clear"/>
            <w:vAlign w:val="center"/>
          </w:tcPr>
          <w:p>
            <w:pPr>
              <w:pStyle w:val="TableContents"/>
              <w:bidi w:val="0"/>
              <w:spacing w:before="0" w:after="283"/>
              <w:jc w:val="right"/>
              <w:rPr/>
            </w:pPr>
            <w:r>
              <w:rPr/>
              <w:t>91</w:t>
            </w:r>
          </w:p>
        </w:tc>
        <w:tc>
          <w:tcPr>
            <w:tcW w:w="230" w:type="dxa"/>
            <w:tcBorders/>
            <w:shd w:fill="FFFFFF" w:val="clear"/>
            <w:vAlign w:val="center"/>
          </w:tcPr>
          <w:p>
            <w:pPr>
              <w:pStyle w:val="TableContents"/>
              <w:bidi w:val="0"/>
              <w:spacing w:before="0" w:after="283"/>
              <w:jc w:val="left"/>
              <w:rPr/>
            </w:pPr>
            <w:r>
              <w:rPr/>
              <w:t>%</w:t>
            </w:r>
          </w:p>
        </w:tc>
      </w:tr>
      <w:tr>
        <w:trPr/>
        <w:tc>
          <w:tcPr>
            <w:tcW w:w="1310" w:type="dxa"/>
            <w:tcBorders/>
            <w:shd w:fill="CCEEFF" w:val="clear"/>
            <w:vAlign w:val="center"/>
          </w:tcPr>
          <w:p>
            <w:pPr>
              <w:pStyle w:val="TableContents"/>
              <w:bidi w:val="0"/>
              <w:spacing w:before="0" w:after="283"/>
              <w:jc w:val="both"/>
              <w:rPr/>
            </w:pPr>
            <w:r>
              <w:rPr/>
              <w:t>Risk-free rate</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bookmarkStart w:id="650" w:name="xdx_98C_eus-gaap--ShareBasedCompensation"/>
            <w:bookmarkEnd w:id="650"/>
          </w:p>
        </w:tc>
        <w:tc>
          <w:tcPr>
            <w:tcW w:w="1971" w:type="dxa"/>
            <w:tcBorders/>
            <w:shd w:fill="CCEEFF" w:val="clear"/>
            <w:vAlign w:val="center"/>
          </w:tcPr>
          <w:p>
            <w:pPr>
              <w:pStyle w:val="TableContents"/>
              <w:bidi w:val="0"/>
              <w:spacing w:before="0" w:after="283"/>
              <w:jc w:val="right"/>
              <w:rPr/>
            </w:pPr>
            <w:r>
              <w:rPr/>
              <w:t>4.5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bookmarkStart w:id="651" w:name="xdx_989_eus-gaap--ShareBasedCompensation"/>
            <w:bookmarkEnd w:id="651"/>
          </w:p>
        </w:tc>
        <w:tc>
          <w:tcPr>
            <w:tcW w:w="1971" w:type="dxa"/>
            <w:tcBorders/>
            <w:shd w:fill="CCEEFF" w:val="clear"/>
            <w:vAlign w:val="center"/>
          </w:tcPr>
          <w:p>
            <w:pPr>
              <w:pStyle w:val="TableContents"/>
              <w:bidi w:val="0"/>
              <w:spacing w:before="0" w:after="283"/>
              <w:jc w:val="right"/>
              <w:rPr/>
            </w:pPr>
            <w:r>
              <w:rPr/>
              <w:t>4.4</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652" w:name="xdx_8A7_z9ld1EgSfEQj"/>
      <w:bookmarkEnd w:id="65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the Penny Warrants are not considered indexed to the Company’s Common Stock and to be accounted for as liabilities under ASC 815. As such, the estimated fair value is recognized as a liability each reporting period, with changes in the fair value recognized within income each period. There were no Term Loan Warrants outstanding prior to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53" w:name="xdx_896_ecustom--ScheduleOfShareBasedPay"/>
      <w:bookmarkEnd w:id="653"/>
      <w:r>
        <w:rPr>
          <w:rFonts w:ascii="Times New Roman;Times;Serif" w:hAnsi="Times New Roman;Times;Serif"/>
          <w:b w:val="false"/>
          <w:i w:val="false"/>
          <w:caps w:val="false"/>
          <w:smallCaps w:val="false"/>
          <w:sz w:val="20"/>
        </w:rPr>
        <w:t>The following table provides the significant inputs to the Black-Scholes method for the fair value of the Penny Warrants: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54" w:name="xdx_8B9_zWiE1Fh4mL77"/>
      <w:bookmarkEnd w:id="654"/>
      <w:r>
        <w:rPr>
          <w:rFonts w:ascii="Times New Roman;Times;Serif" w:hAnsi="Times New Roman;Times;Serif"/>
          <w:b w:val="false"/>
          <w:i w:val="false"/>
          <w:caps w:val="false"/>
          <w:smallCaps w:val="false"/>
          <w:sz w:val="20"/>
        </w:rPr>
        <w:t>SCHEDULE FAIR VALUE WARRANTS </w:t>
      </w:r>
    </w:p>
    <w:tbl>
      <w:tblPr>
        <w:tblW w:w="5815" w:type="dxa"/>
        <w:jc w:val="left"/>
        <w:tblInd w:w="0" w:type="dxa"/>
        <w:tblLayout w:type="fixed"/>
        <w:tblCellMar>
          <w:top w:w="0" w:type="dxa"/>
          <w:left w:w="0" w:type="dxa"/>
          <w:bottom w:w="0" w:type="dxa"/>
          <w:right w:w="0" w:type="dxa"/>
        </w:tblCellMar>
      </w:tblPr>
      <w:tblGrid>
        <w:gridCol w:w="2000"/>
        <w:gridCol w:w="60"/>
        <w:gridCol w:w="271"/>
        <w:gridCol w:w="1084"/>
        <w:gridCol w:w="215"/>
        <w:gridCol w:w="60"/>
        <w:gridCol w:w="379"/>
        <w:gridCol w:w="1516"/>
        <w:gridCol w:w="230"/>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As of </w:t>
              <w:br/>
              <w:t>June 30, 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As of </w:t>
              <w:br/>
              <w:t>December 31, 2023</w:t>
            </w:r>
          </w:p>
        </w:tc>
        <w:tc>
          <w:tcPr>
            <w:tcW w:w="230"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Common stock price</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bookmarkStart w:id="655" w:name="xdx_98A_eus-gaap--SharePrice_iI_pid_c202"/>
            <w:bookmarkEnd w:id="655"/>
          </w:p>
        </w:tc>
        <w:tc>
          <w:tcPr>
            <w:tcW w:w="1084" w:type="dxa"/>
            <w:tcBorders/>
            <w:shd w:fill="CCEEFF" w:val="clear"/>
            <w:vAlign w:val="center"/>
          </w:tcPr>
          <w:p>
            <w:pPr>
              <w:pStyle w:val="TableContents"/>
              <w:bidi w:val="0"/>
              <w:spacing w:before="0" w:after="283"/>
              <w:jc w:val="right"/>
              <w:rPr/>
            </w:pPr>
            <w:r>
              <w:rPr/>
              <w:t>0.85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bookmarkStart w:id="656" w:name="xdx_987_eus-gaap--SharePrice_iI_pid_c202"/>
            <w:bookmarkEnd w:id="656"/>
          </w:p>
        </w:tc>
        <w:tc>
          <w:tcPr>
            <w:tcW w:w="1516" w:type="dxa"/>
            <w:tcBorders/>
            <w:shd w:fill="CCEEFF" w:val="clear"/>
            <w:vAlign w:val="center"/>
          </w:tcPr>
          <w:p>
            <w:pPr>
              <w:pStyle w:val="TableContents"/>
              <w:bidi w:val="0"/>
              <w:spacing w:before="0" w:after="283"/>
              <w:jc w:val="right"/>
              <w:rPr/>
            </w:pPr>
            <w:r>
              <w:rPr/>
              <w:t>0.54</w:t>
            </w:r>
          </w:p>
        </w:tc>
        <w:tc>
          <w:tcPr>
            <w:tcW w:w="23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bookmarkStart w:id="657" w:name="xdx_98D_eus-gaap--ShareBasedCompensation"/>
            <w:bookmarkEnd w:id="657"/>
          </w:p>
        </w:tc>
        <w:tc>
          <w:tcPr>
            <w:tcW w:w="1084" w:type="dxa"/>
            <w:tcBorders/>
            <w:shd w:fill="FFFFFF" w:val="clear"/>
            <w:vAlign w:val="center"/>
          </w:tcPr>
          <w:p>
            <w:pPr>
              <w:pStyle w:val="TableContents"/>
              <w:bidi w:val="0"/>
              <w:spacing w:before="0" w:after="283"/>
              <w:jc w:val="right"/>
              <w:rPr/>
            </w:pPr>
            <w:r>
              <w:rPr/>
              <w:t>0.01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bookmarkStart w:id="658" w:name="xdx_983_eus-gaap--ShareBasedCompensation"/>
            <w:bookmarkEnd w:id="658"/>
          </w:p>
        </w:tc>
        <w:tc>
          <w:tcPr>
            <w:tcW w:w="1516" w:type="dxa"/>
            <w:tcBorders/>
            <w:shd w:fill="FFFFFF" w:val="clear"/>
            <w:vAlign w:val="center"/>
          </w:tcPr>
          <w:p>
            <w:pPr>
              <w:pStyle w:val="TableContents"/>
              <w:bidi w:val="0"/>
              <w:spacing w:before="0" w:after="283"/>
              <w:jc w:val="right"/>
              <w:rPr/>
            </w:pPr>
            <w:r>
              <w:rPr/>
              <w:t>0.01</w:t>
            </w:r>
          </w:p>
        </w:tc>
        <w:tc>
          <w:tcPr>
            <w:tcW w:w="23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Dividend yield</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bookmarkStart w:id="659" w:name="xdx_908_eus-gaap--ShareBasedCompensation"/>
            <w:bookmarkEnd w:id="659"/>
            <w:r>
              <w:rPr/>
              <w:t>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bookmarkStart w:id="660" w:name="xdx_901_eus-gaap--ShareBasedCompensation"/>
            <w:bookmarkEnd w:id="660"/>
            <w:r>
              <w:rPr/>
              <w:t>0</w:t>
            </w:r>
          </w:p>
        </w:tc>
        <w:tc>
          <w:tcPr>
            <w:tcW w:w="230" w:type="dxa"/>
            <w:tcBorders/>
            <w:shd w:fill="CCEEFF" w:val="clear"/>
            <w:vAlign w:val="center"/>
          </w:tcPr>
          <w:p>
            <w:pPr>
              <w:pStyle w:val="TableContents"/>
              <w:bidi w:val="0"/>
              <w:spacing w:before="0" w:after="283"/>
              <w:jc w:val="left"/>
              <w:rPr/>
            </w:pPr>
            <w:r>
              <w:rPr/>
              <w:t>%</w:t>
            </w:r>
          </w:p>
        </w:tc>
      </w:tr>
      <w:tr>
        <w:trPr/>
        <w:tc>
          <w:tcPr>
            <w:tcW w:w="2000" w:type="dxa"/>
            <w:tcBorders/>
            <w:shd w:fill="FFFFFF" w:val="clear"/>
            <w:vAlign w:val="center"/>
          </w:tcPr>
          <w:p>
            <w:pPr>
              <w:pStyle w:val="TableContents"/>
              <w:bidi w:val="0"/>
              <w:spacing w:before="0" w:after="283"/>
              <w:jc w:val="left"/>
              <w:rPr/>
            </w:pPr>
            <w:r>
              <w:rPr/>
              <w:t>Term</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bookmarkStart w:id="661" w:name="xdx_90F_eus-gaap--SharebasedCompensation"/>
            <w:bookmarkEnd w:id="661"/>
            <w:r>
              <w:rPr/>
              <w:t>8.27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bookmarkStart w:id="662" w:name="xdx_905_eus-gaap--SharebasedCompensation"/>
            <w:bookmarkEnd w:id="662"/>
            <w:r>
              <w:rPr/>
              <w:t>10</w:t>
            </w:r>
          </w:p>
        </w:tc>
        <w:tc>
          <w:tcPr>
            <w:tcW w:w="23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Volatility</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bookmarkStart w:id="663" w:name="xdx_988_eus-gaap--ShareBasedCompensation"/>
            <w:bookmarkEnd w:id="663"/>
          </w:p>
        </w:tc>
        <w:tc>
          <w:tcPr>
            <w:tcW w:w="1084" w:type="dxa"/>
            <w:tcBorders/>
            <w:shd w:fill="CCEEFF" w:val="clear"/>
            <w:vAlign w:val="center"/>
          </w:tcPr>
          <w:p>
            <w:pPr>
              <w:pStyle w:val="TableContents"/>
              <w:bidi w:val="0"/>
              <w:spacing w:before="0" w:after="283"/>
              <w:jc w:val="right"/>
              <w:rPr/>
            </w:pPr>
            <w:r>
              <w:rPr/>
              <w:t>91.00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bookmarkStart w:id="664" w:name="xdx_98B_eus-gaap--ShareBasedCompensation"/>
            <w:bookmarkEnd w:id="664"/>
          </w:p>
        </w:tc>
        <w:tc>
          <w:tcPr>
            <w:tcW w:w="1516" w:type="dxa"/>
            <w:tcBorders/>
            <w:shd w:fill="CCEEFF" w:val="clear"/>
            <w:vAlign w:val="center"/>
          </w:tcPr>
          <w:p>
            <w:pPr>
              <w:pStyle w:val="TableContents"/>
              <w:bidi w:val="0"/>
              <w:spacing w:before="0" w:after="283"/>
              <w:jc w:val="right"/>
              <w:rPr/>
            </w:pPr>
            <w:r>
              <w:rPr/>
              <w:t>96.00</w:t>
            </w:r>
          </w:p>
        </w:tc>
        <w:tc>
          <w:tcPr>
            <w:tcW w:w="230" w:type="dxa"/>
            <w:tcBorders/>
            <w:shd w:fill="CCEEFF" w:val="clear"/>
            <w:vAlign w:val="center"/>
          </w:tcPr>
          <w:p>
            <w:pPr>
              <w:pStyle w:val="TableContents"/>
              <w:bidi w:val="0"/>
              <w:spacing w:before="0" w:after="283"/>
              <w:jc w:val="left"/>
              <w:rPr/>
            </w:pPr>
            <w:r>
              <w:rPr/>
              <w:t>%</w:t>
            </w:r>
          </w:p>
        </w:tc>
      </w:tr>
      <w:tr>
        <w:trPr/>
        <w:tc>
          <w:tcPr>
            <w:tcW w:w="2000" w:type="dxa"/>
            <w:tcBorders/>
            <w:shd w:fill="FFFFFF" w:val="clear"/>
            <w:vAlign w:val="center"/>
          </w:tcPr>
          <w:p>
            <w:pPr>
              <w:pStyle w:val="TableContents"/>
              <w:bidi w:val="0"/>
              <w:spacing w:before="0" w:after="283"/>
              <w:jc w:val="left"/>
              <w:rPr/>
            </w:pPr>
            <w:r>
              <w:rPr/>
              <w:t>Risk-free rate</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bookmarkStart w:id="665" w:name="xdx_986_eus-gaap--ShareBasedCompensation"/>
            <w:bookmarkEnd w:id="665"/>
          </w:p>
        </w:tc>
        <w:tc>
          <w:tcPr>
            <w:tcW w:w="1084" w:type="dxa"/>
            <w:tcBorders/>
            <w:shd w:fill="FFFFFF" w:val="clear"/>
            <w:vAlign w:val="center"/>
          </w:tcPr>
          <w:p>
            <w:pPr>
              <w:pStyle w:val="TableContents"/>
              <w:bidi w:val="0"/>
              <w:spacing w:before="0" w:after="283"/>
              <w:jc w:val="right"/>
              <w:rPr/>
            </w:pPr>
            <w:r>
              <w:rPr/>
              <w:t>4.30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bookmarkStart w:id="666" w:name="xdx_980_eus-gaap--ShareBasedCompensation"/>
            <w:bookmarkEnd w:id="666"/>
          </w:p>
        </w:tc>
        <w:tc>
          <w:tcPr>
            <w:tcW w:w="1516" w:type="dxa"/>
            <w:tcBorders/>
            <w:shd w:fill="FFFFFF" w:val="clear"/>
            <w:vAlign w:val="center"/>
          </w:tcPr>
          <w:p>
            <w:pPr>
              <w:pStyle w:val="TableContents"/>
              <w:bidi w:val="0"/>
              <w:spacing w:before="0" w:after="283"/>
              <w:jc w:val="right"/>
              <w:rPr/>
            </w:pPr>
            <w:r>
              <w:rPr/>
              <w:t>3.90</w:t>
            </w:r>
          </w:p>
        </w:tc>
        <w:tc>
          <w:tcPr>
            <w:tcW w:w="230" w:type="dxa"/>
            <w:tcBorders/>
            <w:shd w:fill="FFFFFF" w:val="clear"/>
            <w:vAlign w:val="center"/>
          </w:tcPr>
          <w:p>
            <w:pPr>
              <w:pStyle w:val="TableContents"/>
              <w:bidi w:val="0"/>
              <w:spacing w:before="0" w:after="283"/>
              <w:jc w:val="left"/>
              <w:rPr/>
            </w:pPr>
            <w:r>
              <w:rPr/>
              <w:t>%</w:t>
            </w:r>
          </w:p>
        </w:tc>
      </w:tr>
      <w:tr>
        <w:trPr/>
        <w:tc>
          <w:tcPr>
            <w:tcW w:w="2000" w:type="dxa"/>
            <w:tcBorders/>
            <w:shd w:fill="CCEEFF" w:val="clear"/>
            <w:vAlign w:val="center"/>
          </w:tcPr>
          <w:p>
            <w:pPr>
              <w:pStyle w:val="TableContents"/>
              <w:bidi w:val="0"/>
              <w:spacing w:before="0" w:after="283"/>
              <w:jc w:val="left"/>
              <w:rPr/>
            </w:pPr>
            <w:r>
              <w:rPr/>
              <w:t>Fair value</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bookmarkStart w:id="667" w:name="xdx_98C_ecustom--FairValueOfWarrant_iI_p"/>
            <w:bookmarkEnd w:id="667"/>
          </w:p>
        </w:tc>
        <w:tc>
          <w:tcPr>
            <w:tcW w:w="1084" w:type="dxa"/>
            <w:tcBorders/>
            <w:shd w:fill="CCEEFF" w:val="clear"/>
            <w:vAlign w:val="center"/>
          </w:tcPr>
          <w:p>
            <w:pPr>
              <w:pStyle w:val="TableContents"/>
              <w:bidi w:val="0"/>
              <w:spacing w:before="0" w:after="283"/>
              <w:jc w:val="right"/>
              <w:rPr/>
            </w:pPr>
            <w:r>
              <w:rPr/>
              <w:t>0.84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bookmarkStart w:id="668" w:name="xdx_980_ecustom--FairValueOfWarrant_iI_p"/>
            <w:bookmarkEnd w:id="668"/>
          </w:p>
        </w:tc>
        <w:tc>
          <w:tcPr>
            <w:tcW w:w="1516" w:type="dxa"/>
            <w:tcBorders/>
            <w:shd w:fill="CCEEFF" w:val="clear"/>
            <w:vAlign w:val="center"/>
          </w:tcPr>
          <w:p>
            <w:pPr>
              <w:pStyle w:val="TableContents"/>
              <w:bidi w:val="0"/>
              <w:spacing w:before="0" w:after="283"/>
              <w:jc w:val="right"/>
              <w:rPr/>
            </w:pPr>
            <w:r>
              <w:rPr/>
              <w:t>0.54</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the significant inputs to the Black-Scholes method for the fair value of the Investor Warrants issued in the June 2023 Offering:</w:t>
      </w:r>
    </w:p>
    <w:p>
      <w:pPr>
        <w:pStyle w:val="TextBody"/>
        <w:bidi w:val="0"/>
        <w:spacing w:before="0" w:after="0"/>
        <w:ind w:left="0" w:right="0" w:hanging="0"/>
        <w:jc w:val="both"/>
        <w:rPr>
          <w:caps w:val="false"/>
          <w:smallCaps w:val="false"/>
        </w:rPr>
      </w:pPr>
      <w:r>
        <w:rPr>
          <w:caps w:val="false"/>
          <w:smallCaps w:val="false"/>
        </w:rPr>
        <w:t> </w:t>
      </w:r>
    </w:p>
    <w:tbl>
      <w:tblPr>
        <w:tblW w:w="5813" w:type="dxa"/>
        <w:jc w:val="left"/>
        <w:tblInd w:w="0" w:type="dxa"/>
        <w:tblLayout w:type="fixed"/>
        <w:tblCellMar>
          <w:top w:w="0" w:type="dxa"/>
          <w:left w:w="0" w:type="dxa"/>
          <w:bottom w:w="0" w:type="dxa"/>
          <w:right w:w="0" w:type="dxa"/>
        </w:tblCellMar>
      </w:tblPr>
      <w:tblGrid>
        <w:gridCol w:w="2000"/>
        <w:gridCol w:w="60"/>
        <w:gridCol w:w="231"/>
        <w:gridCol w:w="1123"/>
        <w:gridCol w:w="215"/>
        <w:gridCol w:w="60"/>
        <w:gridCol w:w="321"/>
        <w:gridCol w:w="1573"/>
        <w:gridCol w:w="230"/>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As of </w:t>
              <w:br/>
              <w:t>June 30, 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As of </w:t>
              <w:br/>
              <w:t>December 31, 2023</w:t>
            </w:r>
          </w:p>
        </w:tc>
        <w:tc>
          <w:tcPr>
            <w:tcW w:w="230"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Common stock price</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bookmarkStart w:id="669" w:name="xdx_985_eus-gaap--SharePrice_iI_pid_c202"/>
            <w:bookmarkEnd w:id="669"/>
          </w:p>
        </w:tc>
        <w:tc>
          <w:tcPr>
            <w:tcW w:w="1123" w:type="dxa"/>
            <w:tcBorders/>
            <w:shd w:fill="CCEEFF" w:val="clear"/>
            <w:vAlign w:val="center"/>
          </w:tcPr>
          <w:p>
            <w:pPr>
              <w:pStyle w:val="TableContents"/>
              <w:bidi w:val="0"/>
              <w:spacing w:before="0" w:after="283"/>
              <w:jc w:val="right"/>
              <w:rPr/>
            </w:pPr>
            <w:r>
              <w:rPr/>
              <w:t>0.85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w:t>
            </w:r>
            <w:bookmarkStart w:id="670" w:name="xdx_988_eus-gaap--SharePrice_iI_pid_c202"/>
            <w:bookmarkEnd w:id="670"/>
          </w:p>
        </w:tc>
        <w:tc>
          <w:tcPr>
            <w:tcW w:w="1573" w:type="dxa"/>
            <w:tcBorders/>
            <w:shd w:fill="CCEEFF" w:val="clear"/>
            <w:vAlign w:val="center"/>
          </w:tcPr>
          <w:p>
            <w:pPr>
              <w:pStyle w:val="TableContents"/>
              <w:bidi w:val="0"/>
              <w:spacing w:before="0" w:after="283"/>
              <w:jc w:val="right"/>
              <w:rPr/>
            </w:pPr>
            <w:r>
              <w:rPr/>
              <w:t>0.54</w:t>
            </w:r>
          </w:p>
        </w:tc>
        <w:tc>
          <w:tcPr>
            <w:tcW w:w="23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w:t>
            </w:r>
            <w:bookmarkStart w:id="671" w:name="xdx_982_eus-gaap--ShareBasedCompensation"/>
            <w:bookmarkEnd w:id="671"/>
          </w:p>
        </w:tc>
        <w:tc>
          <w:tcPr>
            <w:tcW w:w="1123" w:type="dxa"/>
            <w:tcBorders/>
            <w:shd w:fill="FFFFFF" w:val="clear"/>
            <w:vAlign w:val="center"/>
          </w:tcPr>
          <w:p>
            <w:pPr>
              <w:pStyle w:val="TableContents"/>
              <w:bidi w:val="0"/>
              <w:spacing w:before="0" w:after="283"/>
              <w:jc w:val="right"/>
              <w:rPr/>
            </w:pPr>
            <w:r>
              <w:rPr/>
              <w:t>2.00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w:t>
            </w:r>
            <w:bookmarkStart w:id="672" w:name="xdx_98B_eus-gaap--ShareBasedCompensation"/>
            <w:bookmarkEnd w:id="672"/>
          </w:p>
        </w:tc>
        <w:tc>
          <w:tcPr>
            <w:tcW w:w="1573" w:type="dxa"/>
            <w:tcBorders/>
            <w:shd w:fill="FFFFFF" w:val="clear"/>
            <w:vAlign w:val="center"/>
          </w:tcPr>
          <w:p>
            <w:pPr>
              <w:pStyle w:val="TableContents"/>
              <w:bidi w:val="0"/>
              <w:spacing w:before="0" w:after="283"/>
              <w:jc w:val="right"/>
              <w:rPr/>
            </w:pPr>
            <w:r>
              <w:rPr/>
              <w:t>2.00</w:t>
            </w:r>
          </w:p>
        </w:tc>
        <w:tc>
          <w:tcPr>
            <w:tcW w:w="23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Dividend yield</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bookmarkStart w:id="673" w:name="xdx_90F_eus-gaap--ShareBasedCompensation"/>
            <w:bookmarkEnd w:id="673"/>
            <w:r>
              <w:rPr/>
              <w:t>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1573" w:type="dxa"/>
            <w:tcBorders/>
            <w:shd w:fill="CCEEFF" w:val="clear"/>
            <w:vAlign w:val="center"/>
          </w:tcPr>
          <w:p>
            <w:pPr>
              <w:pStyle w:val="TableContents"/>
              <w:bidi w:val="0"/>
              <w:spacing w:before="0" w:after="283"/>
              <w:jc w:val="right"/>
              <w:rPr/>
            </w:pPr>
            <w:bookmarkStart w:id="674" w:name="xdx_90C_eus-gaap--ShareBasedCompensation"/>
            <w:bookmarkEnd w:id="674"/>
            <w:r>
              <w:rPr/>
              <w:t>0</w:t>
            </w:r>
          </w:p>
        </w:tc>
        <w:tc>
          <w:tcPr>
            <w:tcW w:w="230" w:type="dxa"/>
            <w:tcBorders/>
            <w:shd w:fill="CCEEFF" w:val="clear"/>
            <w:vAlign w:val="center"/>
          </w:tcPr>
          <w:p>
            <w:pPr>
              <w:pStyle w:val="TableContents"/>
              <w:bidi w:val="0"/>
              <w:spacing w:before="0" w:after="283"/>
              <w:jc w:val="left"/>
              <w:rPr/>
            </w:pPr>
            <w:r>
              <w:rPr/>
              <w:t>%</w:t>
            </w:r>
          </w:p>
        </w:tc>
      </w:tr>
      <w:tr>
        <w:trPr/>
        <w:tc>
          <w:tcPr>
            <w:tcW w:w="2000" w:type="dxa"/>
            <w:tcBorders/>
            <w:shd w:fill="FFFFFF" w:val="clear"/>
            <w:vAlign w:val="center"/>
          </w:tcPr>
          <w:p>
            <w:pPr>
              <w:pStyle w:val="TableContents"/>
              <w:bidi w:val="0"/>
              <w:spacing w:before="0" w:after="283"/>
              <w:jc w:val="left"/>
              <w:rPr/>
            </w:pPr>
            <w:r>
              <w:rPr/>
              <w:t>Term</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bookmarkStart w:id="675" w:name="xdx_90E_eus-gaap--SharebasedCompensation"/>
            <w:bookmarkEnd w:id="675"/>
            <w:r>
              <w:rPr/>
              <w:t>3.98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1573" w:type="dxa"/>
            <w:tcBorders/>
            <w:shd w:fill="FFFFFF" w:val="clear"/>
            <w:vAlign w:val="center"/>
          </w:tcPr>
          <w:p>
            <w:pPr>
              <w:pStyle w:val="TableContents"/>
              <w:bidi w:val="0"/>
              <w:spacing w:before="0" w:after="283"/>
              <w:jc w:val="right"/>
              <w:rPr/>
            </w:pPr>
            <w:bookmarkStart w:id="676" w:name="xdx_90E_eus-gaap--SharebasedCompensation"/>
            <w:bookmarkEnd w:id="676"/>
            <w:r>
              <w:rPr/>
              <w:t>4.48</w:t>
            </w:r>
          </w:p>
        </w:tc>
        <w:tc>
          <w:tcPr>
            <w:tcW w:w="23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Volatility</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bookmarkStart w:id="677" w:name="xdx_985_eus-gaap--ShareBasedCompensation"/>
            <w:bookmarkEnd w:id="677"/>
          </w:p>
        </w:tc>
        <w:tc>
          <w:tcPr>
            <w:tcW w:w="1123" w:type="dxa"/>
            <w:tcBorders/>
            <w:shd w:fill="CCEEFF" w:val="clear"/>
            <w:vAlign w:val="center"/>
          </w:tcPr>
          <w:p>
            <w:pPr>
              <w:pStyle w:val="TableContents"/>
              <w:bidi w:val="0"/>
              <w:spacing w:before="0" w:after="283"/>
              <w:jc w:val="right"/>
              <w:rPr/>
            </w:pPr>
            <w:r>
              <w:rPr/>
              <w:t>103.00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bookmarkStart w:id="678" w:name="xdx_98E_eus-gaap--ShareBasedCompensation"/>
            <w:bookmarkEnd w:id="678"/>
          </w:p>
        </w:tc>
        <w:tc>
          <w:tcPr>
            <w:tcW w:w="1573" w:type="dxa"/>
            <w:tcBorders/>
            <w:shd w:fill="CCEEFF" w:val="clear"/>
            <w:vAlign w:val="center"/>
          </w:tcPr>
          <w:p>
            <w:pPr>
              <w:pStyle w:val="TableContents"/>
              <w:bidi w:val="0"/>
              <w:spacing w:before="0" w:after="283"/>
              <w:jc w:val="right"/>
              <w:rPr/>
            </w:pPr>
            <w:r>
              <w:rPr/>
              <w:t>106.00</w:t>
            </w:r>
          </w:p>
        </w:tc>
        <w:tc>
          <w:tcPr>
            <w:tcW w:w="230" w:type="dxa"/>
            <w:tcBorders/>
            <w:shd w:fill="CCEEFF" w:val="clear"/>
            <w:vAlign w:val="center"/>
          </w:tcPr>
          <w:p>
            <w:pPr>
              <w:pStyle w:val="TableContents"/>
              <w:bidi w:val="0"/>
              <w:spacing w:before="0" w:after="283"/>
              <w:jc w:val="left"/>
              <w:rPr/>
            </w:pPr>
            <w:r>
              <w:rPr/>
              <w:t>%</w:t>
            </w:r>
          </w:p>
        </w:tc>
      </w:tr>
      <w:tr>
        <w:trPr/>
        <w:tc>
          <w:tcPr>
            <w:tcW w:w="2000" w:type="dxa"/>
            <w:tcBorders/>
            <w:shd w:fill="FFFFFF" w:val="clear"/>
            <w:vAlign w:val="center"/>
          </w:tcPr>
          <w:p>
            <w:pPr>
              <w:pStyle w:val="TableContents"/>
              <w:bidi w:val="0"/>
              <w:spacing w:before="0" w:after="283"/>
              <w:jc w:val="left"/>
              <w:rPr/>
            </w:pPr>
            <w:r>
              <w:rPr/>
              <w:t>Risk-free rate</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bookmarkStart w:id="679" w:name="xdx_98B_eus-gaap--ShareBasedCompensation"/>
            <w:bookmarkEnd w:id="679"/>
          </w:p>
        </w:tc>
        <w:tc>
          <w:tcPr>
            <w:tcW w:w="1123" w:type="dxa"/>
            <w:tcBorders/>
            <w:shd w:fill="FFFFFF" w:val="clear"/>
            <w:vAlign w:val="center"/>
          </w:tcPr>
          <w:p>
            <w:pPr>
              <w:pStyle w:val="TableContents"/>
              <w:bidi w:val="0"/>
              <w:spacing w:before="0" w:after="283"/>
              <w:jc w:val="right"/>
              <w:rPr/>
            </w:pPr>
            <w:r>
              <w:rPr/>
              <w:t>4.40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bookmarkStart w:id="680" w:name="xdx_982_eus-gaap--ShareBasedCompensation"/>
            <w:bookmarkEnd w:id="680"/>
          </w:p>
        </w:tc>
        <w:tc>
          <w:tcPr>
            <w:tcW w:w="1573" w:type="dxa"/>
            <w:tcBorders/>
            <w:shd w:fill="FFFFFF" w:val="clear"/>
            <w:vAlign w:val="center"/>
          </w:tcPr>
          <w:p>
            <w:pPr>
              <w:pStyle w:val="TableContents"/>
              <w:bidi w:val="0"/>
              <w:spacing w:before="0" w:after="283"/>
              <w:jc w:val="right"/>
              <w:rPr/>
            </w:pPr>
            <w:r>
              <w:rPr/>
              <w:t>3.90</w:t>
            </w:r>
          </w:p>
        </w:tc>
        <w:tc>
          <w:tcPr>
            <w:tcW w:w="230" w:type="dxa"/>
            <w:tcBorders/>
            <w:shd w:fill="FFFFFF" w:val="clear"/>
            <w:vAlign w:val="center"/>
          </w:tcPr>
          <w:p>
            <w:pPr>
              <w:pStyle w:val="TableContents"/>
              <w:bidi w:val="0"/>
              <w:spacing w:before="0" w:after="283"/>
              <w:jc w:val="left"/>
              <w:rPr/>
            </w:pPr>
            <w:r>
              <w:rPr/>
              <w:t>%</w:t>
            </w:r>
          </w:p>
        </w:tc>
      </w:tr>
      <w:tr>
        <w:trPr/>
        <w:tc>
          <w:tcPr>
            <w:tcW w:w="2000" w:type="dxa"/>
            <w:tcBorders/>
            <w:shd w:fill="CCEEFF" w:val="clear"/>
            <w:vAlign w:val="center"/>
          </w:tcPr>
          <w:p>
            <w:pPr>
              <w:pStyle w:val="TableContents"/>
              <w:bidi w:val="0"/>
              <w:spacing w:before="0" w:after="283"/>
              <w:jc w:val="left"/>
              <w:rPr/>
            </w:pPr>
            <w:r>
              <w:rPr/>
              <w:t>Fair value</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bookmarkStart w:id="681" w:name="xdx_98B_ecustom--FairValueOfWarrant_iI_p"/>
            <w:bookmarkEnd w:id="681"/>
          </w:p>
        </w:tc>
        <w:tc>
          <w:tcPr>
            <w:tcW w:w="1123" w:type="dxa"/>
            <w:tcBorders/>
            <w:shd w:fill="CCEEFF" w:val="clear"/>
            <w:vAlign w:val="center"/>
          </w:tcPr>
          <w:p>
            <w:pPr>
              <w:pStyle w:val="TableContents"/>
              <w:bidi w:val="0"/>
              <w:spacing w:before="0" w:after="283"/>
              <w:jc w:val="right"/>
              <w:rPr/>
            </w:pPr>
            <w:r>
              <w:rPr/>
              <w:t>0.49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w:t>
            </w:r>
            <w:bookmarkStart w:id="682" w:name="xdx_981_ecustom--FairValueOfWarrant_iI_p"/>
            <w:bookmarkEnd w:id="682"/>
          </w:p>
        </w:tc>
        <w:tc>
          <w:tcPr>
            <w:tcW w:w="1573" w:type="dxa"/>
            <w:tcBorders/>
            <w:shd w:fill="CCEEFF" w:val="clear"/>
            <w:vAlign w:val="center"/>
          </w:tcPr>
          <w:p>
            <w:pPr>
              <w:pStyle w:val="TableContents"/>
              <w:bidi w:val="0"/>
              <w:spacing w:before="0" w:after="283"/>
              <w:jc w:val="right"/>
              <w:rPr/>
            </w:pPr>
            <w:r>
              <w:rPr/>
              <w:t>0.31</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683" w:name="xdx_8A2_zrG5iRPkgORa"/>
      <w:bookmarkEnd w:id="683"/>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roll-forward of the Company’s warrants from January 1, 2024 to June 30,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84" w:name="xdx_8B1_zsHnswohCua6"/>
      <w:bookmarkStart w:id="685" w:name="xdx_896_eus-gaap--ScheduleOfShareBasedCo"/>
      <w:bookmarkEnd w:id="684"/>
      <w:bookmarkEnd w:id="685"/>
      <w:r>
        <w:rPr>
          <w:rFonts w:ascii="Times New Roman;Times;Serif" w:hAnsi="Times New Roman;Times;Serif"/>
          <w:b w:val="false"/>
          <w:i w:val="false"/>
          <w:caps w:val="false"/>
          <w:smallCaps w:val="false"/>
          <w:sz w:val="20"/>
        </w:rPr>
        <w:t>SCHEDULE OF ROLL FORWARD IN WARRANTS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Loan Warrants (including Penny Warrants):</w:t>
      </w:r>
    </w:p>
    <w:p>
      <w:pPr>
        <w:pStyle w:val="TextBody"/>
        <w:bidi w:val="0"/>
        <w:spacing w:before="0" w:after="0"/>
        <w:ind w:left="0" w:right="0" w:hanging="0"/>
        <w:jc w:val="left"/>
        <w:rPr>
          <w:caps w:val="false"/>
          <w:smallCaps w:val="false"/>
        </w:rPr>
      </w:pPr>
      <w:r>
        <w:rPr>
          <w:caps w:val="false"/>
          <w:smallCaps w:val="false"/>
        </w:rPr>
        <w:t> </w:t>
      </w:r>
    </w:p>
    <w:tbl>
      <w:tblPr>
        <w:tblW w:w="6294" w:type="dxa"/>
        <w:jc w:val="left"/>
        <w:tblInd w:w="0" w:type="dxa"/>
        <w:tblLayout w:type="fixed"/>
        <w:tblCellMar>
          <w:top w:w="0" w:type="dxa"/>
          <w:left w:w="0" w:type="dxa"/>
          <w:bottom w:w="0" w:type="dxa"/>
          <w:right w:w="0" w:type="dxa"/>
        </w:tblCellMar>
      </w:tblPr>
      <w:tblGrid>
        <w:gridCol w:w="3740"/>
        <w:gridCol w:w="60"/>
        <w:gridCol w:w="139"/>
        <w:gridCol w:w="2280"/>
        <w:gridCol w:w="75"/>
      </w:tblGrid>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86" w:name="xdx_4B5_us-gaap--StatementEquityComponen"/>
            <w:bookmarkEnd w:id="686"/>
          </w:p>
        </w:tc>
        <w:tc>
          <w:tcPr>
            <w:tcW w:w="2419" w:type="dxa"/>
            <w:gridSpan w:val="2"/>
            <w:tcBorders>
              <w:bottom w:val="single" w:sz="12" w:space="0" w:color="000000"/>
            </w:tcBorders>
            <w:tcMar>
              <w:bottom w:w="28" w:type="dxa"/>
            </w:tcMar>
            <w:vAlign w:val="center"/>
          </w:tcPr>
          <w:p>
            <w:pPr>
              <w:pStyle w:val="TableContents"/>
              <w:bidi w:val="0"/>
              <w:spacing w:before="0" w:after="283"/>
              <w:jc w:val="center"/>
              <w:rPr/>
            </w:pPr>
            <w:r>
              <w:rPr/>
              <w:t>Common Stock Warrants</w:t>
            </w:r>
          </w:p>
        </w:tc>
        <w:tc>
          <w:tcPr>
            <w:tcW w:w="75" w:type="dxa"/>
            <w:tcBorders/>
            <w:vAlign w:val="center"/>
          </w:tcPr>
          <w:p>
            <w:pPr>
              <w:pStyle w:val="TableContents"/>
              <w:bidi w:val="0"/>
              <w:spacing w:before="0" w:after="283"/>
              <w:jc w:val="left"/>
              <w:rPr/>
            </w:pPr>
            <w:r>
              <w:rPr/>
              <w:t> </w:t>
            </w:r>
            <w:bookmarkStart w:id="687" w:name="xdx_435_c20240101__20240630_eus-gaap--Cl"/>
            <w:bookmarkEnd w:id="687"/>
          </w:p>
        </w:tc>
      </w:tr>
      <w:tr>
        <w:trPr/>
        <w:tc>
          <w:tcPr>
            <w:tcW w:w="3740" w:type="dxa"/>
            <w:tcBorders/>
            <w:shd w:fill="CCEEFF" w:val="clear"/>
            <w:vAlign w:val="center"/>
          </w:tcPr>
          <w:p>
            <w:pPr>
              <w:pStyle w:val="TableContents"/>
              <w:bidi w:val="0"/>
              <w:spacing w:before="0" w:after="283"/>
              <w:jc w:val="left"/>
              <w:rPr/>
            </w:pPr>
            <w:r>
              <w:rPr/>
              <w:t>Warrants Outstanding, January 1, 2024</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280" w:type="dxa"/>
            <w:tcBorders/>
            <w:shd w:fill="CCEEFF" w:val="clear"/>
            <w:vAlign w:val="center"/>
          </w:tcPr>
          <w:p>
            <w:pPr>
              <w:pStyle w:val="TableContents"/>
              <w:bidi w:val="0"/>
              <w:spacing w:before="0" w:after="283"/>
              <w:jc w:val="right"/>
              <w:rPr/>
            </w:pPr>
            <w:r>
              <w:rPr/>
              <w:t>1,884,510</w:t>
            </w:r>
          </w:p>
        </w:tc>
        <w:tc>
          <w:tcPr>
            <w:tcW w:w="75" w:type="dxa"/>
            <w:tcBorders/>
            <w:shd w:fill="CCEEFF" w:val="clear"/>
            <w:vAlign w:val="center"/>
          </w:tcPr>
          <w:p>
            <w:pPr>
              <w:pStyle w:val="TableContents"/>
              <w:bidi w:val="0"/>
              <w:spacing w:before="0" w:after="283"/>
              <w:jc w:val="left"/>
              <w:rPr/>
            </w:pPr>
            <w:r>
              <w:rPr/>
              <w:t> </w:t>
            </w:r>
            <w:bookmarkStart w:id="688" w:name="xdx_404_eus-gaap--ShareBasedCompensation"/>
            <w:bookmarkEnd w:id="688"/>
          </w:p>
        </w:tc>
      </w:tr>
      <w:tr>
        <w:trPr/>
        <w:tc>
          <w:tcPr>
            <w:tcW w:w="3740" w:type="dxa"/>
            <w:tcBorders/>
            <w:shd w:fill="FFFFFF" w:val="clear"/>
            <w:vAlign w:val="center"/>
          </w:tcPr>
          <w:p>
            <w:pPr>
              <w:pStyle w:val="TableContents"/>
              <w:bidi w:val="0"/>
              <w:spacing w:before="0" w:after="283"/>
              <w:jc w:val="both"/>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22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689" w:name="xdx_406_ecustom--ClassOfWarrantOrRightis"/>
            <w:bookmarkEnd w:id="689"/>
          </w:p>
        </w:tc>
      </w:tr>
      <w:tr>
        <w:trPr/>
        <w:tc>
          <w:tcPr>
            <w:tcW w:w="3740" w:type="dxa"/>
            <w:tcBorders/>
            <w:shd w:fill="CCEEFF" w:val="clear"/>
            <w:vAlign w:val="center"/>
          </w:tcPr>
          <w:p>
            <w:pPr>
              <w:pStyle w:val="TableContents"/>
              <w:bidi w:val="0"/>
              <w:spacing w:before="0" w:after="283"/>
              <w:jc w:val="both"/>
              <w:rPr/>
            </w:pPr>
            <w:r>
              <w:rPr/>
              <w:t>Warrants issued</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280" w:type="dxa"/>
            <w:tcBorders>
              <w:bottom w:val="single" w:sz="12" w:space="0" w:color="000000"/>
            </w:tcBorders>
            <w:shd w:fill="CCEEFF" w:val="clear"/>
            <w:tcMar>
              <w:bottom w:w="28" w:type="dxa"/>
            </w:tcMar>
            <w:vAlign w:val="center"/>
          </w:tcPr>
          <w:p>
            <w:pPr>
              <w:pStyle w:val="TableContents"/>
              <w:bidi w:val="0"/>
              <w:spacing w:before="0" w:after="283"/>
              <w:jc w:val="right"/>
              <w:rPr/>
            </w:pPr>
            <w:r>
              <w:rPr/>
              <w:t>4,657,675</w:t>
            </w:r>
          </w:p>
        </w:tc>
        <w:tc>
          <w:tcPr>
            <w:tcW w:w="75" w:type="dxa"/>
            <w:tcBorders/>
            <w:shd w:fill="CCEEFF" w:val="clear"/>
            <w:vAlign w:val="center"/>
          </w:tcPr>
          <w:p>
            <w:pPr>
              <w:pStyle w:val="TableContents"/>
              <w:bidi w:val="0"/>
              <w:spacing w:before="0" w:after="283"/>
              <w:jc w:val="left"/>
              <w:rPr/>
            </w:pPr>
            <w:r>
              <w:rPr/>
              <w:t> </w:t>
            </w:r>
            <w:bookmarkStart w:id="690" w:name="xdx_437_c20240101__20240630_eus-gaap--Cl"/>
            <w:bookmarkEnd w:id="690"/>
          </w:p>
        </w:tc>
      </w:tr>
      <w:tr>
        <w:trPr/>
        <w:tc>
          <w:tcPr>
            <w:tcW w:w="3740" w:type="dxa"/>
            <w:tcBorders/>
            <w:shd w:fill="FFFFFF" w:val="clear"/>
            <w:vAlign w:val="center"/>
          </w:tcPr>
          <w:p>
            <w:pPr>
              <w:pStyle w:val="TableContents"/>
              <w:bidi w:val="0"/>
              <w:spacing w:before="0" w:after="283"/>
              <w:jc w:val="left"/>
              <w:rPr/>
            </w:pPr>
            <w:r>
              <w:rPr/>
              <w:t>Warrants Outstanding, June 30, 2024</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280" w:type="dxa"/>
            <w:tcBorders>
              <w:bottom w:val="single" w:sz="12" w:space="0" w:color="000000"/>
            </w:tcBorders>
            <w:shd w:fill="FFFFFF" w:val="clear"/>
            <w:tcMar>
              <w:bottom w:w="28" w:type="dxa"/>
            </w:tcMar>
            <w:vAlign w:val="center"/>
          </w:tcPr>
          <w:p>
            <w:pPr>
              <w:pStyle w:val="TableContents"/>
              <w:bidi w:val="0"/>
              <w:spacing w:before="0" w:after="283"/>
              <w:jc w:val="right"/>
              <w:rPr/>
            </w:pPr>
            <w:r>
              <w:rPr/>
              <w:t>6,542,185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Warrants:</w:t>
      </w:r>
    </w:p>
    <w:p>
      <w:pPr>
        <w:pStyle w:val="TextBody"/>
        <w:bidi w:val="0"/>
        <w:spacing w:before="0" w:after="0"/>
        <w:ind w:left="0" w:right="0" w:hanging="0"/>
        <w:jc w:val="left"/>
        <w:rPr>
          <w:caps w:val="false"/>
          <w:smallCaps w:val="false"/>
        </w:rPr>
      </w:pPr>
      <w:r>
        <w:rPr>
          <w:caps w:val="false"/>
          <w:smallCaps w:val="false"/>
        </w:rPr>
        <w:t> </w:t>
      </w:r>
    </w:p>
    <w:tbl>
      <w:tblPr>
        <w:tblW w:w="6294" w:type="dxa"/>
        <w:jc w:val="left"/>
        <w:tblInd w:w="0" w:type="dxa"/>
        <w:tblLayout w:type="fixed"/>
        <w:tblCellMar>
          <w:top w:w="0" w:type="dxa"/>
          <w:left w:w="0" w:type="dxa"/>
          <w:bottom w:w="0" w:type="dxa"/>
          <w:right w:w="0" w:type="dxa"/>
        </w:tblCellMar>
      </w:tblPr>
      <w:tblGrid>
        <w:gridCol w:w="3740"/>
        <w:gridCol w:w="60"/>
        <w:gridCol w:w="125"/>
        <w:gridCol w:w="2294"/>
        <w:gridCol w:w="75"/>
      </w:tblGrid>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91" w:name="xdx_4BB_us-gaap--StatementEquityComponen"/>
            <w:bookmarkEnd w:id="691"/>
          </w:p>
        </w:tc>
        <w:tc>
          <w:tcPr>
            <w:tcW w:w="2419" w:type="dxa"/>
            <w:gridSpan w:val="2"/>
            <w:tcBorders>
              <w:bottom w:val="single" w:sz="12" w:space="0" w:color="000000"/>
            </w:tcBorders>
            <w:tcMar>
              <w:bottom w:w="28" w:type="dxa"/>
            </w:tcMar>
            <w:vAlign w:val="center"/>
          </w:tcPr>
          <w:p>
            <w:pPr>
              <w:pStyle w:val="TableContents"/>
              <w:bidi w:val="0"/>
              <w:spacing w:before="0" w:after="283"/>
              <w:jc w:val="center"/>
              <w:rPr/>
            </w:pPr>
            <w:r>
              <w:rPr/>
              <w:t>Common Stock Warrants</w:t>
            </w:r>
          </w:p>
        </w:tc>
        <w:tc>
          <w:tcPr>
            <w:tcW w:w="75" w:type="dxa"/>
            <w:tcBorders/>
            <w:vAlign w:val="center"/>
          </w:tcPr>
          <w:p>
            <w:pPr>
              <w:pStyle w:val="TableContents"/>
              <w:bidi w:val="0"/>
              <w:spacing w:before="0" w:after="283"/>
              <w:jc w:val="left"/>
              <w:rPr/>
            </w:pPr>
            <w:r>
              <w:rPr/>
              <w:t> </w:t>
            </w:r>
            <w:bookmarkStart w:id="692" w:name="xdx_43F_c20240101__20240630_eus-gaap--Cl"/>
            <w:bookmarkEnd w:id="692"/>
          </w:p>
        </w:tc>
      </w:tr>
      <w:tr>
        <w:trPr/>
        <w:tc>
          <w:tcPr>
            <w:tcW w:w="3740" w:type="dxa"/>
            <w:tcBorders/>
            <w:shd w:fill="CCEEFF" w:val="clear"/>
            <w:vAlign w:val="center"/>
          </w:tcPr>
          <w:p>
            <w:pPr>
              <w:pStyle w:val="TableContents"/>
              <w:bidi w:val="0"/>
              <w:spacing w:before="0" w:after="283"/>
              <w:jc w:val="left"/>
              <w:rPr/>
            </w:pPr>
            <w:r>
              <w:rPr/>
              <w:t>Warrants Outstanding, January 1, 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11,131,900</w:t>
            </w:r>
          </w:p>
        </w:tc>
        <w:tc>
          <w:tcPr>
            <w:tcW w:w="75" w:type="dxa"/>
            <w:tcBorders/>
            <w:shd w:fill="CCEEFF" w:val="clear"/>
            <w:vAlign w:val="center"/>
          </w:tcPr>
          <w:p>
            <w:pPr>
              <w:pStyle w:val="TableContents"/>
              <w:bidi w:val="0"/>
              <w:spacing w:before="0" w:after="283"/>
              <w:jc w:val="left"/>
              <w:rPr/>
            </w:pPr>
            <w:r>
              <w:rPr/>
              <w:t> </w:t>
            </w:r>
            <w:bookmarkStart w:id="693" w:name="xdx_439_c20240101__20240630_eus-gaap--Cl"/>
            <w:bookmarkEnd w:id="693"/>
          </w:p>
        </w:tc>
      </w:tr>
      <w:tr>
        <w:trPr/>
        <w:tc>
          <w:tcPr>
            <w:tcW w:w="3740" w:type="dxa"/>
            <w:tcBorders/>
            <w:shd w:fill="CCEEFF" w:val="clear"/>
            <w:vAlign w:val="center"/>
          </w:tcPr>
          <w:p>
            <w:pPr>
              <w:pStyle w:val="TableContents"/>
              <w:bidi w:val="0"/>
              <w:spacing w:before="0" w:after="283"/>
              <w:jc w:val="left"/>
              <w:rPr/>
            </w:pPr>
            <w:r>
              <w:rPr/>
              <w:t>Warrants Outstanding, Beginning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11,131,900</w:t>
            </w:r>
          </w:p>
        </w:tc>
        <w:tc>
          <w:tcPr>
            <w:tcW w:w="75" w:type="dxa"/>
            <w:tcBorders/>
            <w:shd w:fill="CCEEFF" w:val="clear"/>
            <w:vAlign w:val="center"/>
          </w:tcPr>
          <w:p>
            <w:pPr>
              <w:pStyle w:val="TableContents"/>
              <w:bidi w:val="0"/>
              <w:spacing w:before="0" w:after="283"/>
              <w:jc w:val="left"/>
              <w:rPr/>
            </w:pPr>
            <w:r>
              <w:rPr/>
              <w:t> </w:t>
            </w:r>
            <w:bookmarkStart w:id="694" w:name="xdx_40A_ecustom--ClassOfWarrantOrRightis"/>
            <w:bookmarkEnd w:id="694"/>
          </w:p>
        </w:tc>
      </w:tr>
      <w:tr>
        <w:trPr/>
        <w:tc>
          <w:tcPr>
            <w:tcW w:w="3740" w:type="dxa"/>
            <w:tcBorders/>
            <w:shd w:fill="FFFFFF" w:val="clear"/>
            <w:vAlign w:val="center"/>
          </w:tcPr>
          <w:p>
            <w:pPr>
              <w:pStyle w:val="TableContents"/>
              <w:bidi w:val="0"/>
              <w:spacing w:before="0" w:after="283"/>
              <w:jc w:val="left"/>
              <w:rPr/>
            </w:pPr>
            <w:r>
              <w:rPr/>
              <w:t>Issuance of warrants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695" w:name="xdx_404_eus-gaap--ShareBasedCompensation"/>
            <w:bookmarkEnd w:id="695"/>
          </w:p>
        </w:tc>
      </w:tr>
      <w:tr>
        <w:trPr/>
        <w:tc>
          <w:tcPr>
            <w:tcW w:w="3740" w:type="dxa"/>
            <w:tcBorders/>
            <w:shd w:fill="CCEEFF" w:val="clear"/>
            <w:vAlign w:val="center"/>
          </w:tcPr>
          <w:p>
            <w:pPr>
              <w:pStyle w:val="TableContents"/>
              <w:bidi w:val="0"/>
              <w:spacing w:before="0" w:after="283"/>
              <w:jc w:val="left"/>
              <w:rPr/>
            </w:pPr>
            <w:r>
              <w:rPr/>
              <w:t>Exercise of warrants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29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696" w:name="xdx_433_c20240101__20240630_eus-gaap--Cl"/>
            <w:bookmarkEnd w:id="696"/>
          </w:p>
        </w:tc>
      </w:tr>
      <w:tr>
        <w:trPr/>
        <w:tc>
          <w:tcPr>
            <w:tcW w:w="3740" w:type="dxa"/>
            <w:tcBorders/>
            <w:shd w:fill="FFFFFF" w:val="clear"/>
            <w:vAlign w:val="center"/>
          </w:tcPr>
          <w:p>
            <w:pPr>
              <w:pStyle w:val="TableContents"/>
              <w:bidi w:val="0"/>
              <w:spacing w:before="0" w:after="283"/>
              <w:jc w:val="both"/>
              <w:rPr/>
            </w:pPr>
            <w:r>
              <w:rPr/>
              <w:t>Warrants outstanding, June 30, 2024</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294" w:type="dxa"/>
            <w:tcBorders>
              <w:bottom w:val="double" w:sz="6" w:space="0" w:color="000000"/>
            </w:tcBorders>
            <w:shd w:fill="FFFFFF" w:val="clear"/>
            <w:tcMar>
              <w:bottom w:w="28" w:type="dxa"/>
            </w:tcMar>
            <w:vAlign w:val="center"/>
          </w:tcPr>
          <w:p>
            <w:pPr>
              <w:pStyle w:val="TableContents"/>
              <w:bidi w:val="0"/>
              <w:spacing w:before="0" w:after="283"/>
              <w:jc w:val="right"/>
              <w:rPr/>
            </w:pPr>
            <w:r>
              <w:rPr/>
              <w:t>11,131,900</w:t>
            </w:r>
          </w:p>
        </w:tc>
        <w:tc>
          <w:tcPr>
            <w:tcW w:w="75" w:type="dxa"/>
            <w:tcBorders/>
            <w:shd w:fill="FFFFFF" w:val="clear"/>
            <w:vAlign w:val="center"/>
          </w:tcPr>
          <w:p>
            <w:pPr>
              <w:pStyle w:val="TableContents"/>
              <w:bidi w:val="0"/>
              <w:spacing w:before="0" w:after="283"/>
              <w:jc w:val="left"/>
              <w:rPr/>
            </w:pPr>
            <w:r>
              <w:rPr/>
              <w:t> </w:t>
            </w:r>
            <w:bookmarkStart w:id="697" w:name="xdx_43C_c20240101__20240630_eus-gaap--Cl"/>
            <w:bookmarkEnd w:id="697"/>
          </w:p>
        </w:tc>
      </w:tr>
      <w:tr>
        <w:trPr/>
        <w:tc>
          <w:tcPr>
            <w:tcW w:w="3740" w:type="dxa"/>
            <w:tcBorders/>
            <w:shd w:fill="FFFFFF" w:val="clear"/>
            <w:vAlign w:val="center"/>
          </w:tcPr>
          <w:p>
            <w:pPr>
              <w:pStyle w:val="TableContents"/>
              <w:bidi w:val="0"/>
              <w:spacing w:before="0" w:after="283"/>
              <w:jc w:val="both"/>
              <w:rPr/>
            </w:pPr>
            <w:r>
              <w:rPr/>
              <w:t>Warrants outstanding, Ending</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294" w:type="dxa"/>
            <w:tcBorders>
              <w:bottom w:val="double" w:sz="6" w:space="0" w:color="000000"/>
            </w:tcBorders>
            <w:shd w:fill="FFFFFF" w:val="clear"/>
            <w:tcMar>
              <w:bottom w:w="28" w:type="dxa"/>
            </w:tcMar>
            <w:vAlign w:val="center"/>
          </w:tcPr>
          <w:p>
            <w:pPr>
              <w:pStyle w:val="TableContents"/>
              <w:bidi w:val="0"/>
              <w:spacing w:before="0" w:after="283"/>
              <w:jc w:val="right"/>
              <w:rPr/>
            </w:pPr>
            <w:r>
              <w:rPr/>
              <w:t>11,131,900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98" w:name="xdx_8A3_z7swXobjJEj2"/>
      <w:bookmarkEnd w:id="698"/>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699" w:name="xdx_800_eus-gaap--StockholdersEquityNote"/>
      <w:bookmarkEnd w:id="699"/>
      <w:r>
        <w:rPr>
          <w:rFonts w:ascii="Times New Roman;Times;Serif" w:hAnsi="Times New Roman;Times;Serif"/>
          <w:b/>
          <w:i w:val="false"/>
          <w:caps/>
          <w:sz w:val="20"/>
        </w:rPr>
        <w:t xml:space="preserve">Note 10 - </w:t>
      </w:r>
      <w:bookmarkStart w:id="700" w:name="xdx_821_zeKP8AG9SCe6"/>
      <w:bookmarkEnd w:id="700"/>
      <w:r>
        <w:rPr>
          <w:rFonts w:ascii="Times New Roman;Times;Serif" w:hAnsi="Times New Roman;Times;Serif"/>
          <w:b/>
          <w:i w:val="false"/>
          <w:caps/>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dividends on common stock had been declared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01" w:name="xdx_89B_ecustom--SummaryOfReservedShares"/>
      <w:bookmarkEnd w:id="701"/>
      <w:r>
        <w:rPr>
          <w:rFonts w:ascii="Times New Roman;Times;Serif" w:hAnsi="Times New Roman;Times;Serif"/>
          <w:b w:val="false"/>
          <w:i w:val="false"/>
          <w:caps w:val="false"/>
          <w:smallCaps w:val="false"/>
          <w:sz w:val="20"/>
        </w:rPr>
        <w:t>For the six months ended June 30, 2024 and 2023, the Company had reserved shares of common stock for issuance as follows: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702" w:name="xdx_8BA_zMpCbWalAJ0j"/>
      <w:bookmarkEnd w:id="702"/>
      <w:r>
        <w:rPr>
          <w:rFonts w:ascii="Times New Roman;Times;Serif" w:hAnsi="Times New Roman;Times;Serif"/>
          <w:b w:val="false"/>
          <w:i w:val="false"/>
          <w:caps w:val="false"/>
          <w:smallCaps w:val="false"/>
          <w:sz w:val="20"/>
        </w:rPr>
        <w:t>SUMMARY OF RESERVED SHARES OF COMMON STOCK FOR ISSUANCE </w:t>
      </w:r>
    </w:p>
    <w:tbl>
      <w:tblPr>
        <w:tblW w:w="5458" w:type="dxa"/>
        <w:jc w:val="left"/>
        <w:tblInd w:w="0" w:type="dxa"/>
        <w:tblLayout w:type="fixed"/>
        <w:tblCellMar>
          <w:top w:w="0" w:type="dxa"/>
          <w:left w:w="0" w:type="dxa"/>
          <w:bottom w:w="0" w:type="dxa"/>
          <w:right w:w="0" w:type="dxa"/>
        </w:tblCellMar>
      </w:tblPr>
      <w:tblGrid>
        <w:gridCol w:w="2885"/>
        <w:gridCol w:w="60"/>
        <w:gridCol w:w="62"/>
        <w:gridCol w:w="1097"/>
        <w:gridCol w:w="60"/>
        <w:gridCol w:w="60"/>
        <w:gridCol w:w="62"/>
        <w:gridCol w:w="1097"/>
        <w:gridCol w:w="75"/>
      </w:tblGrid>
      <w:tr>
        <w:trPr/>
        <w:tc>
          <w:tcPr>
            <w:tcW w:w="28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703" w:name="xdx_499_20240630_zcuqFbLNI97f"/>
            <w:bookmarkEnd w:id="703"/>
          </w:p>
        </w:tc>
        <w:tc>
          <w:tcPr>
            <w:tcW w:w="115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704" w:name="xdx_49E_20230630_z2C8mT2YWEwi"/>
            <w:bookmarkEnd w:id="704"/>
          </w:p>
        </w:tc>
        <w:tc>
          <w:tcPr>
            <w:tcW w:w="115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2023</w:t>
            </w:r>
          </w:p>
        </w:tc>
        <w:tc>
          <w:tcPr>
            <w:tcW w:w="75" w:type="dxa"/>
            <w:tcBorders/>
            <w:vAlign w:val="center"/>
          </w:tcPr>
          <w:p>
            <w:pPr>
              <w:pStyle w:val="TableContents"/>
              <w:bidi w:val="0"/>
              <w:spacing w:before="0" w:after="283"/>
              <w:jc w:val="left"/>
              <w:rPr>
                <w:caps w:val="false"/>
                <w:smallCaps w:val="false"/>
              </w:rPr>
            </w:pPr>
            <w:r>
              <w:rPr>
                <w:caps w:val="false"/>
                <w:smallCaps w:val="false"/>
              </w:rPr>
              <w:t> </w:t>
            </w:r>
            <w:bookmarkStart w:id="705" w:name="xdx_403_eus-gaap--ShareBasedCompensation"/>
            <w:bookmarkEnd w:id="705"/>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issued and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1,908,821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3,443,099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06" w:name="xdx_40F_eus-gaap--CommonStockSharesOutst"/>
            <w:bookmarkEnd w:id="706"/>
          </w:p>
        </w:tc>
      </w:tr>
      <w:tr>
        <w:trPr/>
        <w:tc>
          <w:tcPr>
            <w:tcW w:w="28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outstanding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61,367,633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58,504,541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07" w:name="xdx_406_eus-gaap--ClassOfWarrantOrRightO"/>
            <w:bookmarkEnd w:id="707"/>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29,168,251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23,492,221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08" w:name="xdx_403_ecustom--EarnoutShares_iI_pid_zJ"/>
            <w:bookmarkEnd w:id="708"/>
          </w:p>
        </w:tc>
      </w:tr>
      <w:tr>
        <w:trPr/>
        <w:tc>
          <w:tcPr>
            <w:tcW w:w="28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Earnout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09" w:name="xdx_40D_eus-gaap--ShareBasedCompensation"/>
            <w:bookmarkEnd w:id="709"/>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available for future issuance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8,957,130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4,434,916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10" w:name="xdx_407_eus-gaap--CommonStockCapitalShar"/>
            <w:bookmarkEnd w:id="710"/>
          </w:p>
        </w:tc>
      </w:tr>
      <w:tr>
        <w:trPr/>
        <w:tc>
          <w:tcPr>
            <w:tcW w:w="28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126,401,835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129,874,777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711" w:name="xdx_8A3_zGpFaC8G15Of"/>
      <w:bookmarkEnd w:id="711"/>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ChEF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the Company and Chardan Capital Markets LLC, a New York limited liability company (“CCM LLC”) entered into a purchase agreement (the “Original Purchase Agreement”) and a Registration Rights Agreement in connection with the merger. Pursuant to the Original Purchase Agreement, the Company has the right to sell to CCM LLC an amount of shares of Common Stock, up to a maximum aggregate purchase price of $</w:t>
      </w:r>
      <w:bookmarkStart w:id="712" w:name="xdx_900_ecustom--PlanOfMergerMaximumAggr"/>
      <w:bookmarkEnd w:id="712"/>
      <w:r>
        <w:rPr>
          <w:rFonts w:ascii="Times New Roman;Times;Serif" w:hAnsi="Times New Roman;Times;Serif"/>
          <w:b w:val="false"/>
          <w:i w:val="false"/>
          <w:caps w:val="false"/>
          <w:smallCaps w:val="false"/>
          <w:sz w:val="20"/>
        </w:rPr>
        <w:t xml:space="preserve">150 million, pursuant to the terms of the Purchase Agreement (the “ChEF Equity Facility”). In addition, the Company appointed LifeSci Capital, LLC as “qualified independent underwriter” with respect to the transactions contemplated by the Purchase Agreement. On May 20, 2024, the Company entered into an amendment to the Original Purchase Agreement (the “A&amp;R Purchase Agreement”, together with the Original Purchase Agreement, the “Purchase Agreement”) with CCM LLC to update the volume weighted average price purchase mechanics of the equity facility to permit Intraday VWAP Purchases (as defined in the A&amp;R Purchase Agreement). Under the terms of the Purchase Agreement, the Company issued </w:t>
      </w:r>
      <w:bookmarkStart w:id="713" w:name="xdx_905_eus-gaap--StockIssuedDuringPerio"/>
      <w:bookmarkEnd w:id="713"/>
      <w:r>
        <w:rPr>
          <w:rFonts w:ascii="Times New Roman;Times;Serif" w:hAnsi="Times New Roman;Times;Serif"/>
          <w:b w:val="false"/>
          <w:i w:val="false"/>
          <w:caps w:val="false"/>
          <w:smallCaps w:val="false"/>
          <w:sz w:val="20"/>
        </w:rPr>
        <w:t>98,500 shares pursuant to the Purchase Agreement with CCM LLC for aggregate net proceeds to the Company of $</w:t>
      </w:r>
      <w:bookmarkStart w:id="714" w:name="xdx_900_eus-gaap--ProceedsFromIssuanceOf"/>
      <w:bookmarkEnd w:id="714"/>
      <w:r>
        <w:rPr>
          <w:rFonts w:ascii="Times New Roman;Times;Serif" w:hAnsi="Times New Roman;Times;Serif"/>
          <w:b w:val="false"/>
          <w:i w:val="false"/>
          <w:caps w:val="false"/>
          <w:smallCaps w:val="false"/>
          <w:sz w:val="20"/>
        </w:rPr>
        <w:t xml:space="preserve">671 from the period January 1, 2023 through June 30, 2023. The Company issued </w:t>
      </w:r>
      <w:bookmarkStart w:id="715" w:name="xdx_90D_eus-gaap--StockIssuedDuringPerio"/>
      <w:bookmarkEnd w:id="715"/>
      <w:r>
        <w:rPr>
          <w:rFonts w:ascii="Times New Roman;Times;Serif" w:hAnsi="Times New Roman;Times;Serif"/>
          <w:b w:val="false"/>
          <w:i w:val="false"/>
          <w:caps w:val="false"/>
          <w:smallCaps w:val="false"/>
          <w:sz w:val="20"/>
        </w:rPr>
        <w:t>850,463 shares pursuant to the Purchase Agreement with CCM LLC for aggregate proceeds to the Company of $</w:t>
      </w:r>
      <w:bookmarkStart w:id="716" w:name="xdx_901_eus-gaap--ProceedsFromIssuanceOf"/>
      <w:bookmarkEnd w:id="716"/>
      <w:r>
        <w:rPr>
          <w:rFonts w:ascii="Times New Roman;Times;Serif" w:hAnsi="Times New Roman;Times;Serif"/>
          <w:b w:val="false"/>
          <w:i w:val="false"/>
          <w:caps w:val="false"/>
          <w:smallCaps w:val="false"/>
          <w:sz w:val="20"/>
        </w:rPr>
        <w:t>737 from the period January 1, 2024 through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717" w:name="xdx_806_eus-gaap--DisclosureOfCompensati"/>
      <w:bookmarkEnd w:id="717"/>
      <w:r>
        <w:rPr>
          <w:rFonts w:ascii="Times New Roman;Times;Serif" w:hAnsi="Times New Roman;Times;Serif"/>
          <w:b/>
          <w:i w:val="false"/>
          <w:caps/>
          <w:sz w:val="20"/>
        </w:rPr>
        <w:t xml:space="preserve">Note 11 - </w:t>
      </w:r>
      <w:bookmarkStart w:id="718" w:name="xdx_82A_zEEjsLJ5TKqf"/>
      <w:bookmarkEnd w:id="718"/>
      <w:r>
        <w:rPr>
          <w:rFonts w:ascii="Times New Roman;Times;Serif" w:hAnsi="Times New Roman;Times;Serif"/>
          <w:b/>
          <w:i w:val="false"/>
          <w:caps/>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 for options and RSUs totaling $</w:t>
      </w:r>
      <w:bookmarkStart w:id="719" w:name="xdx_907_eus-gaap--AllocatedShareBasedCom"/>
      <w:bookmarkEnd w:id="719"/>
      <w:r>
        <w:rPr>
          <w:rFonts w:ascii="Times New Roman;Times;Serif" w:hAnsi="Times New Roman;Times;Serif"/>
          <w:b w:val="false"/>
          <w:i w:val="false"/>
          <w:caps w:val="false"/>
          <w:smallCaps w:val="false"/>
          <w:sz w:val="20"/>
        </w:rPr>
        <w:t>503 and $</w:t>
      </w:r>
      <w:bookmarkStart w:id="720" w:name="xdx_90D_eus-gaap--AllocatedShareBasedCom"/>
      <w:bookmarkEnd w:id="720"/>
      <w:r>
        <w:rPr>
          <w:rFonts w:ascii="Times New Roman;Times;Serif" w:hAnsi="Times New Roman;Times;Serif"/>
          <w:b w:val="false"/>
          <w:i w:val="false"/>
          <w:caps w:val="false"/>
          <w:smallCaps w:val="false"/>
          <w:sz w:val="20"/>
        </w:rPr>
        <w:t>5,441 was recognized in the Company’s condensed consolidated statements of operations for the six months ended June 30, 2024 and 2023, respectively. Share-based compensation expense for options and RSUs totaling $</w:t>
      </w:r>
      <w:bookmarkStart w:id="721" w:name="xdx_900_eus-gaap--AllocatedShareBasedCom"/>
      <w:bookmarkEnd w:id="721"/>
      <w:r>
        <w:rPr>
          <w:rFonts w:ascii="Times New Roman;Times;Serif" w:hAnsi="Times New Roman;Times;Serif"/>
          <w:b w:val="false"/>
          <w:i w:val="false"/>
          <w:caps w:val="false"/>
          <w:smallCaps w:val="false"/>
          <w:sz w:val="20"/>
        </w:rPr>
        <w:t>237 and $</w:t>
      </w:r>
      <w:bookmarkStart w:id="722" w:name="xdx_908_eus-gaap--AllocatedShareBasedCom"/>
      <w:bookmarkEnd w:id="722"/>
      <w:r>
        <w:rPr>
          <w:rFonts w:ascii="Times New Roman;Times;Serif" w:hAnsi="Times New Roman;Times;Serif"/>
          <w:b w:val="false"/>
          <w:i w:val="false"/>
          <w:caps w:val="false"/>
          <w:smallCaps w:val="false"/>
          <w:sz w:val="20"/>
        </w:rPr>
        <w:t>954 was recognized in the Company’s consolidated statements of operations for the three months ended June 30, 2024 and 2023,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w:t>
      </w:r>
      <w:bookmarkStart w:id="723" w:name="xdx_900_eus-gaap--AllocatedShareBasedCom"/>
      <w:bookmarkEnd w:id="723"/>
      <w:r>
        <w:rPr>
          <w:rFonts w:ascii="Times New Roman;Times;Serif" w:hAnsi="Times New Roman;Times;Serif"/>
          <w:b w:val="false"/>
          <w:i w:val="false"/>
          <w:caps w:val="false"/>
          <w:smallCaps w:val="false"/>
          <w:sz w:val="20"/>
        </w:rPr>
        <w:t>503 of share-based compensation incurred during the six months ended June 30, 2024, $</w:t>
      </w:r>
      <w:bookmarkStart w:id="724" w:name="xdx_906_eus-gaap--AllocatedShareBasedCom"/>
      <w:bookmarkEnd w:id="724"/>
      <w:r>
        <w:rPr>
          <w:rFonts w:ascii="Times New Roman;Times;Serif" w:hAnsi="Times New Roman;Times;Serif"/>
          <w:b w:val="false"/>
          <w:i w:val="false"/>
          <w:caps w:val="false"/>
          <w:smallCaps w:val="false"/>
          <w:sz w:val="20"/>
        </w:rPr>
        <w:t>60 is allocated to cost of goods sold, $</w:t>
      </w:r>
      <w:bookmarkStart w:id="725" w:name="xdx_900_eus-gaap--AllocatedShareBasedCom"/>
      <w:bookmarkEnd w:id="725"/>
      <w:r>
        <w:rPr>
          <w:rFonts w:ascii="Times New Roman;Times;Serif" w:hAnsi="Times New Roman;Times;Serif"/>
          <w:b w:val="false"/>
          <w:i w:val="false"/>
          <w:caps w:val="false"/>
          <w:smallCaps w:val="false"/>
          <w:sz w:val="20"/>
        </w:rPr>
        <w:t>101 to research and development, $</w:t>
      </w:r>
      <w:bookmarkStart w:id="726" w:name="xdx_90F_eus-gaap--AllocatedShareBasedCom"/>
      <w:bookmarkEnd w:id="726"/>
      <w:r>
        <w:rPr>
          <w:rFonts w:ascii="Times New Roman;Times;Serif" w:hAnsi="Times New Roman;Times;Serif"/>
          <w:b w:val="false"/>
          <w:i w:val="false"/>
          <w:caps w:val="false"/>
          <w:smallCaps w:val="false"/>
          <w:sz w:val="20"/>
        </w:rPr>
        <w:t>127 to selling and marketing, and $</w:t>
      </w:r>
      <w:bookmarkStart w:id="727" w:name="xdx_90A_eus-gaap--AllocatedShareBasedCom"/>
      <w:bookmarkEnd w:id="727"/>
      <w:r>
        <w:rPr>
          <w:rFonts w:ascii="Times New Roman;Times;Serif" w:hAnsi="Times New Roman;Times;Serif"/>
          <w:b w:val="false"/>
          <w:i w:val="false"/>
          <w:caps w:val="false"/>
          <w:smallCaps w:val="false"/>
          <w:sz w:val="20"/>
        </w:rPr>
        <w:t>215 to general and administrative expenses. Of the $</w:t>
      </w:r>
      <w:bookmarkStart w:id="728" w:name="xdx_90C_eus-gaap--AllocatedShareBasedCom"/>
      <w:bookmarkEnd w:id="728"/>
      <w:r>
        <w:rPr>
          <w:rFonts w:ascii="Times New Roman;Times;Serif" w:hAnsi="Times New Roman;Times;Serif"/>
          <w:b w:val="false"/>
          <w:i w:val="false"/>
          <w:caps w:val="false"/>
          <w:smallCaps w:val="false"/>
          <w:sz w:val="20"/>
        </w:rPr>
        <w:t>5,441 of share-based compensation incurred during the six months ended June 30, 2023, $</w:t>
      </w:r>
      <w:bookmarkStart w:id="729" w:name="xdx_902_eus-gaap--AllocatedShareBasedCom"/>
      <w:bookmarkEnd w:id="729"/>
      <w:r>
        <w:rPr>
          <w:rFonts w:ascii="Times New Roman;Times;Serif" w:hAnsi="Times New Roman;Times;Serif"/>
          <w:b w:val="false"/>
          <w:i w:val="false"/>
          <w:caps w:val="false"/>
          <w:smallCaps w:val="false"/>
          <w:sz w:val="20"/>
        </w:rPr>
        <w:t>75 is allocated to cost of goods sold, $</w:t>
      </w:r>
      <w:bookmarkStart w:id="730" w:name="xdx_907_eus-gaap--AllocatedShareBasedCom"/>
      <w:bookmarkEnd w:id="730"/>
      <w:r>
        <w:rPr>
          <w:rFonts w:ascii="Times New Roman;Times;Serif" w:hAnsi="Times New Roman;Times;Serif"/>
          <w:b w:val="false"/>
          <w:i w:val="false"/>
          <w:caps w:val="false"/>
          <w:smallCaps w:val="false"/>
          <w:sz w:val="20"/>
        </w:rPr>
        <w:t>49 to research and development, $</w:t>
      </w:r>
      <w:bookmarkStart w:id="731" w:name="xdx_905_eus-gaap--AllocatedShareBasedCom"/>
      <w:bookmarkEnd w:id="731"/>
      <w:r>
        <w:rPr>
          <w:rFonts w:ascii="Times New Roman;Times;Serif" w:hAnsi="Times New Roman;Times;Serif"/>
          <w:b w:val="false"/>
          <w:i w:val="false"/>
          <w:caps w:val="false"/>
          <w:smallCaps w:val="false"/>
          <w:sz w:val="20"/>
        </w:rPr>
        <w:t>971 to selling and marketing, and $</w:t>
      </w:r>
      <w:bookmarkStart w:id="732" w:name="xdx_90E_eus-gaap--AllocatedShareBasedCom"/>
      <w:bookmarkEnd w:id="732"/>
      <w:r>
        <w:rPr>
          <w:rFonts w:ascii="Times New Roman;Times;Serif" w:hAnsi="Times New Roman;Times;Serif"/>
          <w:b w:val="false"/>
          <w:i w:val="false"/>
          <w:caps w:val="false"/>
          <w:smallCaps w:val="false"/>
          <w:sz w:val="20"/>
        </w:rPr>
        <w:t>4,346 to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w:t>
      </w:r>
      <w:bookmarkStart w:id="733" w:name="xdx_900_eus-gaap--AllocatedShareBasedCom"/>
      <w:bookmarkEnd w:id="733"/>
      <w:r>
        <w:rPr>
          <w:rFonts w:ascii="Times New Roman;Times;Serif" w:hAnsi="Times New Roman;Times;Serif"/>
          <w:b w:val="false"/>
          <w:i w:val="false"/>
          <w:caps w:val="false"/>
          <w:smallCaps w:val="false"/>
          <w:sz w:val="20"/>
        </w:rPr>
        <w:t>237 of share-based compensation incurred during the three months ended June 30, 2024, $</w:t>
      </w:r>
      <w:bookmarkStart w:id="734" w:name="xdx_903_eus-gaap--AllocatedShareBasedCom"/>
      <w:bookmarkEnd w:id="734"/>
      <w:r>
        <w:rPr>
          <w:rFonts w:ascii="Times New Roman;Times;Serif" w:hAnsi="Times New Roman;Times;Serif"/>
          <w:b w:val="false"/>
          <w:i w:val="false"/>
          <w:caps w:val="false"/>
          <w:smallCaps w:val="false"/>
          <w:sz w:val="20"/>
        </w:rPr>
        <w:t>28 is allocated to cost of goods sold, $</w:t>
      </w:r>
      <w:bookmarkStart w:id="735" w:name="xdx_906_eus-gaap--AllocatedShareBasedCom"/>
      <w:bookmarkEnd w:id="735"/>
      <w:r>
        <w:rPr>
          <w:rFonts w:ascii="Times New Roman;Times;Serif" w:hAnsi="Times New Roman;Times;Serif"/>
          <w:b w:val="false"/>
          <w:i w:val="false"/>
          <w:caps w:val="false"/>
          <w:smallCaps w:val="false"/>
          <w:sz w:val="20"/>
        </w:rPr>
        <w:t>36 to research and development, $</w:t>
      </w:r>
      <w:bookmarkStart w:id="736" w:name="xdx_90B_eus-gaap--AllocatedShareBasedCom"/>
      <w:bookmarkEnd w:id="736"/>
      <w:r>
        <w:rPr>
          <w:rFonts w:ascii="Times New Roman;Times;Serif" w:hAnsi="Times New Roman;Times;Serif"/>
          <w:b w:val="false"/>
          <w:i w:val="false"/>
          <w:caps w:val="false"/>
          <w:smallCaps w:val="false"/>
          <w:sz w:val="20"/>
        </w:rPr>
        <w:t>67 to selling and marketing, and $</w:t>
      </w:r>
      <w:bookmarkStart w:id="737" w:name="xdx_90B_eus-gaap--AllocatedShareBasedCom"/>
      <w:bookmarkEnd w:id="737"/>
      <w:r>
        <w:rPr>
          <w:rFonts w:ascii="Times New Roman;Times;Serif" w:hAnsi="Times New Roman;Times;Serif"/>
          <w:b w:val="false"/>
          <w:i w:val="false"/>
          <w:caps w:val="false"/>
          <w:smallCaps w:val="false"/>
          <w:sz w:val="20"/>
        </w:rPr>
        <w:t>106 to general and administrative expenses. Of the $</w:t>
      </w:r>
      <w:bookmarkStart w:id="738" w:name="xdx_905_eus-gaap--AllocatedShareBasedCom"/>
      <w:bookmarkEnd w:id="738"/>
      <w:r>
        <w:rPr>
          <w:rFonts w:ascii="Times New Roman;Times;Serif" w:hAnsi="Times New Roman;Times;Serif"/>
          <w:b w:val="false"/>
          <w:i w:val="false"/>
          <w:caps w:val="false"/>
          <w:smallCaps w:val="false"/>
          <w:sz w:val="20"/>
        </w:rPr>
        <w:t>954 of share-based compensation incurred during the three months ended June 30, 2023, $</w:t>
      </w:r>
      <w:bookmarkStart w:id="739" w:name="xdx_90E_eus-gaap--AllocatedShareBasedCom"/>
      <w:bookmarkEnd w:id="739"/>
      <w:r>
        <w:rPr>
          <w:rFonts w:ascii="Times New Roman;Times;Serif" w:hAnsi="Times New Roman;Times;Serif"/>
          <w:b w:val="false"/>
          <w:i w:val="false"/>
          <w:caps w:val="false"/>
          <w:smallCaps w:val="false"/>
          <w:sz w:val="20"/>
        </w:rPr>
        <w:t>39 is allocated to cost of goods sold, $</w:t>
      </w:r>
      <w:bookmarkStart w:id="740" w:name="xdx_900_eus-gaap--AllocatedShareBasedCom"/>
      <w:bookmarkEnd w:id="740"/>
      <w:r>
        <w:rPr>
          <w:rFonts w:ascii="Times New Roman;Times;Serif" w:hAnsi="Times New Roman;Times;Serif"/>
          <w:b w:val="false"/>
          <w:i w:val="false"/>
          <w:caps w:val="false"/>
          <w:smallCaps w:val="false"/>
          <w:sz w:val="20"/>
        </w:rPr>
        <w:t>20 to research and development, $</w:t>
      </w:r>
      <w:bookmarkStart w:id="741" w:name="xdx_90D_eus-gaap--AllocatedShareBasedCom"/>
      <w:bookmarkEnd w:id="741"/>
      <w:r>
        <w:rPr>
          <w:rFonts w:ascii="Times New Roman;Times;Serif" w:hAnsi="Times New Roman;Times;Serif"/>
          <w:b w:val="false"/>
          <w:i w:val="false"/>
          <w:caps w:val="false"/>
          <w:smallCaps w:val="false"/>
          <w:sz w:val="20"/>
        </w:rPr>
        <w:t>115 to selling and marketing, and $</w:t>
      </w:r>
      <w:bookmarkStart w:id="742" w:name="xdx_907_eus-gaap--AllocatedShareBasedCom"/>
      <w:bookmarkEnd w:id="742"/>
      <w:r>
        <w:rPr>
          <w:rFonts w:ascii="Times New Roman;Times;Serif" w:hAnsi="Times New Roman;Times;Serif"/>
          <w:b w:val="false"/>
          <w:i w:val="false"/>
          <w:caps w:val="false"/>
          <w:smallCaps w:val="false"/>
          <w:sz w:val="20"/>
        </w:rPr>
        <w:t>780 to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maintains an Employee Stock Purchase Plan (“ESPP”) which is designed to allow eligible employees and the eligible employees of the Company’s participating subsidiaries to purchase shares of the Company’s common stock, at semi-annual intervals, with their accumulated payroll deductions. A total of </w:t>
      </w:r>
      <w:bookmarkStart w:id="743" w:name="xdx_90D_eus-gaap--StockIssuedDuringPerio"/>
      <w:bookmarkEnd w:id="743"/>
      <w:r>
        <w:rPr>
          <w:rFonts w:ascii="Times New Roman;Times;Serif" w:hAnsi="Times New Roman;Times;Serif"/>
          <w:b w:val="false"/>
          <w:i w:val="false"/>
          <w:caps w:val="false"/>
          <w:smallCaps w:val="false"/>
          <w:sz w:val="20"/>
        </w:rPr>
        <w:t xml:space="preserve">2,464,400 shares of the Company’s common stock were initially available for issuance under the ESPP. The share limit will automatically increase on the first trading day in January of each year by an amount equal to lesser of (1) </w:t>
      </w:r>
      <w:bookmarkStart w:id="744" w:name="xdx_90E_ecustom--OutstandingSharesPercen"/>
      <w:bookmarkEnd w:id="744"/>
      <w:r>
        <w:rPr>
          <w:rFonts w:ascii="Times New Roman;Times;Serif" w:hAnsi="Times New Roman;Times;Serif"/>
          <w:b w:val="false"/>
          <w:i w:val="false"/>
          <w:caps w:val="false"/>
          <w:smallCaps w:val="false"/>
          <w:sz w:val="20"/>
        </w:rPr>
        <w:t xml:space="preserve">1% of the total number of outstanding shares of the Company’s common stock on December 31 in the prior year, (2) </w:t>
      </w:r>
      <w:bookmarkStart w:id="745" w:name="xdx_901_eus-gaap--StockIssuedDuringPerio"/>
      <w:bookmarkEnd w:id="745"/>
      <w:r>
        <w:rPr>
          <w:rFonts w:ascii="Times New Roman;Times;Serif" w:hAnsi="Times New Roman;Times;Serif"/>
          <w:b w:val="false"/>
          <w:i w:val="false"/>
          <w:caps w:val="false"/>
          <w:smallCaps w:val="false"/>
          <w:sz w:val="20"/>
        </w:rPr>
        <w:t>1,500,000 shares, or (3) such number as determined by the Company’s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46" w:name="xdx_89A_eus-gaap--ScheduleOfShareBasedCo"/>
      <w:bookmarkEnd w:id="746"/>
      <w:r>
        <w:rPr>
          <w:rFonts w:ascii="Times New Roman;Times;Serif" w:hAnsi="Times New Roman;Times;Serif"/>
          <w:b w:val="false"/>
          <w:i w:val="false"/>
          <w:caps w:val="false"/>
          <w:smallCaps w:val="false"/>
          <w:sz w:val="20"/>
        </w:rPr>
        <w:t>A summary of the Company’s option activity and related information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47" w:name="xdx_8B2_zpRMKww8jJTf"/>
      <w:bookmarkEnd w:id="747"/>
      <w:r>
        <w:rPr>
          <w:rFonts w:ascii="Times New Roman;Times;Serif" w:hAnsi="Times New Roman;Times;Serif"/>
          <w:b w:val="false"/>
          <w:i w:val="false"/>
          <w:caps w:val="false"/>
          <w:smallCaps w:val="false"/>
          <w:sz w:val="20"/>
        </w:rPr>
        <w:t>SCHEDULE OF OPTION ACTIVITY AND RELATED INFORMATION </w:t>
      </w:r>
    </w:p>
    <w:tbl>
      <w:tblPr>
        <w:tblW w:w="10205" w:type="dxa"/>
        <w:jc w:val="left"/>
        <w:tblInd w:w="0" w:type="dxa"/>
        <w:tblLayout w:type="fixed"/>
        <w:tblCellMar>
          <w:top w:w="0" w:type="dxa"/>
          <w:left w:w="0" w:type="dxa"/>
          <w:bottom w:w="0" w:type="dxa"/>
          <w:right w:w="0" w:type="dxa"/>
        </w:tblCellMar>
      </w:tblPr>
      <w:tblGrid>
        <w:gridCol w:w="1754"/>
        <w:gridCol w:w="60"/>
        <w:gridCol w:w="60"/>
        <w:gridCol w:w="980"/>
        <w:gridCol w:w="95"/>
        <w:gridCol w:w="60"/>
        <w:gridCol w:w="227"/>
        <w:gridCol w:w="1593"/>
        <w:gridCol w:w="60"/>
        <w:gridCol w:w="60"/>
        <w:gridCol w:w="439"/>
        <w:gridCol w:w="1381"/>
        <w:gridCol w:w="60"/>
        <w:gridCol w:w="60"/>
        <w:gridCol w:w="236"/>
        <w:gridCol w:w="1740"/>
        <w:gridCol w:w="60"/>
        <w:gridCol w:w="60"/>
        <w:gridCol w:w="306"/>
        <w:gridCol w:w="836"/>
        <w:gridCol w:w="78"/>
      </w:tblGrid>
      <w:tr>
        <w:trPr/>
        <w:tc>
          <w:tcPr>
            <w:tcW w:w="17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Number </w:t>
              <w:br/>
              <w:t xml:space="preserve">of </w:t>
              <w:b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gridSpan w:val="2"/>
            <w:tcBorders>
              <w:bottom w:val="single" w:sz="12" w:space="0" w:color="000000"/>
            </w:tcBorders>
            <w:tcMar>
              <w:bottom w:w="28" w:type="dxa"/>
            </w:tcMar>
            <w:vAlign w:val="center"/>
          </w:tcPr>
          <w:p>
            <w:pPr>
              <w:pStyle w:val="TableContents"/>
              <w:bidi w:val="0"/>
              <w:spacing w:before="0" w:after="283"/>
              <w:jc w:val="center"/>
              <w:rPr/>
            </w:pPr>
            <w:r>
              <w:rPr/>
              <w:t>Weighted-Average</w:t>
              <w:b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gridSpan w:val="2"/>
            <w:tcBorders>
              <w:bottom w:val="single" w:sz="12" w:space="0" w:color="000000"/>
            </w:tcBorders>
            <w:tcMar>
              <w:bottom w:w="28" w:type="dxa"/>
            </w:tcMar>
            <w:vAlign w:val="center"/>
          </w:tcPr>
          <w:p>
            <w:pPr>
              <w:pStyle w:val="TableContents"/>
              <w:bidi w:val="0"/>
              <w:spacing w:before="0" w:after="283"/>
              <w:jc w:val="center"/>
              <w:rPr/>
            </w:pPr>
            <w:r>
              <w:rPr/>
              <w:t>Weighted-Average</w:t>
              <w:br/>
              <w:t>Grant Date 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6" w:type="dxa"/>
            <w:gridSpan w:val="2"/>
            <w:tcBorders>
              <w:bottom w:val="single" w:sz="12" w:space="0" w:color="000000"/>
            </w:tcBorders>
            <w:tcMar>
              <w:bottom w:w="28" w:type="dxa"/>
            </w:tcMar>
            <w:vAlign w:val="center"/>
          </w:tcPr>
          <w:p>
            <w:pPr>
              <w:pStyle w:val="TableContents"/>
              <w:bidi w:val="0"/>
              <w:spacing w:before="0" w:after="283"/>
              <w:jc w:val="center"/>
              <w:rPr/>
            </w:pPr>
            <w:r>
              <w:rPr/>
              <w:t>Weighted-Average</w:t>
              <w:br/>
              <w:t>Remaining Contractual</w:t>
              <w:br/>
              <w:t>Life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2" w:type="dxa"/>
            <w:gridSpan w:val="2"/>
            <w:tcBorders>
              <w:bottom w:val="single" w:sz="12" w:space="0" w:color="000000"/>
            </w:tcBorders>
            <w:tcMar>
              <w:bottom w:w="28" w:type="dxa"/>
            </w:tcMar>
            <w:vAlign w:val="center"/>
          </w:tcPr>
          <w:p>
            <w:pPr>
              <w:pStyle w:val="TableContents"/>
              <w:bidi w:val="0"/>
              <w:spacing w:before="0" w:after="283"/>
              <w:jc w:val="center"/>
              <w:rPr/>
            </w:pPr>
            <w:r>
              <w:rPr/>
              <w:t>Aggregate</w:t>
              <w:br/>
              <w:t>intrinsic value</w:t>
            </w:r>
          </w:p>
        </w:tc>
        <w:tc>
          <w:tcPr>
            <w:tcW w:w="78" w:type="dxa"/>
            <w:tcBorders/>
            <w:vAlign w:val="center"/>
          </w:tcPr>
          <w:p>
            <w:pPr>
              <w:pStyle w:val="TableContents"/>
              <w:bidi w:val="0"/>
              <w:spacing w:before="0" w:after="283"/>
              <w:jc w:val="left"/>
              <w:rPr/>
            </w:pPr>
            <w:r>
              <w:rPr/>
              <w:t> </w:t>
            </w:r>
          </w:p>
        </w:tc>
      </w:tr>
      <w:tr>
        <w:trPr/>
        <w:tc>
          <w:tcPr>
            <w:tcW w:w="17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6"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2" w:type="dxa"/>
            <w:gridSpan w:val="2"/>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left"/>
              <w:rPr/>
            </w:pPr>
            <w:r>
              <w:rPr/>
              <w:t> </w:t>
            </w:r>
          </w:p>
        </w:tc>
      </w:tr>
      <w:tr>
        <w:trPr/>
        <w:tc>
          <w:tcPr>
            <w:tcW w:w="1754" w:type="dxa"/>
            <w:tcBorders/>
            <w:shd w:fill="CCEEFF" w:val="clear"/>
            <w:vAlign w:val="center"/>
          </w:tcPr>
          <w:p>
            <w:pPr>
              <w:pStyle w:val="TableContents"/>
              <w:bidi w:val="0"/>
              <w:spacing w:before="0" w:after="283"/>
              <w:jc w:val="left"/>
              <w:rPr/>
            </w:pPr>
            <w:r>
              <w:rPr/>
              <w:t>Balances,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48" w:name="xdx_982_eus-gaap--ShareBasedCompensation"/>
            <w:bookmarkEnd w:id="748"/>
          </w:p>
        </w:tc>
        <w:tc>
          <w:tcPr>
            <w:tcW w:w="980" w:type="dxa"/>
            <w:tcBorders/>
            <w:shd w:fill="CCEEFF" w:val="clear"/>
            <w:vAlign w:val="center"/>
          </w:tcPr>
          <w:p>
            <w:pPr>
              <w:pStyle w:val="TableContents"/>
              <w:bidi w:val="0"/>
              <w:spacing w:before="0" w:after="283"/>
              <w:jc w:val="right"/>
              <w:rPr/>
            </w:pPr>
            <w:r>
              <w:rPr/>
              <w:t>2,364,787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bookmarkStart w:id="749" w:name="xdx_986_eus-gaap--ShareBasedCompensation"/>
            <w:bookmarkEnd w:id="749"/>
          </w:p>
        </w:tc>
        <w:tc>
          <w:tcPr>
            <w:tcW w:w="1593" w:type="dxa"/>
            <w:tcBorders/>
            <w:shd w:fill="CCEEFF" w:val="clear"/>
            <w:vAlign w:val="center"/>
          </w:tcPr>
          <w:p>
            <w:pPr>
              <w:pStyle w:val="TableContents"/>
              <w:bidi w:val="0"/>
              <w:spacing w:before="0" w:after="283"/>
              <w:jc w:val="right"/>
              <w:rPr/>
            </w:pPr>
            <w:r>
              <w:rPr/>
              <w:t>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w:t>
            </w:r>
            <w:bookmarkStart w:id="750" w:name="xdx_98E_eus-gaap--SharebasedCompensation"/>
            <w:bookmarkEnd w:id="750"/>
          </w:p>
        </w:tc>
        <w:tc>
          <w:tcPr>
            <w:tcW w:w="1381" w:type="dxa"/>
            <w:tcBorders/>
            <w:shd w:fill="CCEEFF" w:val="clear"/>
            <w:vAlign w:val="center"/>
          </w:tcPr>
          <w:p>
            <w:pPr>
              <w:pStyle w:val="TableContents"/>
              <w:bidi w:val="0"/>
              <w:spacing w:before="0" w:after="283"/>
              <w:jc w:val="right"/>
              <w:rPr/>
            </w:pPr>
            <w:r>
              <w:rPr/>
              <w:t>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740" w:type="dxa"/>
            <w:tcBorders/>
            <w:shd w:fill="CCEEFF" w:val="clear"/>
            <w:vAlign w:val="center"/>
          </w:tcPr>
          <w:p>
            <w:pPr>
              <w:pStyle w:val="TableContents"/>
              <w:bidi w:val="0"/>
              <w:spacing w:before="0" w:after="283"/>
              <w:jc w:val="right"/>
              <w:rPr/>
            </w:pPr>
            <w:bookmarkStart w:id="751" w:name="xdx_90A_ecustom--SharebasedCompensationA"/>
            <w:bookmarkEnd w:id="751"/>
            <w:r>
              <w:rPr/>
              <w:t>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w:t>
            </w:r>
            <w:bookmarkStart w:id="752" w:name="xdx_989_eus-gaap--ShareBasedCompensation"/>
            <w:bookmarkEnd w:id="752"/>
          </w:p>
        </w:tc>
        <w:tc>
          <w:tcPr>
            <w:tcW w:w="836" w:type="dxa"/>
            <w:tcBorders/>
            <w:shd w:fill="CCEEFF" w:val="clear"/>
            <w:vAlign w:val="center"/>
          </w:tcPr>
          <w:p>
            <w:pPr>
              <w:pStyle w:val="TableContents"/>
              <w:bidi w:val="0"/>
              <w:spacing w:before="0" w:after="283"/>
              <w:jc w:val="right"/>
              <w:rPr/>
            </w:pPr>
            <w:r>
              <w:rPr/>
              <w:t>60</w:t>
            </w:r>
          </w:p>
        </w:tc>
        <w:tc>
          <w:tcPr>
            <w:tcW w:w="78" w:type="dxa"/>
            <w:tcBorders/>
            <w:shd w:fill="CCEEFF" w:val="clear"/>
            <w:vAlign w:val="center"/>
          </w:tcPr>
          <w:p>
            <w:pPr>
              <w:pStyle w:val="TableContents"/>
              <w:bidi w:val="0"/>
              <w:spacing w:before="0" w:after="283"/>
              <w:jc w:val="left"/>
              <w:rPr/>
            </w:pPr>
            <w:r>
              <w:rPr/>
              <w:t> </w:t>
            </w:r>
          </w:p>
        </w:tc>
      </w:tr>
      <w:tr>
        <w:trPr/>
        <w:tc>
          <w:tcPr>
            <w:tcW w:w="1754" w:type="dxa"/>
            <w:tcBorders/>
            <w:shd w:fill="FFFFFF" w:val="clear"/>
            <w:vAlign w:val="center"/>
          </w:tcPr>
          <w:p>
            <w:pPr>
              <w:pStyle w:val="TableContents"/>
              <w:bidi w:val="0"/>
              <w:spacing w:before="0" w:after="283"/>
              <w:jc w:val="left"/>
              <w:rPr/>
            </w:pPr>
            <w:r>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53" w:name="xdx_982_eus-gaap--ShareBasedCompensation"/>
            <w:bookmarkEnd w:id="753"/>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bookmarkStart w:id="754" w:name="xdx_983_eus-gaap--ShareBasedCompensation"/>
            <w:bookmarkEnd w:id="754"/>
          </w:p>
        </w:tc>
        <w:tc>
          <w:tcPr>
            <w:tcW w:w="159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bookmarkStart w:id="755" w:name="xdx_980_eus-gaap--ShareBasedCompensation"/>
            <w:bookmarkEnd w:id="755"/>
          </w:p>
        </w:tc>
        <w:tc>
          <w:tcPr>
            <w:tcW w:w="138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bookmarkStart w:id="756" w:name="xdx_981_eus-gaap--ShareBasedCompensation"/>
            <w:bookmarkEnd w:id="756"/>
          </w:p>
        </w:tc>
        <w:tc>
          <w:tcPr>
            <w:tcW w:w="836"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1754" w:type="dxa"/>
            <w:tcBorders/>
            <w:shd w:fill="CCEEFF" w:val="clear"/>
            <w:vAlign w:val="center"/>
          </w:tcPr>
          <w:p>
            <w:pPr>
              <w:pStyle w:val="TableContents"/>
              <w:bidi w:val="0"/>
              <w:spacing w:before="0" w:after="283"/>
              <w:jc w:val="left"/>
              <w:rPr/>
            </w:pPr>
            <w:r>
              <w:rPr/>
              <w:t>Options 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57" w:name="xdx_986_eus-gaap--ShareBasedCompensation"/>
            <w:bookmarkEnd w:id="757"/>
          </w:p>
        </w:tc>
        <w:tc>
          <w:tcPr>
            <w:tcW w:w="980" w:type="dxa"/>
            <w:tcBorders/>
            <w:shd w:fill="CCEEFF" w:val="clear"/>
            <w:vAlign w:val="center"/>
          </w:tcPr>
          <w:p>
            <w:pPr>
              <w:pStyle w:val="TableContents"/>
              <w:bidi w:val="0"/>
              <w:spacing w:before="0" w:after="283"/>
              <w:jc w:val="right"/>
              <w:rPr/>
            </w:pPr>
            <w:r>
              <w:rPr/>
              <w:t>(218,488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bookmarkStart w:id="758" w:name="xdx_985_eus-gaap--ShareBasedCompensation"/>
            <w:bookmarkEnd w:id="758"/>
          </w:p>
        </w:tc>
        <w:tc>
          <w:tcPr>
            <w:tcW w:w="1593" w:type="dxa"/>
            <w:tcBorders/>
            <w:shd w:fill="CCEEFF" w:val="clear"/>
            <w:vAlign w:val="center"/>
          </w:tcPr>
          <w:p>
            <w:pPr>
              <w:pStyle w:val="TableContents"/>
              <w:bidi w:val="0"/>
              <w:spacing w:before="0" w:after="283"/>
              <w:jc w:val="right"/>
              <w:rPr/>
            </w:pPr>
            <w:r>
              <w:rPr/>
              <w:t>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bookmarkStart w:id="759" w:name="xdx_983_eus-gaap--SharebasedCompensation"/>
            <w:bookmarkEnd w:id="759"/>
          </w:p>
        </w:tc>
        <w:tc>
          <w:tcPr>
            <w:tcW w:w="1381" w:type="dxa"/>
            <w:tcBorders/>
            <w:shd w:fill="CCEEFF" w:val="clear"/>
            <w:vAlign w:val="center"/>
          </w:tcPr>
          <w:p>
            <w:pPr>
              <w:pStyle w:val="TableContents"/>
              <w:bidi w:val="0"/>
              <w:spacing w:before="0" w:after="283"/>
              <w:jc w:val="right"/>
              <w:rPr/>
            </w:pPr>
            <w:r>
              <w:rPr/>
              <w:t>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bookmarkStart w:id="760" w:name="xdx_98B_ecustom--ShareBasedCompensationA"/>
            <w:bookmarkEnd w:id="760"/>
          </w:p>
        </w:tc>
        <w:tc>
          <w:tcPr>
            <w:tcW w:w="836"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1754" w:type="dxa"/>
            <w:tcBorders/>
            <w:shd w:fill="FFFFFF" w:val="clear"/>
            <w:vAlign w:val="center"/>
          </w:tcPr>
          <w:p>
            <w:pPr>
              <w:pStyle w:val="TableContents"/>
              <w:bidi w:val="0"/>
              <w:spacing w:before="0" w:after="283"/>
              <w:jc w:val="left"/>
              <w:rPr/>
            </w:pPr>
            <w:r>
              <w:rPr/>
              <w:t>Options expired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61" w:name="xdx_989_ecustom--ShareBasedCompensationA"/>
            <w:bookmarkEnd w:id="761"/>
          </w:p>
        </w:tc>
        <w:tc>
          <w:tcPr>
            <w:tcW w:w="980" w:type="dxa"/>
            <w:tcBorders/>
            <w:shd w:fill="FFFFFF" w:val="clear"/>
            <w:vAlign w:val="center"/>
          </w:tcPr>
          <w:p>
            <w:pPr>
              <w:pStyle w:val="TableContents"/>
              <w:bidi w:val="0"/>
              <w:spacing w:before="0" w:after="283"/>
              <w:jc w:val="right"/>
              <w:rPr/>
            </w:pPr>
            <w:r>
              <w:rPr/>
              <w:t>(228,726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bookmarkStart w:id="762" w:name="xdx_982_eus-gaap--ShareBasedCompensation"/>
            <w:bookmarkEnd w:id="762"/>
          </w:p>
        </w:tc>
        <w:tc>
          <w:tcPr>
            <w:tcW w:w="1593" w:type="dxa"/>
            <w:tcBorders/>
            <w:shd w:fill="FFFFFF" w:val="clear"/>
            <w:vAlign w:val="center"/>
          </w:tcPr>
          <w:p>
            <w:pPr>
              <w:pStyle w:val="TableContents"/>
              <w:bidi w:val="0"/>
              <w:spacing w:before="0" w:after="283"/>
              <w:jc w:val="right"/>
              <w:rPr/>
            </w:pPr>
            <w:r>
              <w:rPr/>
              <w:t>2.88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bookmarkStart w:id="763" w:name="xdx_98E_ecustom--SharebasedCompensationA"/>
            <w:bookmarkEnd w:id="763"/>
          </w:p>
        </w:tc>
        <w:tc>
          <w:tcPr>
            <w:tcW w:w="1381" w:type="dxa"/>
            <w:tcBorders/>
            <w:shd w:fill="FFFFFF" w:val="clear"/>
            <w:vAlign w:val="center"/>
          </w:tcPr>
          <w:p>
            <w:pPr>
              <w:pStyle w:val="TableContents"/>
              <w:bidi w:val="0"/>
              <w:spacing w:before="0" w:after="283"/>
              <w:jc w:val="right"/>
              <w:rPr/>
            </w:pPr>
            <w:r>
              <w:rPr/>
              <w:t>1.68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bookmarkStart w:id="764" w:name="xdx_98C_ecustom--ShareBasedCompensationA"/>
            <w:bookmarkEnd w:id="764"/>
          </w:p>
        </w:tc>
        <w:tc>
          <w:tcPr>
            <w:tcW w:w="836" w:type="dxa"/>
            <w:tcBorders/>
            <w:shd w:fill="FFFFFF" w:val="clear"/>
            <w:vAlign w:val="center"/>
          </w:tcPr>
          <w:p>
            <w:pPr>
              <w:pStyle w:val="TableContents"/>
              <w:bidi w:val="0"/>
              <w:spacing w:before="0" w:after="283"/>
              <w:jc w:val="right"/>
              <w:rPr/>
            </w:pPr>
            <w:r>
              <w:rPr/>
              <w:t>1</w:t>
            </w:r>
          </w:p>
        </w:tc>
        <w:tc>
          <w:tcPr>
            <w:tcW w:w="78" w:type="dxa"/>
            <w:tcBorders/>
            <w:shd w:fill="FFFFFF" w:val="clear"/>
            <w:vAlign w:val="center"/>
          </w:tcPr>
          <w:p>
            <w:pPr>
              <w:pStyle w:val="TableContents"/>
              <w:bidi w:val="0"/>
              <w:spacing w:before="0" w:after="283"/>
              <w:jc w:val="left"/>
              <w:rPr/>
            </w:pPr>
            <w:r>
              <w:rPr/>
              <w:t> </w:t>
            </w:r>
          </w:p>
        </w:tc>
      </w:tr>
      <w:tr>
        <w:trPr/>
        <w:tc>
          <w:tcPr>
            <w:tcW w:w="1754" w:type="dxa"/>
            <w:tcBorders/>
            <w:shd w:fill="CCEEFF" w:val="clear"/>
            <w:vAlign w:val="center"/>
          </w:tcPr>
          <w:p>
            <w:pPr>
              <w:pStyle w:val="TableContents"/>
              <w:bidi w:val="0"/>
              <w:spacing w:before="0" w:after="283"/>
              <w:jc w:val="left"/>
              <w:rPr/>
            </w:pPr>
            <w:r>
              <w:rPr/>
              <w:t>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765" w:name="xdx_982_eus-gaap--StockIssuedDuringPerio"/>
            <w:bookmarkEnd w:id="765"/>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(8,752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766" w:name="xdx_983_eus-gaap--ShareBasedCompensation"/>
            <w:bookmarkEnd w:id="766"/>
          </w:p>
        </w:tc>
        <w:tc>
          <w:tcPr>
            <w:tcW w:w="1593" w:type="dxa"/>
            <w:tcBorders>
              <w:bottom w:val="single" w:sz="12" w:space="0" w:color="000000"/>
            </w:tcBorders>
            <w:shd w:fill="CCEEFF" w:val="clear"/>
            <w:tcMar>
              <w:bottom w:w="28" w:type="dxa"/>
            </w:tcMar>
            <w:vAlign w:val="center"/>
          </w:tcPr>
          <w:p>
            <w:pPr>
              <w:pStyle w:val="TableContents"/>
              <w:bidi w:val="0"/>
              <w:spacing w:before="0" w:after="283"/>
              <w:jc w:val="right"/>
              <w:rPr/>
            </w:pPr>
            <w:r>
              <w:rPr/>
              <w:t>0.35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767" w:name="xdx_982_eus-gaap--SharebasedCompensation"/>
            <w:bookmarkEnd w:id="767"/>
          </w:p>
        </w:tc>
        <w:tc>
          <w:tcPr>
            <w:tcW w:w="1381" w:type="dxa"/>
            <w:tcBorders>
              <w:bottom w:val="single" w:sz="12" w:space="0" w:color="000000"/>
            </w:tcBorders>
            <w:shd w:fill="CCEEFF" w:val="clear"/>
            <w:tcMar>
              <w:bottom w:w="28" w:type="dxa"/>
            </w:tcMar>
            <w:vAlign w:val="center"/>
          </w:tcPr>
          <w:p>
            <w:pPr>
              <w:pStyle w:val="TableContents"/>
              <w:bidi w:val="0"/>
              <w:spacing w:before="0" w:after="283"/>
              <w:jc w:val="right"/>
              <w:rPr/>
            </w:pPr>
            <w:r>
              <w:rPr/>
              <w:t>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4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768" w:name="xdx_985_eus-gaap--ShareBasedCompensation"/>
            <w:bookmarkEnd w:id="768"/>
          </w:p>
        </w:tc>
        <w:tc>
          <w:tcPr>
            <w:tcW w:w="836"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78" w:type="dxa"/>
            <w:tcBorders/>
            <w:shd w:fill="CCEEFF" w:val="clear"/>
            <w:vAlign w:val="center"/>
          </w:tcPr>
          <w:p>
            <w:pPr>
              <w:pStyle w:val="TableContents"/>
              <w:bidi w:val="0"/>
              <w:spacing w:before="0" w:after="283"/>
              <w:jc w:val="left"/>
              <w:rPr/>
            </w:pPr>
            <w:r>
              <w:rPr/>
              <w:t> </w:t>
            </w:r>
          </w:p>
        </w:tc>
      </w:tr>
      <w:tr>
        <w:trPr/>
        <w:tc>
          <w:tcPr>
            <w:tcW w:w="1754" w:type="dxa"/>
            <w:tcBorders/>
            <w:shd w:fill="FFFFFF" w:val="clear"/>
            <w:vAlign w:val="center"/>
          </w:tcPr>
          <w:p>
            <w:pPr>
              <w:pStyle w:val="TableContents"/>
              <w:bidi w:val="0"/>
              <w:spacing w:before="0" w:after="283"/>
              <w:jc w:val="left"/>
              <w:rPr/>
            </w:pPr>
            <w:r>
              <w:rPr/>
              <w:t>Balances, June 30,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769" w:name="xdx_98B_eus-gaap--ShareBasedCompensation"/>
            <w:bookmarkEnd w:id="769"/>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1,908,821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770" w:name="xdx_98F_eus-gaap--ShareBasedCompensation"/>
            <w:bookmarkEnd w:id="770"/>
          </w:p>
        </w:tc>
        <w:tc>
          <w:tcPr>
            <w:tcW w:w="1593" w:type="dxa"/>
            <w:tcBorders>
              <w:bottom w:val="double" w:sz="6" w:space="0" w:color="000000"/>
            </w:tcBorders>
            <w:shd w:fill="FFFFFF" w:val="clear"/>
            <w:tcMar>
              <w:bottom w:w="28" w:type="dxa"/>
            </w:tcMar>
            <w:vAlign w:val="center"/>
          </w:tcPr>
          <w:p>
            <w:pPr>
              <w:pStyle w:val="TableContents"/>
              <w:bidi w:val="0"/>
              <w:spacing w:before="0" w:after="283"/>
              <w:jc w:val="right"/>
              <w:rPr/>
            </w:pPr>
            <w:r>
              <w:rPr/>
              <w:t>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771" w:name="xdx_984_eus-gaap--SharebasedCompensation"/>
            <w:bookmarkEnd w:id="771"/>
          </w:p>
        </w:tc>
        <w:tc>
          <w:tcPr>
            <w:tcW w:w="1381" w:type="dxa"/>
            <w:tcBorders>
              <w:bottom w:val="double" w:sz="6" w:space="0" w:color="000000"/>
            </w:tcBorders>
            <w:shd w:fill="FFFFFF" w:val="clear"/>
            <w:tcMar>
              <w:bottom w:w="28" w:type="dxa"/>
            </w:tcMar>
            <w:vAlign w:val="center"/>
          </w:tcPr>
          <w:p>
            <w:pPr>
              <w:pStyle w:val="TableContents"/>
              <w:bidi w:val="0"/>
              <w:spacing w:before="0" w:after="283"/>
              <w:jc w:val="right"/>
              <w:rPr/>
            </w:pPr>
            <w:r>
              <w:rPr/>
              <w:t>1.55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4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772" w:name="xdx_90E_eus-gaap--SharebasedCompensation"/>
            <w:bookmarkEnd w:id="772"/>
            <w:r>
              <w:rPr/>
              <w:t>6.63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773" w:name="xdx_98B_eus-gaap--ShareBasedCompensation"/>
            <w:bookmarkEnd w:id="773"/>
          </w:p>
        </w:tc>
        <w:tc>
          <w:tcPr>
            <w:tcW w:w="836" w:type="dxa"/>
            <w:tcBorders>
              <w:bottom w:val="double" w:sz="6" w:space="0" w:color="000000"/>
            </w:tcBorders>
            <w:shd w:fill="FFFFFF" w:val="clear"/>
            <w:tcMar>
              <w:bottom w:w="28" w:type="dxa"/>
            </w:tcMar>
            <w:vAlign w:val="center"/>
          </w:tcPr>
          <w:p>
            <w:pPr>
              <w:pStyle w:val="TableContents"/>
              <w:bidi w:val="0"/>
              <w:spacing w:before="0" w:after="283"/>
              <w:jc w:val="right"/>
              <w:rPr/>
            </w:pPr>
            <w:r>
              <w:rPr/>
              <w:t>182</w:t>
            </w:r>
          </w:p>
        </w:tc>
        <w:tc>
          <w:tcPr>
            <w:tcW w:w="78" w:type="dxa"/>
            <w:tcBorders/>
            <w:shd w:fill="FFFFFF" w:val="clear"/>
            <w:vAlign w:val="center"/>
          </w:tcPr>
          <w:p>
            <w:pPr>
              <w:pStyle w:val="TableContents"/>
              <w:bidi w:val="0"/>
              <w:spacing w:before="0" w:after="283"/>
              <w:jc w:val="left"/>
              <w:rPr/>
            </w:pPr>
            <w:r>
              <w:rPr/>
              <w:t> </w:t>
            </w:r>
          </w:p>
        </w:tc>
      </w:tr>
      <w:tr>
        <w:trPr/>
        <w:tc>
          <w:tcPr>
            <w:tcW w:w="1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1754" w:type="dxa"/>
            <w:tcBorders/>
            <w:shd w:fill="FFFFFF" w:val="clear"/>
            <w:vAlign w:val="center"/>
          </w:tcPr>
          <w:p>
            <w:pPr>
              <w:pStyle w:val="TableContents"/>
              <w:bidi w:val="0"/>
              <w:spacing w:before="0" w:after="283"/>
              <w:jc w:val="left"/>
              <w:rPr/>
            </w:pPr>
            <w:r>
              <w:rPr/>
              <w:t>At June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5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1754" w:type="dxa"/>
            <w:tcBorders/>
            <w:shd w:fill="CCEEFF" w:val="clear"/>
            <w:vAlign w:val="center"/>
          </w:tcPr>
          <w:p>
            <w:pPr>
              <w:pStyle w:val="TableContents"/>
              <w:bidi w:val="0"/>
              <w:spacing w:before="0" w:after="283"/>
              <w:jc w:val="left"/>
              <w:rPr/>
            </w:pPr>
            <w:r>
              <w:rPr/>
              <w:t>Vested and Exercisable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74" w:name="xdx_988_eus-gaap--ShareBasedCompensation"/>
            <w:bookmarkEnd w:id="774"/>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bookmarkStart w:id="775" w:name="xdx_980_eus-gaap--ShareBasedCompensation"/>
            <w:bookmarkEnd w:id="775"/>
          </w:p>
        </w:tc>
        <w:tc>
          <w:tcPr>
            <w:tcW w:w="1593" w:type="dxa"/>
            <w:tcBorders/>
            <w:shd w:fill="CCEEFF" w:val="clear"/>
            <w:vAlign w:val="center"/>
          </w:tcPr>
          <w:p>
            <w:pPr>
              <w:pStyle w:val="TableContents"/>
              <w:bidi w:val="0"/>
              <w:spacing w:before="0" w:after="283"/>
              <w:jc w:val="right"/>
              <w:rPr/>
            </w:pPr>
            <w:r>
              <w:rPr/>
              <w:t>1,536,895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bookmarkStart w:id="776" w:name="xdx_98A_ecustom--SharebasedCompensationA"/>
            <w:bookmarkEnd w:id="776"/>
          </w:p>
        </w:tc>
        <w:tc>
          <w:tcPr>
            <w:tcW w:w="1381" w:type="dxa"/>
            <w:tcBorders/>
            <w:shd w:fill="CCEEFF" w:val="clear"/>
            <w:vAlign w:val="center"/>
          </w:tcPr>
          <w:p>
            <w:pPr>
              <w:pStyle w:val="TableContents"/>
              <w:bidi w:val="0"/>
              <w:spacing w:before="0" w:after="283"/>
              <w:jc w:val="right"/>
              <w:rPr/>
            </w:pPr>
            <w:r>
              <w:rPr/>
              <w:t>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740" w:type="dxa"/>
            <w:tcBorders/>
            <w:shd w:fill="CCEEFF" w:val="clear"/>
            <w:vAlign w:val="center"/>
          </w:tcPr>
          <w:p>
            <w:pPr>
              <w:pStyle w:val="TableContents"/>
              <w:bidi w:val="0"/>
              <w:spacing w:before="0" w:after="283"/>
              <w:jc w:val="right"/>
              <w:rPr/>
            </w:pPr>
            <w:bookmarkStart w:id="777" w:name="xdx_909_eus-gaap--SharebasedCompensation"/>
            <w:bookmarkEnd w:id="777"/>
            <w:r>
              <w:rPr/>
              <w:t>6.38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w:t>
            </w:r>
            <w:bookmarkStart w:id="778" w:name="xdx_98D_eus-gaap--ShareBasedCompensation"/>
            <w:bookmarkEnd w:id="778"/>
          </w:p>
        </w:tc>
        <w:tc>
          <w:tcPr>
            <w:tcW w:w="836" w:type="dxa"/>
            <w:tcBorders/>
            <w:shd w:fill="CCEEFF" w:val="clear"/>
            <w:vAlign w:val="center"/>
          </w:tcPr>
          <w:p>
            <w:pPr>
              <w:pStyle w:val="TableContents"/>
              <w:bidi w:val="0"/>
              <w:spacing w:before="0" w:after="283"/>
              <w:jc w:val="right"/>
              <w:rPr/>
            </w:pPr>
            <w:r>
              <w:rPr/>
              <w:t>179</w:t>
            </w:r>
          </w:p>
        </w:tc>
        <w:tc>
          <w:tcPr>
            <w:tcW w:w="78" w:type="dxa"/>
            <w:tcBorders/>
            <w:shd w:fill="CCEEFF" w:val="clear"/>
            <w:vAlign w:val="center"/>
          </w:tcPr>
          <w:p>
            <w:pPr>
              <w:pStyle w:val="TableContents"/>
              <w:bidi w:val="0"/>
              <w:spacing w:before="0" w:after="283"/>
              <w:jc w:val="left"/>
              <w:rPr/>
            </w:pPr>
            <w:r>
              <w:rPr/>
              <w:t> </w:t>
            </w:r>
          </w:p>
        </w:tc>
      </w:tr>
      <w:tr>
        <w:trPr/>
        <w:tc>
          <w:tcPr>
            <w:tcW w:w="1754" w:type="dxa"/>
            <w:tcBorders/>
            <w:shd w:fill="FFFFFF" w:val="clear"/>
            <w:vAlign w:val="center"/>
          </w:tcPr>
          <w:p>
            <w:pPr>
              <w:pStyle w:val="TableContents"/>
              <w:bidi w:val="0"/>
              <w:spacing w:before="0" w:after="283"/>
              <w:jc w:val="left"/>
              <w:rPr/>
            </w:pPr>
            <w:r>
              <w:rPr/>
              <w:t>Vested and expected to vest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79" w:name="xdx_98B_eus-gaap--ShareBasedCompensation"/>
            <w:bookmarkEnd w:id="779"/>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w:t>
            </w:r>
            <w:bookmarkStart w:id="780" w:name="xdx_98A_eus-gaap--ShareBasedCompensation"/>
            <w:bookmarkEnd w:id="780"/>
          </w:p>
        </w:tc>
        <w:tc>
          <w:tcPr>
            <w:tcW w:w="1593" w:type="dxa"/>
            <w:tcBorders/>
            <w:shd w:fill="FFFFFF" w:val="clear"/>
            <w:vAlign w:val="center"/>
          </w:tcPr>
          <w:p>
            <w:pPr>
              <w:pStyle w:val="TableContents"/>
              <w:bidi w:val="0"/>
              <w:spacing w:before="0" w:after="283"/>
              <w:jc w:val="right"/>
              <w:rPr/>
            </w:pPr>
            <w:r>
              <w:rPr/>
              <w:t>1,908,821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bookmarkStart w:id="781" w:name="xdx_983_ecustom--SharebasedCompensationA"/>
            <w:bookmarkEnd w:id="781"/>
          </w:p>
        </w:tc>
        <w:tc>
          <w:tcPr>
            <w:tcW w:w="1381" w:type="dxa"/>
            <w:tcBorders/>
            <w:shd w:fill="FFFFFF" w:val="clear"/>
            <w:vAlign w:val="center"/>
          </w:tcPr>
          <w:p>
            <w:pPr>
              <w:pStyle w:val="TableContents"/>
              <w:bidi w:val="0"/>
              <w:spacing w:before="0" w:after="283"/>
              <w:jc w:val="right"/>
              <w:rPr/>
            </w:pPr>
            <w:r>
              <w:rPr/>
              <w:t>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right"/>
              <w:rPr/>
            </w:pPr>
            <w:bookmarkStart w:id="782" w:name="xdx_900_eus-gaap--SharebasedCompensation"/>
            <w:bookmarkEnd w:id="782"/>
            <w:r>
              <w:rPr/>
              <w:t>6.63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w:t>
            </w:r>
            <w:bookmarkStart w:id="783" w:name="xdx_988_eus-gaap--ShareBasedCompensation"/>
            <w:bookmarkEnd w:id="783"/>
          </w:p>
        </w:tc>
        <w:tc>
          <w:tcPr>
            <w:tcW w:w="836" w:type="dxa"/>
            <w:tcBorders/>
            <w:shd w:fill="FFFFFF" w:val="clear"/>
            <w:vAlign w:val="center"/>
          </w:tcPr>
          <w:p>
            <w:pPr>
              <w:pStyle w:val="TableContents"/>
              <w:bidi w:val="0"/>
              <w:spacing w:before="0" w:after="283"/>
              <w:jc w:val="right"/>
              <w:rPr/>
            </w:pPr>
            <w:r>
              <w:rPr/>
              <w:t>182</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84" w:name="xdx_8A6_zwSRpAZi5pe7"/>
      <w:bookmarkEnd w:id="78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2024, the Company issued </w:t>
      </w:r>
      <w:bookmarkStart w:id="785" w:name="xdx_90A_eus-gaap--StockIssuedDuringPerio"/>
      <w:bookmarkEnd w:id="785"/>
      <w:r>
        <w:rPr>
          <w:rFonts w:ascii="Times New Roman;Times;Serif" w:hAnsi="Times New Roman;Times;Serif"/>
          <w:b w:val="false"/>
          <w:i w:val="false"/>
          <w:caps w:val="false"/>
          <w:smallCaps w:val="false"/>
          <w:sz w:val="20"/>
        </w:rPr>
        <w:t>8,752 shares as a result of exercised stock options upon the receipt of proceeds of approximately $</w:t>
      </w:r>
      <w:bookmarkStart w:id="786" w:name="xdx_90E_eus-gaap--StockIssuedDuringPerio"/>
      <w:bookmarkEnd w:id="786"/>
      <w:r>
        <w:rPr>
          <w:rFonts w:ascii="Times New Roman;Times;Serif" w:hAnsi="Times New Roman;Times;Serif"/>
          <w:b w:val="false"/>
          <w:i w:val="false"/>
          <w:caps w:val="false"/>
          <w:smallCaps w:val="false"/>
          <w:sz w:val="2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10, 2023, the Company granted </w:t>
      </w:r>
      <w:bookmarkStart w:id="787" w:name="xdx_901_eus-gaap--ShareBasedCompensation"/>
      <w:bookmarkEnd w:id="787"/>
      <w:r>
        <w:rPr>
          <w:rFonts w:ascii="Times New Roman;Times;Serif" w:hAnsi="Times New Roman;Times;Serif"/>
          <w:b w:val="false"/>
          <w:i w:val="false"/>
          <w:caps w:val="false"/>
          <w:smallCaps w:val="false"/>
          <w:sz w:val="20"/>
        </w:rPr>
        <w:t>461,998 restricted stock units under the 2022 plan which vest immediately. The fair value of the restricted stock units on the date of grant was $</w:t>
      </w:r>
      <w:bookmarkStart w:id="788" w:name="xdx_902_eus-gaap--StockIssuedDuringPerio"/>
      <w:bookmarkEnd w:id="788"/>
      <w:r>
        <w:rPr>
          <w:rFonts w:ascii="Times New Roman;Times;Serif" w:hAnsi="Times New Roman;Times;Serif"/>
          <w:b w:val="false"/>
          <w:i w:val="false"/>
          <w:caps w:val="false"/>
          <w:smallCaps w:val="false"/>
          <w:sz w:val="20"/>
        </w:rPr>
        <w:t>3,464 and was recorded as compensation expense during the six months ended June 30, 2023.</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5, 2024, the Company granted </w:t>
      </w:r>
      <w:bookmarkStart w:id="789" w:name="xdx_90E_eus-gaap--ShareBasedCompensation"/>
      <w:bookmarkEnd w:id="789"/>
      <w:r>
        <w:rPr>
          <w:rFonts w:ascii="Times New Roman;Times;Serif" w:hAnsi="Times New Roman;Times;Serif"/>
          <w:b w:val="false"/>
          <w:i w:val="false"/>
          <w:caps w:val="false"/>
          <w:smallCaps w:val="false"/>
          <w:sz w:val="20"/>
        </w:rPr>
        <w:t xml:space="preserve">220,000 restricted stock units of which </w:t>
      </w:r>
      <w:bookmarkStart w:id="790" w:name="xdx_902_eus-gaap--ShareBasedCompensation"/>
      <w:bookmarkEnd w:id="790"/>
      <w:r>
        <w:rPr>
          <w:rFonts w:ascii="Times New Roman;Times;Serif" w:hAnsi="Times New Roman;Times;Serif"/>
          <w:b w:val="false"/>
          <w:i w:val="false"/>
          <w:caps w:val="false"/>
          <w:smallCaps w:val="false"/>
          <w:sz w:val="20"/>
        </w:rPr>
        <w:t xml:space="preserve">100,000 vested immediately. The fair value of the </w:t>
      </w:r>
      <w:bookmarkStart w:id="791" w:name="xdx_90E_eus-gaap--ShareBasedCompensation"/>
      <w:bookmarkEnd w:id="791"/>
      <w:r>
        <w:rPr>
          <w:rFonts w:ascii="Times New Roman;Times;Serif" w:hAnsi="Times New Roman;Times;Serif"/>
          <w:b w:val="false"/>
          <w:i w:val="false"/>
          <w:caps w:val="false"/>
          <w:smallCaps w:val="false"/>
          <w:sz w:val="20"/>
        </w:rPr>
        <w:t>220,000 restricted stock units was $</w:t>
      </w:r>
      <w:bookmarkStart w:id="792" w:name="xdx_907_eus-gaap--StockIssuedDuringPerio"/>
      <w:bookmarkEnd w:id="792"/>
      <w:r>
        <w:rPr>
          <w:rFonts w:ascii="Times New Roman;Times;Serif" w:hAnsi="Times New Roman;Times;Serif"/>
          <w:b w:val="false"/>
          <w:i w:val="false"/>
          <w:caps w:val="false"/>
          <w:smallCaps w:val="false"/>
          <w:sz w:val="20"/>
        </w:rPr>
        <w:t>95 and an expense of $</w:t>
      </w:r>
      <w:bookmarkStart w:id="793" w:name="xdx_90C_eus-gaap--AllocatedShareBasedCom"/>
      <w:bookmarkEnd w:id="793"/>
      <w:r>
        <w:rPr>
          <w:rFonts w:ascii="Times New Roman;Times;Serif" w:hAnsi="Times New Roman;Times;Serif"/>
          <w:b w:val="false"/>
          <w:i w:val="false"/>
          <w:caps w:val="false"/>
          <w:smallCaps w:val="false"/>
          <w:sz w:val="20"/>
        </w:rPr>
        <w:t>48 was recorded as compensation expense during the six months ended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17, 2024, the Company issued </w:t>
      </w:r>
      <w:bookmarkStart w:id="794" w:name="xdx_901_eus-gaap--StockIssuedDuringPerio"/>
      <w:bookmarkEnd w:id="794"/>
      <w:r>
        <w:rPr>
          <w:rFonts w:ascii="Times New Roman;Times;Serif" w:hAnsi="Times New Roman;Times;Serif"/>
          <w:b w:val="false"/>
          <w:i w:val="false"/>
          <w:caps w:val="false"/>
          <w:smallCaps w:val="false"/>
          <w:sz w:val="20"/>
        </w:rPr>
        <w:t xml:space="preserve">3,428 shares in exchange for </w:t>
      </w:r>
      <w:bookmarkStart w:id="795" w:name="xdx_90D_eus-gaap--StockIssuedDuringPerio"/>
      <w:bookmarkEnd w:id="795"/>
      <w:r>
        <w:rPr>
          <w:rFonts w:ascii="Times New Roman;Times;Serif" w:hAnsi="Times New Roman;Times;Serif"/>
          <w:b w:val="false"/>
          <w:i w:val="false"/>
          <w:caps w:val="false"/>
          <w:smallCaps w:val="false"/>
          <w:sz w:val="20"/>
        </w:rPr>
        <w:t xml:space="preserve">4,875 vested RSU’s less shares deducted to cover taxes. On May 22, 2024, the Company issued </w:t>
      </w:r>
      <w:bookmarkStart w:id="796" w:name="xdx_90B_eus-gaap--StockIssuedDuringPerio"/>
      <w:bookmarkEnd w:id="796"/>
      <w:r>
        <w:rPr>
          <w:rFonts w:ascii="Times New Roman;Times;Serif" w:hAnsi="Times New Roman;Times;Serif"/>
          <w:b w:val="false"/>
          <w:i w:val="false"/>
          <w:caps w:val="false"/>
          <w:smallCaps w:val="false"/>
          <w:sz w:val="20"/>
        </w:rPr>
        <w:t xml:space="preserve">375 shares in exchange for </w:t>
      </w:r>
      <w:bookmarkStart w:id="797" w:name="xdx_907_eus-gaap--StockIssuedDuringPerio"/>
      <w:bookmarkEnd w:id="797"/>
      <w:r>
        <w:rPr>
          <w:rFonts w:ascii="Times New Roman;Times;Serif" w:hAnsi="Times New Roman;Times;Serif"/>
          <w:b w:val="false"/>
          <w:i w:val="false"/>
          <w:caps w:val="false"/>
          <w:smallCaps w:val="false"/>
          <w:sz w:val="20"/>
        </w:rPr>
        <w:t>375 vested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12, 2024, the Company issued a total of </w:t>
      </w:r>
      <w:bookmarkStart w:id="798" w:name="xdx_90B_eus-gaap--ShareBasedCompensation"/>
      <w:bookmarkEnd w:id="798"/>
      <w:r>
        <w:rPr>
          <w:rFonts w:ascii="Times New Roman;Times;Serif" w:hAnsi="Times New Roman;Times;Serif"/>
          <w:b w:val="false"/>
          <w:i w:val="false"/>
          <w:caps w:val="false"/>
          <w:smallCaps w:val="false"/>
          <w:sz w:val="20"/>
        </w:rPr>
        <w:t xml:space="preserve">836,295 RSUs to the following employees: (i) </w:t>
      </w:r>
      <w:bookmarkStart w:id="799" w:name="xdx_905_eus-gaap--ShareBasedCompensation"/>
      <w:bookmarkEnd w:id="799"/>
      <w:r>
        <w:rPr>
          <w:rFonts w:ascii="Times New Roman;Times;Serif" w:hAnsi="Times New Roman;Times;Serif"/>
          <w:b w:val="false"/>
          <w:i w:val="false"/>
          <w:caps w:val="false"/>
          <w:smallCaps w:val="false"/>
          <w:sz w:val="20"/>
        </w:rPr>
        <w:t xml:space="preserve">567,407 RSUs to the Chief Executive Officer; (ii) </w:t>
      </w:r>
      <w:bookmarkStart w:id="800" w:name="xdx_905_eus-gaap--ShareBasedCompensation"/>
      <w:bookmarkEnd w:id="800"/>
      <w:r>
        <w:rPr>
          <w:rFonts w:ascii="Times New Roman;Times;Serif" w:hAnsi="Times New Roman;Times;Serif"/>
          <w:b w:val="false"/>
          <w:i w:val="false"/>
          <w:caps w:val="false"/>
          <w:smallCaps w:val="false"/>
          <w:sz w:val="20"/>
        </w:rPr>
        <w:t xml:space="preserve">181,481 RSUs to the Chief Revenue Officer; and (iii) </w:t>
      </w:r>
      <w:bookmarkStart w:id="801" w:name="xdx_902_eus-gaap--ShareBasedCompensation"/>
      <w:bookmarkEnd w:id="801"/>
      <w:r>
        <w:rPr>
          <w:rFonts w:ascii="Times New Roman;Times;Serif" w:hAnsi="Times New Roman;Times;Serif"/>
          <w:b w:val="false"/>
          <w:i w:val="false"/>
          <w:caps w:val="false"/>
          <w:smallCaps w:val="false"/>
          <w:sz w:val="20"/>
        </w:rPr>
        <w:t xml:space="preserve">87,407 RSUs to the Chief Marketing Officer.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On June 24, 2024, the Company granted </w:t>
      </w:r>
      <w:bookmarkStart w:id="802" w:name="xdx_909_eus-gaap--ShareBasedCompensation"/>
      <w:bookmarkEnd w:id="802"/>
      <w:r>
        <w:rPr>
          <w:rFonts w:ascii="Times New Roman;Times;Serif" w:hAnsi="Times New Roman;Times;Serif"/>
          <w:b w:val="false"/>
          <w:i w:val="false"/>
          <w:caps w:val="false"/>
          <w:smallCaps w:val="false"/>
          <w:sz w:val="20"/>
        </w:rPr>
        <w:t xml:space="preserve">21,750 restricted stock units. The fair value of the </w:t>
      </w:r>
      <w:bookmarkStart w:id="803" w:name="xdx_90C_eus-gaap--ShareBasedCompensation"/>
      <w:bookmarkEnd w:id="803"/>
      <w:r>
        <w:rPr>
          <w:rFonts w:ascii="Times New Roman;Times;Serif" w:hAnsi="Times New Roman;Times;Serif"/>
          <w:b w:val="false"/>
          <w:i w:val="false"/>
          <w:caps w:val="false"/>
          <w:smallCaps w:val="false"/>
          <w:sz w:val="20"/>
        </w:rPr>
        <w:t>2,191,377 restricted stock units was $</w:t>
      </w:r>
      <w:bookmarkStart w:id="804" w:name="xdx_905_eus-gaap--StockIssuedDuringPerio"/>
      <w:bookmarkEnd w:id="804"/>
      <w:r>
        <w:rPr>
          <w:rFonts w:ascii="Times New Roman;Times;Serif" w:hAnsi="Times New Roman;Times;Serif"/>
          <w:b w:val="false"/>
          <w:i w:val="false"/>
          <w:caps w:val="false"/>
          <w:smallCaps w:val="false"/>
          <w:sz w:val="20"/>
        </w:rPr>
        <w:t>995 and an expense of $</w:t>
      </w:r>
      <w:bookmarkStart w:id="805" w:name="xdx_903_eus-gaap--AllocatedShareBasedCom"/>
      <w:bookmarkEnd w:id="805"/>
      <w:r>
        <w:rPr>
          <w:rFonts w:ascii="Times New Roman;Times;Serif" w:hAnsi="Times New Roman;Times;Serif"/>
          <w:b w:val="false"/>
          <w:i w:val="false"/>
          <w:caps w:val="false"/>
          <w:smallCaps w:val="false"/>
          <w:sz w:val="20"/>
        </w:rPr>
        <w:t>71 was recorded as compensation expense during the six months ended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RSU awards, the Board also approved the following cash awards to the above referenced employees: (i) $</w:t>
      </w:r>
      <w:bookmarkStart w:id="806" w:name="xdx_904_eus-gaap--PaymentOfFinancingAndS"/>
      <w:bookmarkEnd w:id="806"/>
      <w:r>
        <w:rPr>
          <w:rFonts w:ascii="Times New Roman;Times;Serif" w:hAnsi="Times New Roman;Times;Serif"/>
          <w:b w:val="false"/>
          <w:i w:val="false"/>
          <w:caps w:val="false"/>
          <w:smallCaps w:val="false"/>
          <w:sz w:val="20"/>
        </w:rPr>
        <w:t>511 to the Chief Executive Officer; (ii) $</w:t>
      </w:r>
      <w:bookmarkStart w:id="807" w:name="xdx_90F_eus-gaap--PaymentOfFinancingAndS"/>
      <w:bookmarkEnd w:id="807"/>
      <w:r>
        <w:rPr>
          <w:rFonts w:ascii="Times New Roman;Times;Serif" w:hAnsi="Times New Roman;Times;Serif"/>
          <w:b w:val="false"/>
          <w:i w:val="false"/>
          <w:caps w:val="false"/>
          <w:smallCaps w:val="false"/>
          <w:sz w:val="20"/>
        </w:rPr>
        <w:t>163 to the Chief Revenue Officer; and (iii) $</w:t>
      </w:r>
      <w:bookmarkStart w:id="808" w:name="xdx_901_eus-gaap--PaymentOfFinancingAndS"/>
      <w:bookmarkEnd w:id="808"/>
      <w:r>
        <w:rPr>
          <w:rFonts w:ascii="Times New Roman;Times;Serif" w:hAnsi="Times New Roman;Times;Serif"/>
          <w:b w:val="false"/>
          <w:i w:val="false"/>
          <w:caps w:val="false"/>
          <w:smallCaps w:val="false"/>
          <w:sz w:val="20"/>
        </w:rPr>
        <w:t>79 to the Chief Marketing Officer. Each of the approved cash awards will not be paid out to the employees until the Company has achieved a minimum cash balance of $</w:t>
      </w:r>
      <w:bookmarkStart w:id="809" w:name="xdx_908_eus-gaap--Cash_iI_c20240412__us-"/>
      <w:bookmarkEnd w:id="809"/>
      <w:r>
        <w:rPr>
          <w:rFonts w:ascii="Times New Roman;Times;Serif" w:hAnsi="Times New Roman;Times;Serif"/>
          <w:b w:val="false"/>
          <w:i w:val="false"/>
          <w:caps w:val="false"/>
          <w:smallCaps w:val="false"/>
          <w:sz w:val="20"/>
        </w:rPr>
        <w:t>30,000, and are subject to each employee’s continued employment on the date of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12, 2024, the board of directors authorized the issuance of </w:t>
      </w:r>
      <w:bookmarkStart w:id="810" w:name="xdx_90F_eus-gaap--ShareBasedCompensation"/>
      <w:bookmarkEnd w:id="810"/>
      <w:r>
        <w:rPr>
          <w:rFonts w:ascii="Times New Roman;Times;Serif" w:hAnsi="Times New Roman;Times;Serif"/>
          <w:b w:val="false"/>
          <w:i w:val="false"/>
          <w:caps w:val="false"/>
          <w:smallCaps w:val="false"/>
          <w:sz w:val="20"/>
        </w:rPr>
        <w:t>222,222 RSUs to each director in connection with their service as directors for the year ended December 31, 2023. The RSUs will vest in three equal annual installments, with the first vesting date on the one (1) year anniversary date of their issuance, subject to the directors continued service on with the Company on each vesting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11" w:name="xdx_89C_eus-gaap--ScheduleOfUnvestedRest"/>
      <w:bookmarkEnd w:id="811"/>
      <w:r>
        <w:rPr>
          <w:rFonts w:ascii="Times New Roman;Times;Serif" w:hAnsi="Times New Roman;Times;Serif"/>
          <w:b w:val="false"/>
          <w:i w:val="false"/>
          <w:caps w:val="false"/>
          <w:smallCaps w:val="false"/>
          <w:sz w:val="20"/>
        </w:rPr>
        <w:t>The following table presents the restricted stock units activity for the six months ended June 30,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812" w:name="xdx_8B4_zF67OECtNOWi"/>
      <w:bookmarkEnd w:id="812"/>
      <w:r>
        <w:rPr>
          <w:rFonts w:ascii="Times New Roman;Times;Serif" w:hAnsi="Times New Roman;Times;Serif"/>
          <w:b w:val="false"/>
          <w:i w:val="false"/>
          <w:caps w:val="false"/>
          <w:smallCaps w:val="false"/>
          <w:sz w:val="20"/>
        </w:rPr>
        <w:t>SCHEDULE OF RESTRICTED STOCK UNITS ACTIVITY </w:t>
      </w:r>
    </w:p>
    <w:tbl>
      <w:tblPr>
        <w:tblW w:w="6498" w:type="dxa"/>
        <w:jc w:val="left"/>
        <w:tblInd w:w="0" w:type="dxa"/>
        <w:tblLayout w:type="fixed"/>
        <w:tblCellMar>
          <w:top w:w="0" w:type="dxa"/>
          <w:left w:w="0" w:type="dxa"/>
          <w:bottom w:w="0" w:type="dxa"/>
          <w:right w:w="0" w:type="dxa"/>
        </w:tblCellMar>
      </w:tblPr>
      <w:tblGrid>
        <w:gridCol w:w="3215"/>
        <w:gridCol w:w="60"/>
        <w:gridCol w:w="64"/>
        <w:gridCol w:w="1050"/>
        <w:gridCol w:w="95"/>
        <w:gridCol w:w="60"/>
        <w:gridCol w:w="453"/>
        <w:gridCol w:w="1426"/>
        <w:gridCol w:w="75"/>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Number of </w:t>
              <w:b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9"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Weighted-Average </w:t>
              <w:br/>
              <w:t>Fair Market Value</w:t>
            </w:r>
          </w:p>
        </w:tc>
        <w:tc>
          <w:tcPr>
            <w:tcW w:w="7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both"/>
              <w:rPr/>
            </w:pPr>
            <w:r>
              <w:rPr/>
              <w:t>Unvested shares, January 1, 2024</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813" w:name="xdx_986_eus-gaap--ShareBasedCompensation"/>
            <w:bookmarkEnd w:id="813"/>
          </w:p>
        </w:tc>
        <w:tc>
          <w:tcPr>
            <w:tcW w:w="1050" w:type="dxa"/>
            <w:tcBorders/>
            <w:shd w:fill="CCEEFF" w:val="clear"/>
            <w:vAlign w:val="center"/>
          </w:tcPr>
          <w:p>
            <w:pPr>
              <w:pStyle w:val="TableContents"/>
              <w:bidi w:val="0"/>
              <w:spacing w:before="0" w:after="283"/>
              <w:jc w:val="right"/>
              <w:rPr/>
            </w:pPr>
            <w:r>
              <w:rPr/>
              <w:t>47,000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3" w:type="dxa"/>
            <w:tcBorders/>
            <w:shd w:fill="CCEEFF" w:val="clear"/>
            <w:vAlign w:val="center"/>
          </w:tcPr>
          <w:p>
            <w:pPr>
              <w:pStyle w:val="TableContents"/>
              <w:bidi w:val="0"/>
              <w:spacing w:before="0" w:after="283"/>
              <w:jc w:val="left"/>
              <w:rPr/>
            </w:pPr>
            <w:r>
              <w:rPr/>
              <w:t>$</w:t>
            </w:r>
            <w:bookmarkStart w:id="814" w:name="xdx_984_eus-gaap--ShareBasedCompensation"/>
            <w:bookmarkEnd w:id="814"/>
          </w:p>
        </w:tc>
        <w:tc>
          <w:tcPr>
            <w:tcW w:w="1426" w:type="dxa"/>
            <w:tcBorders/>
            <w:shd w:fill="CCEEFF" w:val="clear"/>
            <w:vAlign w:val="center"/>
          </w:tcPr>
          <w:p>
            <w:pPr>
              <w:pStyle w:val="TableContents"/>
              <w:bidi w:val="0"/>
              <w:spacing w:before="0" w:after="283"/>
              <w:jc w:val="right"/>
              <w:rPr/>
            </w:pPr>
            <w:r>
              <w:rPr/>
              <w:t>2.69</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both"/>
              <w:rPr/>
            </w:pPr>
            <w:r>
              <w:rPr/>
              <w:t>Granted and unvested</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815" w:name="xdx_987_eus-gaap--ShareBasedCompensation"/>
            <w:bookmarkEnd w:id="815"/>
          </w:p>
        </w:tc>
        <w:tc>
          <w:tcPr>
            <w:tcW w:w="1050" w:type="dxa"/>
            <w:tcBorders/>
            <w:shd w:fill="FFFFFF" w:val="clear"/>
            <w:vAlign w:val="center"/>
          </w:tcPr>
          <w:p>
            <w:pPr>
              <w:pStyle w:val="TableContents"/>
              <w:bidi w:val="0"/>
              <w:spacing w:before="0" w:after="283"/>
              <w:jc w:val="right"/>
              <w:rPr/>
            </w:pPr>
            <w:r>
              <w:rPr/>
              <w:t>2,411,377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bookmarkStart w:id="816" w:name="xdx_98F_eus-gaap--ShareBasedCompensation"/>
            <w:bookmarkEnd w:id="816"/>
          </w:p>
        </w:tc>
        <w:tc>
          <w:tcPr>
            <w:tcW w:w="1426" w:type="dxa"/>
            <w:tcBorders/>
            <w:shd w:fill="FFFFFF" w:val="clear"/>
            <w:vAlign w:val="center"/>
          </w:tcPr>
          <w:p>
            <w:pPr>
              <w:pStyle w:val="TableContents"/>
              <w:bidi w:val="0"/>
              <w:spacing w:before="0" w:after="283"/>
              <w:jc w:val="right"/>
              <w:rPr/>
            </w:pPr>
            <w:r>
              <w:rPr/>
              <w:t>0.45</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both"/>
              <w:rPr/>
            </w:pPr>
            <w:r>
              <w:rPr/>
              <w:t>Forfeited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817" w:name="xdx_98F_eus-gaap--ShareBasedCompensation"/>
            <w:bookmarkEnd w:id="817"/>
          </w:p>
        </w:tc>
        <w:tc>
          <w:tcPr>
            <w:tcW w:w="1050" w:type="dxa"/>
            <w:tcBorders/>
            <w:shd w:fill="CCEEFF" w:val="clear"/>
            <w:vAlign w:val="center"/>
          </w:tcPr>
          <w:p>
            <w:pPr>
              <w:pStyle w:val="TableContents"/>
              <w:bidi w:val="0"/>
              <w:spacing w:before="0" w:after="283"/>
              <w:jc w:val="right"/>
              <w:rPr/>
            </w:pPr>
            <w:r>
              <w:rPr/>
              <w:t>(10,000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3" w:type="dxa"/>
            <w:tcBorders/>
            <w:shd w:fill="CCEEFF" w:val="clear"/>
            <w:vAlign w:val="center"/>
          </w:tcPr>
          <w:p>
            <w:pPr>
              <w:pStyle w:val="TableContents"/>
              <w:bidi w:val="0"/>
              <w:spacing w:before="0" w:after="283"/>
              <w:jc w:val="left"/>
              <w:rPr/>
            </w:pPr>
            <w:r>
              <w:rPr/>
              <w:t> </w:t>
            </w:r>
            <w:bookmarkStart w:id="818" w:name="xdx_987_eus-gaap--ShareBasedCompensation"/>
            <w:bookmarkEnd w:id="818"/>
          </w:p>
        </w:tc>
        <w:tc>
          <w:tcPr>
            <w:tcW w:w="1426" w:type="dxa"/>
            <w:tcBorders/>
            <w:shd w:fill="CCEEFF" w:val="clear"/>
            <w:vAlign w:val="center"/>
          </w:tcPr>
          <w:p>
            <w:pPr>
              <w:pStyle w:val="TableContents"/>
              <w:bidi w:val="0"/>
              <w:spacing w:before="0" w:after="283"/>
              <w:jc w:val="right"/>
              <w:rPr/>
            </w:pPr>
            <w:r>
              <w:rPr/>
              <w:t>2.87</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both"/>
              <w:rPr/>
            </w:pPr>
            <w:r>
              <w:rPr/>
              <w:t>Vested</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819" w:name="xdx_982_eus-gaap--ShareBasedCompensation"/>
            <w:bookmarkEnd w:id="819"/>
          </w:p>
        </w:tc>
        <w:tc>
          <w:tcPr>
            <w:tcW w:w="1050" w:type="dxa"/>
            <w:tcBorders>
              <w:bottom w:val="single" w:sz="12" w:space="0" w:color="000000"/>
            </w:tcBorders>
            <w:shd w:fill="FFFFFF" w:val="clear"/>
            <w:tcMar>
              <w:bottom w:w="28" w:type="dxa"/>
            </w:tcMar>
            <w:vAlign w:val="center"/>
          </w:tcPr>
          <w:p>
            <w:pPr>
              <w:pStyle w:val="TableContents"/>
              <w:bidi w:val="0"/>
              <w:spacing w:before="0" w:after="283"/>
              <w:jc w:val="right"/>
              <w:rPr/>
            </w:pPr>
            <w:r>
              <w:rPr/>
              <w:t>(106,000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820" w:name="xdx_984_eus-gaap--ShareBasedCompensation"/>
            <w:bookmarkEnd w:id="820"/>
          </w:p>
        </w:tc>
        <w:tc>
          <w:tcPr>
            <w:tcW w:w="1426" w:type="dxa"/>
            <w:tcBorders>
              <w:bottom w:val="single" w:sz="12" w:space="0" w:color="000000"/>
            </w:tcBorders>
            <w:shd w:fill="FFFFFF" w:val="clear"/>
            <w:tcMar>
              <w:bottom w:w="28" w:type="dxa"/>
            </w:tcMar>
            <w:vAlign w:val="center"/>
          </w:tcPr>
          <w:p>
            <w:pPr>
              <w:pStyle w:val="TableContents"/>
              <w:bidi w:val="0"/>
              <w:spacing w:before="0" w:after="283"/>
              <w:jc w:val="right"/>
              <w:rPr/>
            </w:pPr>
            <w:r>
              <w:rPr/>
              <w:t>0.65</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both"/>
              <w:rPr/>
            </w:pPr>
            <w:r>
              <w:rPr/>
              <w:t>Unvested shares, June 30, 2024</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21" w:name="xdx_98D_eus-gaap--ShareBasedCompensation"/>
            <w:bookmarkEnd w:id="821"/>
          </w:p>
        </w:tc>
        <w:tc>
          <w:tcPr>
            <w:tcW w:w="1050" w:type="dxa"/>
            <w:tcBorders>
              <w:bottom w:val="double" w:sz="6" w:space="0" w:color="000000"/>
            </w:tcBorders>
            <w:shd w:fill="CCEEFF" w:val="clear"/>
            <w:tcMar>
              <w:bottom w:w="28" w:type="dxa"/>
            </w:tcMar>
            <w:vAlign w:val="center"/>
          </w:tcPr>
          <w:p>
            <w:pPr>
              <w:pStyle w:val="TableContents"/>
              <w:bidi w:val="0"/>
              <w:spacing w:before="0" w:after="283"/>
              <w:jc w:val="right"/>
              <w:rPr/>
            </w:pPr>
            <w:r>
              <w:rPr/>
              <w:t>2,342,377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822" w:name="xdx_98E_eus-gaap--ShareBasedCompensation"/>
            <w:bookmarkEnd w:id="822"/>
          </w:p>
        </w:tc>
        <w:tc>
          <w:tcPr>
            <w:tcW w:w="1426" w:type="dxa"/>
            <w:tcBorders>
              <w:bottom w:val="double" w:sz="6" w:space="0" w:color="000000"/>
            </w:tcBorders>
            <w:shd w:fill="CCEEFF" w:val="clear"/>
            <w:tcMar>
              <w:bottom w:w="28" w:type="dxa"/>
            </w:tcMar>
            <w:vAlign w:val="center"/>
          </w:tcPr>
          <w:p>
            <w:pPr>
              <w:pStyle w:val="TableContents"/>
              <w:bidi w:val="0"/>
              <w:spacing w:before="0" w:after="283"/>
              <w:jc w:val="right"/>
              <w:rPr/>
            </w:pPr>
            <w:r>
              <w:rPr/>
              <w:t>0.48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23" w:name="xdx_8AC_zL5pzRosydF7"/>
      <w:bookmarkEnd w:id="82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2024, there were </w:t>
      </w:r>
      <w:bookmarkStart w:id="824" w:name="xdx_905_eus-gaap--ClassOfWarrantOrRightU"/>
      <w:bookmarkEnd w:id="824"/>
      <w:r>
        <w:rPr>
          <w:rFonts w:ascii="Times New Roman;Times;Serif" w:hAnsi="Times New Roman;Times;Serif"/>
          <w:b w:val="false"/>
          <w:i w:val="false"/>
          <w:caps w:val="false"/>
          <w:smallCaps w:val="false"/>
          <w:sz w:val="20"/>
        </w:rPr>
        <w:t>8,957,130 shares of unissued authorized and available for future awards under the 2022 Equity Incentive Plan and Employee Stock 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Employee Stock 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maintains the Dragonfly Energy Corporation, Inc. Employee Stock Purchase Plan which permits eligible employees to purchase shares at not less than 85% of the market value of the Company’s common stock on the offering date or the purchase date of the applicable offering period, whichever is lower. The plan was adopted by the Company’s Board of Directors on May 13, 2022. On April 24, 2024, the Company issued </w:t>
      </w:r>
      <w:bookmarkStart w:id="825" w:name="xdx_90A_eus-gaap--StockIssuedDuringPerio"/>
      <w:bookmarkEnd w:id="825"/>
      <w:r>
        <w:rPr>
          <w:rFonts w:ascii="Times New Roman;Times;Serif" w:hAnsi="Times New Roman;Times;Serif"/>
          <w:b w:val="false"/>
          <w:i w:val="false"/>
          <w:caps w:val="false"/>
          <w:smallCaps w:val="false"/>
          <w:sz w:val="20"/>
        </w:rPr>
        <w:t>244,774 common shares in connection with its Employee Stock Purchase Plan for a total consideration of approximately $</w:t>
      </w:r>
      <w:bookmarkStart w:id="826" w:name="xdx_908_eus-gaap--StockIssuedDuringPerio"/>
      <w:bookmarkEnd w:id="826"/>
      <w:r>
        <w:rPr>
          <w:rFonts w:ascii="Times New Roman;Times;Serif" w:hAnsi="Times New Roman;Times;Serif"/>
          <w:b w:val="false"/>
          <w:i w:val="false"/>
          <w:caps w:val="false"/>
          <w:smallCaps w:val="false"/>
          <w:sz w:val="20"/>
        </w:rPr>
        <w:t xml:space="preserve">112. The ESPP allows employees to purchase shares at a </w:t>
      </w:r>
      <w:bookmarkStart w:id="827" w:name="xdx_908_ecustom--EmployeePurchaseSharesP"/>
      <w:bookmarkEnd w:id="827"/>
      <w:r>
        <w:rPr>
          <w:rFonts w:ascii="Times New Roman;Times;Serif" w:hAnsi="Times New Roman;Times;Serif"/>
          <w:b w:val="false"/>
          <w:i w:val="false"/>
          <w:caps w:val="false"/>
          <w:smallCaps w:val="false"/>
          <w:sz w:val="20"/>
        </w:rPr>
        <w:t>15% discount to the lesser of the stock price at the beginning or the end of the offering period, which was October 1, 2023, and April 1, 2024, respectively. The discount resulted in an exercise price of $</w:t>
      </w:r>
      <w:bookmarkStart w:id="828" w:name="xdx_90E_eus-gaap--ClassOfWarrantOrRightE"/>
      <w:bookmarkEnd w:id="828"/>
      <w:r>
        <w:rPr>
          <w:rFonts w:ascii="Times New Roman;Times;Serif" w:hAnsi="Times New Roman;Times;Serif"/>
          <w:b w:val="false"/>
          <w:i w:val="false"/>
          <w:caps w:val="false"/>
          <w:smallCaps w:val="false"/>
          <w:sz w:val="20"/>
        </w:rPr>
        <w:t>0.46 per share. During the three and six months ended June 30, 2024, the Company did not recognize any compensation expense.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bookmarkStart w:id="829" w:name="xdx_800_eus-gaap--SupplierFinanceProgram"/>
      <w:bookmarkEnd w:id="829"/>
      <w:r>
        <w:rPr>
          <w:rFonts w:ascii="Times New Roman;Times;Serif" w:hAnsi="Times New Roman;Times;Serif"/>
          <w:b/>
          <w:i w:val="false"/>
          <w:caps/>
          <w:sz w:val="20"/>
        </w:rPr>
        <w:t xml:space="preserve">Note 12 - </w:t>
      </w:r>
      <w:bookmarkStart w:id="830" w:name="xdx_82A_zmZyCkcV3EJl"/>
      <w:bookmarkEnd w:id="830"/>
      <w:r>
        <w:rPr>
          <w:rFonts w:ascii="Times New Roman;Times;Serif" w:hAnsi="Times New Roman;Times;Serif"/>
          <w:b/>
          <w:i w:val="false"/>
          <w:caps/>
          <w:sz w:val="20"/>
        </w:rPr>
        <w:t>SUPPLIER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2023, Ioneer Rhyolite Ridge LLC, or the seller, an emerging lithium-boron producer, and the Company announced a commercial offtake agreement partnership whereby the seller is developing the Rhyolite Ridge Project which, once completed, is expected to produce 20 ktpa of lithium carbonate, and 174 ktpa of boic acid (the “project”). Beginning on the Supply Start Date which is the date the seller notifies the Company that the project is fully completed and commissioned in accordance with the engineering, procurement and construction contract, and for the duration of the supply period, the Company shall purchase and receive product from seller, on the terms and conditions of the agreement. The agreement calls for a minimum annual purchase requirement. The agreement becomes effective when the seller has informed the Company that the seller has made a positive financial investment decision in respect of the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831" w:name="xdx_800_eus-gaap--ErrorCorrectionTextBlo"/>
      <w:bookmarkEnd w:id="831"/>
      <w:r>
        <w:rPr>
          <w:rFonts w:ascii="Times New Roman;Times;Serif" w:hAnsi="Times New Roman;Times;Serif"/>
          <w:b/>
          <w:i w:val="false"/>
          <w:caps/>
          <w:sz w:val="20"/>
        </w:rPr>
        <w:t xml:space="preserve">Note 13 - </w:t>
      </w:r>
      <w:bookmarkStart w:id="832" w:name="xdx_820_zfK3uBVu4509"/>
      <w:bookmarkEnd w:id="832"/>
      <w:r>
        <w:rPr>
          <w:rFonts w:ascii="Times New Roman;Times;Serif" w:hAnsi="Times New Roman;Times;Serif"/>
          <w:b/>
          <w:i w:val="false"/>
          <w:caps/>
          <w:sz w:val="20"/>
        </w:rPr>
        <w:t>REVISIONS OF PREVIOUSLY ISSUED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revised the previously issued financial statements for the quarter ended June 30, 2023 for the underpayment of tariffs to U.S. Customs and Border Protection (“CBP”) related to the improper classification and valuation of certain of the products used in its batteries. The Company has reported the underpayment to CBP. The underpayment of tariffs was primarily the result of utilizing an improper tariff rate. The additional amount of the tariffs was allocated between inventory and cost of goods sold based on the status of imported items (i.e. included in the inventories held vs included in the inventories already sold to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Staff Accounting Bulletin (“SAB”) 99, Materiality, and SAB 108, Considering the Effects of Prior Year Misstatements when Quantifying Misstatements in Current Year Financial Statements, the Company evaluated the materiality of the error from qualitative and quantitative perspectives, and concluded that the error was immaterial to any prior annual or interim financial statements. Notwithstanding this conclusion, management has revised the accompanying condensed consolidated financial statements for the quarter ended June 30, 2023 and related notes included herein to correct this error for the financial statements for the quarter ended June 30, 2023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33" w:name="xdx_892_eus-gaap--ScheduleOfErrorCorrect"/>
      <w:bookmarkEnd w:id="833"/>
      <w:r>
        <w:rPr>
          <w:rFonts w:ascii="Times New Roman;Times;Serif" w:hAnsi="Times New Roman;Times;Serif"/>
          <w:b w:val="false"/>
          <w:i w:val="false"/>
          <w:caps w:val="false"/>
          <w:smallCaps w:val="false"/>
          <w:sz w:val="20"/>
        </w:rPr>
        <w:t>The following tables present the effect of correcting this error on the Company’s previously issued financial statements.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834" w:name="xdx_8B8_z0wVE7ptG9G8"/>
      <w:bookmarkEnd w:id="834"/>
      <w:r>
        <w:rPr>
          <w:rFonts w:ascii="Times New Roman;Times;Serif" w:hAnsi="Times New Roman;Times;Serif"/>
          <w:b w:val="false"/>
          <w:i w:val="false"/>
          <w:caps w:val="false"/>
          <w:smallCaps w:val="false"/>
          <w:sz w:val="20"/>
        </w:rPr>
        <w:t>SCHEDULE OF PREVIOUSLY ISSUED FINANCIAL STATEMENTS </w:t>
      </w:r>
    </w:p>
    <w:tbl>
      <w:tblPr>
        <w:tblW w:w="8141" w:type="dxa"/>
        <w:jc w:val="left"/>
        <w:tblInd w:w="0" w:type="dxa"/>
        <w:tblLayout w:type="fixed"/>
        <w:tblCellMar>
          <w:top w:w="0" w:type="dxa"/>
          <w:left w:w="0" w:type="dxa"/>
          <w:bottom w:w="28" w:type="dxa"/>
          <w:right w:w="0" w:type="dxa"/>
        </w:tblCellMar>
      </w:tblPr>
      <w:tblGrid>
        <w:gridCol w:w="3980"/>
        <w:gridCol w:w="60"/>
        <w:gridCol w:w="103"/>
        <w:gridCol w:w="1308"/>
        <w:gridCol w:w="100"/>
        <w:gridCol w:w="63"/>
        <w:gridCol w:w="136"/>
        <w:gridCol w:w="1039"/>
        <w:gridCol w:w="100"/>
        <w:gridCol w:w="63"/>
        <w:gridCol w:w="79"/>
        <w:gridCol w:w="1000"/>
        <w:gridCol w:w="110"/>
      </w:tblGrid>
      <w:tr>
        <w:trPr/>
        <w:tc>
          <w:tcPr>
            <w:tcW w:w="3980" w:type="dxa"/>
            <w:tcBorders>
              <w:bottom w:val="single" w:sz="12" w:space="0" w:color="000000"/>
            </w:tcBorders>
            <w:vAlign w:val="center"/>
          </w:tcPr>
          <w:p>
            <w:pPr>
              <w:pStyle w:val="TableContents"/>
              <w:bidi w:val="0"/>
              <w:spacing w:before="0" w:after="283"/>
              <w:jc w:val="left"/>
              <w:rPr>
                <w:b/>
              </w:rPr>
            </w:pPr>
            <w:r>
              <w:rPr>
                <w:b/>
              </w:rPr>
              <w:t>Consolidated Statements of Operations</w:t>
            </w:r>
          </w:p>
        </w:tc>
        <w:tc>
          <w:tcPr>
            <w:tcW w:w="60" w:type="dxa"/>
            <w:tcBorders/>
            <w:tcMar>
              <w:bottom w:w="0" w:type="dxa"/>
            </w:tcMar>
            <w:vAlign w:val="center"/>
          </w:tcPr>
          <w:p>
            <w:pPr>
              <w:pStyle w:val="TableContents"/>
              <w:bidi w:val="0"/>
              <w:spacing w:before="0" w:after="283"/>
              <w:jc w:val="left"/>
              <w:rPr/>
            </w:pPr>
            <w:r>
              <w:rPr/>
              <w:t> </w:t>
            </w:r>
            <w:bookmarkStart w:id="835" w:name="xdx_49C_20230401__20230630__srt--Restate"/>
            <w:bookmarkEnd w:id="835"/>
          </w:p>
        </w:tc>
        <w:tc>
          <w:tcPr>
            <w:tcW w:w="1411" w:type="dxa"/>
            <w:gridSpan w:val="2"/>
            <w:tcBorders>
              <w:bottom w:val="single" w:sz="12" w:space="0" w:color="000000"/>
            </w:tcBorders>
            <w:vAlign w:val="center"/>
          </w:tcPr>
          <w:p>
            <w:pPr>
              <w:pStyle w:val="TableContents"/>
              <w:bidi w:val="0"/>
              <w:spacing w:before="0" w:after="283"/>
              <w:jc w:val="center"/>
              <w:rPr/>
            </w:pPr>
            <w:r>
              <w:rPr/>
              <w:t>As previously</w:t>
              <w:br/>
              <w:t>reported</w:t>
            </w:r>
          </w:p>
        </w:tc>
        <w:tc>
          <w:tcPr>
            <w:tcW w:w="100" w:type="dxa"/>
            <w:tcBorders/>
            <w:tcMar>
              <w:bottom w:w="0" w:type="dxa"/>
            </w:tcMar>
            <w:vAlign w:val="center"/>
          </w:tcPr>
          <w:p>
            <w:pPr>
              <w:pStyle w:val="TableContents"/>
              <w:bidi w:val="0"/>
              <w:spacing w:before="0" w:after="283"/>
              <w:jc w:val="left"/>
              <w:rPr/>
            </w:pPr>
            <w:r>
              <w:rPr/>
              <w:t> </w:t>
            </w:r>
          </w:p>
        </w:tc>
        <w:tc>
          <w:tcPr>
            <w:tcW w:w="63" w:type="dxa"/>
            <w:tcBorders/>
            <w:tcMar>
              <w:bottom w:w="0" w:type="dxa"/>
            </w:tcMar>
            <w:vAlign w:val="center"/>
          </w:tcPr>
          <w:p>
            <w:pPr>
              <w:pStyle w:val="TableContents"/>
              <w:bidi w:val="0"/>
              <w:spacing w:before="0" w:after="283"/>
              <w:jc w:val="left"/>
              <w:rPr/>
            </w:pPr>
            <w:r>
              <w:rPr/>
              <w:t> </w:t>
            </w:r>
            <w:bookmarkStart w:id="836" w:name="xdx_492_20230401__20230630__srt--Restate"/>
            <w:bookmarkEnd w:id="836"/>
          </w:p>
        </w:tc>
        <w:tc>
          <w:tcPr>
            <w:tcW w:w="1175" w:type="dxa"/>
            <w:gridSpan w:val="2"/>
            <w:tcBorders>
              <w:bottom w:val="single" w:sz="12" w:space="0" w:color="000000"/>
            </w:tcBorders>
            <w:vAlign w:val="center"/>
          </w:tcPr>
          <w:p>
            <w:pPr>
              <w:pStyle w:val="TableContents"/>
              <w:bidi w:val="0"/>
              <w:spacing w:before="0" w:after="283"/>
              <w:jc w:val="center"/>
              <w:rPr/>
            </w:pPr>
            <w:r>
              <w:rPr/>
              <w:t>Adjustment</w:t>
            </w:r>
          </w:p>
        </w:tc>
        <w:tc>
          <w:tcPr>
            <w:tcW w:w="100" w:type="dxa"/>
            <w:tcBorders/>
            <w:tcMar>
              <w:bottom w:w="0" w:type="dxa"/>
            </w:tcMar>
            <w:vAlign w:val="center"/>
          </w:tcPr>
          <w:p>
            <w:pPr>
              <w:pStyle w:val="TableContents"/>
              <w:bidi w:val="0"/>
              <w:spacing w:before="0" w:after="283"/>
              <w:jc w:val="left"/>
              <w:rPr/>
            </w:pPr>
            <w:r>
              <w:rPr/>
              <w:t> </w:t>
            </w:r>
          </w:p>
        </w:tc>
        <w:tc>
          <w:tcPr>
            <w:tcW w:w="63" w:type="dxa"/>
            <w:tcBorders/>
            <w:tcMar>
              <w:bottom w:w="0" w:type="dxa"/>
            </w:tcMar>
            <w:vAlign w:val="center"/>
          </w:tcPr>
          <w:p>
            <w:pPr>
              <w:pStyle w:val="TableContents"/>
              <w:bidi w:val="0"/>
              <w:spacing w:before="0" w:after="283"/>
              <w:jc w:val="left"/>
              <w:rPr/>
            </w:pPr>
            <w:r>
              <w:rPr/>
              <w:t> </w:t>
            </w:r>
            <w:bookmarkStart w:id="837" w:name="xdx_495_20230401__20230630_zpDuP2uNSEld"/>
            <w:bookmarkEnd w:id="837"/>
          </w:p>
        </w:tc>
        <w:tc>
          <w:tcPr>
            <w:tcW w:w="1079" w:type="dxa"/>
            <w:gridSpan w:val="2"/>
            <w:tcBorders>
              <w:bottom w:val="single" w:sz="12" w:space="0" w:color="000000"/>
            </w:tcBorders>
            <w:vAlign w:val="center"/>
          </w:tcPr>
          <w:p>
            <w:pPr>
              <w:pStyle w:val="TableContents"/>
              <w:bidi w:val="0"/>
              <w:spacing w:before="0" w:after="283"/>
              <w:jc w:val="center"/>
              <w:rPr/>
            </w:pPr>
            <w:r>
              <w:rPr/>
              <w:t>As revised</w:t>
            </w:r>
          </w:p>
        </w:tc>
        <w:tc>
          <w:tcPr>
            <w:tcW w:w="110" w:type="dxa"/>
            <w:tcBorders/>
            <w:tcMar>
              <w:bottom w:w="0" w:type="dxa"/>
            </w:tcMar>
            <w:vAlign w:val="center"/>
          </w:tcPr>
          <w:p>
            <w:pPr>
              <w:pStyle w:val="TableContents"/>
              <w:bidi w:val="0"/>
              <w:spacing w:before="0" w:after="283"/>
              <w:jc w:val="left"/>
              <w:rPr/>
            </w:pPr>
            <w:r>
              <w:rPr/>
              <w:t> </w:t>
            </w:r>
          </w:p>
        </w:tc>
      </w:tr>
      <w:tr>
        <w:trPr/>
        <w:tc>
          <w:tcPr>
            <w:tcW w:w="39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991" w:type="dxa"/>
            <w:gridSpan w:val="10"/>
            <w:tcBorders>
              <w:bottom w:val="single" w:sz="12" w:space="0" w:color="000000"/>
            </w:tcBorders>
            <w:vAlign w:val="center"/>
          </w:tcPr>
          <w:p>
            <w:pPr>
              <w:pStyle w:val="TableContents"/>
              <w:bidi w:val="0"/>
              <w:spacing w:before="0" w:after="283"/>
              <w:jc w:val="center"/>
              <w:rPr/>
            </w:pPr>
            <w:r>
              <w:rPr/>
              <w:t>For the three months ended June 30, 2023</w:t>
            </w:r>
          </w:p>
        </w:tc>
        <w:tc>
          <w:tcPr>
            <w:tcW w:w="110" w:type="dxa"/>
            <w:tcBorders/>
            <w:tcMar>
              <w:bottom w:w="0" w:type="dxa"/>
            </w:tcMar>
            <w:vAlign w:val="center"/>
          </w:tcPr>
          <w:p>
            <w:pPr>
              <w:pStyle w:val="TableContents"/>
              <w:bidi w:val="0"/>
              <w:spacing w:before="0" w:after="283"/>
              <w:jc w:val="left"/>
              <w:rPr/>
            </w:pPr>
            <w:r>
              <w:rPr/>
              <w:t> </w:t>
            </w:r>
          </w:p>
        </w:tc>
      </w:tr>
      <w:tr>
        <w:trPr/>
        <w:tc>
          <w:tcPr>
            <w:tcW w:w="3980" w:type="dxa"/>
            <w:tcBorders>
              <w:bottom w:val="single" w:sz="12" w:space="0" w:color="000000"/>
            </w:tcBorders>
            <w:vAlign w:val="center"/>
          </w:tcPr>
          <w:p>
            <w:pPr>
              <w:pStyle w:val="TableContents"/>
              <w:bidi w:val="0"/>
              <w:spacing w:before="0" w:after="283"/>
              <w:jc w:val="left"/>
              <w:rPr>
                <w:b/>
              </w:rPr>
            </w:pPr>
            <w:r>
              <w:rPr>
                <w:b/>
              </w:rPr>
              <w:t>Consolidated Statements of Operations</w:t>
            </w:r>
          </w:p>
        </w:tc>
        <w:tc>
          <w:tcPr>
            <w:tcW w:w="60" w:type="dxa"/>
            <w:tcBorders/>
            <w:tcMar>
              <w:bottom w:w="0" w:type="dxa"/>
            </w:tcMar>
            <w:vAlign w:val="center"/>
          </w:tcPr>
          <w:p>
            <w:pPr>
              <w:pStyle w:val="TableContents"/>
              <w:bidi w:val="0"/>
              <w:spacing w:before="0" w:after="283"/>
              <w:jc w:val="left"/>
              <w:rPr/>
            </w:pPr>
            <w:r>
              <w:rPr/>
              <w:t> </w:t>
            </w:r>
          </w:p>
        </w:tc>
        <w:tc>
          <w:tcPr>
            <w:tcW w:w="1411" w:type="dxa"/>
            <w:gridSpan w:val="2"/>
            <w:tcBorders>
              <w:bottom w:val="single" w:sz="12" w:space="0" w:color="000000"/>
            </w:tcBorders>
            <w:vAlign w:val="center"/>
          </w:tcPr>
          <w:p>
            <w:pPr>
              <w:pStyle w:val="TableContents"/>
              <w:bidi w:val="0"/>
              <w:spacing w:before="0" w:after="283"/>
              <w:jc w:val="center"/>
              <w:rPr/>
            </w:pPr>
            <w:r>
              <w:rPr/>
              <w:t>As previously</w:t>
              <w:br/>
              <w:t>reported</w:t>
            </w:r>
          </w:p>
        </w:tc>
        <w:tc>
          <w:tcPr>
            <w:tcW w:w="100" w:type="dxa"/>
            <w:tcBorders/>
            <w:tcMar>
              <w:bottom w:w="0" w:type="dxa"/>
            </w:tcMar>
            <w:vAlign w:val="center"/>
          </w:tcPr>
          <w:p>
            <w:pPr>
              <w:pStyle w:val="TableContents"/>
              <w:bidi w:val="0"/>
              <w:spacing w:before="0" w:after="283"/>
              <w:jc w:val="left"/>
              <w:rPr/>
            </w:pPr>
            <w:r>
              <w:rPr/>
              <w:t> </w:t>
            </w:r>
          </w:p>
        </w:tc>
        <w:tc>
          <w:tcPr>
            <w:tcW w:w="63" w:type="dxa"/>
            <w:tcBorders/>
            <w:tcMar>
              <w:bottom w:w="0" w:type="dxa"/>
            </w:tcMar>
            <w:vAlign w:val="center"/>
          </w:tcPr>
          <w:p>
            <w:pPr>
              <w:pStyle w:val="TableContents"/>
              <w:bidi w:val="0"/>
              <w:spacing w:before="0" w:after="283"/>
              <w:jc w:val="left"/>
              <w:rPr/>
            </w:pPr>
            <w:r>
              <w:rPr/>
              <w:t> </w:t>
            </w:r>
          </w:p>
        </w:tc>
        <w:tc>
          <w:tcPr>
            <w:tcW w:w="1175" w:type="dxa"/>
            <w:gridSpan w:val="2"/>
            <w:tcBorders>
              <w:bottom w:val="single" w:sz="12" w:space="0" w:color="000000"/>
            </w:tcBorders>
            <w:vAlign w:val="center"/>
          </w:tcPr>
          <w:p>
            <w:pPr>
              <w:pStyle w:val="TableContents"/>
              <w:bidi w:val="0"/>
              <w:spacing w:before="0" w:after="283"/>
              <w:jc w:val="center"/>
              <w:rPr/>
            </w:pPr>
            <w:r>
              <w:rPr/>
              <w:t>Adjustment</w:t>
            </w:r>
          </w:p>
        </w:tc>
        <w:tc>
          <w:tcPr>
            <w:tcW w:w="100" w:type="dxa"/>
            <w:tcBorders/>
            <w:tcMar>
              <w:bottom w:w="0" w:type="dxa"/>
            </w:tcMar>
            <w:vAlign w:val="center"/>
          </w:tcPr>
          <w:p>
            <w:pPr>
              <w:pStyle w:val="TableContents"/>
              <w:bidi w:val="0"/>
              <w:spacing w:before="0" w:after="283"/>
              <w:jc w:val="left"/>
              <w:rPr/>
            </w:pPr>
            <w:r>
              <w:rPr/>
              <w:t> </w:t>
            </w:r>
          </w:p>
        </w:tc>
        <w:tc>
          <w:tcPr>
            <w:tcW w:w="63" w:type="dxa"/>
            <w:tcBorders/>
            <w:tcMar>
              <w:bottom w:w="0" w:type="dxa"/>
            </w:tcMar>
            <w:vAlign w:val="center"/>
          </w:tcPr>
          <w:p>
            <w:pPr>
              <w:pStyle w:val="TableContents"/>
              <w:bidi w:val="0"/>
              <w:spacing w:before="0" w:after="283"/>
              <w:jc w:val="left"/>
              <w:rPr/>
            </w:pPr>
            <w:r>
              <w:rPr/>
              <w:t> </w:t>
            </w:r>
          </w:p>
        </w:tc>
        <w:tc>
          <w:tcPr>
            <w:tcW w:w="1079" w:type="dxa"/>
            <w:gridSpan w:val="2"/>
            <w:tcBorders>
              <w:bottom w:val="single" w:sz="12" w:space="0" w:color="000000"/>
            </w:tcBorders>
            <w:vAlign w:val="center"/>
          </w:tcPr>
          <w:p>
            <w:pPr>
              <w:pStyle w:val="TableContents"/>
              <w:bidi w:val="0"/>
              <w:spacing w:before="0" w:after="283"/>
              <w:jc w:val="center"/>
              <w:rPr/>
            </w:pPr>
            <w:r>
              <w:rPr/>
              <w:t>As revised</w:t>
            </w:r>
          </w:p>
        </w:tc>
        <w:tc>
          <w:tcPr>
            <w:tcW w:w="110" w:type="dxa"/>
            <w:tcBorders/>
            <w:tcMar>
              <w:bottom w:w="0" w:type="dxa"/>
            </w:tcMar>
            <w:vAlign w:val="center"/>
          </w:tcPr>
          <w:p>
            <w:pPr>
              <w:pStyle w:val="TableContents"/>
              <w:bidi w:val="0"/>
              <w:spacing w:before="0" w:after="283"/>
              <w:jc w:val="left"/>
              <w:rPr/>
            </w:pPr>
            <w:r>
              <w:rPr/>
              <w:t> </w:t>
            </w:r>
            <w:bookmarkStart w:id="838" w:name="xdx_40B_eus-gaap--CostOfGoodsAndServices"/>
            <w:bookmarkEnd w:id="838"/>
          </w:p>
        </w:tc>
      </w:tr>
      <w:tr>
        <w:trPr/>
        <w:tc>
          <w:tcPr>
            <w:tcW w:w="3980" w:type="dxa"/>
            <w:tcBorders/>
            <w:shd w:fill="CCEEFF" w:val="clear"/>
            <w:tcMar>
              <w:bottom w:w="0" w:type="dxa"/>
            </w:tcMar>
            <w:vAlign w:val="center"/>
          </w:tcPr>
          <w:p>
            <w:pPr>
              <w:pStyle w:val="TableContents"/>
              <w:bidi w:val="0"/>
              <w:spacing w:before="0" w:after="283"/>
              <w:jc w:val="left"/>
              <w:rPr/>
            </w:pPr>
            <w:r>
              <w:rPr/>
              <w:t>Cost of Goods Sold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15,176</w:t>
            </w:r>
          </w:p>
        </w:tc>
        <w:tc>
          <w:tcPr>
            <w:tcW w:w="10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174</w:t>
            </w:r>
          </w:p>
        </w:tc>
        <w:tc>
          <w:tcPr>
            <w:tcW w:w="10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right"/>
              <w:rPr/>
            </w:pPr>
            <w:r>
              <w:rPr/>
              <w:t>15,350</w:t>
            </w:r>
          </w:p>
        </w:tc>
        <w:tc>
          <w:tcPr>
            <w:tcW w:w="110" w:type="dxa"/>
            <w:tcBorders/>
            <w:shd w:fill="CCEEFF" w:val="clear"/>
            <w:tcMar>
              <w:bottom w:w="0" w:type="dxa"/>
            </w:tcMar>
            <w:vAlign w:val="center"/>
          </w:tcPr>
          <w:p>
            <w:pPr>
              <w:pStyle w:val="TableContents"/>
              <w:bidi w:val="0"/>
              <w:spacing w:before="0" w:after="283"/>
              <w:jc w:val="left"/>
              <w:rPr/>
            </w:pPr>
            <w:r>
              <w:rPr/>
              <w:t> </w:t>
            </w:r>
            <w:bookmarkStart w:id="839" w:name="xdx_40A_eus-gaap--GrossProfit_zB2B9uyPcA"/>
            <w:bookmarkEnd w:id="839"/>
          </w:p>
        </w:tc>
      </w:tr>
      <w:tr>
        <w:trPr/>
        <w:tc>
          <w:tcPr>
            <w:tcW w:w="3980" w:type="dxa"/>
            <w:tcBorders/>
            <w:shd w:fill="FFFFFF" w:val="clear"/>
            <w:tcMar>
              <w:bottom w:w="0" w:type="dxa"/>
            </w:tcMar>
            <w:vAlign w:val="center"/>
          </w:tcPr>
          <w:p>
            <w:pPr>
              <w:pStyle w:val="TableContents"/>
              <w:bidi w:val="0"/>
              <w:spacing w:before="0" w:after="283"/>
              <w:jc w:val="left"/>
              <w:rPr/>
            </w:pPr>
            <w:r>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308" w:type="dxa"/>
            <w:tcBorders/>
            <w:shd w:fill="FFFFFF" w:val="clear"/>
            <w:tcMar>
              <w:bottom w:w="0" w:type="dxa"/>
            </w:tcMar>
            <w:vAlign w:val="center"/>
          </w:tcPr>
          <w:p>
            <w:pPr>
              <w:pStyle w:val="TableContents"/>
              <w:bidi w:val="0"/>
              <w:spacing w:before="0" w:after="283"/>
              <w:jc w:val="right"/>
              <w:rPr/>
            </w:pPr>
            <w:r>
              <w:rPr/>
              <w:t>4,098</w:t>
            </w:r>
          </w:p>
        </w:tc>
        <w:tc>
          <w:tcPr>
            <w:tcW w:w="10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(174</w:t>
            </w:r>
          </w:p>
        </w:tc>
        <w:tc>
          <w:tcPr>
            <w:tcW w:w="100" w:type="dxa"/>
            <w:tcBorders/>
            <w:shd w:fill="FFFFFF" w:val="clear"/>
            <w:tcMar>
              <w:bottom w:w="0" w:type="dxa"/>
            </w:tcMar>
            <w:vAlign w:val="center"/>
          </w:tcPr>
          <w:p>
            <w:pPr>
              <w:pStyle w:val="TableContents"/>
              <w:bidi w:val="0"/>
              <w:spacing w:before="0" w:after="283"/>
              <w:jc w:val="left"/>
              <w:rPr/>
            </w:pPr>
            <w:r>
              <w:rPr/>
              <w:t>)</w:t>
            </w:r>
          </w:p>
        </w:tc>
        <w:tc>
          <w:tcPr>
            <w:tcW w:w="63"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000" w:type="dxa"/>
            <w:tcBorders/>
            <w:shd w:fill="FFFFFF" w:val="clear"/>
            <w:tcMar>
              <w:bottom w:w="0" w:type="dxa"/>
            </w:tcMar>
            <w:vAlign w:val="center"/>
          </w:tcPr>
          <w:p>
            <w:pPr>
              <w:pStyle w:val="TableContents"/>
              <w:bidi w:val="0"/>
              <w:spacing w:before="0" w:after="283"/>
              <w:jc w:val="right"/>
              <w:rPr/>
            </w:pPr>
            <w:r>
              <w:rPr/>
              <w:t>3,924</w:t>
            </w:r>
          </w:p>
        </w:tc>
        <w:tc>
          <w:tcPr>
            <w:tcW w:w="110" w:type="dxa"/>
            <w:tcBorders/>
            <w:shd w:fill="FFFFFF" w:val="clear"/>
            <w:tcMar>
              <w:bottom w:w="0" w:type="dxa"/>
            </w:tcMar>
            <w:vAlign w:val="center"/>
          </w:tcPr>
          <w:p>
            <w:pPr>
              <w:pStyle w:val="TableContents"/>
              <w:bidi w:val="0"/>
              <w:spacing w:before="0" w:after="283"/>
              <w:jc w:val="left"/>
              <w:rPr/>
            </w:pPr>
            <w:r>
              <w:rPr/>
              <w:t> </w:t>
            </w:r>
            <w:bookmarkStart w:id="840" w:name="xdx_402_eus-gaap--OperatingIncomeLoss_zl"/>
            <w:bookmarkEnd w:id="840"/>
          </w:p>
        </w:tc>
      </w:tr>
      <w:tr>
        <w:trPr/>
        <w:tc>
          <w:tcPr>
            <w:tcW w:w="3980" w:type="dxa"/>
            <w:tcBorders/>
            <w:shd w:fill="CCEEFF" w:val="clear"/>
            <w:tcMar>
              <w:bottom w:w="0" w:type="dxa"/>
            </w:tcMar>
            <w:vAlign w:val="center"/>
          </w:tcPr>
          <w:p>
            <w:pPr>
              <w:pStyle w:val="TableContents"/>
              <w:bidi w:val="0"/>
              <w:spacing w:before="0" w:after="283"/>
              <w:jc w:val="left"/>
              <w:rPr/>
            </w:pPr>
            <w:r>
              <w:rPr/>
              <w:t>Loss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(8,391</w:t>
            </w:r>
          </w:p>
        </w:tc>
        <w:tc>
          <w:tcPr>
            <w:tcW w:w="100" w:type="dxa"/>
            <w:tcBorders/>
            <w:shd w:fill="CCEEFF" w:val="clear"/>
            <w:tcMar>
              <w:bottom w:w="0" w:type="dxa"/>
            </w:tcMar>
            <w:vAlign w:val="center"/>
          </w:tcPr>
          <w:p>
            <w:pPr>
              <w:pStyle w:val="TableContents"/>
              <w:bidi w:val="0"/>
              <w:spacing w:before="0" w:after="283"/>
              <w:jc w:val="left"/>
              <w:rPr/>
            </w:pPr>
            <w:r>
              <w:rPr/>
              <w:t>)</w:t>
            </w:r>
          </w:p>
        </w:tc>
        <w:tc>
          <w:tcPr>
            <w:tcW w:w="63"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(174</w:t>
            </w:r>
          </w:p>
        </w:tc>
        <w:tc>
          <w:tcPr>
            <w:tcW w:w="100" w:type="dxa"/>
            <w:tcBorders/>
            <w:shd w:fill="CCEEFF" w:val="clear"/>
            <w:tcMar>
              <w:bottom w:w="0" w:type="dxa"/>
            </w:tcMar>
            <w:vAlign w:val="center"/>
          </w:tcPr>
          <w:p>
            <w:pPr>
              <w:pStyle w:val="TableContents"/>
              <w:bidi w:val="0"/>
              <w:spacing w:before="0" w:after="283"/>
              <w:jc w:val="left"/>
              <w:rPr/>
            </w:pPr>
            <w:r>
              <w:rPr/>
              <w:t>)</w:t>
            </w:r>
          </w:p>
        </w:tc>
        <w:tc>
          <w:tcPr>
            <w:tcW w:w="63"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right"/>
              <w:rPr/>
            </w:pPr>
            <w:r>
              <w:rPr/>
              <w:t>(8,565</w:t>
            </w:r>
          </w:p>
        </w:tc>
        <w:tc>
          <w:tcPr>
            <w:tcW w:w="110" w:type="dxa"/>
            <w:tcBorders/>
            <w:shd w:fill="CCEEFF" w:val="clear"/>
            <w:tcMar>
              <w:bottom w:w="0" w:type="dxa"/>
            </w:tcMar>
            <w:vAlign w:val="center"/>
          </w:tcPr>
          <w:p>
            <w:pPr>
              <w:pStyle w:val="TableContents"/>
              <w:bidi w:val="0"/>
              <w:spacing w:before="0" w:after="283"/>
              <w:jc w:val="left"/>
              <w:rPr/>
            </w:pPr>
            <w:r>
              <w:rPr/>
              <w:t>)</w:t>
            </w:r>
            <w:bookmarkStart w:id="841" w:name="xdx_405_eus-gaap--InterestExpense_iN_di_"/>
            <w:bookmarkEnd w:id="841"/>
          </w:p>
        </w:tc>
      </w:tr>
      <w:tr>
        <w:trPr/>
        <w:tc>
          <w:tcPr>
            <w:tcW w:w="3980" w:type="dxa"/>
            <w:tcBorders/>
            <w:shd w:fill="FFFFFF" w:val="clear"/>
            <w:tcMar>
              <w:bottom w:w="0" w:type="dxa"/>
            </w:tcMar>
            <w:vAlign w:val="center"/>
          </w:tcPr>
          <w:p>
            <w:pPr>
              <w:pStyle w:val="TableContents"/>
              <w:bidi w:val="0"/>
              <w:spacing w:before="0" w:after="283"/>
              <w:jc w:val="left"/>
              <w:rPr/>
            </w:pPr>
            <w:r>
              <w:rPr/>
              <w:t>Interest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308" w:type="dxa"/>
            <w:tcBorders/>
            <w:shd w:fill="FFFFFF" w:val="clear"/>
            <w:tcMar>
              <w:bottom w:w="0" w:type="dxa"/>
            </w:tcMar>
            <w:vAlign w:val="center"/>
          </w:tcPr>
          <w:p>
            <w:pPr>
              <w:pStyle w:val="TableContents"/>
              <w:bidi w:val="0"/>
              <w:spacing w:before="0" w:after="283"/>
              <w:jc w:val="right"/>
              <w:rPr/>
            </w:pPr>
            <w:r>
              <w:rPr/>
              <w:t>(4,113</w:t>
            </w:r>
          </w:p>
        </w:tc>
        <w:tc>
          <w:tcPr>
            <w:tcW w:w="100" w:type="dxa"/>
            <w:tcBorders/>
            <w:shd w:fill="FFFFFF" w:val="clear"/>
            <w:tcMar>
              <w:bottom w:w="0" w:type="dxa"/>
            </w:tcMar>
            <w:vAlign w:val="center"/>
          </w:tcPr>
          <w:p>
            <w:pPr>
              <w:pStyle w:val="TableContents"/>
              <w:bidi w:val="0"/>
              <w:spacing w:before="0" w:after="283"/>
              <w:jc w:val="left"/>
              <w:rPr/>
            </w:pPr>
            <w:r>
              <w:rPr/>
              <w:t>)</w:t>
            </w:r>
          </w:p>
        </w:tc>
        <w:tc>
          <w:tcPr>
            <w:tcW w:w="63"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(25</w:t>
            </w:r>
          </w:p>
        </w:tc>
        <w:tc>
          <w:tcPr>
            <w:tcW w:w="100" w:type="dxa"/>
            <w:tcBorders/>
            <w:shd w:fill="FFFFFF" w:val="clear"/>
            <w:tcMar>
              <w:bottom w:w="0" w:type="dxa"/>
            </w:tcMar>
            <w:vAlign w:val="center"/>
          </w:tcPr>
          <w:p>
            <w:pPr>
              <w:pStyle w:val="TableContents"/>
              <w:bidi w:val="0"/>
              <w:spacing w:before="0" w:after="283"/>
              <w:jc w:val="left"/>
              <w:rPr/>
            </w:pPr>
            <w:r>
              <w:rPr/>
              <w:t>)</w:t>
            </w:r>
          </w:p>
        </w:tc>
        <w:tc>
          <w:tcPr>
            <w:tcW w:w="63"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000" w:type="dxa"/>
            <w:tcBorders/>
            <w:shd w:fill="FFFFFF" w:val="clear"/>
            <w:tcMar>
              <w:bottom w:w="0" w:type="dxa"/>
            </w:tcMar>
            <w:vAlign w:val="center"/>
          </w:tcPr>
          <w:p>
            <w:pPr>
              <w:pStyle w:val="TableContents"/>
              <w:bidi w:val="0"/>
              <w:spacing w:before="0" w:after="283"/>
              <w:jc w:val="right"/>
              <w:rPr/>
            </w:pPr>
            <w:r>
              <w:rPr/>
              <w:t>(4,138</w:t>
            </w:r>
          </w:p>
        </w:tc>
        <w:tc>
          <w:tcPr>
            <w:tcW w:w="110" w:type="dxa"/>
            <w:tcBorders/>
            <w:shd w:fill="FFFFFF" w:val="clear"/>
            <w:tcMar>
              <w:bottom w:w="0" w:type="dxa"/>
            </w:tcMar>
            <w:vAlign w:val="center"/>
          </w:tcPr>
          <w:p>
            <w:pPr>
              <w:pStyle w:val="TableContents"/>
              <w:bidi w:val="0"/>
              <w:spacing w:before="0" w:after="283"/>
              <w:jc w:val="left"/>
              <w:rPr/>
            </w:pPr>
            <w:r>
              <w:rPr/>
              <w:t>)</w:t>
            </w:r>
            <w:bookmarkStart w:id="842" w:name="xdx_40B_eus-gaap--IncomeLossFromContinui"/>
            <w:bookmarkEnd w:id="842"/>
          </w:p>
        </w:tc>
      </w:tr>
      <w:tr>
        <w:trPr/>
        <w:tc>
          <w:tcPr>
            <w:tcW w:w="3980" w:type="dxa"/>
            <w:tcBorders/>
            <w:shd w:fill="CCEEFF" w:val="clear"/>
            <w:tcMar>
              <w:bottom w:w="0" w:type="dxa"/>
            </w:tcMar>
            <w:vAlign w:val="center"/>
          </w:tcPr>
          <w:p>
            <w:pPr>
              <w:pStyle w:val="TableContents"/>
              <w:bidi w:val="0"/>
              <w:spacing w:before="0" w:after="283"/>
              <w:jc w:val="left"/>
              <w:rPr/>
            </w:pPr>
            <w:r>
              <w:rPr/>
              <w:t>Loss Before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(11,700</w:t>
            </w:r>
          </w:p>
        </w:tc>
        <w:tc>
          <w:tcPr>
            <w:tcW w:w="100" w:type="dxa"/>
            <w:tcBorders/>
            <w:shd w:fill="CCEEFF" w:val="clear"/>
            <w:tcMar>
              <w:bottom w:w="0" w:type="dxa"/>
            </w:tcMar>
            <w:vAlign w:val="center"/>
          </w:tcPr>
          <w:p>
            <w:pPr>
              <w:pStyle w:val="TableContents"/>
              <w:bidi w:val="0"/>
              <w:spacing w:before="0" w:after="283"/>
              <w:jc w:val="left"/>
              <w:rPr/>
            </w:pPr>
            <w:r>
              <w:rPr/>
              <w:t>)</w:t>
            </w:r>
          </w:p>
        </w:tc>
        <w:tc>
          <w:tcPr>
            <w:tcW w:w="63"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(199</w:t>
            </w:r>
          </w:p>
        </w:tc>
        <w:tc>
          <w:tcPr>
            <w:tcW w:w="100" w:type="dxa"/>
            <w:tcBorders/>
            <w:shd w:fill="CCEEFF" w:val="clear"/>
            <w:tcMar>
              <w:bottom w:w="0" w:type="dxa"/>
            </w:tcMar>
            <w:vAlign w:val="center"/>
          </w:tcPr>
          <w:p>
            <w:pPr>
              <w:pStyle w:val="TableContents"/>
              <w:bidi w:val="0"/>
              <w:spacing w:before="0" w:after="283"/>
              <w:jc w:val="left"/>
              <w:rPr/>
            </w:pPr>
            <w:r>
              <w:rPr/>
              <w:t>)</w:t>
            </w:r>
          </w:p>
        </w:tc>
        <w:tc>
          <w:tcPr>
            <w:tcW w:w="63"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right"/>
              <w:rPr/>
            </w:pPr>
            <w:r>
              <w:rPr/>
              <w:t>(11,899</w:t>
            </w:r>
          </w:p>
        </w:tc>
        <w:tc>
          <w:tcPr>
            <w:tcW w:w="110" w:type="dxa"/>
            <w:tcBorders/>
            <w:shd w:fill="CCEEFF" w:val="clear"/>
            <w:tcMar>
              <w:bottom w:w="0" w:type="dxa"/>
            </w:tcMar>
            <w:vAlign w:val="center"/>
          </w:tcPr>
          <w:p>
            <w:pPr>
              <w:pStyle w:val="TableContents"/>
              <w:bidi w:val="0"/>
              <w:spacing w:before="0" w:after="283"/>
              <w:jc w:val="left"/>
              <w:rPr/>
            </w:pPr>
            <w:r>
              <w:rPr/>
              <w:t>)</w:t>
            </w:r>
            <w:bookmarkStart w:id="843" w:name="xdx_401_eus-gaap--NetIncomeLoss_zKSZ2T2V"/>
            <w:bookmarkEnd w:id="843"/>
          </w:p>
        </w:tc>
      </w:tr>
      <w:tr>
        <w:trPr/>
        <w:tc>
          <w:tcPr>
            <w:tcW w:w="3980" w:type="dxa"/>
            <w:tcBorders/>
            <w:shd w:fill="FFFFFF" w:val="clear"/>
            <w:tcMar>
              <w:bottom w:w="0" w:type="dxa"/>
            </w:tcMar>
            <w:vAlign w:val="center"/>
          </w:tcPr>
          <w:p>
            <w:pPr>
              <w:pStyle w:val="TableContents"/>
              <w:bidi w:val="0"/>
              <w:spacing w:before="0" w:after="283"/>
              <w:jc w:val="left"/>
              <w:rPr/>
            </w:pPr>
            <w:r>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308" w:type="dxa"/>
            <w:tcBorders/>
            <w:shd w:fill="FFFFFF" w:val="clear"/>
            <w:tcMar>
              <w:bottom w:w="0" w:type="dxa"/>
            </w:tcMar>
            <w:vAlign w:val="center"/>
          </w:tcPr>
          <w:p>
            <w:pPr>
              <w:pStyle w:val="TableContents"/>
              <w:bidi w:val="0"/>
              <w:spacing w:before="0" w:after="283"/>
              <w:jc w:val="right"/>
              <w:rPr/>
            </w:pPr>
            <w:r>
              <w:rPr/>
              <w:t>(11,700</w:t>
            </w:r>
          </w:p>
        </w:tc>
        <w:tc>
          <w:tcPr>
            <w:tcW w:w="100" w:type="dxa"/>
            <w:tcBorders/>
            <w:shd w:fill="FFFFFF" w:val="clear"/>
            <w:tcMar>
              <w:bottom w:w="0" w:type="dxa"/>
            </w:tcMar>
            <w:vAlign w:val="center"/>
          </w:tcPr>
          <w:p>
            <w:pPr>
              <w:pStyle w:val="TableContents"/>
              <w:bidi w:val="0"/>
              <w:spacing w:before="0" w:after="283"/>
              <w:jc w:val="left"/>
              <w:rPr/>
            </w:pPr>
            <w:r>
              <w:rPr/>
              <w:t>)</w:t>
            </w:r>
          </w:p>
        </w:tc>
        <w:tc>
          <w:tcPr>
            <w:tcW w:w="63"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(199</w:t>
            </w:r>
          </w:p>
        </w:tc>
        <w:tc>
          <w:tcPr>
            <w:tcW w:w="100" w:type="dxa"/>
            <w:tcBorders/>
            <w:shd w:fill="FFFFFF" w:val="clear"/>
            <w:tcMar>
              <w:bottom w:w="0" w:type="dxa"/>
            </w:tcMar>
            <w:vAlign w:val="center"/>
          </w:tcPr>
          <w:p>
            <w:pPr>
              <w:pStyle w:val="TableContents"/>
              <w:bidi w:val="0"/>
              <w:spacing w:before="0" w:after="283"/>
              <w:jc w:val="left"/>
              <w:rPr/>
            </w:pPr>
            <w:r>
              <w:rPr/>
              <w:t>)</w:t>
            </w:r>
          </w:p>
        </w:tc>
        <w:tc>
          <w:tcPr>
            <w:tcW w:w="63"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000" w:type="dxa"/>
            <w:tcBorders/>
            <w:shd w:fill="FFFFFF" w:val="clear"/>
            <w:tcMar>
              <w:bottom w:w="0" w:type="dxa"/>
            </w:tcMar>
            <w:vAlign w:val="center"/>
          </w:tcPr>
          <w:p>
            <w:pPr>
              <w:pStyle w:val="TableContents"/>
              <w:bidi w:val="0"/>
              <w:spacing w:before="0" w:after="283"/>
              <w:jc w:val="right"/>
              <w:rPr/>
            </w:pPr>
            <w:r>
              <w:rPr/>
              <w:t>(11,899</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3980" w:type="dxa"/>
            <w:tcBorders/>
            <w:shd w:fill="CCEEFF" w:val="clear"/>
            <w:tcMar>
              <w:bottom w:w="0" w:type="dxa"/>
            </w:tcMar>
            <w:vAlign w:val="center"/>
          </w:tcPr>
          <w:p>
            <w:pPr>
              <w:pStyle w:val="TableContents"/>
              <w:bidi w:val="0"/>
              <w:spacing w:before="0" w:after="283"/>
              <w:jc w:val="left"/>
              <w:rPr/>
            </w:pPr>
            <w:r>
              <w:rPr/>
              <w:t>Net Loss per share – Basic &amp; Diluted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bookmarkStart w:id="844" w:name="xdx_90A_eus-gaap--EarningsPerShareDilute"/>
            <w:bookmarkStart w:id="845" w:name="xdx_90D_eus-gaap--EarningsPerShareBasic_"/>
            <w:bookmarkEnd w:id="844"/>
            <w:bookmarkEnd w:id="845"/>
            <w:r>
              <w:rPr/>
              <w:t>(0.25</w:t>
            </w:r>
          </w:p>
        </w:tc>
        <w:tc>
          <w:tcPr>
            <w:tcW w:w="100" w:type="dxa"/>
            <w:tcBorders/>
            <w:shd w:fill="CCEEFF" w:val="clear"/>
            <w:tcMar>
              <w:bottom w:w="0" w:type="dxa"/>
            </w:tcMar>
            <w:vAlign w:val="center"/>
          </w:tcPr>
          <w:p>
            <w:pPr>
              <w:pStyle w:val="TableContents"/>
              <w:bidi w:val="0"/>
              <w:spacing w:before="0" w:after="283"/>
              <w:jc w:val="left"/>
              <w:rPr/>
            </w:pPr>
            <w:r>
              <w:rPr/>
              <w:t>)</w:t>
            </w:r>
          </w:p>
        </w:tc>
        <w:tc>
          <w:tcPr>
            <w:tcW w:w="63"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bookmarkStart w:id="846" w:name="xdx_908_eus-gaap--EarningsPerShareDilute"/>
            <w:bookmarkStart w:id="847" w:name="xdx_90D_eus-gaap--EarningsPerShareBasic_"/>
            <w:bookmarkEnd w:id="846"/>
            <w:bookmarkEnd w:id="847"/>
            <w:r>
              <w:rPr/>
              <w:t>(0.0</w:t>
            </w:r>
          </w:p>
        </w:tc>
        <w:tc>
          <w:tcPr>
            <w:tcW w:w="100" w:type="dxa"/>
            <w:tcBorders/>
            <w:shd w:fill="CCEEFF" w:val="clear"/>
            <w:tcMar>
              <w:bottom w:w="0" w:type="dxa"/>
            </w:tcMar>
            <w:vAlign w:val="center"/>
          </w:tcPr>
          <w:p>
            <w:pPr>
              <w:pStyle w:val="TableContents"/>
              <w:bidi w:val="0"/>
              <w:spacing w:before="0" w:after="283"/>
              <w:jc w:val="left"/>
              <w:rPr/>
            </w:pPr>
            <w:r>
              <w:rPr/>
              <w:t>)</w:t>
            </w:r>
          </w:p>
        </w:tc>
        <w:tc>
          <w:tcPr>
            <w:tcW w:w="63"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right"/>
              <w:rPr/>
            </w:pPr>
            <w:bookmarkStart w:id="848" w:name="xdx_90F_eus-gaap--EarningsPerShareDilute"/>
            <w:bookmarkStart w:id="849" w:name="xdx_903_eus-gaap--EarningsPerShareBasic_"/>
            <w:bookmarkEnd w:id="848"/>
            <w:bookmarkEnd w:id="849"/>
            <w:r>
              <w:rPr/>
              <w:t>(0.25</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rPr>
      </w:pPr>
      <w:r>
        <w:rPr>
          <w:caps/>
        </w:rPr>
        <w:t> </w:t>
      </w:r>
    </w:p>
    <w:tbl>
      <w:tblPr>
        <w:tblW w:w="7947" w:type="dxa"/>
        <w:jc w:val="left"/>
        <w:tblInd w:w="0" w:type="dxa"/>
        <w:tblLayout w:type="fixed"/>
        <w:tblCellMar>
          <w:top w:w="0" w:type="dxa"/>
          <w:left w:w="0" w:type="dxa"/>
          <w:bottom w:w="28" w:type="dxa"/>
          <w:right w:w="0" w:type="dxa"/>
        </w:tblCellMar>
      </w:tblPr>
      <w:tblGrid>
        <w:gridCol w:w="3980"/>
        <w:gridCol w:w="60"/>
        <w:gridCol w:w="98"/>
        <w:gridCol w:w="1244"/>
        <w:gridCol w:w="95"/>
        <w:gridCol w:w="60"/>
        <w:gridCol w:w="129"/>
        <w:gridCol w:w="989"/>
        <w:gridCol w:w="95"/>
        <w:gridCol w:w="60"/>
        <w:gridCol w:w="75"/>
        <w:gridCol w:w="952"/>
        <w:gridCol w:w="110"/>
      </w:tblGrid>
      <w:tr>
        <w:trPr/>
        <w:tc>
          <w:tcPr>
            <w:tcW w:w="3980" w:type="dxa"/>
            <w:tcBorders>
              <w:bottom w:val="single" w:sz="12" w:space="0" w:color="000000"/>
            </w:tcBorders>
            <w:vAlign w:val="center"/>
          </w:tcPr>
          <w:p>
            <w:pPr>
              <w:pStyle w:val="TableContents"/>
              <w:bidi w:val="0"/>
              <w:spacing w:before="0" w:after="283"/>
              <w:jc w:val="left"/>
              <w:rPr>
                <w:b/>
              </w:rPr>
            </w:pPr>
            <w:r>
              <w:rPr>
                <w:b/>
              </w:rPr>
              <w:t>Consolidated Statements of Operations</w:t>
            </w:r>
          </w:p>
        </w:tc>
        <w:tc>
          <w:tcPr>
            <w:tcW w:w="60" w:type="dxa"/>
            <w:tcBorders/>
            <w:tcMar>
              <w:bottom w:w="0" w:type="dxa"/>
            </w:tcMar>
            <w:vAlign w:val="center"/>
          </w:tcPr>
          <w:p>
            <w:pPr>
              <w:pStyle w:val="TableContents"/>
              <w:bidi w:val="0"/>
              <w:spacing w:before="0" w:after="283"/>
              <w:jc w:val="left"/>
              <w:rPr/>
            </w:pPr>
            <w:r>
              <w:rPr/>
              <w:t> </w:t>
            </w:r>
            <w:bookmarkStart w:id="850" w:name="xdx_49B_20230101__20230630__srt--Restate"/>
            <w:bookmarkEnd w:id="850"/>
          </w:p>
        </w:tc>
        <w:tc>
          <w:tcPr>
            <w:tcW w:w="1342" w:type="dxa"/>
            <w:gridSpan w:val="2"/>
            <w:tcBorders>
              <w:bottom w:val="single" w:sz="12" w:space="0" w:color="000000"/>
            </w:tcBorders>
            <w:vAlign w:val="center"/>
          </w:tcPr>
          <w:p>
            <w:pPr>
              <w:pStyle w:val="TableContents"/>
              <w:bidi w:val="0"/>
              <w:spacing w:before="0" w:after="283"/>
              <w:jc w:val="center"/>
              <w:rPr/>
            </w:pPr>
            <w:r>
              <w:rPr/>
              <w:t>As previously</w:t>
              <w:br/>
              <w:t>reported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851" w:name="xdx_495_20230101__20230630__srt--Restate"/>
            <w:bookmarkEnd w:id="851"/>
          </w:p>
        </w:tc>
        <w:tc>
          <w:tcPr>
            <w:tcW w:w="1118" w:type="dxa"/>
            <w:gridSpan w:val="2"/>
            <w:tcBorders>
              <w:bottom w:val="single" w:sz="12" w:space="0" w:color="000000"/>
            </w:tcBorders>
            <w:vAlign w:val="center"/>
          </w:tcPr>
          <w:p>
            <w:pPr>
              <w:pStyle w:val="TableContents"/>
              <w:bidi w:val="0"/>
              <w:spacing w:before="0" w:after="283"/>
              <w:jc w:val="center"/>
              <w:rPr/>
            </w:pPr>
            <w:r>
              <w:rP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852" w:name="xdx_492_20230101__20230630_zP9abjTw0wHa"/>
            <w:bookmarkEnd w:id="852"/>
          </w:p>
        </w:tc>
        <w:tc>
          <w:tcPr>
            <w:tcW w:w="1027" w:type="dxa"/>
            <w:gridSpan w:val="2"/>
            <w:tcBorders>
              <w:bottom w:val="single" w:sz="12" w:space="0" w:color="000000"/>
            </w:tcBorders>
            <w:vAlign w:val="center"/>
          </w:tcPr>
          <w:p>
            <w:pPr>
              <w:pStyle w:val="TableContents"/>
              <w:bidi w:val="0"/>
              <w:spacing w:before="0" w:after="283"/>
              <w:jc w:val="center"/>
              <w:rPr/>
            </w:pPr>
            <w:r>
              <w:rPr/>
              <w:t>As revised</w:t>
            </w:r>
          </w:p>
        </w:tc>
        <w:tc>
          <w:tcPr>
            <w:tcW w:w="110" w:type="dxa"/>
            <w:tcBorders/>
            <w:tcMar>
              <w:bottom w:w="0" w:type="dxa"/>
            </w:tcMar>
            <w:vAlign w:val="center"/>
          </w:tcPr>
          <w:p>
            <w:pPr>
              <w:pStyle w:val="TableContents"/>
              <w:bidi w:val="0"/>
              <w:spacing w:before="0" w:after="283"/>
              <w:jc w:val="left"/>
              <w:rPr/>
            </w:pPr>
            <w:r>
              <w:rPr/>
              <w:t> </w:t>
            </w:r>
          </w:p>
        </w:tc>
      </w:tr>
      <w:tr>
        <w:trPr/>
        <w:tc>
          <w:tcPr>
            <w:tcW w:w="39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797" w:type="dxa"/>
            <w:gridSpan w:val="10"/>
            <w:tcBorders>
              <w:bottom w:val="single" w:sz="12" w:space="0" w:color="000000"/>
            </w:tcBorders>
            <w:vAlign w:val="center"/>
          </w:tcPr>
          <w:p>
            <w:pPr>
              <w:pStyle w:val="TableContents"/>
              <w:bidi w:val="0"/>
              <w:spacing w:before="0" w:after="283"/>
              <w:jc w:val="center"/>
              <w:rPr/>
            </w:pPr>
            <w:r>
              <w:rPr/>
              <w:t>For the six months ended June 30, 2023</w:t>
            </w:r>
          </w:p>
        </w:tc>
        <w:tc>
          <w:tcPr>
            <w:tcW w:w="110" w:type="dxa"/>
            <w:tcBorders/>
            <w:tcMar>
              <w:bottom w:w="0" w:type="dxa"/>
            </w:tcMar>
            <w:vAlign w:val="center"/>
          </w:tcPr>
          <w:p>
            <w:pPr>
              <w:pStyle w:val="TableContents"/>
              <w:bidi w:val="0"/>
              <w:spacing w:before="0" w:after="283"/>
              <w:jc w:val="left"/>
              <w:rPr/>
            </w:pPr>
            <w:r>
              <w:rPr/>
              <w:t> </w:t>
            </w:r>
          </w:p>
        </w:tc>
      </w:tr>
      <w:tr>
        <w:trPr/>
        <w:tc>
          <w:tcPr>
            <w:tcW w:w="3980" w:type="dxa"/>
            <w:tcBorders>
              <w:bottom w:val="single" w:sz="12" w:space="0" w:color="000000"/>
            </w:tcBorders>
            <w:vAlign w:val="center"/>
          </w:tcPr>
          <w:p>
            <w:pPr>
              <w:pStyle w:val="TableContents"/>
              <w:bidi w:val="0"/>
              <w:spacing w:before="0" w:after="283"/>
              <w:jc w:val="left"/>
              <w:rPr>
                <w:b/>
              </w:rPr>
            </w:pPr>
            <w:r>
              <w:rPr>
                <w:b/>
              </w:rPr>
              <w:t>Consolidated Statements of Operations</w:t>
            </w:r>
          </w:p>
        </w:tc>
        <w:tc>
          <w:tcPr>
            <w:tcW w:w="60" w:type="dxa"/>
            <w:tcBorders/>
            <w:tcMar>
              <w:bottom w:w="0" w:type="dxa"/>
            </w:tcMar>
            <w:vAlign w:val="center"/>
          </w:tcPr>
          <w:p>
            <w:pPr>
              <w:pStyle w:val="TableContents"/>
              <w:bidi w:val="0"/>
              <w:spacing w:before="0" w:after="283"/>
              <w:jc w:val="left"/>
              <w:rPr/>
            </w:pPr>
            <w:r>
              <w:rPr/>
              <w:t> </w:t>
            </w:r>
          </w:p>
        </w:tc>
        <w:tc>
          <w:tcPr>
            <w:tcW w:w="1342" w:type="dxa"/>
            <w:gridSpan w:val="2"/>
            <w:tcBorders>
              <w:bottom w:val="single" w:sz="12" w:space="0" w:color="000000"/>
            </w:tcBorders>
            <w:vAlign w:val="center"/>
          </w:tcPr>
          <w:p>
            <w:pPr>
              <w:pStyle w:val="TableContents"/>
              <w:bidi w:val="0"/>
              <w:spacing w:before="0" w:after="283"/>
              <w:jc w:val="center"/>
              <w:rPr/>
            </w:pPr>
            <w:r>
              <w:rPr/>
              <w:t>As previously</w:t>
              <w:br/>
              <w:t>reported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8" w:type="dxa"/>
            <w:gridSpan w:val="2"/>
            <w:tcBorders>
              <w:bottom w:val="single" w:sz="12" w:space="0" w:color="000000"/>
            </w:tcBorders>
            <w:vAlign w:val="center"/>
          </w:tcPr>
          <w:p>
            <w:pPr>
              <w:pStyle w:val="TableContents"/>
              <w:bidi w:val="0"/>
              <w:spacing w:before="0" w:after="283"/>
              <w:jc w:val="center"/>
              <w:rPr/>
            </w:pPr>
            <w:r>
              <w:rP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7" w:type="dxa"/>
            <w:gridSpan w:val="2"/>
            <w:tcBorders>
              <w:bottom w:val="single" w:sz="12" w:space="0" w:color="000000"/>
            </w:tcBorders>
            <w:vAlign w:val="center"/>
          </w:tcPr>
          <w:p>
            <w:pPr>
              <w:pStyle w:val="TableContents"/>
              <w:bidi w:val="0"/>
              <w:spacing w:before="0" w:after="283"/>
              <w:jc w:val="center"/>
              <w:rPr/>
            </w:pPr>
            <w:r>
              <w:rPr/>
              <w:t>As revised</w:t>
            </w:r>
          </w:p>
        </w:tc>
        <w:tc>
          <w:tcPr>
            <w:tcW w:w="110" w:type="dxa"/>
            <w:tcBorders/>
            <w:tcMar>
              <w:bottom w:w="0" w:type="dxa"/>
            </w:tcMar>
            <w:vAlign w:val="center"/>
          </w:tcPr>
          <w:p>
            <w:pPr>
              <w:pStyle w:val="TableContents"/>
              <w:bidi w:val="0"/>
              <w:spacing w:before="0" w:after="283"/>
              <w:jc w:val="left"/>
              <w:rPr/>
            </w:pPr>
            <w:r>
              <w:rPr/>
              <w:t> </w:t>
            </w:r>
            <w:bookmarkStart w:id="853" w:name="xdx_40D_eus-gaap--CostOfGoodsAndServices"/>
            <w:bookmarkEnd w:id="853"/>
          </w:p>
        </w:tc>
      </w:tr>
      <w:tr>
        <w:trPr/>
        <w:tc>
          <w:tcPr>
            <w:tcW w:w="3980" w:type="dxa"/>
            <w:tcBorders/>
            <w:shd w:fill="CCEEFF" w:val="clear"/>
            <w:tcMar>
              <w:bottom w:w="0" w:type="dxa"/>
            </w:tcMar>
            <w:vAlign w:val="center"/>
          </w:tcPr>
          <w:p>
            <w:pPr>
              <w:pStyle w:val="TableContents"/>
              <w:bidi w:val="0"/>
              <w:spacing w:before="0" w:after="283"/>
              <w:jc w:val="left"/>
              <w:rPr/>
            </w:pPr>
            <w:r>
              <w:rPr/>
              <w:t>Cost of Goods Sold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244" w:type="dxa"/>
            <w:tcBorders/>
            <w:shd w:fill="CCEEFF" w:val="clear"/>
            <w:tcMar>
              <w:bottom w:w="0" w:type="dxa"/>
            </w:tcMar>
            <w:vAlign w:val="center"/>
          </w:tcPr>
          <w:p>
            <w:pPr>
              <w:pStyle w:val="TableContents"/>
              <w:bidi w:val="0"/>
              <w:spacing w:before="0" w:after="283"/>
              <w:jc w:val="right"/>
              <w:rPr/>
            </w:pPr>
            <w:r>
              <w:rPr/>
              <w:t>29,224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pPr>
            <w:r>
              <w:rPr/>
              <w:t>250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952" w:type="dxa"/>
            <w:tcBorders/>
            <w:shd w:fill="CCEEFF" w:val="clear"/>
            <w:tcMar>
              <w:bottom w:w="0" w:type="dxa"/>
            </w:tcMar>
            <w:vAlign w:val="center"/>
          </w:tcPr>
          <w:p>
            <w:pPr>
              <w:pStyle w:val="TableContents"/>
              <w:bidi w:val="0"/>
              <w:spacing w:before="0" w:after="283"/>
              <w:jc w:val="right"/>
              <w:rPr/>
            </w:pPr>
            <w:r>
              <w:rPr/>
              <w:t>29,474</w:t>
            </w:r>
          </w:p>
        </w:tc>
        <w:tc>
          <w:tcPr>
            <w:tcW w:w="110" w:type="dxa"/>
            <w:tcBorders/>
            <w:shd w:fill="CCEEFF" w:val="clear"/>
            <w:tcMar>
              <w:bottom w:w="0" w:type="dxa"/>
            </w:tcMar>
            <w:vAlign w:val="center"/>
          </w:tcPr>
          <w:p>
            <w:pPr>
              <w:pStyle w:val="TableContents"/>
              <w:bidi w:val="0"/>
              <w:spacing w:before="0" w:after="283"/>
              <w:jc w:val="left"/>
              <w:rPr/>
            </w:pPr>
            <w:r>
              <w:rPr/>
              <w:t> </w:t>
            </w:r>
            <w:bookmarkStart w:id="854" w:name="xdx_40C_eus-gaap--GrossProfit_zKeFFO4QiY"/>
            <w:bookmarkEnd w:id="854"/>
          </w:p>
        </w:tc>
      </w:tr>
      <w:tr>
        <w:trPr/>
        <w:tc>
          <w:tcPr>
            <w:tcW w:w="3980" w:type="dxa"/>
            <w:tcBorders/>
            <w:shd w:fill="FFFFFF" w:val="clear"/>
            <w:tcMar>
              <w:bottom w:w="0" w:type="dxa"/>
            </w:tcMar>
            <w:vAlign w:val="center"/>
          </w:tcPr>
          <w:p>
            <w:pPr>
              <w:pStyle w:val="TableContents"/>
              <w:bidi w:val="0"/>
              <w:spacing w:before="0" w:after="283"/>
              <w:jc w:val="left"/>
              <w:rPr/>
            </w:pPr>
            <w:r>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244" w:type="dxa"/>
            <w:tcBorders/>
            <w:shd w:fill="FFFFFF" w:val="clear"/>
            <w:tcMar>
              <w:bottom w:w="0" w:type="dxa"/>
            </w:tcMar>
            <w:vAlign w:val="center"/>
          </w:tcPr>
          <w:p>
            <w:pPr>
              <w:pStyle w:val="TableContents"/>
              <w:bidi w:val="0"/>
              <w:spacing w:before="0" w:after="283"/>
              <w:jc w:val="right"/>
              <w:rPr/>
            </w:pPr>
            <w:r>
              <w:rPr/>
              <w:t>8,841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989" w:type="dxa"/>
            <w:tcBorders/>
            <w:shd w:fill="FFFFFF" w:val="clear"/>
            <w:tcMar>
              <w:bottom w:w="0" w:type="dxa"/>
            </w:tcMar>
            <w:vAlign w:val="center"/>
          </w:tcPr>
          <w:p>
            <w:pPr>
              <w:pStyle w:val="TableContents"/>
              <w:bidi w:val="0"/>
              <w:spacing w:before="0" w:after="283"/>
              <w:jc w:val="right"/>
              <w:rPr/>
            </w:pPr>
            <w:r>
              <w:rPr/>
              <w:t>(250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952" w:type="dxa"/>
            <w:tcBorders/>
            <w:shd w:fill="FFFFFF" w:val="clear"/>
            <w:tcMar>
              <w:bottom w:w="0" w:type="dxa"/>
            </w:tcMar>
            <w:vAlign w:val="center"/>
          </w:tcPr>
          <w:p>
            <w:pPr>
              <w:pStyle w:val="TableContents"/>
              <w:bidi w:val="0"/>
              <w:spacing w:before="0" w:after="283"/>
              <w:jc w:val="right"/>
              <w:rPr/>
            </w:pPr>
            <w:r>
              <w:rPr/>
              <w:t>8,591</w:t>
            </w:r>
          </w:p>
        </w:tc>
        <w:tc>
          <w:tcPr>
            <w:tcW w:w="110" w:type="dxa"/>
            <w:tcBorders/>
            <w:shd w:fill="FFFFFF" w:val="clear"/>
            <w:tcMar>
              <w:bottom w:w="0" w:type="dxa"/>
            </w:tcMar>
            <w:vAlign w:val="center"/>
          </w:tcPr>
          <w:p>
            <w:pPr>
              <w:pStyle w:val="TableContents"/>
              <w:bidi w:val="0"/>
              <w:spacing w:before="0" w:after="283"/>
              <w:jc w:val="left"/>
              <w:rPr/>
            </w:pPr>
            <w:r>
              <w:rPr/>
              <w:t> </w:t>
            </w:r>
            <w:bookmarkStart w:id="855" w:name="xdx_408_eus-gaap--OperatingIncomeLoss_ze"/>
            <w:bookmarkEnd w:id="855"/>
          </w:p>
        </w:tc>
      </w:tr>
      <w:tr>
        <w:trPr/>
        <w:tc>
          <w:tcPr>
            <w:tcW w:w="3980" w:type="dxa"/>
            <w:tcBorders/>
            <w:shd w:fill="CCEEFF" w:val="clear"/>
            <w:tcMar>
              <w:bottom w:w="0" w:type="dxa"/>
            </w:tcMar>
            <w:vAlign w:val="center"/>
          </w:tcPr>
          <w:p>
            <w:pPr>
              <w:pStyle w:val="TableContents"/>
              <w:bidi w:val="0"/>
              <w:spacing w:before="0" w:after="283"/>
              <w:jc w:val="left"/>
              <w:rPr/>
            </w:pPr>
            <w:r>
              <w:rPr/>
              <w:t>Loss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244" w:type="dxa"/>
            <w:tcBorders/>
            <w:shd w:fill="CCEEFF" w:val="clear"/>
            <w:tcMar>
              <w:bottom w:w="0" w:type="dxa"/>
            </w:tcMar>
            <w:vAlign w:val="center"/>
          </w:tcPr>
          <w:p>
            <w:pPr>
              <w:pStyle w:val="TableContents"/>
              <w:bidi w:val="0"/>
              <w:spacing w:before="0" w:after="283"/>
              <w:jc w:val="right"/>
              <w:rPr/>
            </w:pPr>
            <w:r>
              <w:rPr/>
              <w:t>(18,207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pPr>
            <w:r>
              <w:rPr/>
              <w:t>(250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952" w:type="dxa"/>
            <w:tcBorders/>
            <w:shd w:fill="CCEEFF" w:val="clear"/>
            <w:tcMar>
              <w:bottom w:w="0" w:type="dxa"/>
            </w:tcMar>
            <w:vAlign w:val="center"/>
          </w:tcPr>
          <w:p>
            <w:pPr>
              <w:pStyle w:val="TableContents"/>
              <w:bidi w:val="0"/>
              <w:spacing w:before="0" w:after="283"/>
              <w:jc w:val="right"/>
              <w:rPr/>
            </w:pPr>
            <w:r>
              <w:rPr/>
              <w:t>(18,457</w:t>
            </w:r>
          </w:p>
        </w:tc>
        <w:tc>
          <w:tcPr>
            <w:tcW w:w="110" w:type="dxa"/>
            <w:tcBorders/>
            <w:shd w:fill="CCEEFF" w:val="clear"/>
            <w:tcMar>
              <w:bottom w:w="0" w:type="dxa"/>
            </w:tcMar>
            <w:vAlign w:val="center"/>
          </w:tcPr>
          <w:p>
            <w:pPr>
              <w:pStyle w:val="TableContents"/>
              <w:bidi w:val="0"/>
              <w:spacing w:before="0" w:after="283"/>
              <w:jc w:val="left"/>
              <w:rPr/>
            </w:pPr>
            <w:r>
              <w:rPr/>
              <w:t>)</w:t>
            </w:r>
            <w:bookmarkStart w:id="856" w:name="xdx_406_eus-gaap--InterestExpense_zfyrt5"/>
            <w:bookmarkEnd w:id="856"/>
          </w:p>
        </w:tc>
      </w:tr>
      <w:tr>
        <w:trPr/>
        <w:tc>
          <w:tcPr>
            <w:tcW w:w="3980" w:type="dxa"/>
            <w:tcBorders/>
            <w:shd w:fill="FFFFFF" w:val="clear"/>
            <w:tcMar>
              <w:bottom w:w="0" w:type="dxa"/>
            </w:tcMar>
            <w:vAlign w:val="center"/>
          </w:tcPr>
          <w:p>
            <w:pPr>
              <w:pStyle w:val="TableContents"/>
              <w:bidi w:val="0"/>
              <w:spacing w:before="0" w:after="283"/>
              <w:jc w:val="left"/>
              <w:rPr/>
            </w:pPr>
            <w:r>
              <w:rPr/>
              <w:t>Interest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244" w:type="dxa"/>
            <w:tcBorders/>
            <w:shd w:fill="FFFFFF" w:val="clear"/>
            <w:tcMar>
              <w:bottom w:w="0" w:type="dxa"/>
            </w:tcMar>
            <w:vAlign w:val="center"/>
          </w:tcPr>
          <w:p>
            <w:pPr>
              <w:pStyle w:val="TableContents"/>
              <w:bidi w:val="0"/>
              <w:spacing w:before="0" w:after="283"/>
              <w:jc w:val="right"/>
              <w:rPr/>
            </w:pPr>
            <w:r>
              <w:rPr/>
              <w:t>(7,928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989" w:type="dxa"/>
            <w:tcBorders/>
            <w:shd w:fill="FFFFFF" w:val="clear"/>
            <w:tcMar>
              <w:bottom w:w="0" w:type="dxa"/>
            </w:tcMar>
            <w:vAlign w:val="center"/>
          </w:tcPr>
          <w:p>
            <w:pPr>
              <w:pStyle w:val="TableContents"/>
              <w:bidi w:val="0"/>
              <w:spacing w:before="0" w:after="283"/>
              <w:jc w:val="right"/>
              <w:rPr/>
            </w:pPr>
            <w:r>
              <w:rPr/>
              <w:t>(66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952" w:type="dxa"/>
            <w:tcBorders/>
            <w:shd w:fill="FFFFFF" w:val="clear"/>
            <w:tcMar>
              <w:bottom w:w="0" w:type="dxa"/>
            </w:tcMar>
            <w:vAlign w:val="center"/>
          </w:tcPr>
          <w:p>
            <w:pPr>
              <w:pStyle w:val="TableContents"/>
              <w:bidi w:val="0"/>
              <w:spacing w:before="0" w:after="283"/>
              <w:jc w:val="right"/>
              <w:rPr/>
            </w:pPr>
            <w:r>
              <w:rPr/>
              <w:t>(7,994</w:t>
            </w:r>
          </w:p>
        </w:tc>
        <w:tc>
          <w:tcPr>
            <w:tcW w:w="110" w:type="dxa"/>
            <w:tcBorders/>
            <w:shd w:fill="FFFFFF" w:val="clear"/>
            <w:tcMar>
              <w:bottom w:w="0" w:type="dxa"/>
            </w:tcMar>
            <w:vAlign w:val="center"/>
          </w:tcPr>
          <w:p>
            <w:pPr>
              <w:pStyle w:val="TableContents"/>
              <w:bidi w:val="0"/>
              <w:spacing w:before="0" w:after="283"/>
              <w:jc w:val="left"/>
              <w:rPr/>
            </w:pPr>
            <w:r>
              <w:rPr/>
              <w:t>)</w:t>
            </w:r>
            <w:bookmarkStart w:id="857" w:name="xdx_402_eus-gaap--IncomeLossFromContinui"/>
            <w:bookmarkEnd w:id="857"/>
          </w:p>
        </w:tc>
      </w:tr>
      <w:tr>
        <w:trPr/>
        <w:tc>
          <w:tcPr>
            <w:tcW w:w="3980" w:type="dxa"/>
            <w:tcBorders/>
            <w:shd w:fill="CCEEFF" w:val="clear"/>
            <w:tcMar>
              <w:bottom w:w="0" w:type="dxa"/>
            </w:tcMar>
            <w:vAlign w:val="center"/>
          </w:tcPr>
          <w:p>
            <w:pPr>
              <w:pStyle w:val="TableContents"/>
              <w:bidi w:val="0"/>
              <w:spacing w:before="0" w:after="283"/>
              <w:jc w:val="left"/>
              <w:rPr/>
            </w:pPr>
            <w:r>
              <w:rPr/>
              <w:t>Income Before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244" w:type="dxa"/>
            <w:tcBorders/>
            <w:shd w:fill="CCEEFF" w:val="clear"/>
            <w:tcMar>
              <w:bottom w:w="0" w:type="dxa"/>
            </w:tcMar>
            <w:vAlign w:val="center"/>
          </w:tcPr>
          <w:p>
            <w:pPr>
              <w:pStyle w:val="TableContents"/>
              <w:bidi w:val="0"/>
              <w:spacing w:before="0" w:after="283"/>
              <w:jc w:val="right"/>
              <w:rPr/>
            </w:pPr>
            <w:r>
              <w:rPr/>
              <w:t>(6,808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pPr>
            <w:r>
              <w:rPr/>
              <w:t>(316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952" w:type="dxa"/>
            <w:tcBorders/>
            <w:shd w:fill="CCEEFF" w:val="clear"/>
            <w:tcMar>
              <w:bottom w:w="0" w:type="dxa"/>
            </w:tcMar>
            <w:vAlign w:val="center"/>
          </w:tcPr>
          <w:p>
            <w:pPr>
              <w:pStyle w:val="TableContents"/>
              <w:bidi w:val="0"/>
              <w:spacing w:before="0" w:after="283"/>
              <w:jc w:val="right"/>
              <w:rPr/>
            </w:pPr>
            <w:r>
              <w:rPr/>
              <w:t>(7,124</w:t>
            </w:r>
          </w:p>
        </w:tc>
        <w:tc>
          <w:tcPr>
            <w:tcW w:w="110" w:type="dxa"/>
            <w:tcBorders/>
            <w:shd w:fill="CCEEFF" w:val="clear"/>
            <w:tcMar>
              <w:bottom w:w="0" w:type="dxa"/>
            </w:tcMar>
            <w:vAlign w:val="center"/>
          </w:tcPr>
          <w:p>
            <w:pPr>
              <w:pStyle w:val="TableContents"/>
              <w:bidi w:val="0"/>
              <w:spacing w:before="0" w:after="283"/>
              <w:jc w:val="left"/>
              <w:rPr/>
            </w:pPr>
            <w:r>
              <w:rPr/>
              <w:t>)</w:t>
            </w:r>
            <w:bookmarkStart w:id="858" w:name="xdx_401_eus-gaap--NetIncomeLoss_zdYNH3uc"/>
            <w:bookmarkEnd w:id="858"/>
          </w:p>
        </w:tc>
      </w:tr>
      <w:tr>
        <w:trPr/>
        <w:tc>
          <w:tcPr>
            <w:tcW w:w="3980" w:type="dxa"/>
            <w:tcBorders/>
            <w:shd w:fill="FFFFFF" w:val="clear"/>
            <w:tcMar>
              <w:bottom w:w="0" w:type="dxa"/>
            </w:tcMar>
            <w:vAlign w:val="center"/>
          </w:tcPr>
          <w:p>
            <w:pPr>
              <w:pStyle w:val="TableContents"/>
              <w:bidi w:val="0"/>
              <w:spacing w:before="0" w:after="283"/>
              <w:jc w:val="left"/>
              <w:rPr/>
            </w:pPr>
            <w:r>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244" w:type="dxa"/>
            <w:tcBorders/>
            <w:shd w:fill="FFFFFF" w:val="clear"/>
            <w:tcMar>
              <w:bottom w:w="0" w:type="dxa"/>
            </w:tcMar>
            <w:vAlign w:val="center"/>
          </w:tcPr>
          <w:p>
            <w:pPr>
              <w:pStyle w:val="TableContents"/>
              <w:bidi w:val="0"/>
              <w:spacing w:before="0" w:after="283"/>
              <w:jc w:val="right"/>
              <w:rPr/>
            </w:pPr>
            <w:r>
              <w:rPr/>
              <w:t>(6,808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989" w:type="dxa"/>
            <w:tcBorders/>
            <w:shd w:fill="FFFFFF" w:val="clear"/>
            <w:tcMar>
              <w:bottom w:w="0" w:type="dxa"/>
            </w:tcMar>
            <w:vAlign w:val="center"/>
          </w:tcPr>
          <w:p>
            <w:pPr>
              <w:pStyle w:val="TableContents"/>
              <w:bidi w:val="0"/>
              <w:spacing w:before="0" w:after="283"/>
              <w:jc w:val="right"/>
              <w:rPr/>
            </w:pPr>
            <w:r>
              <w:rPr/>
              <w:t>(316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952" w:type="dxa"/>
            <w:tcBorders/>
            <w:shd w:fill="FFFFFF" w:val="clear"/>
            <w:tcMar>
              <w:bottom w:w="0" w:type="dxa"/>
            </w:tcMar>
            <w:vAlign w:val="center"/>
          </w:tcPr>
          <w:p>
            <w:pPr>
              <w:pStyle w:val="TableContents"/>
              <w:bidi w:val="0"/>
              <w:spacing w:before="0" w:after="283"/>
              <w:jc w:val="right"/>
              <w:rPr/>
            </w:pPr>
            <w:r>
              <w:rPr/>
              <w:t>(7,124</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3980" w:type="dxa"/>
            <w:tcBorders/>
            <w:shd w:fill="CCEEFF" w:val="clear"/>
            <w:tcMar>
              <w:bottom w:w="0" w:type="dxa"/>
            </w:tcMar>
            <w:vAlign w:val="center"/>
          </w:tcPr>
          <w:p>
            <w:pPr>
              <w:pStyle w:val="TableContents"/>
              <w:bidi w:val="0"/>
              <w:spacing w:before="0" w:after="283"/>
              <w:jc w:val="left"/>
              <w:rPr/>
            </w:pPr>
            <w:r>
              <w:rPr/>
              <w:t>Net Loss per share – Basic &amp; Diluted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244" w:type="dxa"/>
            <w:tcBorders/>
            <w:shd w:fill="CCEEFF" w:val="clear"/>
            <w:tcMar>
              <w:bottom w:w="0" w:type="dxa"/>
            </w:tcMar>
            <w:vAlign w:val="center"/>
          </w:tcPr>
          <w:p>
            <w:pPr>
              <w:pStyle w:val="TableContents"/>
              <w:bidi w:val="0"/>
              <w:spacing w:before="0" w:after="283"/>
              <w:jc w:val="right"/>
              <w:rPr/>
            </w:pPr>
            <w:bookmarkStart w:id="859" w:name="xdx_906_eus-gaap--EarningsPerShareDilute"/>
            <w:bookmarkStart w:id="860" w:name="xdx_90A_eus-gaap--EarningsPerShareBasic_"/>
            <w:bookmarkEnd w:id="859"/>
            <w:bookmarkEnd w:id="860"/>
            <w:r>
              <w:rPr/>
              <w:t>(0.15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pPr>
            <w:bookmarkStart w:id="861" w:name="xdx_900_eus-gaap--EarningsPerShareDilute"/>
            <w:bookmarkStart w:id="862" w:name="xdx_902_eus-gaap--EarningsPerShareBasic_"/>
            <w:bookmarkEnd w:id="861"/>
            <w:bookmarkEnd w:id="862"/>
            <w:r>
              <w:rPr/>
              <w:t>(0.0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952" w:type="dxa"/>
            <w:tcBorders/>
            <w:shd w:fill="CCEEFF" w:val="clear"/>
            <w:tcMar>
              <w:bottom w:w="0" w:type="dxa"/>
            </w:tcMar>
            <w:vAlign w:val="center"/>
          </w:tcPr>
          <w:p>
            <w:pPr>
              <w:pStyle w:val="TableContents"/>
              <w:bidi w:val="0"/>
              <w:spacing w:before="0" w:after="283"/>
              <w:jc w:val="right"/>
              <w:rPr/>
            </w:pPr>
            <w:bookmarkStart w:id="863" w:name="xdx_903_eus-gaap--EarningsPerShareDilute"/>
            <w:bookmarkStart w:id="864" w:name="xdx_907_eus-gaap--EarningsPerShareBasic_"/>
            <w:bookmarkEnd w:id="863"/>
            <w:bookmarkEnd w:id="864"/>
            <w:r>
              <w:rPr/>
              <w:t>(0.15</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8838" w:type="dxa"/>
        <w:jc w:val="left"/>
        <w:tblInd w:w="0" w:type="dxa"/>
        <w:tblLayout w:type="fixed"/>
        <w:tblCellMar>
          <w:top w:w="0" w:type="dxa"/>
          <w:left w:w="0" w:type="dxa"/>
          <w:bottom w:w="28" w:type="dxa"/>
          <w:right w:w="0" w:type="dxa"/>
        </w:tblCellMar>
      </w:tblPr>
      <w:tblGrid>
        <w:gridCol w:w="4040"/>
        <w:gridCol w:w="60"/>
        <w:gridCol w:w="187"/>
        <w:gridCol w:w="1992"/>
        <w:gridCol w:w="95"/>
        <w:gridCol w:w="60"/>
        <w:gridCol w:w="129"/>
        <w:gridCol w:w="986"/>
        <w:gridCol w:w="95"/>
        <w:gridCol w:w="60"/>
        <w:gridCol w:w="88"/>
        <w:gridCol w:w="936"/>
        <w:gridCol w:w="110"/>
      </w:tblGrid>
      <w:tr>
        <w:trPr/>
        <w:tc>
          <w:tcPr>
            <w:tcW w:w="4040" w:type="dxa"/>
            <w:tcBorders>
              <w:bottom w:val="single" w:sz="12" w:space="0" w:color="000000"/>
            </w:tcBorders>
            <w:vAlign w:val="center"/>
          </w:tcPr>
          <w:p>
            <w:pPr>
              <w:pStyle w:val="TableContents"/>
              <w:bidi w:val="0"/>
              <w:spacing w:before="0" w:after="283"/>
              <w:jc w:val="left"/>
              <w:rPr>
                <w:b/>
              </w:rPr>
            </w:pPr>
            <w:r>
              <w:rPr>
                <w:b/>
              </w:rPr>
              <w:t>Consolidated Statements of Cash Flows</w:t>
            </w:r>
          </w:p>
        </w:tc>
        <w:tc>
          <w:tcPr>
            <w:tcW w:w="60" w:type="dxa"/>
            <w:tcBorders/>
            <w:tcMar>
              <w:bottom w:w="0" w:type="dxa"/>
            </w:tcMar>
            <w:vAlign w:val="center"/>
          </w:tcPr>
          <w:p>
            <w:pPr>
              <w:pStyle w:val="TableContents"/>
              <w:bidi w:val="0"/>
              <w:spacing w:before="0" w:after="283"/>
              <w:jc w:val="left"/>
              <w:rPr/>
            </w:pPr>
            <w:r>
              <w:rPr/>
              <w:t> </w:t>
            </w:r>
            <w:bookmarkStart w:id="865" w:name="xdx_497_20230101__20230630__srt--Restate"/>
            <w:bookmarkEnd w:id="865"/>
          </w:p>
        </w:tc>
        <w:tc>
          <w:tcPr>
            <w:tcW w:w="2179" w:type="dxa"/>
            <w:gridSpan w:val="2"/>
            <w:tcBorders>
              <w:bottom w:val="single" w:sz="12" w:space="0" w:color="000000"/>
            </w:tcBorders>
            <w:vAlign w:val="center"/>
          </w:tcPr>
          <w:p>
            <w:pPr>
              <w:pStyle w:val="TableContents"/>
              <w:bidi w:val="0"/>
              <w:spacing w:before="0" w:after="283"/>
              <w:jc w:val="center"/>
              <w:rPr/>
            </w:pPr>
            <w:r>
              <w:rPr/>
              <w:t>As previously</w:t>
              <w:br/>
              <w:t>reported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866" w:name="xdx_49F_20230101__20230630__srt--Restate"/>
            <w:bookmarkEnd w:id="866"/>
          </w:p>
        </w:tc>
        <w:tc>
          <w:tcPr>
            <w:tcW w:w="1115" w:type="dxa"/>
            <w:gridSpan w:val="2"/>
            <w:tcBorders>
              <w:bottom w:val="single" w:sz="12" w:space="0" w:color="000000"/>
            </w:tcBorders>
            <w:vAlign w:val="center"/>
          </w:tcPr>
          <w:p>
            <w:pPr>
              <w:pStyle w:val="TableContents"/>
              <w:bidi w:val="0"/>
              <w:spacing w:before="0" w:after="283"/>
              <w:jc w:val="center"/>
              <w:rPr/>
            </w:pPr>
            <w:r>
              <w:rP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867" w:name="xdx_490_20230101__20230630_z6qYPxlP0pVk"/>
            <w:bookmarkEnd w:id="867"/>
          </w:p>
        </w:tc>
        <w:tc>
          <w:tcPr>
            <w:tcW w:w="1024" w:type="dxa"/>
            <w:gridSpan w:val="2"/>
            <w:tcBorders>
              <w:bottom w:val="single" w:sz="12" w:space="0" w:color="000000"/>
            </w:tcBorders>
            <w:vAlign w:val="center"/>
          </w:tcPr>
          <w:p>
            <w:pPr>
              <w:pStyle w:val="TableContents"/>
              <w:bidi w:val="0"/>
              <w:spacing w:before="0" w:after="283"/>
              <w:jc w:val="center"/>
              <w:rPr/>
            </w:pPr>
            <w:r>
              <w:rPr/>
              <w:t>As revised</w:t>
            </w:r>
          </w:p>
        </w:tc>
        <w:tc>
          <w:tcPr>
            <w:tcW w:w="110" w:type="dxa"/>
            <w:tcBorders/>
            <w:tcMar>
              <w:bottom w:w="0" w:type="dxa"/>
            </w:tcMar>
            <w:vAlign w:val="center"/>
          </w:tcPr>
          <w:p>
            <w:pPr>
              <w:pStyle w:val="TableContents"/>
              <w:bidi w:val="0"/>
              <w:spacing w:before="0" w:after="283"/>
              <w:jc w:val="left"/>
              <w:rPr/>
            </w:pPr>
            <w:r>
              <w:rPr/>
              <w:t> </w:t>
            </w:r>
          </w:p>
        </w:tc>
      </w:tr>
      <w:tr>
        <w:trPr/>
        <w:tc>
          <w:tcPr>
            <w:tcW w:w="40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628" w:type="dxa"/>
            <w:gridSpan w:val="10"/>
            <w:tcBorders>
              <w:bottom w:val="single" w:sz="12" w:space="0" w:color="000000"/>
            </w:tcBorders>
            <w:vAlign w:val="center"/>
          </w:tcPr>
          <w:p>
            <w:pPr>
              <w:pStyle w:val="TableContents"/>
              <w:bidi w:val="0"/>
              <w:spacing w:before="0" w:after="283"/>
              <w:jc w:val="center"/>
              <w:rPr/>
            </w:pPr>
            <w:r>
              <w:rPr/>
              <w:t>For the Period Ended June 30, 2023</w:t>
            </w:r>
          </w:p>
        </w:tc>
        <w:tc>
          <w:tcPr>
            <w:tcW w:w="110" w:type="dxa"/>
            <w:tcBorders/>
            <w:tcMar>
              <w:bottom w:w="0" w:type="dxa"/>
            </w:tcMar>
            <w:vAlign w:val="center"/>
          </w:tcPr>
          <w:p>
            <w:pPr>
              <w:pStyle w:val="TableContents"/>
              <w:bidi w:val="0"/>
              <w:spacing w:before="0" w:after="283"/>
              <w:jc w:val="left"/>
              <w:rPr/>
            </w:pPr>
            <w:r>
              <w:rPr/>
              <w:t> </w:t>
            </w:r>
          </w:p>
        </w:tc>
      </w:tr>
      <w:tr>
        <w:trPr/>
        <w:tc>
          <w:tcPr>
            <w:tcW w:w="4040" w:type="dxa"/>
            <w:tcBorders>
              <w:bottom w:val="single" w:sz="12" w:space="0" w:color="000000"/>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tc>
        <w:tc>
          <w:tcPr>
            <w:tcW w:w="60" w:type="dxa"/>
            <w:tcBorders/>
            <w:tcMar>
              <w:bottom w:w="0" w:type="dxa"/>
            </w:tcMar>
            <w:vAlign w:val="center"/>
          </w:tcPr>
          <w:p>
            <w:pPr>
              <w:pStyle w:val="TableContents"/>
              <w:bidi w:val="0"/>
              <w:spacing w:before="0" w:after="283"/>
              <w:jc w:val="left"/>
              <w:rPr/>
            </w:pPr>
            <w:r>
              <w:rPr/>
              <w:t> </w:t>
            </w:r>
          </w:p>
        </w:tc>
        <w:tc>
          <w:tcPr>
            <w:tcW w:w="2179" w:type="dxa"/>
            <w:gridSpan w:val="2"/>
            <w:tcBorders>
              <w:bottom w:val="single" w:sz="12" w:space="0" w:color="000000"/>
            </w:tcBorders>
            <w:vAlign w:val="center"/>
          </w:tcPr>
          <w:p>
            <w:pPr>
              <w:pStyle w:val="TableContents"/>
              <w:bidi w:val="0"/>
              <w:spacing w:before="0" w:after="283"/>
              <w:jc w:val="center"/>
              <w:rPr/>
            </w:pPr>
            <w:r>
              <w:rPr/>
              <w:t>As previously reported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12" w:space="0" w:color="000000"/>
            </w:tcBorders>
            <w:vAlign w:val="center"/>
          </w:tcPr>
          <w:p>
            <w:pPr>
              <w:pStyle w:val="TableContents"/>
              <w:bidi w:val="0"/>
              <w:spacing w:before="0" w:after="283"/>
              <w:jc w:val="center"/>
              <w:rPr/>
            </w:pPr>
            <w:r>
              <w:rP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4" w:type="dxa"/>
            <w:gridSpan w:val="2"/>
            <w:tcBorders>
              <w:bottom w:val="single" w:sz="12" w:space="0" w:color="000000"/>
            </w:tcBorders>
            <w:vAlign w:val="center"/>
          </w:tcPr>
          <w:p>
            <w:pPr>
              <w:pStyle w:val="TableContents"/>
              <w:bidi w:val="0"/>
              <w:spacing w:before="0" w:after="283"/>
              <w:jc w:val="center"/>
              <w:rPr/>
            </w:pPr>
            <w:r>
              <w:rPr/>
              <w:t>As revised</w:t>
            </w:r>
          </w:p>
        </w:tc>
        <w:tc>
          <w:tcPr>
            <w:tcW w:w="110" w:type="dxa"/>
            <w:tcBorders/>
            <w:tcMar>
              <w:bottom w:w="0" w:type="dxa"/>
            </w:tcMar>
            <w:vAlign w:val="center"/>
          </w:tcPr>
          <w:p>
            <w:pPr>
              <w:pStyle w:val="TableContents"/>
              <w:bidi w:val="0"/>
              <w:spacing w:before="0" w:after="283"/>
              <w:jc w:val="left"/>
              <w:rPr/>
            </w:pPr>
            <w:r>
              <w:rPr/>
              <w:t> </w:t>
            </w:r>
            <w:bookmarkStart w:id="868" w:name="xdx_405_eus-gaap--NetIncomeLoss_zuz2qJCx"/>
            <w:bookmarkEnd w:id="868"/>
          </w:p>
        </w:tc>
      </w:tr>
      <w:tr>
        <w:trPr/>
        <w:tc>
          <w:tcPr>
            <w:tcW w:w="4040" w:type="dxa"/>
            <w:tcBorders/>
            <w:shd w:fill="CCEEFF" w:val="clear"/>
            <w:tcMar>
              <w:bottom w:w="0" w:type="dxa"/>
            </w:tcMar>
            <w:vAlign w:val="center"/>
          </w:tcPr>
          <w:p>
            <w:pPr>
              <w:pStyle w:val="TableContents"/>
              <w:bidi w:val="0"/>
              <w:spacing w:before="0" w:after="283"/>
              <w:jc w:val="left"/>
              <w:rPr/>
            </w:pPr>
            <w:r>
              <w:rPr/>
              <w:t>Net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1992" w:type="dxa"/>
            <w:tcBorders/>
            <w:shd w:fill="CCEEFF" w:val="clear"/>
            <w:tcMar>
              <w:bottom w:w="0" w:type="dxa"/>
            </w:tcMar>
            <w:vAlign w:val="center"/>
          </w:tcPr>
          <w:p>
            <w:pPr>
              <w:pStyle w:val="TableContents"/>
              <w:bidi w:val="0"/>
              <w:spacing w:before="0" w:after="283"/>
              <w:jc w:val="right"/>
              <w:rPr/>
            </w:pPr>
            <w:r>
              <w:rPr/>
              <w:t>(6,808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986" w:type="dxa"/>
            <w:tcBorders/>
            <w:shd w:fill="CCEEFF" w:val="clear"/>
            <w:tcMar>
              <w:bottom w:w="0" w:type="dxa"/>
            </w:tcMar>
            <w:vAlign w:val="center"/>
          </w:tcPr>
          <w:p>
            <w:pPr>
              <w:pStyle w:val="TableContents"/>
              <w:bidi w:val="0"/>
              <w:spacing w:before="0" w:after="283"/>
              <w:jc w:val="right"/>
              <w:rPr/>
            </w:pPr>
            <w:r>
              <w:rPr/>
              <w:t>(316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936" w:type="dxa"/>
            <w:tcBorders/>
            <w:shd w:fill="CCEEFF" w:val="clear"/>
            <w:tcMar>
              <w:bottom w:w="0" w:type="dxa"/>
            </w:tcMar>
            <w:vAlign w:val="center"/>
          </w:tcPr>
          <w:p>
            <w:pPr>
              <w:pStyle w:val="TableContents"/>
              <w:bidi w:val="0"/>
              <w:spacing w:before="0" w:after="283"/>
              <w:jc w:val="right"/>
              <w:rPr/>
            </w:pPr>
            <w:r>
              <w:rPr/>
              <w:t>(7,124</w:t>
            </w:r>
          </w:p>
        </w:tc>
        <w:tc>
          <w:tcPr>
            <w:tcW w:w="110" w:type="dxa"/>
            <w:tcBorders/>
            <w:shd w:fill="CCEEFF" w:val="clear"/>
            <w:tcMar>
              <w:bottom w:w="0" w:type="dxa"/>
            </w:tcMar>
            <w:vAlign w:val="center"/>
          </w:tcPr>
          <w:p>
            <w:pPr>
              <w:pStyle w:val="TableContents"/>
              <w:bidi w:val="0"/>
              <w:spacing w:before="0" w:after="283"/>
              <w:jc w:val="left"/>
              <w:rPr/>
            </w:pPr>
            <w:r>
              <w:rPr/>
              <w:t>)</w:t>
            </w:r>
            <w:bookmarkStart w:id="869" w:name="xdx_408_ecustom--IncreaseDecreaseInAccru"/>
            <w:bookmarkEnd w:id="869"/>
          </w:p>
        </w:tc>
      </w:tr>
      <w:tr>
        <w:trPr/>
        <w:tc>
          <w:tcPr>
            <w:tcW w:w="4040" w:type="dxa"/>
            <w:tcBorders/>
            <w:shd w:fill="FFFFFF" w:val="clear"/>
            <w:tcMar>
              <w:bottom w:w="0" w:type="dxa"/>
            </w:tcMar>
            <w:vAlign w:val="center"/>
          </w:tcPr>
          <w:p>
            <w:pPr>
              <w:pStyle w:val="TableContents"/>
              <w:bidi w:val="0"/>
              <w:spacing w:before="0" w:after="283"/>
              <w:jc w:val="left"/>
              <w:rPr/>
            </w:pPr>
            <w:r>
              <w:rPr/>
              <w:t>Change in Accrued Tariffs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1992"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986" w:type="dxa"/>
            <w:tcBorders/>
            <w:shd w:fill="FFFFFF" w:val="clear"/>
            <w:tcMar>
              <w:bottom w:w="0" w:type="dxa"/>
            </w:tcMar>
            <w:vAlign w:val="center"/>
          </w:tcPr>
          <w:p>
            <w:pPr>
              <w:pStyle w:val="TableContents"/>
              <w:bidi w:val="0"/>
              <w:spacing w:before="0" w:after="283"/>
              <w:jc w:val="right"/>
              <w:rPr/>
            </w:pPr>
            <w:r>
              <w:rPr/>
              <w:t>316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936" w:type="dxa"/>
            <w:tcBorders/>
            <w:shd w:fill="FFFFFF" w:val="clear"/>
            <w:tcMar>
              <w:bottom w:w="0" w:type="dxa"/>
            </w:tcMar>
            <w:vAlign w:val="center"/>
          </w:tcPr>
          <w:p>
            <w:pPr>
              <w:pStyle w:val="TableContents"/>
              <w:bidi w:val="0"/>
              <w:spacing w:before="0" w:after="283"/>
              <w:jc w:val="right"/>
              <w:rPr/>
            </w:pPr>
            <w:r>
              <w:rPr/>
              <w:t>316</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8958" w:type="dxa"/>
        <w:jc w:val="left"/>
        <w:tblInd w:w="0" w:type="dxa"/>
        <w:tblLayout w:type="fixed"/>
        <w:tblCellMar>
          <w:top w:w="0" w:type="dxa"/>
          <w:left w:w="0" w:type="dxa"/>
          <w:bottom w:w="28" w:type="dxa"/>
          <w:right w:w="0" w:type="dxa"/>
        </w:tblCellMar>
      </w:tblPr>
      <w:tblGrid>
        <w:gridCol w:w="4160"/>
        <w:gridCol w:w="60"/>
        <w:gridCol w:w="159"/>
        <w:gridCol w:w="2020"/>
        <w:gridCol w:w="95"/>
        <w:gridCol w:w="60"/>
        <w:gridCol w:w="129"/>
        <w:gridCol w:w="986"/>
        <w:gridCol w:w="95"/>
        <w:gridCol w:w="60"/>
        <w:gridCol w:w="75"/>
        <w:gridCol w:w="949"/>
        <w:gridCol w:w="110"/>
      </w:tblGrid>
      <w:tr>
        <w:trPr/>
        <w:tc>
          <w:tcPr>
            <w:tcW w:w="4160" w:type="dxa"/>
            <w:tcBorders>
              <w:bottom w:val="single" w:sz="12"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Consolidated Statements of Stockholders’ Equity</w:t>
            </w:r>
          </w:p>
        </w:tc>
        <w:tc>
          <w:tcPr>
            <w:tcW w:w="60" w:type="dxa"/>
            <w:tcBorders/>
            <w:tcMar>
              <w:bottom w:w="0" w:type="dxa"/>
            </w:tcMar>
            <w:vAlign w:val="center"/>
          </w:tcPr>
          <w:p>
            <w:pPr>
              <w:pStyle w:val="TableContents"/>
              <w:bidi w:val="0"/>
              <w:spacing w:before="0" w:after="283"/>
              <w:jc w:val="left"/>
              <w:rPr/>
            </w:pPr>
            <w:r>
              <w:rPr/>
              <w:t> </w:t>
            </w:r>
            <w:bookmarkStart w:id="870" w:name="xdx_4B0_srt--RestatementAxis_srt--Scenar"/>
            <w:bookmarkEnd w:id="870"/>
          </w:p>
        </w:tc>
        <w:tc>
          <w:tcPr>
            <w:tcW w:w="217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As previously reported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871" w:name="xdx_4B3_srt--RestatementAxis_srt--Restat"/>
            <w:bookmarkEnd w:id="871"/>
          </w:p>
        </w:tc>
        <w:tc>
          <w:tcPr>
            <w:tcW w:w="111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872" w:name="xdx_4B4_zDdVHBQd6VOe"/>
            <w:bookmarkEnd w:id="872"/>
          </w:p>
        </w:tc>
        <w:tc>
          <w:tcPr>
            <w:tcW w:w="102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As revised</w:t>
            </w:r>
          </w:p>
        </w:tc>
        <w:tc>
          <w:tcPr>
            <w:tcW w:w="110" w:type="dxa"/>
            <w:tcBorders/>
            <w:tcMar>
              <w:bottom w:w="0" w:type="dxa"/>
            </w:tcMar>
            <w:vAlign w:val="center"/>
          </w:tcPr>
          <w:p>
            <w:pPr>
              <w:pStyle w:val="TableContents"/>
              <w:bidi w:val="0"/>
              <w:spacing w:before="0" w:after="283"/>
              <w:jc w:val="left"/>
              <w:rPr/>
            </w:pPr>
            <w:r>
              <w:rPr/>
              <w:t> </w:t>
            </w:r>
          </w:p>
        </w:tc>
      </w:tr>
      <w:tr>
        <w:trPr/>
        <w:tc>
          <w:tcPr>
            <w:tcW w:w="41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628" w:type="dxa"/>
            <w:gridSpan w:val="10"/>
            <w:tcBorders>
              <w:bottom w:val="single" w:sz="12" w:space="0" w:color="000000"/>
            </w:tcBorders>
            <w:vAlign w:val="center"/>
          </w:tcPr>
          <w:p>
            <w:pPr>
              <w:pStyle w:val="TableContents"/>
              <w:bidi w:val="0"/>
              <w:spacing w:before="0" w:after="283"/>
              <w:jc w:val="center"/>
              <w:rPr/>
            </w:pPr>
            <w:r>
              <w:rPr/>
              <w:t>For the Period Ended June 30, 2023</w:t>
            </w:r>
          </w:p>
        </w:tc>
        <w:tc>
          <w:tcPr>
            <w:tcW w:w="110" w:type="dxa"/>
            <w:tcBorders/>
            <w:tcMar>
              <w:bottom w:w="0" w:type="dxa"/>
            </w:tcMar>
            <w:vAlign w:val="center"/>
          </w:tcPr>
          <w:p>
            <w:pPr>
              <w:pStyle w:val="TableContents"/>
              <w:bidi w:val="0"/>
              <w:spacing w:before="0" w:after="283"/>
              <w:jc w:val="left"/>
              <w:rPr/>
            </w:pPr>
            <w:r>
              <w:rPr/>
              <w:t> </w:t>
            </w:r>
          </w:p>
        </w:tc>
      </w:tr>
      <w:tr>
        <w:trPr/>
        <w:tc>
          <w:tcPr>
            <w:tcW w:w="4160" w:type="dxa"/>
            <w:tcBorders>
              <w:bottom w:val="single" w:sz="12" w:space="0" w:color="000000"/>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Shareholder’s Equity</w:t>
            </w:r>
          </w:p>
        </w:tc>
        <w:tc>
          <w:tcPr>
            <w:tcW w:w="60" w:type="dxa"/>
            <w:tcBorders/>
            <w:tcMar>
              <w:bottom w:w="0" w:type="dxa"/>
            </w:tcMar>
            <w:vAlign w:val="center"/>
          </w:tcPr>
          <w:p>
            <w:pPr>
              <w:pStyle w:val="TableContents"/>
              <w:bidi w:val="0"/>
              <w:spacing w:before="0" w:after="283"/>
              <w:jc w:val="left"/>
              <w:rPr/>
            </w:pPr>
            <w:r>
              <w:rPr/>
              <w:t> </w:t>
            </w:r>
          </w:p>
        </w:tc>
        <w:tc>
          <w:tcPr>
            <w:tcW w:w="2179" w:type="dxa"/>
            <w:gridSpan w:val="2"/>
            <w:tcBorders>
              <w:bottom w:val="single" w:sz="12" w:space="0" w:color="000000"/>
            </w:tcBorders>
            <w:vAlign w:val="center"/>
          </w:tcPr>
          <w:p>
            <w:pPr>
              <w:pStyle w:val="TableContents"/>
              <w:bidi w:val="0"/>
              <w:spacing w:before="0" w:after="283"/>
              <w:jc w:val="center"/>
              <w:rPr/>
            </w:pPr>
            <w:r>
              <w:rPr/>
              <w:t>As previously reported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12" w:space="0" w:color="000000"/>
            </w:tcBorders>
            <w:vAlign w:val="center"/>
          </w:tcPr>
          <w:p>
            <w:pPr>
              <w:pStyle w:val="TableContents"/>
              <w:bidi w:val="0"/>
              <w:spacing w:before="0" w:after="283"/>
              <w:jc w:val="center"/>
              <w:rPr/>
            </w:pPr>
            <w:r>
              <w:rP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4" w:type="dxa"/>
            <w:gridSpan w:val="2"/>
            <w:tcBorders>
              <w:bottom w:val="single" w:sz="12" w:space="0" w:color="000000"/>
            </w:tcBorders>
            <w:vAlign w:val="center"/>
          </w:tcPr>
          <w:p>
            <w:pPr>
              <w:pStyle w:val="TableContents"/>
              <w:bidi w:val="0"/>
              <w:spacing w:before="0" w:after="283"/>
              <w:jc w:val="center"/>
              <w:rPr/>
            </w:pPr>
            <w:r>
              <w:rPr/>
              <w:t>As revised</w:t>
            </w:r>
          </w:p>
        </w:tc>
        <w:tc>
          <w:tcPr>
            <w:tcW w:w="110" w:type="dxa"/>
            <w:tcBorders/>
            <w:tcMar>
              <w:bottom w:w="0" w:type="dxa"/>
            </w:tcMar>
            <w:vAlign w:val="center"/>
          </w:tcPr>
          <w:p>
            <w:pPr>
              <w:pStyle w:val="TableContents"/>
              <w:bidi w:val="0"/>
              <w:spacing w:before="0" w:after="283"/>
              <w:jc w:val="left"/>
              <w:rPr/>
            </w:pPr>
            <w:r>
              <w:rPr/>
              <w:t> </w:t>
            </w:r>
            <w:bookmarkStart w:id="873" w:name="xdx_434_c20230101__20230331_eus-gaap--Re"/>
            <w:bookmarkEnd w:id="873"/>
          </w:p>
        </w:tc>
      </w:tr>
      <w:tr>
        <w:trPr/>
        <w:tc>
          <w:tcPr>
            <w:tcW w:w="4160" w:type="dxa"/>
            <w:tcBorders/>
            <w:shd w:fill="CCEEFF" w:val="clear"/>
            <w:tcMar>
              <w:bottom w:w="0" w:type="dxa"/>
            </w:tcMar>
            <w:vAlign w:val="center"/>
          </w:tcPr>
          <w:p>
            <w:pPr>
              <w:pStyle w:val="TableContents"/>
              <w:bidi w:val="0"/>
              <w:spacing w:before="0" w:after="283"/>
              <w:jc w:val="left"/>
              <w:rPr/>
            </w:pPr>
            <w:r>
              <w:rPr/>
              <w:t>Accumulated Deficit - January 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2020" w:type="dxa"/>
            <w:tcBorders/>
            <w:shd w:fill="CCEEFF" w:val="clear"/>
            <w:tcMar>
              <w:bottom w:w="0" w:type="dxa"/>
            </w:tcMar>
            <w:vAlign w:val="center"/>
          </w:tcPr>
          <w:p>
            <w:pPr>
              <w:pStyle w:val="TableContents"/>
              <w:bidi w:val="0"/>
              <w:spacing w:before="0" w:after="283"/>
              <w:jc w:val="right"/>
              <w:rPr/>
            </w:pPr>
            <w:r>
              <w:rPr/>
              <w:t>(27,133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986" w:type="dxa"/>
            <w:tcBorders/>
            <w:shd w:fill="CCEEFF" w:val="clear"/>
            <w:tcMar>
              <w:bottom w:w="0" w:type="dxa"/>
            </w:tcMar>
            <w:vAlign w:val="center"/>
          </w:tcPr>
          <w:p>
            <w:pPr>
              <w:pStyle w:val="TableContents"/>
              <w:bidi w:val="0"/>
              <w:spacing w:before="0" w:after="283"/>
              <w:jc w:val="right"/>
              <w:rPr/>
            </w:pPr>
            <w:r>
              <w:rPr/>
              <w:t>(589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949" w:type="dxa"/>
            <w:tcBorders/>
            <w:shd w:fill="CCEEFF" w:val="clear"/>
            <w:tcMar>
              <w:bottom w:w="0" w:type="dxa"/>
            </w:tcMar>
            <w:vAlign w:val="center"/>
          </w:tcPr>
          <w:p>
            <w:pPr>
              <w:pStyle w:val="TableContents"/>
              <w:bidi w:val="0"/>
              <w:spacing w:before="0" w:after="283"/>
              <w:jc w:val="right"/>
              <w:rPr/>
            </w:pPr>
            <w:r>
              <w:rPr/>
              <w:t>(27,722</w:t>
            </w:r>
          </w:p>
        </w:tc>
        <w:tc>
          <w:tcPr>
            <w:tcW w:w="110" w:type="dxa"/>
            <w:tcBorders/>
            <w:shd w:fill="CCEEFF" w:val="clear"/>
            <w:tcMar>
              <w:bottom w:w="0" w:type="dxa"/>
            </w:tcMar>
            <w:vAlign w:val="center"/>
          </w:tcPr>
          <w:p>
            <w:pPr>
              <w:pStyle w:val="TableContents"/>
              <w:bidi w:val="0"/>
              <w:spacing w:before="0" w:after="283"/>
              <w:jc w:val="left"/>
              <w:rPr/>
            </w:pPr>
            <w:r>
              <w:rPr/>
              <w:t>)</w:t>
            </w:r>
            <w:bookmarkStart w:id="874" w:name="xdx_40D_eus-gaap--NetIncomeLoss_zfqOkFeI"/>
            <w:bookmarkEnd w:id="874"/>
          </w:p>
        </w:tc>
      </w:tr>
      <w:tr>
        <w:trPr/>
        <w:tc>
          <w:tcPr>
            <w:tcW w:w="4160" w:type="dxa"/>
            <w:tcBorders/>
            <w:shd w:fill="FFFFFF" w:val="clear"/>
            <w:tcMar>
              <w:bottom w:w="0" w:type="dxa"/>
            </w:tcMar>
            <w:vAlign w:val="center"/>
          </w:tcPr>
          <w:p>
            <w:pPr>
              <w:pStyle w:val="TableContents"/>
              <w:bidi w:val="0"/>
              <w:spacing w:before="0" w:after="283"/>
              <w:jc w:val="left"/>
              <w:rPr/>
            </w:pPr>
            <w:r>
              <w:rPr/>
              <w:t>Net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2020" w:type="dxa"/>
            <w:tcBorders/>
            <w:shd w:fill="FFFFFF" w:val="clear"/>
            <w:tcMar>
              <w:bottom w:w="0" w:type="dxa"/>
            </w:tcMar>
            <w:vAlign w:val="center"/>
          </w:tcPr>
          <w:p>
            <w:pPr>
              <w:pStyle w:val="TableContents"/>
              <w:bidi w:val="0"/>
              <w:spacing w:before="0" w:after="283"/>
              <w:jc w:val="right"/>
              <w:rPr/>
            </w:pPr>
            <w:r>
              <w:rPr/>
              <w:t>4,892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986" w:type="dxa"/>
            <w:tcBorders/>
            <w:shd w:fill="FFFFFF" w:val="clear"/>
            <w:tcMar>
              <w:bottom w:w="0" w:type="dxa"/>
            </w:tcMar>
            <w:vAlign w:val="center"/>
          </w:tcPr>
          <w:p>
            <w:pPr>
              <w:pStyle w:val="TableContents"/>
              <w:bidi w:val="0"/>
              <w:spacing w:before="0" w:after="283"/>
              <w:jc w:val="right"/>
              <w:rPr/>
            </w:pPr>
            <w:r>
              <w:rPr/>
              <w:t>(117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949" w:type="dxa"/>
            <w:tcBorders/>
            <w:shd w:fill="FFFFFF" w:val="clear"/>
            <w:tcMar>
              <w:bottom w:w="0" w:type="dxa"/>
            </w:tcMar>
            <w:vAlign w:val="center"/>
          </w:tcPr>
          <w:p>
            <w:pPr>
              <w:pStyle w:val="TableContents"/>
              <w:bidi w:val="0"/>
              <w:spacing w:before="0" w:after="283"/>
              <w:jc w:val="right"/>
              <w:rPr/>
            </w:pPr>
            <w:r>
              <w:rPr/>
              <w:t>4,775</w:t>
            </w:r>
          </w:p>
        </w:tc>
        <w:tc>
          <w:tcPr>
            <w:tcW w:w="110" w:type="dxa"/>
            <w:tcBorders/>
            <w:shd w:fill="FFFFFF" w:val="clear"/>
            <w:tcMar>
              <w:bottom w:w="0" w:type="dxa"/>
            </w:tcMar>
            <w:vAlign w:val="center"/>
          </w:tcPr>
          <w:p>
            <w:pPr>
              <w:pStyle w:val="TableContents"/>
              <w:bidi w:val="0"/>
              <w:spacing w:before="0" w:after="283"/>
              <w:jc w:val="left"/>
              <w:rPr/>
            </w:pPr>
            <w:r>
              <w:rPr/>
              <w:t> </w:t>
            </w:r>
            <w:bookmarkStart w:id="875" w:name="xdx_436_c20230401__20230630_eus-gaap--Re"/>
            <w:bookmarkEnd w:id="875"/>
          </w:p>
        </w:tc>
      </w:tr>
      <w:tr>
        <w:trPr/>
        <w:tc>
          <w:tcPr>
            <w:tcW w:w="4160" w:type="dxa"/>
            <w:tcBorders/>
            <w:shd w:fill="CCEEFF" w:val="clear"/>
            <w:tcMar>
              <w:bottom w:w="0" w:type="dxa"/>
            </w:tcMar>
            <w:vAlign w:val="center"/>
          </w:tcPr>
          <w:p>
            <w:pPr>
              <w:pStyle w:val="TableContents"/>
              <w:bidi w:val="0"/>
              <w:spacing w:before="0" w:after="283"/>
              <w:jc w:val="left"/>
              <w:rPr/>
            </w:pPr>
            <w:r>
              <w:rPr/>
              <w:t>Accumulated Deficit - March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2020" w:type="dxa"/>
            <w:tcBorders/>
            <w:shd w:fill="CCEEFF" w:val="clear"/>
            <w:tcMar>
              <w:bottom w:w="0" w:type="dxa"/>
            </w:tcMar>
            <w:vAlign w:val="center"/>
          </w:tcPr>
          <w:p>
            <w:pPr>
              <w:pStyle w:val="TableContents"/>
              <w:bidi w:val="0"/>
              <w:spacing w:before="0" w:after="283"/>
              <w:jc w:val="right"/>
              <w:rPr/>
            </w:pPr>
            <w:r>
              <w:rPr/>
              <w:t>(22,241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986" w:type="dxa"/>
            <w:tcBorders/>
            <w:shd w:fill="CCEEFF" w:val="clear"/>
            <w:tcMar>
              <w:bottom w:w="0" w:type="dxa"/>
            </w:tcMar>
            <w:vAlign w:val="center"/>
          </w:tcPr>
          <w:p>
            <w:pPr>
              <w:pStyle w:val="TableContents"/>
              <w:bidi w:val="0"/>
              <w:spacing w:before="0" w:after="283"/>
              <w:jc w:val="right"/>
              <w:rPr/>
            </w:pPr>
            <w:r>
              <w:rPr/>
              <w:t>(706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949" w:type="dxa"/>
            <w:tcBorders/>
            <w:shd w:fill="CCEEFF" w:val="clear"/>
            <w:tcMar>
              <w:bottom w:w="0" w:type="dxa"/>
            </w:tcMar>
            <w:vAlign w:val="center"/>
          </w:tcPr>
          <w:p>
            <w:pPr>
              <w:pStyle w:val="TableContents"/>
              <w:bidi w:val="0"/>
              <w:spacing w:before="0" w:after="283"/>
              <w:jc w:val="right"/>
              <w:rPr/>
            </w:pPr>
            <w:r>
              <w:rPr/>
              <w:t>(22,947</w:t>
            </w:r>
          </w:p>
        </w:tc>
        <w:tc>
          <w:tcPr>
            <w:tcW w:w="110" w:type="dxa"/>
            <w:tcBorders/>
            <w:shd w:fill="CCEEFF" w:val="clear"/>
            <w:tcMar>
              <w:bottom w:w="0" w:type="dxa"/>
            </w:tcMar>
            <w:vAlign w:val="center"/>
          </w:tcPr>
          <w:p>
            <w:pPr>
              <w:pStyle w:val="TableContents"/>
              <w:bidi w:val="0"/>
              <w:spacing w:before="0" w:after="283"/>
              <w:jc w:val="left"/>
              <w:rPr/>
            </w:pPr>
            <w:r>
              <w:rPr/>
              <w:t>)</w:t>
            </w:r>
            <w:bookmarkStart w:id="876" w:name="xdx_43E_c20230401__20230630_eus-gaap--Re"/>
            <w:bookmarkEnd w:id="876"/>
          </w:p>
        </w:tc>
      </w:tr>
      <w:tr>
        <w:trPr/>
        <w:tc>
          <w:tcPr>
            <w:tcW w:w="4160" w:type="dxa"/>
            <w:tcBorders/>
            <w:shd w:fill="CCEEFF" w:val="clear"/>
            <w:tcMar>
              <w:bottom w:w="0" w:type="dxa"/>
            </w:tcMar>
            <w:vAlign w:val="center"/>
          </w:tcPr>
          <w:p>
            <w:pPr>
              <w:pStyle w:val="TableContents"/>
              <w:bidi w:val="0"/>
              <w:spacing w:before="0" w:after="283"/>
              <w:jc w:val="left"/>
              <w:rPr/>
            </w:pPr>
            <w:r>
              <w:rPr/>
              <w:t>Accumulated Deficit, balance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2020" w:type="dxa"/>
            <w:tcBorders/>
            <w:shd w:fill="CCEEFF" w:val="clear"/>
            <w:tcMar>
              <w:bottom w:w="0" w:type="dxa"/>
            </w:tcMar>
            <w:vAlign w:val="center"/>
          </w:tcPr>
          <w:p>
            <w:pPr>
              <w:pStyle w:val="TableContents"/>
              <w:bidi w:val="0"/>
              <w:spacing w:before="0" w:after="283"/>
              <w:jc w:val="right"/>
              <w:rPr/>
            </w:pPr>
            <w:r>
              <w:rPr/>
              <w:t>(22,241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986" w:type="dxa"/>
            <w:tcBorders/>
            <w:shd w:fill="CCEEFF" w:val="clear"/>
            <w:tcMar>
              <w:bottom w:w="0" w:type="dxa"/>
            </w:tcMar>
            <w:vAlign w:val="center"/>
          </w:tcPr>
          <w:p>
            <w:pPr>
              <w:pStyle w:val="TableContents"/>
              <w:bidi w:val="0"/>
              <w:spacing w:before="0" w:after="283"/>
              <w:jc w:val="right"/>
              <w:rPr/>
            </w:pPr>
            <w:r>
              <w:rPr/>
              <w:t>(706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949" w:type="dxa"/>
            <w:tcBorders/>
            <w:shd w:fill="CCEEFF" w:val="clear"/>
            <w:tcMar>
              <w:bottom w:w="0" w:type="dxa"/>
            </w:tcMar>
            <w:vAlign w:val="center"/>
          </w:tcPr>
          <w:p>
            <w:pPr>
              <w:pStyle w:val="TableContents"/>
              <w:bidi w:val="0"/>
              <w:spacing w:before="0" w:after="283"/>
              <w:jc w:val="right"/>
              <w:rPr/>
            </w:pPr>
            <w:r>
              <w:rPr/>
              <w:t>(22,947</w:t>
            </w:r>
          </w:p>
        </w:tc>
        <w:tc>
          <w:tcPr>
            <w:tcW w:w="110" w:type="dxa"/>
            <w:tcBorders/>
            <w:shd w:fill="CCEEFF" w:val="clear"/>
            <w:tcMar>
              <w:bottom w:w="0" w:type="dxa"/>
            </w:tcMar>
            <w:vAlign w:val="center"/>
          </w:tcPr>
          <w:p>
            <w:pPr>
              <w:pStyle w:val="TableContents"/>
              <w:bidi w:val="0"/>
              <w:spacing w:before="0" w:after="283"/>
              <w:jc w:val="left"/>
              <w:rPr/>
            </w:pPr>
            <w:r>
              <w:rPr/>
              <w:t>)</w:t>
            </w:r>
            <w:bookmarkStart w:id="877" w:name="xdx_405_eus-gaap--NetIncomeLoss_z5ekIdd5"/>
            <w:bookmarkEnd w:id="877"/>
          </w:p>
        </w:tc>
      </w:tr>
      <w:tr>
        <w:trPr/>
        <w:tc>
          <w:tcPr>
            <w:tcW w:w="4160" w:type="dxa"/>
            <w:tcBorders/>
            <w:shd w:fill="FFFFFF" w:val="clear"/>
            <w:tcMar>
              <w:bottom w:w="0" w:type="dxa"/>
            </w:tcMar>
            <w:vAlign w:val="center"/>
          </w:tcPr>
          <w:p>
            <w:pPr>
              <w:pStyle w:val="TableContents"/>
              <w:bidi w:val="0"/>
              <w:spacing w:before="0" w:after="283"/>
              <w:jc w:val="left"/>
              <w:rPr/>
            </w:pPr>
            <w:r>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2020" w:type="dxa"/>
            <w:tcBorders/>
            <w:shd w:fill="FFFFFF" w:val="clear"/>
            <w:tcMar>
              <w:bottom w:w="0" w:type="dxa"/>
            </w:tcMar>
            <w:vAlign w:val="center"/>
          </w:tcPr>
          <w:p>
            <w:pPr>
              <w:pStyle w:val="TableContents"/>
              <w:bidi w:val="0"/>
              <w:spacing w:before="0" w:after="283"/>
              <w:jc w:val="right"/>
              <w:rPr/>
            </w:pPr>
            <w:r>
              <w:rPr/>
              <w:t>(11,700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986" w:type="dxa"/>
            <w:tcBorders/>
            <w:shd w:fill="FFFFFF" w:val="clear"/>
            <w:tcMar>
              <w:bottom w:w="0" w:type="dxa"/>
            </w:tcMar>
            <w:vAlign w:val="center"/>
          </w:tcPr>
          <w:p>
            <w:pPr>
              <w:pStyle w:val="TableContents"/>
              <w:bidi w:val="0"/>
              <w:spacing w:before="0" w:after="283"/>
              <w:jc w:val="right"/>
              <w:rPr/>
            </w:pPr>
            <w:r>
              <w:rPr/>
              <w:t>(199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949" w:type="dxa"/>
            <w:tcBorders/>
            <w:shd w:fill="FFFFFF" w:val="clear"/>
            <w:tcMar>
              <w:bottom w:w="0" w:type="dxa"/>
            </w:tcMar>
            <w:vAlign w:val="center"/>
          </w:tcPr>
          <w:p>
            <w:pPr>
              <w:pStyle w:val="TableContents"/>
              <w:bidi w:val="0"/>
              <w:spacing w:before="0" w:after="283"/>
              <w:jc w:val="right"/>
              <w:rPr/>
            </w:pPr>
            <w:r>
              <w:rPr/>
              <w:t>(11,899</w:t>
            </w:r>
          </w:p>
        </w:tc>
        <w:tc>
          <w:tcPr>
            <w:tcW w:w="110" w:type="dxa"/>
            <w:tcBorders/>
            <w:shd w:fill="FFFFFF" w:val="clear"/>
            <w:tcMar>
              <w:bottom w:w="0" w:type="dxa"/>
            </w:tcMar>
            <w:vAlign w:val="center"/>
          </w:tcPr>
          <w:p>
            <w:pPr>
              <w:pStyle w:val="TableContents"/>
              <w:bidi w:val="0"/>
              <w:spacing w:before="0" w:after="283"/>
              <w:jc w:val="left"/>
              <w:rPr/>
            </w:pPr>
            <w:r>
              <w:rPr/>
              <w:t>)</w:t>
            </w:r>
            <w:bookmarkStart w:id="878" w:name="xdx_405_eus-gaap--NetIncomeLoss_zRuwr4Mu"/>
            <w:bookmarkEnd w:id="878"/>
          </w:p>
        </w:tc>
      </w:tr>
      <w:tr>
        <w:trPr/>
        <w:tc>
          <w:tcPr>
            <w:tcW w:w="4160" w:type="dxa"/>
            <w:tcBorders/>
            <w:shd w:fill="FFFFFF" w:val="clear"/>
            <w:tcMar>
              <w:bottom w:w="0" w:type="dxa"/>
            </w:tcMar>
            <w:vAlign w:val="center"/>
          </w:tcPr>
          <w:p>
            <w:pPr>
              <w:pStyle w:val="TableContents"/>
              <w:bidi w:val="0"/>
              <w:spacing w:before="0" w:after="283"/>
              <w:jc w:val="left"/>
              <w:rPr/>
            </w:pPr>
            <w:r>
              <w:rPr/>
              <w:t>Net Income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2020" w:type="dxa"/>
            <w:tcBorders/>
            <w:shd w:fill="FFFFFF" w:val="clear"/>
            <w:tcMar>
              <w:bottom w:w="0" w:type="dxa"/>
            </w:tcMar>
            <w:vAlign w:val="center"/>
          </w:tcPr>
          <w:p>
            <w:pPr>
              <w:pStyle w:val="TableContents"/>
              <w:bidi w:val="0"/>
              <w:spacing w:before="0" w:after="283"/>
              <w:jc w:val="right"/>
              <w:rPr/>
            </w:pPr>
            <w:r>
              <w:rPr/>
              <w:t>(11,700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986" w:type="dxa"/>
            <w:tcBorders/>
            <w:shd w:fill="FFFFFF" w:val="clear"/>
            <w:tcMar>
              <w:bottom w:w="0" w:type="dxa"/>
            </w:tcMar>
            <w:vAlign w:val="center"/>
          </w:tcPr>
          <w:p>
            <w:pPr>
              <w:pStyle w:val="TableContents"/>
              <w:bidi w:val="0"/>
              <w:spacing w:before="0" w:after="283"/>
              <w:jc w:val="right"/>
              <w:rPr/>
            </w:pPr>
            <w:r>
              <w:rPr/>
              <w:t>(199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949" w:type="dxa"/>
            <w:tcBorders/>
            <w:shd w:fill="FFFFFF" w:val="clear"/>
            <w:tcMar>
              <w:bottom w:w="0" w:type="dxa"/>
            </w:tcMar>
            <w:vAlign w:val="center"/>
          </w:tcPr>
          <w:p>
            <w:pPr>
              <w:pStyle w:val="TableContents"/>
              <w:bidi w:val="0"/>
              <w:spacing w:before="0" w:after="283"/>
              <w:jc w:val="right"/>
              <w:rPr/>
            </w:pPr>
            <w:r>
              <w:rPr/>
              <w:t>(11,899</w:t>
            </w:r>
          </w:p>
        </w:tc>
        <w:tc>
          <w:tcPr>
            <w:tcW w:w="110" w:type="dxa"/>
            <w:tcBorders/>
            <w:shd w:fill="FFFFFF" w:val="clear"/>
            <w:tcMar>
              <w:bottom w:w="0" w:type="dxa"/>
            </w:tcMar>
            <w:vAlign w:val="center"/>
          </w:tcPr>
          <w:p>
            <w:pPr>
              <w:pStyle w:val="TableContents"/>
              <w:bidi w:val="0"/>
              <w:spacing w:before="0" w:after="283"/>
              <w:jc w:val="left"/>
              <w:rPr/>
            </w:pPr>
            <w:r>
              <w:rPr/>
              <w:t>)</w:t>
            </w:r>
            <w:bookmarkStart w:id="879" w:name="xdx_439_c20230401__20230630_eus-gaap--Re"/>
            <w:bookmarkEnd w:id="879"/>
          </w:p>
        </w:tc>
      </w:tr>
      <w:tr>
        <w:trPr/>
        <w:tc>
          <w:tcPr>
            <w:tcW w:w="4160" w:type="dxa"/>
            <w:tcBorders/>
            <w:shd w:fill="CCEEFF" w:val="clear"/>
            <w:tcMar>
              <w:bottom w:w="0" w:type="dxa"/>
            </w:tcMar>
            <w:vAlign w:val="center"/>
          </w:tcPr>
          <w:p>
            <w:pPr>
              <w:pStyle w:val="TableContents"/>
              <w:bidi w:val="0"/>
              <w:spacing w:before="0" w:after="283"/>
              <w:jc w:val="left"/>
              <w:rPr/>
            </w:pPr>
            <w:r>
              <w:rPr/>
              <w:t>Accumulated Deficit - June 30,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2020" w:type="dxa"/>
            <w:tcBorders/>
            <w:shd w:fill="CCEEFF" w:val="clear"/>
            <w:tcMar>
              <w:bottom w:w="0" w:type="dxa"/>
            </w:tcMar>
            <w:vAlign w:val="center"/>
          </w:tcPr>
          <w:p>
            <w:pPr>
              <w:pStyle w:val="TableContents"/>
              <w:bidi w:val="0"/>
              <w:spacing w:before="0" w:after="283"/>
              <w:jc w:val="right"/>
              <w:rPr/>
            </w:pPr>
            <w:r>
              <w:rPr/>
              <w:t>(33,941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986" w:type="dxa"/>
            <w:tcBorders/>
            <w:shd w:fill="CCEEFF" w:val="clear"/>
            <w:tcMar>
              <w:bottom w:w="0" w:type="dxa"/>
            </w:tcMar>
            <w:vAlign w:val="center"/>
          </w:tcPr>
          <w:p>
            <w:pPr>
              <w:pStyle w:val="TableContents"/>
              <w:bidi w:val="0"/>
              <w:spacing w:before="0" w:after="283"/>
              <w:jc w:val="right"/>
              <w:rPr/>
            </w:pPr>
            <w:r>
              <w:rPr/>
              <w:t>(905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949" w:type="dxa"/>
            <w:tcBorders/>
            <w:shd w:fill="CCEEFF" w:val="clear"/>
            <w:tcMar>
              <w:bottom w:w="0" w:type="dxa"/>
            </w:tcMar>
            <w:vAlign w:val="center"/>
          </w:tcPr>
          <w:p>
            <w:pPr>
              <w:pStyle w:val="TableContents"/>
              <w:bidi w:val="0"/>
              <w:spacing w:before="0" w:after="283"/>
              <w:jc w:val="right"/>
              <w:rPr/>
            </w:pPr>
            <w:r>
              <w:rPr/>
              <w:t>(34,846</w:t>
            </w:r>
          </w:p>
        </w:tc>
        <w:tc>
          <w:tcPr>
            <w:tcW w:w="110" w:type="dxa"/>
            <w:tcBorders/>
            <w:shd w:fill="CCEEFF" w:val="clear"/>
            <w:tcMar>
              <w:bottom w:w="0" w:type="dxa"/>
            </w:tcMar>
            <w:vAlign w:val="center"/>
          </w:tcPr>
          <w:p>
            <w:pPr>
              <w:pStyle w:val="TableContents"/>
              <w:bidi w:val="0"/>
              <w:spacing w:before="0" w:after="283"/>
              <w:jc w:val="left"/>
              <w:rPr/>
            </w:pPr>
            <w:r>
              <w:rPr/>
              <w:t>)</w:t>
            </w:r>
            <w:bookmarkStart w:id="880" w:name="xdx_435_c20230401__20230630_eus-gaap--Re"/>
            <w:bookmarkEnd w:id="880"/>
          </w:p>
        </w:tc>
      </w:tr>
      <w:tr>
        <w:trPr/>
        <w:tc>
          <w:tcPr>
            <w:tcW w:w="4160" w:type="dxa"/>
            <w:tcBorders/>
            <w:shd w:fill="CCEEFF" w:val="clear"/>
            <w:tcMar>
              <w:bottom w:w="0" w:type="dxa"/>
            </w:tcMar>
            <w:vAlign w:val="center"/>
          </w:tcPr>
          <w:p>
            <w:pPr>
              <w:pStyle w:val="TableContents"/>
              <w:bidi w:val="0"/>
              <w:spacing w:before="0" w:after="283"/>
              <w:jc w:val="left"/>
              <w:rPr/>
            </w:pPr>
            <w:r>
              <w:rPr/>
              <w:t>Accumulated Deficit, balance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2020" w:type="dxa"/>
            <w:tcBorders/>
            <w:shd w:fill="CCEEFF" w:val="clear"/>
            <w:tcMar>
              <w:bottom w:w="0" w:type="dxa"/>
            </w:tcMar>
            <w:vAlign w:val="center"/>
          </w:tcPr>
          <w:p>
            <w:pPr>
              <w:pStyle w:val="TableContents"/>
              <w:bidi w:val="0"/>
              <w:spacing w:before="0" w:after="283"/>
              <w:jc w:val="right"/>
              <w:rPr/>
            </w:pPr>
            <w:r>
              <w:rPr/>
              <w:t>(33,941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986" w:type="dxa"/>
            <w:tcBorders/>
            <w:shd w:fill="CCEEFF" w:val="clear"/>
            <w:tcMar>
              <w:bottom w:w="0" w:type="dxa"/>
            </w:tcMar>
            <w:vAlign w:val="center"/>
          </w:tcPr>
          <w:p>
            <w:pPr>
              <w:pStyle w:val="TableContents"/>
              <w:bidi w:val="0"/>
              <w:spacing w:before="0" w:after="283"/>
              <w:jc w:val="right"/>
              <w:rPr/>
            </w:pPr>
            <w:r>
              <w:rPr/>
              <w:t>(905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949" w:type="dxa"/>
            <w:tcBorders/>
            <w:shd w:fill="CCEEFF" w:val="clear"/>
            <w:tcMar>
              <w:bottom w:w="0" w:type="dxa"/>
            </w:tcMar>
            <w:vAlign w:val="center"/>
          </w:tcPr>
          <w:p>
            <w:pPr>
              <w:pStyle w:val="TableContents"/>
              <w:bidi w:val="0"/>
              <w:spacing w:before="0" w:after="283"/>
              <w:jc w:val="right"/>
              <w:rPr/>
            </w:pPr>
            <w:r>
              <w:rPr/>
              <w:t>(34,846</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rPr>
      </w:pPr>
      <w:bookmarkStart w:id="881" w:name="xdx_8AA_zjPAX08LQtTj"/>
      <w:bookmarkEnd w:id="881"/>
      <w:r>
        <w:rPr>
          <w:caps/>
        </w:rPr>
        <w:t> </w:t>
      </w:r>
    </w:p>
    <w:p>
      <w:pPr>
        <w:pStyle w:val="TextBody"/>
        <w:bidi w:val="0"/>
        <w:spacing w:before="0" w:after="0"/>
        <w:ind w:left="0" w:right="0" w:hanging="0"/>
        <w:jc w:val="both"/>
        <w:rPr>
          <w:rFonts w:ascii="Times New Roman;Times;Serif" w:hAnsi="Times New Roman;Times;Serif"/>
          <w:b/>
          <w:i w:val="false"/>
          <w:caps/>
          <w:sz w:val="20"/>
        </w:rPr>
      </w:pPr>
      <w:bookmarkStart w:id="882" w:name="xdx_804_eus-gaap--SubsequentEventsTextBl"/>
      <w:bookmarkEnd w:id="882"/>
      <w:r>
        <w:rPr>
          <w:rFonts w:ascii="Times New Roman;Times;Serif" w:hAnsi="Times New Roman;Times;Serif"/>
          <w:b/>
          <w:i w:val="false"/>
          <w:caps/>
          <w:sz w:val="20"/>
        </w:rPr>
        <w:t xml:space="preserve">Note 14 - </w:t>
      </w:r>
      <w:bookmarkStart w:id="883" w:name="xdx_821_zeTQy82lTlu3"/>
      <w:bookmarkEnd w:id="883"/>
      <w:r>
        <w:rPr>
          <w:rFonts w:ascii="Times New Roman;Times;Serif" w:hAnsi="Times New Roman;Times;Serif"/>
          <w:b/>
          <w:i w:val="false"/>
          <w:caps/>
          <w:sz w:val="20"/>
        </w:rPr>
        <w:t>SUBSEQUENT EVENTS</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2024, Battle Born Battery Products, LLC, a Delaware limited liability company (“Battle Born LLC”), was formed as a wholly-owned subsidiary of Legacy Dragonfly.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2024, the Company and Battle Born LLC entered into a License Agreement with Stryten Energy LLC. Pursuant to the License Agreement, Battle Born LLC granted Stryten an exclusive, worldwide license to use certain trademarks relating to the Company’s lithium-ion battery brand, Battle Born Batteries® (the “Licensed Trademarks”) for business-to-business sales of batteries to customers within certain markets as set forth in the License Agreement. In exchange for the licensing rights, Stryten agreed to pay Battle Born LLC an initial licensing fee of $</w:t>
      </w:r>
      <w:bookmarkStart w:id="884" w:name="xdx_905_ecustom--LicensingFee_pn5n6_c202"/>
      <w:bookmarkEnd w:id="884"/>
      <w:r>
        <w:rPr>
          <w:rFonts w:ascii="Times New Roman;Times;Serif" w:hAnsi="Times New Roman;Times;Serif"/>
          <w:b w:val="false"/>
          <w:i w:val="false"/>
          <w:caps w:val="false"/>
          <w:smallCaps w:val="false"/>
          <w:sz w:val="20"/>
        </w:rPr>
        <w:t>5.0 million dollars (the “Initial Licensing Fee”). The License Agreement provides for mid-single digit royalty payments based on net sales using the Licensed Trademarks, with a tiered structure reaching up to $</w:t>
      </w:r>
      <w:bookmarkStart w:id="885" w:name="xdx_90D_ecustom--PaymentOfNominalAnnualL"/>
      <w:bookmarkEnd w:id="885"/>
      <w:r>
        <w:rPr>
          <w:rFonts w:ascii="Times New Roman;Times;Serif" w:hAnsi="Times New Roman;Times;Serif"/>
          <w:b w:val="false"/>
          <w:i w:val="false"/>
          <w:caps w:val="false"/>
          <w:smallCaps w:val="false"/>
          <w:sz w:val="20"/>
        </w:rPr>
        <w:t>25.0 million dollars, at which point Stryten will be required to pay a nominal annual license fee.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License Agreement is perpetual in term, unless terminated by the parties as set forth in the License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and in connection with the License Agreement, on July 29, 2024, pursuant to a trademark transfer and license back agreement, DFE transferred all of its intellectual property rights in the Licensed Trademarks to Battle Born LLC and DFE licensed back from Battle Born LLC all rights in and to the Licensed Trademarks worldwide outside of the Stryten Market.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License Agreement, on July 29, 2024, the Company, Legacy Dragonfly and Battle Born LLC entered into a Limited Waiver, Consent and Second Amendment to Term Loan Agreement (the “Second Amendment”) with the Term Loan Lenders, and Alter Domus (US) LLC, as the agent to the Term Loan Lenders, in which the Term Loan Lenders (i) consented to the transactions contemplated by the License Agreement and the Trademark Transfer Agreement and (ii) agreed to waive the mandatory prepayment under the Loan Agreement that would have been due to the Term Loan Lenders under the Loan Agreement upon Battle Born LLC’s receipt of the Initial Licensing Fee.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Second Amendment, Battle Born LLC entered into a Joinder Agreement with the Term Loan Lenders (the “Joinder”) whereby Battle Born LLC became a guarantor and credit party to the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2024, the Company received a waiver from its Administrative Agent and Term Loan Lenders (the “July 2024 Waiver”) in regards to its compliance with the Liquidity test as of the last day of the fiscal month ended July 31, 2024 from the Term Loan Lenders in regards to its compliance with the Liquidity test as of the last day of the fiscal month ended July 31, 2024.</w:t>
      </w:r>
    </w:p>
    <w:p>
      <w:pPr>
        <w:pStyle w:val="TextBody"/>
        <w:bidi w:val="0"/>
        <w:spacing w:before="0" w:after="0"/>
        <w:ind w:left="0" w:right="0" w:hanging="0"/>
        <w:jc w:val="both"/>
        <w:rPr>
          <w:caps w:val="false"/>
          <w:smallCaps w:val="false"/>
        </w:rPr>
      </w:pPr>
      <w:bookmarkStart w:id="886" w:name="xdx_813_z8KeKRv6Q7ei"/>
      <w:bookmarkEnd w:id="88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87" w:name="sw_001"/>
      <w:bookmarkEnd w:id="887"/>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References in this report (the “</w:t>
      </w:r>
      <w:r>
        <w:rPr>
          <w:rFonts w:ascii="Times New Roman;Times;Serif" w:hAnsi="Times New Roman;Times;Serif"/>
          <w:b/>
          <w:i/>
          <w:caps w:val="false"/>
          <w:smallCaps w:val="false"/>
          <w:sz w:val="20"/>
        </w:rPr>
        <w:t>Quarterly Report</w:t>
      </w:r>
      <w:r>
        <w:rPr>
          <w:rFonts w:ascii="Times New Roman;Times;Serif" w:hAnsi="Times New Roman;Times;Serif"/>
          <w:b w:val="false"/>
          <w:i/>
          <w:caps w:val="false"/>
          <w:smallCaps w:val="false"/>
          <w:sz w:val="20"/>
        </w:rPr>
        <w:t>”) to “we,” “us,” “our” or the “Company” refer to Dragonfly Energy Holdings Corp., a Nevada corporation. References to “Legacy Dragonfly” refer to Dragonfly Energy Corp., a Nevada corporation, one of our wholly-owned subsidiaries. The following discussion and analysis of the Company’s financial condition and results of operations should be read in conjunction with the unaudited condensed consolidated financial statements and the notes thereto contained elsewhere in this Quarterly Report. Certain information contained in the discussion and analysis set forth below includes forward-looking statements that involve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 result of the completion of the Business Combination (as defined herein), the financial statements of Legacy Dragonfly are now the financial statements of us. Prior to the Business Combination, we had no operating assets but, upon consummation of the Business Combination, the business and operating assets of Legacy Dragonfly acquired by us became our sole business and operating assets. Accordingly, the financial statements of Legacy Dragonfly and their respective subsidiaries as they existed prior to the Business Combination and reflecting the sole business and operating assets of the Company going forward, are now the financial statements of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together with our financial statements and the related notes and the other financial information included elsewhere in this Quarterly Report and with our audited consolidated financial statements (and notes thereto) for the year ended December 31, 2023 included in our Annual Report on Form 10-K filed with the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caps w:val="false"/>
          <w:smallCaps w:val="false"/>
          <w:sz w:val="20"/>
        </w:rPr>
        <w:t>”) on April 16, 2024, as amended April 29, 2024 (the “</w:t>
      </w:r>
      <w:r>
        <w:rPr>
          <w:rFonts w:ascii="Times New Roman;Times;Serif" w:hAnsi="Times New Roman;Times;Serif"/>
          <w:b/>
          <w:i/>
          <w:caps w:val="false"/>
          <w:smallCaps w:val="false"/>
          <w:sz w:val="20"/>
        </w:rPr>
        <w:t>Annual Report</w:t>
      </w:r>
      <w:r>
        <w:rPr>
          <w:rFonts w:ascii="Times New Roman;Times;Serif" w:hAnsi="Times New Roman;Times;Serif"/>
          <w:b w:val="false"/>
          <w:i/>
          <w:caps w:val="false"/>
          <w:smallCaps w:val="false"/>
          <w:sz w:val="20"/>
        </w:rPr>
        <w:t>”), particularly those under “Risk Factors.” This discussion contains forward-looking statements that involve risks and uncertainties. Our actual results could differ materially from those anticipated in these forward-looking statements as a result of various factors, including those discussed below and elsewhere in this Quarterly Report. We undertake no obligation to update these forward-looking statements to reflect events or circumstances after the date of this report or to reflect actual outcomes.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Cautionary Note Regarding Forward Looking-Statements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contains forward-looking statements made pursuant to the safe harbor provisions of the Private Securities Litigation Reform Act of 1995 under Section 27A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Section 21E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“can,” “anticipate,” “assume,” “should,” “indicate,” “would,” “believe,” “contemplate,” “expect,” “seek,” “estimate,” “continue,” “plan,” “point to,” “project,” “predict,” “could,” “intend,” “target,” “potential” and other similar words and expressions of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important factors that could cause the actual results to differ materially from those expressed in any forward-looking statement made by us. These factors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increase market penetration into target markets;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addressable markets that we intend to target do not grow as expected;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for events or circumstances that result in our failure to timely achieve the anticipated benefits of our customer arrangements with THOR Industries and its affiliate brands (including Keystone RV Company (“</w:t>
            </w:r>
            <w:r>
              <w:rPr>
                <w:rFonts w:ascii="Times New Roman;Times;Serif" w:hAnsi="Times New Roman;Times;Serif"/>
                <w:b/>
                <w:i w:val="false"/>
                <w:caps w:val="false"/>
                <w:smallCaps w:val="false"/>
                <w:sz w:val="20"/>
              </w:rPr>
              <w:t>Keystone</w:t>
            </w:r>
            <w:r>
              <w:rPr>
                <w:rFonts w:ascii="Times New Roman;Times;Serif" w:hAnsi="Times New Roman;Times;Serif"/>
                <w:b w:val="false"/>
                <w:i w:val="false"/>
                <w:caps w:val="false"/>
                <w:smallCaps w:val="false"/>
                <w:sz w:val="20"/>
              </w:rPr>
              <w:t>”)), including Keystone’s decision in July 2023, that, due to weaker demand for its products and their subsequent focus on reducing costs, it would no longer install our storage solutions as standard equipment, but rather return to offering those solutions as an option to dealers and consumers;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revenue from future product sales and our ability to achieve and maintain profitability;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members of our senior management team or other key personnel;</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relationships with key suppliers, including suppliers in China;</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relationships with key customers;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patents and other intellectual property;</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successfully optimize solid-state cells or to produce commercially viable solid-state cells in a timely manner or at all, or to scale to mass production;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timely achieve the anticipated benefits of our recent licensing arrangement with Stryten Energy LLC;</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produce lithium battery cells in the United States in a timely manner or at all, or to scale to mass production;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 including changes in the rates of tariffs or any adjustments to the amounts payable by us to customs as a result of improperly identifying the applicable tariff rate payable on our products;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listing of our common stock and our public warrants on the Nasdaq Capital Market;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we may be adversely affected by other economic, business and/or competitive factors (including an economic slowdown or inflationary pressures);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sell the desired amounts of shares of common stock at desired prices under our equity facility;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additional capital to fund our operations;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revenue from future product sales and our ability to achieve and maintain profitability;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our projections and estimates regarding our expenses, capital requirements, cash utilization, and need for additional financing;</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our competitors and our industry;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engage target customers and successfully retain these customers for future orders;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reliance on two suppliers for our lithium iron phosphate cells and a single supplier for the manufacture of our battery management system;</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of geopolitical events, including the Russia-Ukraine conflict and Hamas’ attack on Israel, and their effects on our operations;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dependence on a single manufacturing facility.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represent an exhaustive list of matters that may be covered by the forward-looking statements contained herein or risk factors that we are faced with that may cause our actual results to differ from those anticipated in such forward-looking statements. Please see “</w:t>
      </w:r>
      <w:r>
        <w:rPr>
          <w:rFonts w:ascii="Times New Roman;Times;Serif" w:hAnsi="Times New Roman;Times;Serif"/>
          <w:b w:val="false"/>
          <w:i/>
          <w:caps w:val="false"/>
          <w:smallCaps w:val="false"/>
          <w:sz w:val="20"/>
        </w:rPr>
        <w:t>Part I-Item 1A-Risk Factors</w:t>
      </w:r>
      <w:r>
        <w:rPr>
          <w:rFonts w:ascii="Times New Roman;Times;Serif" w:hAnsi="Times New Roman;Times;Serif"/>
          <w:b w:val="false"/>
          <w:i w:val="false"/>
          <w:caps w:val="false"/>
          <w:smallCaps w:val="false"/>
          <w:sz w:val="20"/>
        </w:rPr>
        <w:t>” of our Annual Report, for additional risks which could adversely impact our business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are expressly qualified in their entirety by this cautionary notice. You are cautioned not to place undue reliance on any forward-looking statements, which speak only as of the date of this Quarterly Report or the date of the document incorporated by reference into this report. We have no obligation, and expressly disclaims any obligation, to update, revise or correct any of the forward-looking statements, whether as a result of new information, future events or otherwise. We have expressed our expectations, beliefs and projections in good faith and believe they have a reasonable basis. However, we cannot assure you that our expectations, beliefs or projections will result or be achieved or accomplished.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manufacturer of non-toxic deep cycle lithium-ion batteries that are designed to displace lead acid batteries in a number of different storage applications and end markets including recreational vehicle (“</w:t>
      </w:r>
      <w:r>
        <w:rPr>
          <w:rFonts w:ascii="Times New Roman;Times;Serif" w:hAnsi="Times New Roman;Times;Serif"/>
          <w:b/>
          <w:i w:val="false"/>
          <w:caps w:val="false"/>
          <w:smallCaps w:val="false"/>
          <w:sz w:val="20"/>
        </w:rPr>
        <w:t>RV</w:t>
      </w:r>
      <w:r>
        <w:rPr>
          <w:rFonts w:ascii="Times New Roman;Times;Serif" w:hAnsi="Times New Roman;Times;Serif"/>
          <w:b w:val="false"/>
          <w:i w:val="false"/>
          <w:caps w:val="false"/>
          <w:smallCaps w:val="false"/>
          <w:sz w:val="20"/>
        </w:rPr>
        <w:t>”), marine vessel, and solar, oil and gas and off-grid industries, with disruptive solid-state cell technology currently under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2020, we have sold over 310,000 batteries. For the quarters ended June 30, 2024, and June 30, 2023, we sold 11,526 and 20,966 batteries, respectively, and had $13.2 million and $19.3 million in net sales, respectively. For the six months ended June 30, 2024 and June 30, 2023, we sold 22,624 and 41,297 batteries, respectively, and had $25.7 million and $38.1 million in net sales, respectively. We currently offer a line of batteries across our “Battle Born” and “Dragonfly” brands, each differentiated by size, power and capacity, consisting of seven different models, four of which come with a heated option. We primarily sell “Battle Born” branded batteries directly to consumers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and “Dragonfly” branded batteries to original equipment manufacturers (“</w:t>
      </w:r>
      <w:r>
        <w:rPr>
          <w:rFonts w:ascii="Times New Roman;Times;Serif" w:hAnsi="Times New Roman;Times;Serif"/>
          <w:b/>
          <w:i w:val="false"/>
          <w:caps w:val="false"/>
          <w:smallCaps w:val="false"/>
          <w:sz w:val="20"/>
        </w:rPr>
        <w:t>OEMs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decrease in sales is a reflection of weaker demand from both OEM and DTC customers in our core RV and marine markets due to rising interest rates and inflation. Our RV OEM customers currently include Keystone, THOR, Airstream, and REV, and we are in ongoing discussions with a number of additional RV OEMs to further increase adoption of our products. Related efforts include seeking to have RV OEMs “design in” our batteries as original equipment and entering into arrangements with members of the various OEM dealer networks to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source the lithium iron phosphate (“</w:t>
      </w:r>
      <w:r>
        <w:rPr>
          <w:rFonts w:ascii="Times New Roman;Times;Serif" w:hAnsi="Times New Roman;Times;Serif"/>
          <w:b/>
          <w:i w:val="false"/>
          <w:caps w:val="false"/>
          <w:smallCaps w:val="false"/>
          <w:sz w:val="20"/>
        </w:rPr>
        <w:t>LFP</w:t>
      </w:r>
      <w:r>
        <w:rPr>
          <w:rFonts w:ascii="Times New Roman;Times;Serif" w:hAnsi="Times New Roman;Times;Serif"/>
          <w:b w:val="false"/>
          <w:i w:val="false"/>
          <w:caps w:val="false"/>
          <w:smallCaps w:val="false"/>
          <w:sz w:val="20"/>
        </w:rPr>
        <w:t>”) cells incorporated into our batteries from a limited number of carefully selected suppliers that can meet our demanding quality standards and with whom we have developed long-term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2024, we announced that we achieved full certification for our energy storage products to be deployed for use in oil &amp; gas operations in North America. As a result of this certification, we are working Connexa Energy Company (“</w:t>
      </w:r>
      <w:r>
        <w:rPr>
          <w:rFonts w:ascii="Times New Roman;Times;Serif" w:hAnsi="Times New Roman;Times;Serif"/>
          <w:b/>
          <w:i w:val="false"/>
          <w:caps w:val="false"/>
          <w:smallCaps w:val="false"/>
          <w:sz w:val="20"/>
        </w:rPr>
        <w:t>Connexa</w:t>
      </w:r>
      <w:r>
        <w:rPr>
          <w:rFonts w:ascii="Times New Roman;Times;Serif" w:hAnsi="Times New Roman;Times;Serif"/>
          <w:b w:val="false"/>
          <w:i w:val="false"/>
          <w:caps w:val="false"/>
          <w:smallCaps w:val="false"/>
          <w:sz w:val="20"/>
        </w:rPr>
        <w:t>”) to deliver a power product to Alegacy Equipment, a market leading natural gas compressor package company, and their affiliate Agnes Systems. The power system, which Connexa expects to integrate, are expected to be used in natural gas compression equipment to reduce methane emissions across the oilfield. We expect the first of these systems to be deployed in the third quarter of 2024 and this business line to begin contributing to net sales by the fourth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our battery offerings, we are also a reseller of accessories for battery systems. These include chargers, inverters, monitors, controllers and other system accessories from brands such as Victron Energy, Progressive Dynamics, Magnum Energy and Sterling Power. Pursuant to the Asset Purchase Agreement dated April 22, 2022 by and among us and Thomason Jones Company, LLC (“</w:t>
      </w:r>
      <w:r>
        <w:rPr>
          <w:rFonts w:ascii="Times New Roman;Times;Serif" w:hAnsi="Times New Roman;Times;Serif"/>
          <w:b/>
          <w:i w:val="false"/>
          <w:caps w:val="false"/>
          <w:smallCaps w:val="false"/>
          <w:sz w:val="20"/>
        </w:rPr>
        <w:t>Thomason Jones</w:t>
      </w:r>
      <w:r>
        <w:rPr>
          <w:rFonts w:ascii="Times New Roman;Times;Serif" w:hAnsi="Times New Roman;Times;Serif"/>
          <w:b w:val="false"/>
          <w:i w:val="false"/>
          <w:caps w:val="false"/>
          <w:smallCaps w:val="false"/>
          <w:sz w:val="20"/>
        </w:rPr>
        <w:t>”) and the other parties thereto, we also acquired the assets, including the Wakespeed Offshore brand (“</w:t>
      </w:r>
      <w:r>
        <w:rPr>
          <w:rFonts w:ascii="Times New Roman;Times;Serif" w:hAnsi="Times New Roman;Times;Serif"/>
          <w:b/>
          <w:i w:val="false"/>
          <w:caps w:val="false"/>
          <w:smallCaps w:val="false"/>
          <w:sz w:val="20"/>
        </w:rPr>
        <w:t>Wakespeed</w:t>
      </w:r>
      <w:r>
        <w:rPr>
          <w:rFonts w:ascii="Times New Roman;Times;Serif" w:hAnsi="Times New Roman;Times;Serif"/>
          <w:b w:val="false"/>
          <w:i w:val="false"/>
          <w:caps w:val="false"/>
          <w:smallCaps w:val="false"/>
          <w:sz w:val="20"/>
        </w:rPr>
        <w:t>”) of Thomason Jones, allowing us to include our own alternator regulator in systems that we sell.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successfully developed innovative manufacturing processes for dry-electrode manufacturing of lithium-ion cells, and continue development efforts relating to next-generation solid-state technology. Since our inception, we have built a comprehensive patent portfolio around our proprietary dry-electrode battery manufacturing process, which eliminates the use of harmful solvents and energy-intensive drying ovens compared to traditional methods. This translates to significant environmental and cost benefits, including reduced energy consumption, smaller space requirements, and a lower carbon footprint.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our solid-state technology in development removes the need for a liquid electrolyte, thereby addressing safety concerns related to flammability. Our unique competitive edge lies in the combination of solid-state technology with its scalable dry-electrode manufacturing process. This enables the rapid production of cells having an intercalation anode (like graphite or silicon), unlike many competitors reliant on less stable lithium metal anodes. We believe this design offers superior cyclability and safety, serving as a key differentiator in the energy storage market. Furthermore, internal production of both conventional and solid-state cells streamlines our supply chain and enables vertical integration, ultimately driving down production costs. In October 2023, we announced the successful dry deposition of anode and cathode electrodes at scale using our patented battery manufacturing process. We are currently producing sample cells for prospective customers across a variety of chemistries and end-markets and expect to begin scaling production during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we had cash totaling $4.7 million. Our net loss for the quarter ended June 30, 2024 was $13.6 million and our net loss for the quarter ended June 30, 2023 was $11.9 million. As a result of becoming a publicly traded company, we continue to need to hire additional personnel and implement procedures and processes to address public company regulatory requirements and customary practices. We have incurred and expect to continue to incur additional expenses as a public company for, among other things, directors’ and officers’ liability insurance, director fees and additional internal and external accounting and legal and administrative resources, including increased audit and legal fees. As discussed under “</w:t>
      </w:r>
      <w:r>
        <w:rPr>
          <w:rFonts w:ascii="Times New Roman;Times;Serif" w:hAnsi="Times New Roman;Times;Serif"/>
          <w:b w:val="false"/>
          <w:i/>
          <w:caps w:val="false"/>
          <w:smallCaps w:val="false"/>
          <w:sz w:val="20"/>
        </w:rPr>
        <w:t>Liquidity and Capital Resources</w:t>
      </w:r>
      <w:r>
        <w:rPr>
          <w:rFonts w:ascii="Times New Roman;Times;Serif" w:hAnsi="Times New Roman;Times;Serif"/>
          <w:b w:val="false"/>
          <w:i w:val="false"/>
          <w:caps w:val="false"/>
          <w:smallCaps w:val="false"/>
          <w:sz w:val="20"/>
        </w:rPr>
        <w:t>” below, we expect that we will need to raise additional funds, including through the use of our $150 million equity facility (the “</w:t>
      </w:r>
      <w:r>
        <w:rPr>
          <w:rFonts w:ascii="Times New Roman;Times;Serif" w:hAnsi="Times New Roman;Times;Serif"/>
          <w:b/>
          <w:i w:val="false"/>
          <w:caps w:val="false"/>
          <w:smallCaps w:val="false"/>
          <w:sz w:val="20"/>
        </w:rPr>
        <w:t>ChEF Equity Facility</w:t>
      </w:r>
      <w:r>
        <w:rPr>
          <w:rFonts w:ascii="Times New Roman;Times;Serif" w:hAnsi="Times New Roman;Times;Serif"/>
          <w:b w:val="false"/>
          <w:i w:val="false"/>
          <w:caps w:val="false"/>
          <w:smallCaps w:val="false"/>
          <w:sz w:val="20"/>
        </w:rPr>
        <w:t>”) with Chardan Capital Markets LLC (“</w:t>
      </w:r>
      <w:r>
        <w:rPr>
          <w:rFonts w:ascii="Times New Roman;Times;Serif" w:hAnsi="Times New Roman;Times;Serif"/>
          <w:b/>
          <w:i w:val="false"/>
          <w:caps w:val="false"/>
          <w:smallCaps w:val="false"/>
          <w:sz w:val="20"/>
        </w:rPr>
        <w:t>CCM LLC</w:t>
      </w:r>
      <w:r>
        <w:rPr>
          <w:rFonts w:ascii="Times New Roman;Times;Serif" w:hAnsi="Times New Roman;Times;Serif"/>
          <w:b w:val="false"/>
          <w:i w:val="false"/>
          <w:caps w:val="false"/>
          <w:smallCaps w:val="false"/>
          <w:sz w:val="20"/>
        </w:rPr>
        <w:t>”)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not seeking potential acquisition opportunities, eliminating redundancies, or reducing or delaying our production facility expansions, which may adversely affect our business, operating results,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ChEF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we entered into a purchase agreement with CCM LLC in connection with the ChEF Equity Facility, which was subsequently amended on May 20, 2024 (as amended,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We intend to opportunistically use the ChEF Equity Facility to help maintain minimum cash balances required by the lenders as we continue to execute on growing the business through product releases, customer/market expansion, and R&amp;D milestones. We expect to use the ChEF Equity Facility as a regular source of funds over the next twelve months and our available share balance increases, allowing for more consistent purchases under the ChEF Equity Facility. Use of the ChEF Equity Facility may adversely affect us, including the market price of our common stock and future issuances may be dilutive to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2023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20, 2023, we entered into an underwriting agreement (the “</w:t>
      </w:r>
      <w:r>
        <w:rPr>
          <w:rFonts w:ascii="Times New Roman;Times;Serif" w:hAnsi="Times New Roman;Times;Serif"/>
          <w:b/>
          <w:i w:val="false"/>
          <w:caps w:val="false"/>
          <w:smallCaps w:val="false"/>
          <w:sz w:val="20"/>
        </w:rPr>
        <w:t>Underwriting Agreement</w:t>
      </w:r>
      <w:r>
        <w:rPr>
          <w:rFonts w:ascii="Times New Roman;Times;Serif" w:hAnsi="Times New Roman;Times;Serif"/>
          <w:b w:val="false"/>
          <w:i w:val="false"/>
          <w:caps w:val="false"/>
          <w:smallCaps w:val="false"/>
          <w:sz w:val="20"/>
        </w:rPr>
        <w:t>”) with Roth Capital Partners, LLC, as representative of the several underwriters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pursuant to which we sold to the Underwriters, in a firm commitment underwritten public offering (the “</w:t>
      </w:r>
      <w:r>
        <w:rPr>
          <w:rFonts w:ascii="Times New Roman;Times;Serif" w:hAnsi="Times New Roman;Times;Serif"/>
          <w:b/>
          <w:i w:val="false"/>
          <w:caps w:val="false"/>
          <w:smallCaps w:val="false"/>
          <w:sz w:val="20"/>
        </w:rPr>
        <w:t>June 2023 Offering</w:t>
      </w:r>
      <w:r>
        <w:rPr>
          <w:rFonts w:ascii="Times New Roman;Times;Serif" w:hAnsi="Times New Roman;Times;Serif"/>
          <w:b w:val="false"/>
          <w:i w:val="false"/>
          <w:caps w:val="false"/>
          <w:smallCaps w:val="false"/>
          <w:sz w:val="20"/>
        </w:rPr>
        <w:t>”), an aggregate of (i) 10,000,000 shares of our common stock, par value $0.0001, and (ii) accompanying warrants to purchase up to 10,000,000 shares of common stock (the “</w:t>
      </w:r>
      <w:r>
        <w:rPr>
          <w:rFonts w:ascii="Times New Roman;Times;Serif" w:hAnsi="Times New Roman;Times;Serif"/>
          <w:b/>
          <w:i w:val="false"/>
          <w:caps w:val="false"/>
          <w:smallCaps w:val="false"/>
          <w:sz w:val="20"/>
        </w:rPr>
        <w:t>Investor Warrants</w:t>
      </w:r>
      <w:r>
        <w:rPr>
          <w:rFonts w:ascii="Times New Roman;Times;Serif" w:hAnsi="Times New Roman;Times;Serif"/>
          <w:b w:val="false"/>
          <w:i w:val="false"/>
          <w:caps w:val="false"/>
          <w:smallCaps w:val="false"/>
          <w:sz w:val="20"/>
        </w:rPr>
        <w:t>”), at the combined public offering price of $2.00 per share and accompanying Investor Warrant, less underwriting discounts and commissions, and (iii) warrants to purchase up to an aggregate of 570,250 shares of common stock (the “</w:t>
      </w:r>
      <w:r>
        <w:rPr>
          <w:rFonts w:ascii="Times New Roman;Times;Serif" w:hAnsi="Times New Roman;Times;Serif"/>
          <w:b/>
          <w:i w:val="false"/>
          <w:caps w:val="false"/>
          <w:smallCaps w:val="false"/>
          <w:sz w:val="20"/>
        </w:rPr>
        <w:t>Underwriters’ Warrants</w:t>
      </w:r>
      <w:r>
        <w:rPr>
          <w:rFonts w:ascii="Times New Roman;Times;Serif" w:hAnsi="Times New Roman;Times;Serif"/>
          <w:b w:val="false"/>
          <w:i w:val="false"/>
          <w:caps w:val="false"/>
          <w:smallCaps w:val="false"/>
          <w:sz w:val="20"/>
        </w:rPr>
        <w:t>”). In addition, we granted the Underwriters a 45-day over-allotment option to purchase up to an additional 1,500,000 shares of common stock and/or Investor Warrants to purchase up to an aggregate of 1,500,000 shares of common stock at the public offering price per security, less underwriting discounts and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Warrants are exercisable for five years from the closing date of the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and will expire on June 20, 2028. The initial exercise price of the Underwriters’ Warrants is $2.50 per share, which equals 125% of the per share public offering price in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June 2023 Offering, the Underwriters partially exercised their over-allotment option in the amount of 1,405,000 shares of common stock and Investor Warrants to purchase 1,405,000 shares of common stock. The June 2023 Offering closed on June 22, 2023. The aggregate net proceeds from this offering, including the partial over-allotment option, was approximately $20.7 million.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December 2023 Private Placement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29, 2023, we received a waiver (the “</w:t>
      </w:r>
      <w:r>
        <w:rPr>
          <w:rFonts w:ascii="Times New Roman;Times;Serif" w:hAnsi="Times New Roman;Times;Serif"/>
          <w:b/>
          <w:i w:val="false"/>
          <w:caps w:val="false"/>
          <w:smallCaps w:val="false"/>
          <w:sz w:val="20"/>
        </w:rPr>
        <w:t>December 2023 Waiver</w:t>
      </w:r>
      <w:r>
        <w:rPr>
          <w:rFonts w:ascii="Times New Roman;Times;Serif" w:hAnsi="Times New Roman;Times;Serif"/>
          <w:b w:val="false"/>
          <w:i w:val="false"/>
          <w:caps w:val="false"/>
          <w:smallCaps w:val="false"/>
          <w:sz w:val="20"/>
        </w:rPr>
        <w:t>”) from the Term Loan Lenders (as defined below) in regards to our compliance with the fixed charge coverage ratio and maximum senior leverage ratio with respect to the minimum cash requirements (the “</w:t>
      </w:r>
      <w:r>
        <w:rPr>
          <w:rFonts w:ascii="Times New Roman;Times;Serif" w:hAnsi="Times New Roman;Times;Serif"/>
          <w:b/>
          <w:i w:val="false"/>
          <w:caps w:val="false"/>
          <w:smallCaps w:val="false"/>
          <w:sz w:val="20"/>
        </w:rPr>
        <w:t>Tests</w:t>
      </w:r>
      <w:r>
        <w:rPr>
          <w:rFonts w:ascii="Times New Roman;Times;Serif" w:hAnsi="Times New Roman;Times;Serif"/>
          <w:b w:val="false"/>
          <w:i w:val="false"/>
          <w:caps w:val="false"/>
          <w:smallCaps w:val="false"/>
          <w:sz w:val="20"/>
        </w:rPr>
        <w:t>”) under the Term Loan (as defined below) as of the last day of the quarter ended December 31, 2023. The December 2023 Waiver provided for a one-time issuance of penny warrants (the “</w:t>
      </w:r>
      <w:r>
        <w:rPr>
          <w:rFonts w:ascii="Times New Roman;Times;Serif" w:hAnsi="Times New Roman;Times;Serif"/>
          <w:b/>
          <w:i w:val="false"/>
          <w:caps w:val="false"/>
          <w:smallCaps w:val="false"/>
          <w:sz w:val="20"/>
        </w:rPr>
        <w:t>December 2023 Penny Warrants</w:t>
      </w:r>
      <w:r>
        <w:rPr>
          <w:rFonts w:ascii="Times New Roman;Times;Serif" w:hAnsi="Times New Roman;Times;Serif"/>
          <w:b w:val="false"/>
          <w:i w:val="false"/>
          <w:caps w:val="false"/>
          <w:smallCaps w:val="false"/>
          <w:sz w:val="20"/>
        </w:rPr>
        <w:t>”) to purchase up to 1,286,671 shares of our common stock, at an exercise price of $0.01 per share, in connection with the Term Loan Lenders’ agreement to waive the Tests under the Term Loan for the quarter ended December 31, 2023. The December 2023 Penny Warrants were immediately exercisable upon issuance and will expire ten years from the date of issuance.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May 2024 Private Placement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we received a waiver (the “</w:t>
      </w:r>
      <w:r>
        <w:rPr>
          <w:rFonts w:ascii="Times New Roman;Times;Serif" w:hAnsi="Times New Roman;Times;Serif"/>
          <w:b/>
          <w:i w:val="false"/>
          <w:caps w:val="false"/>
          <w:smallCaps w:val="false"/>
          <w:sz w:val="20"/>
        </w:rPr>
        <w:t>May 2024 Waiver</w:t>
      </w:r>
      <w:r>
        <w:rPr>
          <w:rFonts w:ascii="Times New Roman;Times;Serif" w:hAnsi="Times New Roman;Times;Serif"/>
          <w:b w:val="false"/>
          <w:i w:val="false"/>
          <w:caps w:val="false"/>
          <w:smallCaps w:val="false"/>
          <w:sz w:val="20"/>
        </w:rPr>
        <w:t>”) from the Term Loan Lenders in regards to our compliance with the Tests as of the last day of the quarter ended March 31, 2024. The May 2024 Waiver provided for a one-time issuance of penny warrants (the “</w:t>
      </w:r>
      <w:r>
        <w:rPr>
          <w:rFonts w:ascii="Times New Roman;Times;Serif" w:hAnsi="Times New Roman;Times;Serif"/>
          <w:b/>
          <w:i w:val="false"/>
          <w:caps w:val="false"/>
          <w:smallCaps w:val="false"/>
          <w:sz w:val="20"/>
        </w:rPr>
        <w:t>May 2024 Penny Warrants</w:t>
      </w:r>
      <w:r>
        <w:rPr>
          <w:rFonts w:ascii="Times New Roman;Times;Serif" w:hAnsi="Times New Roman;Times;Serif"/>
          <w:b w:val="false"/>
          <w:i w:val="false"/>
          <w:caps w:val="false"/>
          <w:smallCaps w:val="false"/>
          <w:sz w:val="20"/>
        </w:rPr>
        <w:t>”) to purchase up to 2,550,000 shares of our common stock (the “</w:t>
      </w:r>
      <w:r>
        <w:rPr>
          <w:rFonts w:ascii="Times New Roman;Times;Serif" w:hAnsi="Times New Roman;Times;Serif"/>
          <w:b/>
          <w:i w:val="false"/>
          <w:caps w:val="false"/>
          <w:smallCaps w:val="false"/>
          <w:sz w:val="20"/>
        </w:rPr>
        <w:t>May 2024 Penny Warrant Shares</w:t>
      </w:r>
      <w:r>
        <w:rPr>
          <w:rFonts w:ascii="Times New Roman;Times;Serif" w:hAnsi="Times New Roman;Times;Serif"/>
          <w:b w:val="false"/>
          <w:i w:val="false"/>
          <w:caps w:val="false"/>
          <w:smallCaps w:val="false"/>
          <w:sz w:val="20"/>
        </w:rPr>
        <w:t>”), at an exercise price of $0.01 per share, in connection with the Term Loan Lender’s agreement to waive the Tests under the Term Loan for the quarter ended March 31, 2024. The May 2024 Penny Warrants were immediately exercisable upon issuance and will expire ten years from the date of issuance.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2024 Private Placement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2024, we received a limited waiver and first amendment (the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from the Term Loan Lenders in regards to our compliance with the Tests as of the last day of the quarter ended June 30, 2024. The Amendment provided for a one-time issuance of penny warrants (the “</w:t>
      </w:r>
      <w:r>
        <w:rPr>
          <w:rFonts w:ascii="Times New Roman;Times;Serif" w:hAnsi="Times New Roman;Times;Serif"/>
          <w:b/>
          <w:i w:val="false"/>
          <w:caps w:val="false"/>
          <w:smallCaps w:val="false"/>
          <w:sz w:val="20"/>
        </w:rPr>
        <w:t>June 2024 Penny Warrants</w:t>
      </w:r>
      <w:r>
        <w:rPr>
          <w:rFonts w:ascii="Times New Roman;Times;Serif" w:hAnsi="Times New Roman;Times;Serif"/>
          <w:b w:val="false"/>
          <w:i w:val="false"/>
          <w:caps w:val="false"/>
          <w:smallCaps w:val="false"/>
          <w:sz w:val="20"/>
        </w:rPr>
        <w:t>”) to purchase up to 2,100,000 shares of our common stock (the “</w:t>
      </w:r>
      <w:r>
        <w:rPr>
          <w:rFonts w:ascii="Times New Roman;Times;Serif" w:hAnsi="Times New Roman;Times;Serif"/>
          <w:b/>
          <w:i w:val="false"/>
          <w:caps w:val="false"/>
          <w:smallCaps w:val="false"/>
          <w:sz w:val="20"/>
        </w:rPr>
        <w:t>June 2024 Penny Warrant Shares</w:t>
      </w:r>
      <w:r>
        <w:rPr>
          <w:rFonts w:ascii="Times New Roman;Times;Serif" w:hAnsi="Times New Roman;Times;Serif"/>
          <w:b w:val="false"/>
          <w:i w:val="false"/>
          <w:caps w:val="false"/>
          <w:smallCaps w:val="false"/>
          <w:sz w:val="20"/>
        </w:rPr>
        <w:t>”), at an exercise price of $0.01 per share, in connection with the Term Loan Lender’s agreement to waive the Tests under the Term Loan for the quarter ended June 30, 2024. The June 2024 Penny Warrants were immediately exercisable upon issuance and will expire ten years from the date of issuance.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Amendment (i) reduced the liquidity requirement under the Term Loan to be $3.5 million as of the last day of the month ended June 30, 2024, and $10.0 million as of the last day of each fiscal month thereafter commencing with the fiscal month ending July 31, 2024 and (ii) provided for the interest to be paid on the Payment Date (as defined in the Term Loan) occurred on July 1, 2024 to be solely payable-in-kind.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Licensing Agreement with Stryten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2024, us, Legacy Dragonfly and Battle Born Battery Products, LLC (“</w:t>
      </w:r>
      <w:r>
        <w:rPr>
          <w:rFonts w:ascii="Times New Roman;Times;Serif" w:hAnsi="Times New Roman;Times;Serif"/>
          <w:b/>
          <w:i w:val="false"/>
          <w:caps w:val="false"/>
          <w:smallCaps w:val="false"/>
          <w:sz w:val="20"/>
        </w:rPr>
        <w:t>Battle Born LLC</w:t>
      </w:r>
      <w:r>
        <w:rPr>
          <w:rFonts w:ascii="Times New Roman;Times;Serif" w:hAnsi="Times New Roman;Times;Serif"/>
          <w:b w:val="false"/>
          <w:i w:val="false"/>
          <w:caps w:val="false"/>
          <w:smallCaps w:val="false"/>
          <w:sz w:val="20"/>
        </w:rPr>
        <w:t>”), a newly formed wholly-owned subsidiary of Legacy Dragonfly, entered into a License Agreement (the “</w:t>
      </w:r>
      <w:r>
        <w:rPr>
          <w:rFonts w:ascii="Times New Roman;Times;Serif" w:hAnsi="Times New Roman;Times;Serif"/>
          <w:b/>
          <w:i w:val="false"/>
          <w:caps w:val="false"/>
          <w:smallCaps w:val="false"/>
          <w:sz w:val="20"/>
        </w:rPr>
        <w:t>License Agreement</w:t>
      </w:r>
      <w:r>
        <w:rPr>
          <w:rFonts w:ascii="Times New Roman;Times;Serif" w:hAnsi="Times New Roman;Times;Serif"/>
          <w:b w:val="false"/>
          <w:i w:val="false"/>
          <w:caps w:val="false"/>
          <w:smallCaps w:val="false"/>
          <w:sz w:val="20"/>
        </w:rPr>
        <w:t>”) with Stryten Energy LLC (“</w:t>
      </w:r>
      <w:r>
        <w:rPr>
          <w:rFonts w:ascii="Times New Roman;Times;Serif" w:hAnsi="Times New Roman;Times;Serif"/>
          <w:b/>
          <w:i w:val="false"/>
          <w:caps w:val="false"/>
          <w:smallCaps w:val="false"/>
          <w:sz w:val="20"/>
        </w:rPr>
        <w:t>Stryten</w:t>
      </w:r>
      <w:r>
        <w:rPr>
          <w:rFonts w:ascii="Times New Roman;Times;Serif" w:hAnsi="Times New Roman;Times;Serif"/>
          <w:b w:val="false"/>
          <w:i w:val="false"/>
          <w:caps w:val="false"/>
          <w:smallCaps w:val="false"/>
          <w:sz w:val="20"/>
        </w:rPr>
        <w:t>”). Pursuant to the License Agreement, Battle Born LLC granted Stryten an exclusive, worldwide license to use certain trademarks relating to Legacy Dragonfly’s lithium-ion battery brand, Battle Born Batteries® (the “</w:t>
      </w:r>
      <w:r>
        <w:rPr>
          <w:rFonts w:ascii="Times New Roman;Times;Serif" w:hAnsi="Times New Roman;Times;Serif"/>
          <w:b/>
          <w:i w:val="false"/>
          <w:caps w:val="false"/>
          <w:smallCaps w:val="false"/>
          <w:sz w:val="20"/>
        </w:rPr>
        <w:t>Licensed Trademarks</w:t>
      </w:r>
      <w:r>
        <w:rPr>
          <w:rFonts w:ascii="Times New Roman;Times;Serif" w:hAnsi="Times New Roman;Times;Serif"/>
          <w:b w:val="false"/>
          <w:i w:val="false"/>
          <w:caps w:val="false"/>
          <w:smallCaps w:val="false"/>
          <w:sz w:val="20"/>
        </w:rPr>
        <w:t>”) for business-to-business sales of batteries to customers within the following markets: (i) automative, (ii) marine, (iii) powersports, (iv) lawn and garden, (v) golf cart, and (vi) military and defense (such industries, the “</w:t>
      </w:r>
      <w:r>
        <w:rPr>
          <w:rFonts w:ascii="Times New Roman;Times;Serif" w:hAnsi="Times New Roman;Times;Serif"/>
          <w:b/>
          <w:i w:val="false"/>
          <w:caps w:val="false"/>
          <w:smallCaps w:val="false"/>
          <w:sz w:val="20"/>
        </w:rPr>
        <w:t>Stryten Market</w:t>
      </w:r>
      <w:r>
        <w:rPr>
          <w:rFonts w:ascii="Times New Roman;Times;Serif" w:hAnsi="Times New Roman;Times;Serif"/>
          <w:b w:val="false"/>
          <w:i w:val="false"/>
          <w:caps w:val="false"/>
          <w:smallCaps w:val="false"/>
          <w:sz w:val="20"/>
        </w:rPr>
        <w:t>”). In exchange for the licensing rights, Stryten agreed to pay Battle Born LLC an initial licensing fee of five million dollars ($5,000,000) (the “</w:t>
      </w:r>
      <w:r>
        <w:rPr>
          <w:rFonts w:ascii="Times New Roman;Times;Serif" w:hAnsi="Times New Roman;Times;Serif"/>
          <w:b/>
          <w:i w:val="false"/>
          <w:caps w:val="false"/>
          <w:smallCaps w:val="false"/>
          <w:sz w:val="20"/>
        </w:rPr>
        <w:t>Initial Licensing Fee</w:t>
      </w:r>
      <w:r>
        <w:rPr>
          <w:rFonts w:ascii="Times New Roman;Times;Serif" w:hAnsi="Times New Roman;Times;Serif"/>
          <w:b w:val="false"/>
          <w:i w:val="false"/>
          <w:caps w:val="false"/>
          <w:smallCaps w:val="false"/>
          <w:sz w:val="20"/>
        </w:rPr>
        <w:t>”). The License Agreement provides for mid-single digit royalty payments based on net sales using the Licensed Trademarks, with a tiered structure reaching up to twenty-five million dollars ($25,000,000), at which point Stryten will be required to pay a nominal annual license fee. Additional fees will apply for battery design and contract manufacturing services outside of the License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License Agreement is perpetual in term, unless terminated by: (i) Battle Born LLC if Stryten fails to pay the royalty payments required by the License Agreement and such royalty payments remain unpaid thirty (30) days after notice of such overdue payments (provided that Battle Born LLC uses reasonable efforts to discuss such overdue payments with Stryten), or (ii) either party (x) if the other party materially breaches the License Agreement and fails to cure such material breach within thirty (30) days of notice of such breach, (y) upon the occurrence of certain bankruptcy-related events, or (z) under certain circumstances, if the aggregate royalty payments received by Battle Born LLC under the License Agreement are less than fifteen million dollars ($15,000,000) after five (5) years.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Second Amendment to our Term Loan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License Agreement, on July 29, 2024, us, Legacy Dragonfly and Battle Born LLC entered into a Limited Waiver, Consent and Second Amendment to the Term Loan, Guarantee and Security Agreement (the “</w:t>
      </w:r>
      <w:r>
        <w:rPr>
          <w:rFonts w:ascii="Times New Roman;Times;Serif" w:hAnsi="Times New Roman;Times;Serif"/>
          <w:b/>
          <w:i w:val="false"/>
          <w:caps w:val="false"/>
          <w:smallCaps w:val="false"/>
          <w:sz w:val="20"/>
        </w:rPr>
        <w:t>Second Amendment</w:t>
      </w:r>
      <w:r>
        <w:rPr>
          <w:rFonts w:ascii="Times New Roman;Times;Serif" w:hAnsi="Times New Roman;Times;Serif"/>
          <w:b w:val="false"/>
          <w:i w:val="false"/>
          <w:caps w:val="false"/>
          <w:smallCaps w:val="false"/>
          <w:sz w:val="20"/>
        </w:rPr>
        <w:t>”) with the Term Loan Lenders (defined below) under our Original Term Loan (defined below).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Second Amendment, the Term Loan Lenders (i) consented to the transactions contemplated by the License Agreement and the Trademark Transfer Agreement and (ii) agreed to waive the mandatory prepayment under the Loan Agreement that would have been due to the Term Loan Lenders under the Loan Agreement upon Battle Born LLC’s receipt of the Initial Licensing Fee.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Amendment, Battle Born LLC entered into a Joinder Agreement with the Term Loan Lenders (the “</w:t>
      </w:r>
      <w:r>
        <w:rPr>
          <w:rFonts w:ascii="Times New Roman;Times;Serif" w:hAnsi="Times New Roman;Times;Serif"/>
          <w:b/>
          <w:i w:val="false"/>
          <w:caps w:val="false"/>
          <w:smallCaps w:val="false"/>
          <w:sz w:val="20"/>
        </w:rPr>
        <w:t>Joinder</w:t>
      </w:r>
      <w:r>
        <w:rPr>
          <w:rFonts w:ascii="Times New Roman;Times;Serif" w:hAnsi="Times New Roman;Times;Serif"/>
          <w:b w:val="false"/>
          <w:i w:val="false"/>
          <w:caps w:val="false"/>
          <w:smallCaps w:val="false"/>
          <w:sz w:val="20"/>
        </w:rPr>
        <w:t>”) whereby Battle Born LLC became a guarantor and credit party to the Loan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July 2024 Waiver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2024, we received a waiver (the “</w:t>
      </w:r>
      <w:r>
        <w:rPr>
          <w:rFonts w:ascii="Times New Roman;Times;Serif" w:hAnsi="Times New Roman;Times;Serif"/>
          <w:b/>
          <w:i w:val="false"/>
          <w:caps w:val="false"/>
          <w:smallCaps w:val="false"/>
          <w:sz w:val="20"/>
        </w:rPr>
        <w:t>July 2024 Waiver</w:t>
      </w:r>
      <w:r>
        <w:rPr>
          <w:rFonts w:ascii="Times New Roman;Times;Serif" w:hAnsi="Times New Roman;Times;Serif"/>
          <w:b w:val="false"/>
          <w:i w:val="false"/>
          <w:caps w:val="false"/>
          <w:smallCaps w:val="false"/>
          <w:sz w:val="20"/>
        </w:rPr>
        <w:t>”) from the Term Loan Lenders in regards to our compliance with the liquidity tests as of the last day of the fiscal month ended July 31,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Trucking Market Milestones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significant progress in developing our distribution channels. Our batteries have now received approval for installation at Daimler Truck CTS, Rush Enterprises CVS, and Fontaine Modification, all of which are PDI or modification and upfit centers. This development ensures the ready availability of batteries for shipment on new trucks and allows for their inclusion in the tractor’s purchase price.</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2024, we announced that we would be partnering with Highway Transport, a leader in North American liquid chemical transportation, to transition Highway Transport’s entire fleet of over 500 trucks to our Battle Born all-electric APUs. As part of the partnership, Highway Transport is expected to install the Battle Born all-electric APUs on new tractors in addition to retrofitting current models in Highway Transport’s fleet. This partnership with Highway Transport marks a major step forward for our reach in the commercial trucking sector. We believe the planned integration of the Battle Born all-electric APU into Highway Transport’s fleet paves the way for wider adoption of our clean energy solutions, accelerating the transition towards a more sustainable transportation landscape.</w:t>
      </w:r>
    </w:p>
    <w:p>
      <w:pPr>
        <w:pStyle w:val="TextBody"/>
        <w:shd w:fill="FFFFFF" w:val="clear"/>
        <w:bidi w:val="0"/>
        <w:jc w:val="both"/>
        <w:rPr>
          <w:caps w:val="false"/>
          <w:smallCaps w:val="false"/>
        </w:rPr>
      </w:pPr>
      <w:r>
        <w:rPr>
          <w:caps w:val="false"/>
          <w:smallCaps w:val="false"/>
        </w:rPr>
        <w:t> </w:t>
      </w:r>
    </w:p>
    <w:p>
      <w:pPr>
        <w:pStyle w:val="TextBody"/>
        <w:bidi w:val="0"/>
        <w:jc w:val="both"/>
        <w:rPr/>
      </w:pPr>
      <w:r>
        <w:rPr/>
        <w:t>On July 1, 2024, we announced that we are now a provider of lithium based liftgate power solutions for Refreshment Services Pepsi, a privately-held independent bottler and distributor for Pepsi-Cola® products. With distribution centers across the U.S., Refreshment Services Pepsi will begin integrating our Battle Born Batteries products into their fleet to power liftgate operations. The expansion of our lithium-based power solutions to liftgate applications broadens sales opportunities within the trucking market.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position and results of operations depend to a significant extent on the following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End Market Consumers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products ultimately depends on demand from consumers in our current end markets. We generate sales through (1) DTC and (2) through OEMs, particularly in the RV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from end market consumers is impacted by a number of factors, including fuel costs and energy demands (including an increasing trend towards the use of green energy), as well as overall macro-economic conditions, such as interest rates and inflation. Sales of our batteries have benefited from the increased adoption of the RV lifestyle, the demand for and inclusion of additional appliances and electronics in RVs, and the accelerating trend of solar power adoption among RV customers. However, rising fuel costs and other macro-economic conditions have caused a downward shift in decisions taken by end market consumers around spending in the RV market and in July 2023, we were notified by our largest RV OEM customer that, due to weaker demand for its products and their subsequent focus on reducing costs, it would no longer install our storage solutions as standard equipment, but rather return to offering those solutions as an option to dealers and consumers. While this customer is not moving to a different solution or competitor, as a result in this change in strategy there was a material limiting effect on our revenue in 2023. Based on our discussions with customers and current forecast projections, we expect our revenue in the RV market to increase in the second half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 significant portion of our sales come from the RV market, we also offer targeted solutions using the same products for the marine market. These solutions cater to OEMs and consumers alike, addressing the power needs of various vessels like sailboats, powerboats, and fishing boats (center console and bass). We have worked closely to follow ABYC (American Boat &amp; Yacht Council) Standards to develop systems that adhere to the recent ABYC E-13 Guidelines (Standards for Lithium Batteries).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includes plans to expand into new end markets that we have identified as opportunities for our LFP batteries, including medium and heavy-duty trucking, specialty and work vehicles, solar integration, oil and gas, industrial, rail, material handling,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However, as many of the supply chain challenges and delays that were prevalent over the last several years have eased, we are now actively working down our inventory to more appropriate safety stock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Commercial Offtake Agreement with a lithium mining company located in Nevada for the supply of lithium, which we expect will enable us to further manage our cost of goods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and Customer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sales consist of sales of seven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typically have lower related margin. We expect accessory sales to increase as we further develop full-system design expertise and product offerings and consumers increasingly demand more sophisticated systems, rather than simple drop-in replacements.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Production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battery assembly currently takes place at our 99,000 square foot headquarters and manufacturing facility located in Reno, Nevada. We currently operate three LFP battery production lines. Consistent with our operating history, we plan to continue to automate additional aspects of our battery production lines. Our existing facility has the capacity to add up to four additional LFP battery production lines and construct and operate a pilot production line for domestic cell manufacturing,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entered into a lease on February 8, 2022 for an additional 390,240 square foot warehouse in Reno, Nevada, which is expected to be completed in the second half of 2024. The commencement date for the lease for this facility was March 25, 2024, based on the construction project being identified as “substantially complete”. This facility will enable us to consolidate various operations in Reno, NV and will allow for expected expansion for new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2024, we entered into a lease agreement (the “</w:t>
      </w:r>
      <w:r>
        <w:rPr>
          <w:rFonts w:ascii="Times New Roman;Times;Serif" w:hAnsi="Times New Roman;Times;Serif"/>
          <w:b/>
          <w:i w:val="false"/>
          <w:caps w:val="false"/>
          <w:smallCaps w:val="false"/>
          <w:sz w:val="20"/>
        </w:rPr>
        <w:t>Fernley Lease Agreement</w:t>
      </w:r>
      <w:r>
        <w:rPr>
          <w:rFonts w:ascii="Times New Roman;Times;Serif" w:hAnsi="Times New Roman;Times;Serif"/>
          <w:b w:val="false"/>
          <w:i w:val="false"/>
          <w:caps w:val="false"/>
          <w:smallCaps w:val="false"/>
          <w:sz w:val="20"/>
        </w:rPr>
        <w:t>”) pursuant to which we agreed to lease an approximately 64,000 square foot facility (the “</w:t>
      </w:r>
      <w:r>
        <w:rPr>
          <w:rFonts w:ascii="Times New Roman;Times;Serif" w:hAnsi="Times New Roman;Times;Serif"/>
          <w:b/>
          <w:i w:val="false"/>
          <w:caps w:val="false"/>
          <w:smallCaps w:val="false"/>
          <w:sz w:val="20"/>
        </w:rPr>
        <w:t>Premises</w:t>
      </w:r>
      <w:r>
        <w:rPr>
          <w:rFonts w:ascii="Times New Roman;Times;Serif" w:hAnsi="Times New Roman;Times;Serif"/>
          <w:b w:val="false"/>
          <w:i w:val="false"/>
          <w:caps w:val="false"/>
          <w:smallCaps w:val="false"/>
          <w:sz w:val="20"/>
        </w:rPr>
        <w:t>”) in Fernley, Nevada, to be used for general, warehousing, assembly/light manufacturing, painting of products, storage fulfillment, distribution of our products, and other uses as permitted under in the Fernley Lease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is primarily focused on the advanced manufacturing of Lithium ion batteries using a dry-electrode process. We are focused on scaling the process to allow for the low-cost domestic manufacturing of cells. We are also applying the dry-electrode process to the production of solid-state lithium-ion batteries having an LFP catholyte, a solid electrolyte and an intercalation-based anolyte (intercalation being the reversible inclusion of a molecule or ion into layered solids). 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 This is expected to require significant additional expense, and we may need to raise additional funds to continue these research and development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are primarily generated from the sale of our LFP batteries to OEMs and consumers, as well as chargers and other accessories, either individually or bundled.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includes the cost of cells and other components of our LFP batteries, labor and overhead, logistics and freight costs, and depreciation of manufacturing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calculated as net sales less cost of goods sold, may vary between periods and is primarily affected by various factors including average selling prices, product costs, product mix and customer mix.</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include personnel-related expenses for scientists, experienced engineers and technicians as well as the material and supplies to support the development of new products and our solid-state technology. As we work towards completing the development of our solid-state lithium-ion cells and the manufacturing of batteries that incorporate this technology, we anticipate that research and development expenses will increase significantly for the foreseeable future as we continue to invest in product development and optimizing and producing solid-state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 include personnel-related expenses attributable to our executive, finance, human resources, and information technology organizations, certain facility costs, and fees for professional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consists primarily of interest expense, the change in fair value of the warrant liability and amortization of debt issuance costs.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Comparisons for the Three months ended June 30, 2024, and June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for the three months ended June 30, 2024 and June 30, 2023. This data should be read together with our financial statements and related notes included elsewhere in this Quarterly Report, and is qualified in its entirety by reference to such financial statements and related notes.</w:t>
      </w:r>
    </w:p>
    <w:p>
      <w:pPr>
        <w:pStyle w:val="TextBody"/>
        <w:bidi w:val="0"/>
        <w:spacing w:before="0" w:after="0"/>
        <w:ind w:left="0" w:right="0" w:hanging="0"/>
        <w:jc w:val="both"/>
        <w:rPr>
          <w:caps w:val="false"/>
          <w:smallCaps w:val="false"/>
        </w:rPr>
      </w:pPr>
      <w:r>
        <w:rPr>
          <w:caps w:val="false"/>
          <w:smallCaps w:val="false"/>
        </w:rPr>
        <w:t> </w:t>
      </w:r>
    </w:p>
    <w:tbl>
      <w:tblPr>
        <w:tblW w:w="9383" w:type="dxa"/>
        <w:jc w:val="left"/>
        <w:tblInd w:w="0" w:type="dxa"/>
        <w:tblLayout w:type="fixed"/>
        <w:tblCellMar>
          <w:top w:w="0" w:type="dxa"/>
          <w:left w:w="0" w:type="dxa"/>
          <w:bottom w:w="0" w:type="dxa"/>
          <w:right w:w="0" w:type="dxa"/>
        </w:tblCellMar>
      </w:tblPr>
      <w:tblGrid>
        <w:gridCol w:w="4460"/>
        <w:gridCol w:w="60"/>
        <w:gridCol w:w="140"/>
        <w:gridCol w:w="755"/>
        <w:gridCol w:w="95"/>
        <w:gridCol w:w="60"/>
        <w:gridCol w:w="107"/>
        <w:gridCol w:w="1142"/>
        <w:gridCol w:w="95"/>
        <w:gridCol w:w="60"/>
        <w:gridCol w:w="140"/>
        <w:gridCol w:w="755"/>
        <w:gridCol w:w="95"/>
        <w:gridCol w:w="60"/>
        <w:gridCol w:w="119"/>
        <w:gridCol w:w="1130"/>
        <w:gridCol w:w="110"/>
      </w:tblGrid>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53"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Three months ended June 30,</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Net Sales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Net Sales</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53" w:type="dxa"/>
            <w:gridSpan w:val="14"/>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13,208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19,274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10,041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shd w:fill="FFFFFF" w:val="clear"/>
            <w:tcMar>
              <w:bottom w:w="28" w:type="dxa"/>
            </w:tcMar>
            <w:vAlign w:val="center"/>
          </w:tcPr>
          <w:p>
            <w:pPr>
              <w:pStyle w:val="TableContents"/>
              <w:bidi w:val="0"/>
              <w:spacing w:before="0" w:after="283"/>
              <w:jc w:val="right"/>
              <w:rPr/>
            </w:pPr>
            <w:r>
              <w:rPr/>
              <w:t>76.0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15,350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79.6</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20.4</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5.5</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5,704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43.2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7,614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39.5</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2,681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shd w:fill="CCEEFF" w:val="clear"/>
            <w:tcMar>
              <w:bottom w:w="28" w:type="dxa"/>
            </w:tcMar>
            <w:vAlign w:val="center"/>
          </w:tcPr>
          <w:p>
            <w:pPr>
              <w:pStyle w:val="TableContents"/>
              <w:bidi w:val="0"/>
              <w:spacing w:before="0" w:after="283"/>
              <w:jc w:val="right"/>
              <w:rPr/>
            </w:pPr>
            <w:r>
              <w:rPr/>
              <w:t>20.3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3,808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19.8</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9,916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shd w:fill="FFFFFF" w:val="clear"/>
            <w:tcMar>
              <w:bottom w:w="28" w:type="dxa"/>
            </w:tcMar>
            <w:vAlign w:val="center"/>
          </w:tcPr>
          <w:p>
            <w:pPr>
              <w:pStyle w:val="TableContents"/>
              <w:bidi w:val="0"/>
              <w:spacing w:before="0" w:after="283"/>
              <w:jc w:val="right"/>
              <w:rPr/>
            </w:pPr>
            <w:r>
              <w:rPr/>
              <w:t>75.1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12,489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64.8</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(6,749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(51.1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(8,565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(44.4</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(4,878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(37.0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(21.5</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0.0</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(1,981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shd w:fill="CCEEFF" w:val="clear"/>
            <w:tcMar>
              <w:bottom w:w="28" w:type="dxa"/>
            </w:tcMar>
            <w:vAlign w:val="center"/>
          </w:tcPr>
          <w:p>
            <w:pPr>
              <w:pStyle w:val="TableContents"/>
              <w:bidi w:val="0"/>
              <w:spacing w:before="0" w:after="283"/>
              <w:jc w:val="right"/>
              <w:rPr/>
            </w:pPr>
            <w:r>
              <w:rPr/>
              <w:t>(15.0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804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4.2</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Total 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(6,878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shd w:fill="FFFFFF" w:val="clear"/>
            <w:tcMar>
              <w:bottom w:w="28" w:type="dxa"/>
            </w:tcMar>
            <w:vAlign w:val="center"/>
          </w:tcPr>
          <w:p>
            <w:pPr>
              <w:pStyle w:val="TableContents"/>
              <w:bidi w:val="0"/>
              <w:spacing w:before="0" w:after="283"/>
              <w:jc w:val="right"/>
              <w:rPr/>
            </w:pPr>
            <w:r>
              <w:rPr/>
              <w:t>(52.1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(3,334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(17.3</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b/>
              </w:rPr>
            </w:pPr>
            <w:r>
              <w:rPr>
                <w:b/>
              </w:rPr>
              <w:t>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(13,627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(103.2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(11,899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(61.7</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b/>
              </w:rPr>
            </w:pPr>
            <w:r>
              <w:rPr>
                <w:b/>
              </w:rPr>
              <w:t>Income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(13,627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2" w:type="dxa"/>
            <w:tcBorders>
              <w:bottom w:val="double" w:sz="6" w:space="0" w:color="000000"/>
            </w:tcBorders>
            <w:shd w:fill="CCEEFF" w:val="clear"/>
            <w:tcMar>
              <w:bottom w:w="28" w:type="dxa"/>
            </w:tcMar>
            <w:vAlign w:val="center"/>
          </w:tcPr>
          <w:p>
            <w:pPr>
              <w:pStyle w:val="TableContents"/>
              <w:bidi w:val="0"/>
              <w:spacing w:before="0" w:after="283"/>
              <w:jc w:val="right"/>
              <w:rPr/>
            </w:pPr>
            <w:r>
              <w:rPr/>
              <w:t>(103.2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(11,899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(61.7</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4357" w:type="dxa"/>
        <w:jc w:val="left"/>
        <w:tblInd w:w="0" w:type="dxa"/>
        <w:tblLayout w:type="fixed"/>
        <w:tblCellMar>
          <w:top w:w="0" w:type="dxa"/>
          <w:left w:w="0" w:type="dxa"/>
          <w:bottom w:w="0" w:type="dxa"/>
          <w:right w:w="0" w:type="dxa"/>
        </w:tblCellMar>
      </w:tblPr>
      <w:tblGrid>
        <w:gridCol w:w="1190"/>
        <w:gridCol w:w="60"/>
        <w:gridCol w:w="252"/>
        <w:gridCol w:w="1228"/>
        <w:gridCol w:w="108"/>
        <w:gridCol w:w="108"/>
        <w:gridCol w:w="108"/>
        <w:gridCol w:w="1228"/>
        <w:gridCol w:w="75"/>
      </w:tblGrid>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3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June 30,</w:t>
            </w:r>
          </w:p>
        </w:tc>
        <w:tc>
          <w:tcPr>
            <w:tcW w:w="7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3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32"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DTC</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6,534</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9,972</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 Net Sales</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49.5</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51.7</w:t>
            </w:r>
          </w:p>
        </w:tc>
        <w:tc>
          <w:tcPr>
            <w:tcW w:w="75"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OEM</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6,674</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9,302</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 Net Sales</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50.5</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48.3</w:t>
            </w:r>
          </w:p>
        </w:tc>
        <w:tc>
          <w:tcPr>
            <w:tcW w:w="75"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8" w:type="dxa"/>
            <w:tcBorders>
              <w:bottom w:val="single" w:sz="12" w:space="0" w:color="000000"/>
            </w:tcBorders>
            <w:shd w:fill="CCEEFF" w:val="clear"/>
            <w:tcMar>
              <w:bottom w:w="28" w:type="dxa"/>
            </w:tcMar>
            <w:vAlign w:val="center"/>
          </w:tcPr>
          <w:p>
            <w:pPr>
              <w:pStyle w:val="TableContents"/>
              <w:bidi w:val="0"/>
              <w:spacing w:before="0" w:after="283"/>
              <w:jc w:val="right"/>
              <w:rPr/>
            </w:pPr>
            <w:r>
              <w:rPr/>
              <w:t>13,208</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CCEEFF" w:val="clear"/>
            <w:tcMar>
              <w:bottom w:w="28" w:type="dxa"/>
            </w:tcMar>
            <w:vAlign w:val="center"/>
          </w:tcPr>
          <w:p>
            <w:pPr>
              <w:pStyle w:val="TableContents"/>
              <w:bidi w:val="0"/>
              <w:spacing w:before="0" w:after="283"/>
              <w:jc w:val="right"/>
              <w:rPr/>
            </w:pPr>
            <w:r>
              <w:rPr/>
              <w:t>19,274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decreased by $6.1 million, or 31.5%, to $13.2 million for the three months ended June 30, 2024, as compared to $19.3 million for the three months ended June 30, 2023. This decrease was primarily due to lower DTC and OEM battery and accessory sales offset by a higher average sales price. For the three months ended June 30, 2024, DTC revenue decreased by $3.5 million to $6.5 million, compared to $10.0 million in the second quarter of 2023 due to decreased customer demand for our products, rising interest rates, and inflation. OEM revenue decreased by $2.6 million to $6.7 million, compared to $9.3 million in the second quarter of 2023 primarily due to our largest RV customer changing our product from a standard offering to an option, in addition to lower order volumes by key customers, primarily due to a weather event at our largest customer’s production facility, combined with persisting weakness in the motorized RV market. Excluding this customer our RV OEM sales were up 36% year over year for the three months ended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deployment of products for use in oil and gas operations in North America to begin contributing to net sales by the fourth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decreased by $5.3 million, or 34.6%, to $10.0 million for the three months ended June 30, 2024, as compared to $15.4 million for the three months ended June 30, 2023. This decrease was primarily due to lower unit volume and lower material costs associated with consuming lower-priced inventory resulting in a $5.2 million decrease of product cost and $0.1 million decrease in overhead expense associated with lower labor costs due to reduced headcount. We expect our Cost of Goods Sold to increase in conjunction with the anticipated increase in revenue over the next 12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decreased by $0.7 million, or 19.3%, to $3.2 million for the three months ended June 30, 2024, as compared to $3.9 million for the three months ended June 30, 2023. The decrease in gross profit was primarily due to a lower unit volume of sales offset by higher average selling price and lower material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$0.4 million, or 43.5%, to $1.5 million for the three months ended June 30, 2024, as compared to $1.1 million for the three months ended June 30, 2023. The increase was primarily due to higher wage expense in the amount of $0.3 million and $0.1 million for increased lease expense for new lease. While we expect to continue to grow the Research and Development headcount, we expect to do so at a slower rate than in prior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by $1.9 million, or 25.1%, to $5.7 million for the three months ended June 30, 2024, as compared to $7.6 million for the three months ended June 30, 2023. This decrease was primarily due to employee-related costs in the amount of $2.0 million. Impacting this is a severance package in the amount of $0.7 million and higher stock-based compensation in the amount of $0.7 million both in the prior year along with lower employee related costs in the amount of $0.6 million due to decreased headcount. Professional services, legal, insurance expenses and travel are lower by $0.6 million. Offsetting these lower costs is an increase in rent expense in the amount of $0.7 million for our new facility which is fully allocated to general and administrative expenses since we have not occupied the building as of June 30, 2024. We expect General and Administrative Expenses, as a percentage of revenue, to decline over the next 12 months.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decreased by $1.1 million, or 29.6%, to $2.7 million for the three months ended June 30, 2024, as compared to $3.8 million for the three months ended June 30, 2023. This decrease was primarily due to lower employee-related costs in the amount of $0.9 million of which $0.8 million is due to the prior period expense of the Wakespeed earnout accrual. Lower shipping costs in the amount of $0.3 million was related to a reduction in units sold. We expect our Selling and Marketing Expenses to be relatively stable over the next 12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(Expense)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totaled $6.9 million for the three months ended June 30, 2024 as compared to total other expense of $3.3 million for the three months ended June 30, 2023. Other expense of $6.9 million in three months ended June 30, 2024 was comprised primarily of interest expense of $4.9 million related to our debt securities and a change in fair market value of warrant liability in the amount of negative $2.0 million. The $3.3 million of other expense in three months ended June 30, 2023 was comprised $4.1 million in interest expense related to our debt securities partial offset by the positive change in fair market value of warrant liability of $0.8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(Benefit) Expense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tax expense recorded for the three months ended June 30, 2024 or the three months ended June 30, 2023. Based on available evidence as of June 30, 2024 and June 30, 2023, management believes it is more likely than not that some or all the deferred tax assets will not be realized. Accordingly, we established a 100% valuation allowance. As a result of the full valuation allowance, we did not record a tax benefit during the three months ended June 30, 2023 or the three months ended June 30,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experienced a net loss of $13.6 million for the three months ended June 30, 2024, as compared to net loss of $11.9 million for the three months ended June 30, 2023. As described above, this result was driven by lower sales partially offset by lower cost of goods sold, and lower operating expenses, and an increase in other income (due to the change in fair market value of our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Comparisons for the Six months ended June 30, 2024 and June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for the six months ended June 30, 2024, and the six months ended June 30, 2023. This data should be read together with our financial statements and related notes included elsewhere in this Quarterly Report, and is qualified in its entirety by reference to such financial statements and related notes.</w:t>
      </w:r>
    </w:p>
    <w:p>
      <w:pPr>
        <w:pStyle w:val="TextBody"/>
        <w:bidi w:val="0"/>
        <w:spacing w:before="0" w:after="0"/>
        <w:ind w:left="0" w:right="0" w:hanging="0"/>
        <w:jc w:val="both"/>
        <w:rPr>
          <w:caps w:val="false"/>
          <w:smallCaps w:val="false"/>
        </w:rPr>
      </w:pPr>
      <w:r>
        <w:rPr>
          <w:caps w:val="false"/>
          <w:smallCaps w:val="false"/>
        </w:rPr>
        <w:t> </w:t>
      </w:r>
    </w:p>
    <w:tbl>
      <w:tblPr>
        <w:tblW w:w="9383" w:type="dxa"/>
        <w:jc w:val="left"/>
        <w:tblInd w:w="0" w:type="dxa"/>
        <w:tblLayout w:type="fixed"/>
        <w:tblCellMar>
          <w:top w:w="0" w:type="dxa"/>
          <w:left w:w="0" w:type="dxa"/>
          <w:bottom w:w="0" w:type="dxa"/>
          <w:right w:w="0" w:type="dxa"/>
        </w:tblCellMar>
      </w:tblPr>
      <w:tblGrid>
        <w:gridCol w:w="4460"/>
        <w:gridCol w:w="60"/>
        <w:gridCol w:w="140"/>
        <w:gridCol w:w="755"/>
        <w:gridCol w:w="95"/>
        <w:gridCol w:w="60"/>
        <w:gridCol w:w="119"/>
        <w:gridCol w:w="1130"/>
        <w:gridCol w:w="95"/>
        <w:gridCol w:w="60"/>
        <w:gridCol w:w="140"/>
        <w:gridCol w:w="755"/>
        <w:gridCol w:w="95"/>
        <w:gridCol w:w="60"/>
        <w:gridCol w:w="119"/>
        <w:gridCol w:w="1130"/>
        <w:gridCol w:w="110"/>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3"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Net Sales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Net Sales</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3" w:type="dxa"/>
            <w:gridSpan w:val="14"/>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25,713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38,065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19,495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75.8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29,474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77.4</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6,218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8,591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22.6</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5.1</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10,517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40.9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17,109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45.0</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5,425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7,992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21.0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18,806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73.1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27,048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71.1</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(12,588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(18,457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(48.5</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(9,638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(7,994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(21.0</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pPr>
            <w:r>
              <w:rPr/>
              <w:t>Other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0.0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Change in fair market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(1,745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19,327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50.8</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Total Other (Expense)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(11,406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11,333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29.8</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(23,994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(93.3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(7,124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(18.7</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b/>
              </w:rPr>
            </w:pPr>
            <w:r>
              <w:rPr>
                <w:b/>
              </w:rPr>
              <w:t>Income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(23,994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(93.3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(7,124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(18.7</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057" w:type="dxa"/>
        <w:jc w:val="left"/>
        <w:tblInd w:w="0" w:type="dxa"/>
        <w:tblLayout w:type="fixed"/>
        <w:tblCellMar>
          <w:top w:w="0" w:type="dxa"/>
          <w:left w:w="0" w:type="dxa"/>
          <w:bottom w:w="0" w:type="dxa"/>
          <w:right w:w="0" w:type="dxa"/>
        </w:tblCellMar>
      </w:tblPr>
      <w:tblGrid>
        <w:gridCol w:w="1190"/>
        <w:gridCol w:w="60"/>
        <w:gridCol w:w="227"/>
        <w:gridCol w:w="1107"/>
        <w:gridCol w:w="97"/>
        <w:gridCol w:w="97"/>
        <w:gridCol w:w="97"/>
        <w:gridCol w:w="1107"/>
        <w:gridCol w:w="75"/>
      </w:tblGrid>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3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32"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DTC</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11,737</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20,009</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 Net Sales</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45.6</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52.6</w:t>
            </w:r>
          </w:p>
        </w:tc>
        <w:tc>
          <w:tcPr>
            <w:tcW w:w="75"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OEM</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13,976</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18,056</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 Net Sales</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54.4</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47.4</w:t>
            </w:r>
          </w:p>
        </w:tc>
        <w:tc>
          <w:tcPr>
            <w:tcW w:w="75"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7" w:type="dxa"/>
            <w:tcBorders>
              <w:bottom w:val="single" w:sz="12" w:space="0" w:color="000000"/>
            </w:tcBorders>
            <w:shd w:fill="CCEEFF" w:val="clear"/>
            <w:tcMar>
              <w:bottom w:w="28" w:type="dxa"/>
            </w:tcMar>
            <w:vAlign w:val="center"/>
          </w:tcPr>
          <w:p>
            <w:pPr>
              <w:pStyle w:val="TableContents"/>
              <w:bidi w:val="0"/>
              <w:spacing w:before="0" w:after="283"/>
              <w:jc w:val="right"/>
              <w:rPr/>
            </w:pPr>
            <w:r>
              <w:rPr/>
              <w:t>25,713</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7" w:type="dxa"/>
            <w:tcBorders>
              <w:bottom w:val="single" w:sz="12" w:space="0" w:color="000000"/>
            </w:tcBorders>
            <w:shd w:fill="CCEEFF" w:val="clear"/>
            <w:tcMar>
              <w:bottom w:w="28" w:type="dxa"/>
            </w:tcMar>
            <w:vAlign w:val="center"/>
          </w:tcPr>
          <w:p>
            <w:pPr>
              <w:pStyle w:val="TableContents"/>
              <w:bidi w:val="0"/>
              <w:spacing w:before="0" w:after="283"/>
              <w:jc w:val="right"/>
              <w:rPr/>
            </w:pPr>
            <w:r>
              <w:rPr/>
              <w:t>38,065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decreased by $12.4 million, or 32.4%, to $25.7 million for the six months ended June 30, 2024, as compared to $38.1 million for the six months ended June 30, 2023. This decrease was primarily due to lower DTC and OEM battery and accessory sales offset by a higher average sales price. For the six months ended June 30, 2024, DTC revenue decreased by $8.3 million to $11.7 million due to decreased customer demand for our products related to rising interest rates and inflation. OEM revenue decreased by $4.1 million to $14.0 million primarily due to our largest RV customer changing our product from a standard offering to an option, in addition to lower order volumes by key customers, primarily due to a weather event at our largest customer’s production facility, combined with persisting weakness in the motorized RV market. Excluding this customer our RV OEM sales were up 38% year over year for the six months ended June 30, 2024. We expect our deployment of products for use in oil and gas operations in North America to begin contributing to net sales by the fourth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decreased by $10.0 million, or 33.9%, to $19.5 million for the six months ended June 30, 2024, as compared to $29.5 million for the six months ended June 30, 2023. This decrease was primarily due to lower unit volume and lower material costs associated with consuming lower-priced inventory resulting in a $9.8 million decrease of product cost and $0.2 million decrease in overhead expense associated with lower labor costs due to reduced headcount. We expect our Cost of Goods Sold to increase in conjunction with the anticipated increase in revenue over the next 12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decreased by $2.4 million, or 27.6%, to $6.2 million for the six months ended June 30, 2024, as compared to $8.6 million for the six months ended June 30, 2023. The decrease in gross profit was primarily due to a lower unit volume of sales offset by higher average sales price and consumption of lower-priced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$1.0 million or 47.0%, to $2.9 million for the six months ended June 30, 2024, as compared to $1.9 million for the six months ended June 30, 2023. The increase was primarily due to higher wage expense in the amount of $0.5 million and $0.1 million for increased lease expense for new building in Fernley. Other costs including product development, supplies, the allocation of travel from general and administrative expenses and depreciation related to increase in assets were higher by $0.3 million. While we expect to continue to grow the Research and Development headcount, we expect to do so at a slower rate than in prior years.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by $6.6 million, or 38.5%, to $10.5 million for the six months ended June 30, 2024, as compared to $17.1 million for the six months ended June 30, 2023. This decrease was primarily due to lower employee related costs in the amount of $6.0 million. Impacting this is a prior year severance package in the amount of $0.7 million and lower stock-based compensation in the amount of $4.1 million along with lower employee related costs in the amount of $1.2 million due to decreased headcount. Professional services, legal and insurance expenses are lower by $1.2 million as a result of prior year public offering expenses and lower insurance premiums. Travel expenses in General and Administrative decreased by $0.4 million due to allocation to the other functional areas in 2024. Offsetting these lower expenses is an increase in rent expense in the amount of $1.0 million for our new facility which fully allocated to general and administrative expenses since we have not occupied the building as of June 30, 2024. We expect General and Administrative Expenses, as a percentage of revenue, to decline over the next 12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decreased by $2.6 million, or 32.1%, to $5.4 million for the six months ended June 30, 2024, as compared to $8.0 million for the six months ended June 30, 2023. This decrease was primarily due to a $2.2 million decrease in wage-related expenses of which $1.1 million is related to the prior year expense for the Wakespeed earnout and $0.8 million is due to lower Stock Compensation expense. Lower shipping costs in the amount of $0.7 million was related to a reduction in units sold. Offsetting these lower expenses is an increase of $0.3 million other marketing expense includes travel expenses allocated from general and administrative to selling and marketing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totaled $11.4 million for the six months ended June 30, 2024 as compared to total other income of $11.3 million for the six months ended June 30, 2023. Other expense for the six months ended June 30, 2024 is comprised of a negative change in fair market value of our warrants in the amount of $1.7 million and $9.6 million in interest expense related to our debt securities. Other income for the six months ended June 30, 2023 was comprised of a positive change in fair market value of our warrants in the amount of $19.3 million partially offset by $8.0 million in interest expense related to our debt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(Benefit) Expense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tax expense recorded for the six months ended June 30, 2024 or the six months ended June 30, 2023. Based on available evidence as of June 30, 2024 and June 30, 2023, management believes it is more likely than not that some or all the deferred tax assets will not be realized. Accordingly, we established a 100% valuation allowance. As a result of the full valuation allowance, we did not record a tax benefit during the six months ended June 30, 2024 or the six months ended June 30, 2023.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generated a net loss of $24.0 million for the six months ended June 30, 2024, as compared to net loss of $7.1 million for the six months ended June 30, 2023. This was a result of an increase in other expense (primarily as a result of a change in fair market value of our warrants) and lower sales offset by decreased cost of goods sold and lower operating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Estimates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condensed consolidated financial statements have been prepared in accordance with generally accepted accounting principles in the United States. The preparation of these condensed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discussed the development and selection of these critical accounting estimates with the Audit Committee of our board of directors. In addition, there are other items within our financial statements that require estimation but are not deemed critical as defined above. Changes in estimates used in these and other items could have a material impact on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accounting estimates are those most critical to the judgments and estimates used in the preparation of our financial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Inventory Valuation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periodically review physical inventory for excess, obsolete, and potentially impaired items and reserves. Any such inventory is written down to net realizable value. The reserve estimate for excess and obsolete inventory is dependent on expected future use and requires management judgement. The level of the estimate is assessed by considering the recent sales experience, the aging of inventories, and other factors that affect inventory obsolescence.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apply relevant accounting guidance for warrants to purchase our stock based on the nature of the relationship with the counterparty. For warrants issued to investors or lenders in exchange for cash or other financial assets, we follow guidance issued within ASC 480, Distinguishing Liabilities from Equity (“</w:t>
      </w:r>
      <w:r>
        <w:rPr>
          <w:rFonts w:ascii="Times New Roman;Times;Serif" w:hAnsi="Times New Roman;Times;Serif"/>
          <w:b/>
          <w:i w:val="false"/>
          <w:caps w:val="false"/>
          <w:smallCaps w:val="false"/>
          <w:sz w:val="20"/>
        </w:rPr>
        <w:t>ASC 480</w:t>
      </w:r>
      <w:r>
        <w:rPr>
          <w:rFonts w:ascii="Times New Roman;Times;Serif" w:hAnsi="Times New Roman;Times;Serif"/>
          <w:b w:val="false"/>
          <w:i w:val="false"/>
          <w:caps w:val="false"/>
          <w:smallCaps w:val="false"/>
          <w:sz w:val="20"/>
        </w:rPr>
        <w:t>”), and ASC 815, Derivatives and Hedging (“</w:t>
      </w:r>
      <w:r>
        <w:rPr>
          <w:rFonts w:ascii="Times New Roman;Times;Serif" w:hAnsi="Times New Roman;Times;Serif"/>
          <w:b/>
          <w:i w:val="false"/>
          <w:caps w:val="false"/>
          <w:smallCaps w:val="false"/>
          <w:sz w:val="20"/>
        </w:rPr>
        <w:t>ASC 815</w:t>
      </w:r>
      <w:r>
        <w:rPr>
          <w:rFonts w:ascii="Times New Roman;Times;Serif" w:hAnsi="Times New Roman;Times;Serif"/>
          <w:b w:val="false"/>
          <w:i w:val="false"/>
          <w:caps w:val="false"/>
          <w:smallCaps w:val="false"/>
          <w:sz w:val="20"/>
        </w:rPr>
        <w:t>”), to assist in the determination of whether the warrants should be classified as liabilities or equity. Warrants that are determined to require liability classifications are measured at fair value upon issuance and are subsequently remeasured to their then fair value at each subsequent reporting period with changes in fair value recorded in current earnings. Warrants that are determined to require equity classifications are measured at fair value upon issuance and are not subsequently remeasured unless they are required to be reclassified. See “</w:t>
      </w:r>
      <w:r>
        <w:rPr>
          <w:rFonts w:ascii="Times New Roman;Times;Serif" w:hAnsi="Times New Roman;Times;Serif"/>
          <w:b w:val="false"/>
          <w:i/>
          <w:caps w:val="false"/>
          <w:smallCaps w:val="false"/>
          <w:sz w:val="20"/>
        </w:rPr>
        <w:t>Note 9-Warrants</w:t>
      </w:r>
      <w:r>
        <w:rPr>
          <w:rFonts w:ascii="Times New Roman;Times;Serif" w:hAnsi="Times New Roman;Times;Serif"/>
          <w:b w:val="false"/>
          <w:i w:val="false"/>
          <w:caps w:val="false"/>
          <w:smallCaps w:val="false"/>
          <w:sz w:val="20"/>
        </w:rPr>
        <w:t>” in our accompanying condensed consolidated financial statements for information on the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Equity-Based Compensation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the Black-Scholes option-pricing model to determine the fair value of option grants. In estimating fair value, management is required to make certain assumptions and estimates such as the expected life of units, volatility of our future share price, risk-free rates, future dividend yields and estimated forfeitures at the initial grant date. RSU awards are valued based on the closing trading price of our common stock on the date of grant. Changes in assumptions used to estimate fair value could result in materially different results.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using the asset and liability method. Under this method, deferred tax assets and liabilities are recognized for the future tax consequences of temporary differences between the carrying amounts and tax bases of assets and liabilities using enacted rates. The effect of a change in tax rates on deferred taxes is recognized in income in the period that includes the enactment date.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financial statement effect of an uncertain income tax position when it is more likely than not, based on the technical merits, that the position will be sustained upon examination. Recognized income tax positions are measured at the largest amount that is greater than 50% likely to be realized. A valuation allowance is recorded to reduce deferred income tax assets to an amount, which in the opinion of management is more likely than not to be realized.</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judgment is required in determining our provision for income taxes, our deferred tax assets and liabilities, and any valuation allowance recorded against our deferred tax assets. We consider factors such as the cumulative income or loss in recent years; reversal of deferred tax liabilities; projected future taxable income exclusive of temporary differences; the character of the income tax asset, including income tax positions; tax planning strategies and the period over which we expect the deferred tax assets to be recovered in the determination of the valuation allowance. In the event that actual results differ from these estimates or we adjust our estimates in the future, we may need to adjust our valuation allowance, which could materially impact our financial position and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right-of-use assets and assumed lease liabilities are measured based on the remaining lease payments over the remaining portion of the lease term. As our leases do not provide an implicit rate, our incremental borrowing rate is used as a discount rate in determining the present value of lease payments. Our incremental borrowing rate was determined by comparing current low- and high-end mortgage loan rates and calculating an average. For our new Damonte lease, to be conservative in our estimate, we chose to use the high-end average as our incremental borrowing rate.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includes a non-generally accepted account principles within the United States (“</w:t>
      </w:r>
      <w:r>
        <w:rPr>
          <w:rFonts w:ascii="Times New Roman;Times;Serif" w:hAnsi="Times New Roman;Times;Serif"/>
          <w:b/>
          <w:i w:val="false"/>
          <w:caps w:val="false"/>
          <w:smallCaps w:val="false"/>
          <w:sz w:val="20"/>
        </w:rPr>
        <w:t>U.S. GAAP</w:t>
      </w:r>
      <w:r>
        <w:rPr>
          <w:rFonts w:ascii="Times New Roman;Times;Serif" w:hAnsi="Times New Roman;Times;Serif"/>
          <w:b w:val="false"/>
          <w:i w:val="false"/>
          <w:caps w:val="false"/>
          <w:smallCaps w:val="false"/>
          <w:sz w:val="20"/>
        </w:rPr>
        <w:t>”) measure that we use to supplement our results presented in accordance with U.S. GAAP. Earnings before interest tax and amortization (“</w:t>
      </w:r>
      <w:r>
        <w:rPr>
          <w:rFonts w:ascii="Times New Roman;Times;Serif" w:hAnsi="Times New Roman;Times;Serif"/>
          <w:b/>
          <w:i w:val="false"/>
          <w:caps w:val="false"/>
          <w:smallCaps w:val="false"/>
          <w:sz w:val="20"/>
        </w:rPr>
        <w:t>EBITDA</w:t>
      </w:r>
      <w:r>
        <w:rPr>
          <w:rFonts w:ascii="Times New Roman;Times;Serif" w:hAnsi="Times New Roman;Times;Serif"/>
          <w:b w:val="false"/>
          <w:i w:val="false"/>
          <w:caps w:val="false"/>
          <w:smallCaps w:val="false"/>
          <w:sz w:val="20"/>
        </w:rPr>
        <w:t>”) is defined as earnings before interest and other income (expenses), income taxes, and depreciation and amortization. Adjusted EBITDA is calculated as EBITDA adjusted for stock-based compensation, employee separation expenses, costs associated with the June 2023 Offering, promissory note forgiveness, and change in the fair market value of warrant liabilities. Adjusted EBITDA is a performance measure that we believe is useful to investors and analysts because it illustrates the underlying financial and business trends relating to our core, recurring results of operations and enhances comparability between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our adjusted EBITDA, reconciled to net (loss) income for the three and six months ended June 30, 2024, and June 30, 2023.</w:t>
      </w:r>
    </w:p>
    <w:p>
      <w:pPr>
        <w:pStyle w:val="TextBody"/>
        <w:bidi w:val="0"/>
        <w:spacing w:before="0" w:after="0"/>
        <w:ind w:left="0" w:right="0" w:hanging="0"/>
        <w:jc w:val="both"/>
        <w:rPr>
          <w:caps w:val="false"/>
          <w:smallCaps w:val="false"/>
        </w:rPr>
      </w:pPr>
      <w:r>
        <w:rPr>
          <w:caps w:val="false"/>
          <w:smallCaps w:val="false"/>
        </w:rPr>
        <w:t> </w:t>
      </w:r>
    </w:p>
    <w:tbl>
      <w:tblPr>
        <w:tblW w:w="8315" w:type="dxa"/>
        <w:jc w:val="left"/>
        <w:tblInd w:w="0" w:type="dxa"/>
        <w:tblLayout w:type="fixed"/>
        <w:tblCellMar>
          <w:top w:w="0" w:type="dxa"/>
          <w:left w:w="0" w:type="dxa"/>
          <w:bottom w:w="0" w:type="dxa"/>
          <w:right w:w="0" w:type="dxa"/>
        </w:tblCellMar>
      </w:tblPr>
      <w:tblGrid>
        <w:gridCol w:w="4100"/>
        <w:gridCol w:w="60"/>
        <w:gridCol w:w="140"/>
        <w:gridCol w:w="755"/>
        <w:gridCol w:w="95"/>
        <w:gridCol w:w="60"/>
        <w:gridCol w:w="140"/>
        <w:gridCol w:w="755"/>
        <w:gridCol w:w="95"/>
        <w:gridCol w:w="60"/>
        <w:gridCol w:w="140"/>
        <w:gridCol w:w="755"/>
        <w:gridCol w:w="95"/>
        <w:gridCol w:w="60"/>
        <w:gridCol w:w="140"/>
        <w:gridCol w:w="755"/>
        <w:gridCol w:w="110"/>
      </w:tblGrid>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vAlign w:val="center"/>
          </w:tcPr>
          <w:p>
            <w:pPr>
              <w:pStyle w:val="TableContents"/>
              <w:bidi w:val="0"/>
              <w:spacing w:before="0" w:after="283"/>
              <w:jc w:val="center"/>
              <w:rPr>
                <w:b/>
              </w:rPr>
            </w:pPr>
            <w:r>
              <w:rPr>
                <w:b/>
              </w:rPr>
              <w:t>(in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(13,627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(11,899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(23,994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(7,124</w:t>
            </w:r>
          </w:p>
        </w:tc>
        <w:tc>
          <w:tcPr>
            <w:tcW w:w="110" w:type="dxa"/>
            <w:tcBorders/>
            <w:shd w:fill="CCEEFF" w:val="clear"/>
            <w:vAlign w:val="center"/>
          </w:tcPr>
          <w:p>
            <w:pPr>
              <w:pStyle w:val="TableContents"/>
              <w:bidi w:val="0"/>
              <w:spacing w:before="0" w:after="283"/>
              <w:jc w:val="left"/>
              <w:rPr/>
            </w:pPr>
            <w:r>
              <w:rPr/>
              <w:t>)</w:t>
            </w:r>
          </w:p>
        </w:tc>
      </w:tr>
      <w:tr>
        <w:trPr/>
        <w:tc>
          <w:tcPr>
            <w:tcW w:w="410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4,138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9,638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7,994</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663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593</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EBITDA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(8,418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(7,465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(13,693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1,463</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i/>
              </w:rPr>
            </w:pPr>
            <w:r>
              <w:rPr>
                <w:i/>
              </w:rPr>
              <w:t>Adjusted for: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Stock-Based Compensation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5,441</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Separation Agreement </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720</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June Offering Costs </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904</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market value of warrant liability </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1,981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(804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1,745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(19,327</w:t>
            </w:r>
          </w:p>
        </w:tc>
        <w:tc>
          <w:tcPr>
            <w:tcW w:w="110" w:type="dxa"/>
            <w:tcBorders/>
            <w:shd w:fill="CCEEFF" w:val="clear"/>
            <w:vAlign w:val="center"/>
          </w:tcPr>
          <w:p>
            <w:pPr>
              <w:pStyle w:val="TableContents"/>
              <w:bidi w:val="0"/>
              <w:spacing w:before="0" w:after="283"/>
              <w:jc w:val="left"/>
              <w:rPr/>
            </w:pPr>
            <w:r>
              <w:rPr/>
              <w:t>)</w:t>
            </w:r>
          </w:p>
        </w:tc>
      </w:tr>
      <w:tr>
        <w:trPr/>
        <w:tc>
          <w:tcPr>
            <w:tcW w:w="4100" w:type="dxa"/>
            <w:tcBorders/>
            <w:shd w:fill="FFFFFF" w:val="clear"/>
            <w:vAlign w:val="center"/>
          </w:tcPr>
          <w:p>
            <w:pPr>
              <w:pStyle w:val="TableContents"/>
              <w:bidi w:val="0"/>
              <w:spacing w:before="0" w:after="283"/>
              <w:jc w:val="left"/>
              <w:rPr>
                <w:b/>
              </w:rPr>
            </w:pPr>
            <w:r>
              <w:rPr>
                <w:b/>
              </w:rPr>
              <w:t>Adjusted EBITDA</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(6,200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(5,691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(11,445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(10,799</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is comprised of costs associated with option and RSU grants made to our employees, consultants and board members.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Separation Agreement is comprised of $720 in cash severance associated with separation agreement dated April 26, 2023 between us and our former Chief Legal Officer.</w:t>
            </w:r>
          </w:p>
        </w:tc>
      </w:tr>
      <w:tr>
        <w:trPr/>
        <w:tc>
          <w:tcPr>
            <w:tcW w:w="238" w:type="dxa"/>
            <w:tcBorders/>
            <w:vAlign w:val="center"/>
          </w:tcPr>
          <w:p>
            <w:pPr>
              <w:pStyle w:val="TableContents"/>
              <w:bidi w:val="0"/>
              <w:spacing w:before="0" w:after="283"/>
              <w:jc w:val="left"/>
              <w:rPr>
                <w:caps w:val="false"/>
                <w:smallCaps w:val="false"/>
              </w:rPr>
            </w:pPr>
            <w:r>
              <w:rPr>
                <w:caps w:val="false"/>
                <w:smallCaps w:val="false"/>
              </w:rPr>
              <w:t> </w:t>
            </w:r>
          </w:p>
        </w:tc>
        <w:tc>
          <w:tcPr>
            <w:tcW w:w="99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Offering Costs is comprised of fees and expenses, including legal, accounting, and other expenses associated with our secondary offering.</w:t>
            </w:r>
          </w:p>
        </w:tc>
      </w:tr>
      <w:tr>
        <w:trPr/>
        <w:tc>
          <w:tcPr>
            <w:tcW w:w="238" w:type="dxa"/>
            <w:tcBorders/>
            <w:vAlign w:val="center"/>
          </w:tcPr>
          <w:p>
            <w:pPr>
              <w:pStyle w:val="TableContents"/>
              <w:bidi w:val="0"/>
              <w:spacing w:before="0" w:after="283"/>
              <w:jc w:val="left"/>
              <w:rPr>
                <w:caps w:val="false"/>
                <w:smallCaps w:val="false"/>
              </w:rPr>
            </w:pPr>
            <w:r>
              <w:rPr>
                <w:caps w:val="false"/>
                <w:smallCaps w:val="false"/>
              </w:rPr>
              <w:t> </w:t>
            </w:r>
          </w:p>
        </w:tc>
        <w:tc>
          <w:tcPr>
            <w:tcW w:w="99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market value of warrant liabilities represents the change in fair value from January 1, 2023 through June 30, 2023 and January 1, 2024 through June 30, 2024, respectively.</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June 30, 2024, we had cash totaling $4.7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2024, us, Legacy Dragonfly and Battle Born LLC entered into a License Agreement (the “</w:t>
      </w:r>
      <w:r>
        <w:rPr>
          <w:rFonts w:ascii="Times New Roman;Times;Serif" w:hAnsi="Times New Roman;Times;Serif"/>
          <w:b/>
          <w:i w:val="false"/>
          <w:caps w:val="false"/>
          <w:smallCaps w:val="false"/>
          <w:sz w:val="20"/>
        </w:rPr>
        <w:t>License Agreement</w:t>
      </w:r>
      <w:r>
        <w:rPr>
          <w:rFonts w:ascii="Times New Roman;Times;Serif" w:hAnsi="Times New Roman;Times;Serif"/>
          <w:b w:val="false"/>
          <w:i w:val="false"/>
          <w:caps w:val="false"/>
          <w:smallCaps w:val="false"/>
          <w:sz w:val="20"/>
        </w:rPr>
        <w:t>”) with Stryten Energy LLC (“</w:t>
      </w:r>
      <w:r>
        <w:rPr>
          <w:rFonts w:ascii="Times New Roman;Times;Serif" w:hAnsi="Times New Roman;Times;Serif"/>
          <w:b/>
          <w:i w:val="false"/>
          <w:caps w:val="false"/>
          <w:smallCaps w:val="false"/>
          <w:sz w:val="20"/>
        </w:rPr>
        <w:t>Stryten</w:t>
      </w:r>
      <w:r>
        <w:rPr>
          <w:rFonts w:ascii="Times New Roman;Times;Serif" w:hAnsi="Times New Roman;Times;Serif"/>
          <w:b w:val="false"/>
          <w:i w:val="false"/>
          <w:caps w:val="false"/>
          <w:smallCaps w:val="false"/>
          <w:sz w:val="20"/>
        </w:rPr>
        <w:t>”). In exchange for the licensing rights, Stryten agreed to pay Battle Born LLC an initial licensing fee of five million dollars ($5,000,000). Per the License Agreement, payment for the initial licensing fee is due within 30 days of the effective date of the license agreement. The Company anticipates receiving the $5.0 million dollars for the initial licensing fee by the end of August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capital expenditures and working capital requirements to increase materially in the near future, as we continue our research and development efforts (particularly those related to lithium-ion cell manufacturing and battery development), expand our production lines, scale up production operations and look to enter into adjacent markets for our batteries. We expect to deploy a significant amount of capital to continue our development and optimization of our solid-state battery technology, as well as continued investment to automate and increase the production capacity of our existing assembly operation, expansion of our facilities and new strategic investments, including deployment and scaling of our dry-electrode cell manufacturing processes. To date, our focus has been on seeking to prove the fundamental soundness of our manufacturing techniques and our solid-state chemistry. Moving forward, our solid-state related investments will focus on chemistry optimization and establishing a pilot line for pouch cell production. Over the next two to three years, we expect to spend in excess of $50 million on solid-state development and cell manufacturing technologies. In connection with the contraction of our business and uncertainty around the timing of future needs, we reduced our purchase activities in 2024. As a result, our inventory balance at June 30, 2024 decreased by $10.1 million to $28.7 million, compared to $38.8 million at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and strategic initiatives.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be dilutive to our current stockholders.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Obligations and Requirements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2021, we issued $45 million of fixed rate senior notes, secured by among other things, a security interest in our intellectual property. As part of the Business Combination, we entered into a senior secured term loan facility in an aggregate principal amount of $75 million (the “</w:t>
      </w:r>
      <w:r>
        <w:rPr>
          <w:rFonts w:ascii="Times New Roman;Times;Serif" w:hAnsi="Times New Roman;Times;Serif"/>
          <w:b/>
          <w:i w:val="false"/>
          <w:caps w:val="false"/>
          <w:smallCaps w:val="false"/>
          <w:sz w:val="20"/>
        </w:rPr>
        <w:t>Term Loan</w:t>
      </w:r>
      <w:r>
        <w:rPr>
          <w:rFonts w:ascii="Times New Roman;Times;Serif" w:hAnsi="Times New Roman;Times;Serif"/>
          <w:b w:val="false"/>
          <w:i w:val="false"/>
          <w:caps w:val="false"/>
          <w:smallCaps w:val="false"/>
          <w:sz w:val="20"/>
        </w:rPr>
        <w:t>”) pursuant to the Term Loan, Guarantee and Security Agreement (the “</w:t>
      </w:r>
      <w:r>
        <w:rPr>
          <w:rFonts w:ascii="Times New Roman;Times;Serif" w:hAnsi="Times New Roman;Times;Serif"/>
          <w:b/>
          <w:i w:val="false"/>
          <w:caps w:val="false"/>
          <w:smallCaps w:val="false"/>
          <w:sz w:val="20"/>
        </w:rPr>
        <w:t>Original Term Loan</w:t>
      </w:r>
      <w:r>
        <w:rPr>
          <w:rFonts w:ascii="Times New Roman;Times;Serif" w:hAnsi="Times New Roman;Times;Serif"/>
          <w:b w:val="false"/>
          <w:i w:val="false"/>
          <w:caps w:val="false"/>
          <w:smallCaps w:val="false"/>
          <w:sz w:val="20"/>
        </w:rPr>
        <w:t>”) by and among, us, Legacy Dragonfly, Alter Domus (US) LLC, as the Agent to the lenders time-to-time party thereto (such lenders, the “</w:t>
      </w:r>
      <w:r>
        <w:rPr>
          <w:rFonts w:ascii="Times New Roman;Times;Serif" w:hAnsi="Times New Roman;Times;Serif"/>
          <w:b/>
          <w:i w:val="false"/>
          <w:caps w:val="false"/>
          <w:smallCaps w:val="false"/>
          <w:sz w:val="20"/>
        </w:rPr>
        <w:t>Term Loan Lenders</w:t>
      </w:r>
      <w:r>
        <w:rPr>
          <w:rFonts w:ascii="Times New Roman;Times;Serif" w:hAnsi="Times New Roman;Times;Serif"/>
          <w:b w:val="false"/>
          <w:i w:val="false"/>
          <w:caps w:val="false"/>
          <w:smallCaps w:val="false"/>
          <w:sz w:val="20"/>
        </w:rPr>
        <w:t>”), the proceeds of which were used to repay the $45 million fixed rate senior notes, and ChEF Equity Facility. On June 28, 2024, we entered into a Limited Waiver and First Amendment to the Term Loan (the “</w:t>
      </w:r>
      <w:r>
        <w:rPr>
          <w:rFonts w:ascii="Times New Roman;Times;Serif" w:hAnsi="Times New Roman;Times;Serif"/>
          <w:b/>
          <w:i w:val="false"/>
          <w:caps w:val="false"/>
          <w:smallCaps w:val="false"/>
          <w:sz w:val="20"/>
        </w:rPr>
        <w:t>First Term Loan Amendment</w:t>
      </w:r>
      <w:r>
        <w:rPr>
          <w:rFonts w:ascii="Times New Roman;Times;Serif" w:hAnsi="Times New Roman;Times;Serif"/>
          <w:b w:val="false"/>
          <w:i w:val="false"/>
          <w:caps w:val="false"/>
          <w:smallCaps w:val="false"/>
          <w:sz w:val="20"/>
        </w:rPr>
        <w:t>”) with the lenders in regards to our compliance with the Tests as of the last day of the quarter ended June 30, 2024 and certain amendments to the Original Term Loan. The First Term Loan Amendment provided for a one-time issuance of June 2024 Penny Warrants to purchase up to 2,100,000 shares, in connection with the lenders’ agreement to waive the Tests under the Term Loan for the quarter ended June 30, 2024 and to amend the Term Loan. The June 2024 Penny Warrants are immediately exercisable upon issuance and will expire ten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License Agreement, on July 29, 2024, us, Legacy Dragonfly and Battle Born LLC entered into the Second Amendment (together with the Original Term Loan and the First Term Loan Amendment, the “</w:t>
      </w:r>
      <w:r>
        <w:rPr>
          <w:rFonts w:ascii="Times New Roman;Times;Serif" w:hAnsi="Times New Roman;Times;Serif"/>
          <w:b/>
          <w:i w:val="false"/>
          <w:caps w:val="false"/>
          <w:smallCaps w:val="false"/>
          <w:sz w:val="20"/>
        </w:rPr>
        <w:t>Term Loan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Second Amendment, the Term Loan Lenders (i) consented to the transactions contemplated by the License Agreement and the Trademark Transfer Agreement and (ii) agreed to waive the mandatory prepayment under the Loan Agreement that would have been due to the Lenders under the Loan Agreement upon Battle Born LLC’s receipt of the Initial Licensing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Second Amendment, Battle Born LLC entered into the Joinder.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proceeds were used to: (i) support the Business Combination, (ii) prepay the fixed rate senior notes at closing of the Business Combination, (iii) pay fees and expenses in connection with the foregoing, (iv) to provide additional growth capital and (v) for other general/corporate purposes. The Term Loan will mature on October 7, 2026, or the Maturity Date, and will be subject to quarterly amortization of 5% per annum beginning 24 months after issuance. The definitive documents for the Term Loan incorporate certain mandatory prepayment events and certain affirmative and negative covenants and exceptions hereto. The financial covenants for the Term Loan include a maximum senior leverage ratio covenant, a minimum liquidity covenant, a springing fixed charge coverage ratio covenant, and a maximum capital expenditures covenant. On March 29, 2023, September 29, 2023, December 29, 2023, May 13, 2024 and June 28, 2024, we obtained waivers from Alter Domus (US) LLC, as the administrative agent for the lenders (the “</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 and EICF Agent LLC and certain third-party financing source of our failure to satisfy the Tests under the Term Loan during the quarters ended March 31, 2023, September 30, 2023, December 31, 2023, March 31, 2024, and June 30, 2024. On March 31, 2024, April 29, 2024, and June 28, 2024, we received additional waivers from the Administrative Agent and the Term Loan Lenders in regard to our compliance with the liquidity requirement under the Term Loan as of the last day of the fiscal quarters ended March 31, 2024 and June 30, 2024, and as of the last fiscal day for the months ended April 30, 2024 and June 30, 2024. However, it is probable that we will fail to meet these covenants within the next twelve months. In accordance with U.S. GAAP, we reclassified our notes payable from a long-term liability to a current liability. The Term Loan accrues interest as follows: (i) until April 1, 2024, at a per annum rate equal to adjusted secured overnight financing rate (“</w:t>
      </w:r>
      <w:r>
        <w:rPr>
          <w:rFonts w:ascii="Times New Roman;Times;Serif" w:hAnsi="Times New Roman;Times;Serif"/>
          <w:b/>
          <w:i w:val="false"/>
          <w:caps w:val="false"/>
          <w:smallCaps w:val="false"/>
          <w:sz w:val="20"/>
        </w:rPr>
        <w:t>SOFR</w:t>
      </w:r>
      <w:r>
        <w:rPr>
          <w:rFonts w:ascii="Times New Roman;Times;Serif" w:hAnsi="Times New Roman;Times;Serif"/>
          <w:b w:val="false"/>
          <w:i w:val="false"/>
          <w:caps w:val="false"/>
          <w:smallCaps w:val="false"/>
          <w:sz w:val="20"/>
        </w:rPr>
        <w:t>”) plus 7% payable in cash plus an amount ranging from 4.5% to 6.5%, depending on our senior leverage ratio; (ii) effective April 1, 2024 and thereafter, interest payable to certain lenders subject to regulations of the U.S. Small Business Administration (“</w:t>
      </w:r>
      <w:r>
        <w:rPr>
          <w:rFonts w:ascii="Times New Roman;Times;Serif" w:hAnsi="Times New Roman;Times;Serif"/>
          <w:b/>
          <w:i w:val="false"/>
          <w:caps w:val="false"/>
          <w:smallCaps w:val="false"/>
          <w:sz w:val="20"/>
        </w:rPr>
        <w:t>SBA</w:t>
      </w:r>
      <w:r>
        <w:rPr>
          <w:rFonts w:ascii="Times New Roman;Times;Serif" w:hAnsi="Times New Roman;Times;Serif"/>
          <w:b w:val="false"/>
          <w:i w:val="false"/>
          <w:caps w:val="false"/>
          <w:smallCaps w:val="false"/>
          <w:sz w:val="20"/>
        </w:rPr>
        <w:t>”) with outstanding principal on that date of $30,846 will be limited to 14.0% per annum (except for default interest permitted under SBA regulations, as applicable); and (iii) the other outstanding principal will accrue interest from April 1, 2024 thereafter until October 1, 2024, at a per annum rate equal to adjusted SOFR plus 7% payable in cash plus an amount ranging from 4.5% to 6.5%, depending on the senior leverage ratio of the consolidated company, and at all times thereafter, at a per annum rate equal to adjusted SOFR plus a margin ranging from 11.5% to 13.5%, depending on our senior leverage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interest based on the Term Loan,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Interest payable on April 1, 2024, was paid in cash.</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Interest payable on July 1, 2024, became payable-in-kind.</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Interest payable on October 1, 2024, will be payable partly in cash and partly in-kind, at a per annum rate equal to adjusted SOFR plus 7% payable in cash plus an amount ranging from 4.5% to 6.5% paid-in-kind, depending on the senior leverage ratio of the consolidated company (subject to the 14.0% limit for lenders subject to SBA regulations).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For each payment date occurring on or after January 1, 2025, interest will be payable in cash.</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of the foregoing cases, adjusted SOFR will be no less than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elect to prepay all or any portion of the amounts owed prior to the Maturity Date, provided that we provide notice to the Administrative Agent and the amount is accompanied by the applicable prepayment premium, if any. Prepayments of the Term Loan are required to be accompanied by a premium of 5% of the principal amount so prepaid if made prior to the October 7, 2023, 3% if made on and after October 7, 2023 but prior to October 7, 2024, 1% if made after October 7, 2024 but prior to October 7, 2025, and 0% if made on or after October 7, 2025. If the Term Loan is accelerated following the occurrence of an event of default, Legacy Dragonfly is required to immediately pay to lenders the sum of all obligations for principal, accrued interest, and the applicable prepayment premium.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 Loan Agreement, we have guaranteed the obligations of Legacy Dragonfly and such obligations will be guaranteed by any of Legacy Dragonfly’s subsidiaries that are party thereto from time to time as guarantors. Also pursuant to the Term Loan Agreement, the Administrative Agent was granted a security interest in substantially all of the personal property, rights and assets of us as and Legacy Dragonfly to secure the payment of all amounts owed to lenders under the Term Loan Agreement. In addition, we entered into a Pledge Agreement pursuant to which we pledged to the Administrative Agent our equity interests in Legacy Dragonfly as further collateral security for the obligations under the Term Loan Agreement. At the closing of the Business Combination, we issued to the Term Loan Lenders (i) the Penny Warrants exercisable to purchase an aggregate of 2,593,056 shares at an exercise price of $0.01 per share, and (ii) warrants exercisable to purchase 1,600,000 shares of our common stock at an exercise price of $10.00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on the terms of and subject to the satisfaction of the conditions in the Purchase Agreement, including the filing and effectiveness of a registration statement registering the resale by CCM LLC of the shares of common stock issued to it under the Purchase Agreement, we will have the right from time to time at our option to direct CCM LLC to purchase up to a specified maximum amount of shares of common stock, up to a maximum aggregate purchase price of $150 million over the term of the ChEF Equity Facility. The purchase price of the shares of common stock that we elect to sell to CCM pursuant to the Purchase Agreement will be determined by reference to the VWAP of the common stock during the applicable VWAP Purchase Date (as defined in the Purchase Agreement) on which we have timely delivered written notice to CCM directing it to purchase shares of common stock under the Purchase Agreement, less a fixed 3.5% discount to such VWAP. As consideration for its commitment to purchase shares of our common stock under the Purchase Agreement, we have agreed to pay a commitment fee of $1 million to CCM (the “Commitment Fee”), payable by way of an additional 3.0% discount to such VWAP until the Commitment Fee has been paid in full. In connection with the ChEF Equity Facility, we filed a registration statement registering the resale of up to 21,512,027 shares that may be resold into the public markets by CCM LLC, which represented approximately 36% of the shares of our common stock outstanding as of December 31, 2023. During the year ended December 31, 2022, we did not sell any shares of our common stock under the ChEF Equity Facility. During the year ended December 31, 2023, we issued and sold approximately 588,500 shares of our common stock under this facility, resulting in net cash proceeds of $1,278,566. During the six months ended June 30, 2024, we issued and sold approximately 850,000 shares of our common stock under the ChEF Equity Facility, resulting in net cash proceeds of $737,481. From July 1, 2024 through the August 13, 2024, we issued and sold approximately 1,092,578 shares of our common stock under the ChEF Equity Facility, resulting in additional net cash proceeds of $774,740.62. Any sales of such shares into the public market could have a significant negative impact on the trading price of our common stock. This impact may be heightened by the fact that sales to CCM LLC will generally be at prices below the current trading price of our common stock. If the trading price of our common stock does not recover or experiences a further decline, sales of shares of common stock to CCM LLC pursuant to the Purchase Agreement may be a less attractive source of capital and/or may not allow us to raise capital at rates that would be possible if the trading price of our common stock were higher.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we issued a note in the principal amount of $1.0 million (the “</w:t>
      </w:r>
      <w:r>
        <w:rPr>
          <w:rFonts w:ascii="Times New Roman;Times;Serif" w:hAnsi="Times New Roman;Times;Serif"/>
          <w:b/>
          <w:i w:val="false"/>
          <w:caps w:val="false"/>
          <w:smallCaps w:val="false"/>
          <w:sz w:val="20"/>
        </w:rPr>
        <w:t>Principal Amount</w:t>
      </w:r>
      <w:r>
        <w:rPr>
          <w:rFonts w:ascii="Times New Roman;Times;Serif" w:hAnsi="Times New Roman;Times;Serif"/>
          <w:b w:val="false"/>
          <w:i w:val="false"/>
          <w:caps w:val="false"/>
          <w:smallCaps w:val="false"/>
          <w:sz w:val="20"/>
        </w:rPr>
        <w:t>”) to Brian Nelson, one of our directors, in a private placement in exchange for cash in an equal amount (the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The Note became due and payable in full on April 1, 2023. We were also obligated to pay a fee in the amount of $100,000 (the “</w:t>
      </w:r>
      <w:r>
        <w:rPr>
          <w:rFonts w:ascii="Times New Roman;Times;Serif" w:hAnsi="Times New Roman;Times;Serif"/>
          <w:b/>
          <w:i w:val="false"/>
          <w:caps w:val="false"/>
          <w:smallCaps w:val="false"/>
          <w:sz w:val="20"/>
        </w:rPr>
        <w:t>Loan Fee</w:t>
      </w:r>
      <w:r>
        <w:rPr>
          <w:rFonts w:ascii="Times New Roman;Times;Serif" w:hAnsi="Times New Roman;Times;Serif"/>
          <w:b w:val="false"/>
          <w:i w:val="false"/>
          <w:caps w:val="false"/>
          <w:smallCaps w:val="false"/>
          <w:sz w:val="20"/>
        </w:rPr>
        <w:t>”) to Mr. Nelson on April 4, 2023. The Principal Amount of the Note was paid in full on April 1, 2023 and the Loan Fee was paid in full on April 4,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2024, we issued an unsecured convertible promissory note (the “</w:t>
      </w:r>
      <w:r>
        <w:rPr>
          <w:rFonts w:ascii="Times New Roman;Times;Serif" w:hAnsi="Times New Roman;Times;Serif"/>
          <w:b/>
          <w:i w:val="false"/>
          <w:caps w:val="false"/>
          <w:smallCaps w:val="false"/>
          <w:sz w:val="20"/>
        </w:rPr>
        <w:t>January Note</w:t>
      </w:r>
      <w:r>
        <w:rPr>
          <w:rFonts w:ascii="Times New Roman;Times;Serif" w:hAnsi="Times New Roman;Times;Serif"/>
          <w:b w:val="false"/>
          <w:i w:val="false"/>
          <w:caps w:val="false"/>
          <w:smallCaps w:val="false"/>
          <w:sz w:val="20"/>
        </w:rPr>
        <w:t>”) in the principal amount of $1.0 million (the “</w:t>
      </w:r>
      <w:r>
        <w:rPr>
          <w:rFonts w:ascii="Times New Roman;Times;Serif" w:hAnsi="Times New Roman;Times;Serif"/>
          <w:b/>
          <w:i w:val="false"/>
          <w:caps w:val="false"/>
          <w:smallCaps w:val="false"/>
          <w:sz w:val="20"/>
        </w:rPr>
        <w:t>January Principal Amount</w:t>
      </w:r>
      <w:r>
        <w:rPr>
          <w:rFonts w:ascii="Times New Roman;Times;Serif" w:hAnsi="Times New Roman;Times;Serif"/>
          <w:b w:val="false"/>
          <w:i w:val="false"/>
          <w:caps w:val="false"/>
          <w:smallCaps w:val="false"/>
          <w:sz w:val="20"/>
        </w:rPr>
        <w:t>”) to Brian Nelson, one of our directors, in a private placement in exchange for cash in an equal amount. The January Note became due and payable in full on February 2, 2024. We were also obligated to pay $50,000 (the “</w:t>
      </w:r>
      <w:r>
        <w:rPr>
          <w:rFonts w:ascii="Times New Roman;Times;Serif" w:hAnsi="Times New Roman;Times;Serif"/>
          <w:b/>
          <w:i w:val="false"/>
          <w:caps w:val="false"/>
          <w:smallCaps w:val="false"/>
          <w:sz w:val="20"/>
        </w:rPr>
        <w:t>January Loan Fee</w:t>
      </w:r>
      <w:r>
        <w:rPr>
          <w:rFonts w:ascii="Times New Roman;Times;Serif" w:hAnsi="Times New Roman;Times;Serif"/>
          <w:b w:val="false"/>
          <w:i w:val="false"/>
          <w:caps w:val="false"/>
          <w:smallCaps w:val="false"/>
          <w:sz w:val="20"/>
        </w:rPr>
        <w:t>”) to Mr. Nelson on February 2, 2024. We paid the January Principal Amount and the January Loan Fee in full on February 2,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2024 we issued a convertible promissory (the “</w:t>
      </w:r>
      <w:r>
        <w:rPr>
          <w:rFonts w:ascii="Times New Roman;Times;Serif" w:hAnsi="Times New Roman;Times;Serif"/>
          <w:b/>
          <w:i w:val="false"/>
          <w:caps w:val="false"/>
          <w:smallCaps w:val="false"/>
          <w:sz w:val="20"/>
        </w:rPr>
        <w:t>February Note</w:t>
      </w:r>
      <w:r>
        <w:rPr>
          <w:rFonts w:ascii="Times New Roman;Times;Serif" w:hAnsi="Times New Roman;Times;Serif"/>
          <w:b w:val="false"/>
          <w:i w:val="false"/>
          <w:caps w:val="false"/>
          <w:smallCaps w:val="false"/>
          <w:sz w:val="20"/>
        </w:rPr>
        <w:t>”) in the amount of $1.7 million (the “</w:t>
      </w:r>
      <w:r>
        <w:rPr>
          <w:rFonts w:ascii="Times New Roman;Times;Serif" w:hAnsi="Times New Roman;Times;Serif"/>
          <w:b/>
          <w:i w:val="false"/>
          <w:caps w:val="false"/>
          <w:smallCaps w:val="false"/>
          <w:sz w:val="20"/>
        </w:rPr>
        <w:t>February Principal Amount</w:t>
      </w:r>
      <w:r>
        <w:rPr>
          <w:rFonts w:ascii="Times New Roman;Times;Serif" w:hAnsi="Times New Roman;Times;Serif"/>
          <w:b w:val="false"/>
          <w:i w:val="false"/>
          <w:caps w:val="false"/>
          <w:smallCaps w:val="false"/>
          <w:sz w:val="20"/>
        </w:rPr>
        <w:t>”) to Mr. Nelson, in a private placement in exchange for cash in an equal amount. The February Note became due and payable in full on March 1, 2024. We were also obligated to pay a $85,000 loan fee (the “</w:t>
      </w:r>
      <w:r>
        <w:rPr>
          <w:rFonts w:ascii="Times New Roman;Times;Serif" w:hAnsi="Times New Roman;Times;Serif"/>
          <w:b/>
          <w:i w:val="false"/>
          <w:caps w:val="false"/>
          <w:smallCaps w:val="false"/>
          <w:sz w:val="20"/>
        </w:rPr>
        <w:t>February Loan Fee</w:t>
      </w:r>
      <w:r>
        <w:rPr>
          <w:rFonts w:ascii="Times New Roman;Times;Serif" w:hAnsi="Times New Roman;Times;Serif"/>
          <w:b w:val="false"/>
          <w:i w:val="false"/>
          <w:caps w:val="false"/>
          <w:smallCaps w:val="false"/>
          <w:sz w:val="20"/>
        </w:rPr>
        <w:t>”) to Mr. Nelson on March 1, 2024. We paid the February Principal Amount and the February Loan Fee on March 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we completed the June 2023 Offering which provided net proceeds to us, including the partial over-allotment option exercise, of approximately $20.7 million. In July 2023, upon a request from our lenders under the Term Loan Agreement, we repaid $5.3 million to satisfy a portion of its outstanding principal.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we identified an underpayment of tariffs to CBP in the amount of approximately $1.67 million in the aggregate, related to the improper classification and valuation of certain of the products used in our batteries. We have reported the underpayment to CBP.</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 ended June 30, 2024, we generated a net loss of $13.6 million and had a negative cash flow from operations. As of June 30, 2024, we had approximately $4.7 million in cash and cash equivalents and working capital deficit of $4.6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 Loan Agreement, we are obligated to comply with certain financial covenants, which include maintaining a maximum senior leverage ratio, minimum liquidity, a springing fixed charge coverage ratio, and maximum capital expenditures. On March 29, 2023, September 29, 2023, December 29, 2023, May 13, 2024 and June 28, 2024, we obtained waivers from our Administrative Agent and Term Loan Lenders of our failures to satisfy the fixed charge coverage ratio and maximum senior leverage ratio with respect to the minimum cash requirements under the Term Loan for the quarters ended, March 31, 2023, September 30, 2023, December 31, 2024, March 31, 2024 and June 30, 2024. On March 31, 2024, April 29, 2024 and June 28, 2024, we received additional waivers from our Administrative Agent and Term Loan Lenders in regard to our compliance with our liquidity requirement under the Term Loan as of the last day of the fiscal quarters ended March 31, 2024 and June 30, 2024 and as of the last day of the fiscal months ended April 30, 2024 and June 30, 2024. In connection with the License Agreement, on July 29, 2024, us, Legacy Dragonfly and Battle Born LLC entered into the Second Amendment (together with the Original Term Loan and the First Term Loan Amendment, the “</w:t>
      </w:r>
      <w:r>
        <w:rPr>
          <w:rFonts w:ascii="Times New Roman;Times;Serif" w:hAnsi="Times New Roman;Times;Serif"/>
          <w:b/>
          <w:i w:val="false"/>
          <w:caps w:val="false"/>
          <w:smallCaps w:val="false"/>
          <w:sz w:val="20"/>
        </w:rPr>
        <w:t>Term Loan Agreement</w:t>
      </w:r>
      <w:r>
        <w:rPr>
          <w:rFonts w:ascii="Times New Roman;Times;Serif" w:hAnsi="Times New Roman;Times;Serif"/>
          <w:b w:val="false"/>
          <w:i w:val="false"/>
          <w:caps w:val="false"/>
          <w:smallCaps w:val="false"/>
          <w:sz w:val="20"/>
        </w:rPr>
        <w:t>”). Pursuant to the Second Amendment, the Term Loan Lenders (i) consented to the transactions contemplated by the License Agreement and the Trademark Transfer Agreement and (ii) agreed to waive the mandatory prepayment under the Loan Agreement that would have been due to the Lenders under the Loan Agreement upon Battle Born LLC’s receipt of the Initial Licensing Fee. In connection with the Second Amendment, Battle Born LLC entered into the Joinder. It is probable that we will fail to meet these covenants within the next twelve months. If we are unable to comply with the financial covenants in our loan agreement, the Term Loan Lenders have the right to accelerate the maturity of the Term Loan. These conditions raise substantial doubt about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future debt or equity financings may be dilutive to our current stockholders.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Six months ended June 30, 2024, and June 30, 2023</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966" w:type="dxa"/>
        <w:jc w:val="left"/>
        <w:tblInd w:w="0" w:type="dxa"/>
        <w:tblLayout w:type="fixed"/>
        <w:tblCellMar>
          <w:top w:w="0" w:type="dxa"/>
          <w:left w:w="0" w:type="dxa"/>
          <w:bottom w:w="0" w:type="dxa"/>
          <w:right w:w="0" w:type="dxa"/>
        </w:tblCellMar>
      </w:tblPr>
      <w:tblGrid>
        <w:gridCol w:w="3065"/>
        <w:gridCol w:w="60"/>
        <w:gridCol w:w="218"/>
        <w:gridCol w:w="992"/>
        <w:gridCol w:w="148"/>
        <w:gridCol w:w="93"/>
        <w:gridCol w:w="218"/>
        <w:gridCol w:w="1062"/>
        <w:gridCol w:w="110"/>
      </w:tblGrid>
      <w:tr>
        <w:trPr/>
        <w:tc>
          <w:tcPr>
            <w:tcW w:w="30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3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1"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Net Cash (used in)/provided by:</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Operating Activities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992" w:type="dxa"/>
            <w:tcBorders/>
            <w:shd w:fill="FFFFFF" w:val="clear"/>
            <w:vAlign w:val="center"/>
          </w:tcPr>
          <w:p>
            <w:pPr>
              <w:pStyle w:val="TableContents"/>
              <w:bidi w:val="0"/>
              <w:spacing w:before="0" w:after="283"/>
              <w:jc w:val="right"/>
              <w:rPr/>
            </w:pPr>
            <w:r>
              <w:rPr/>
              <w:t>(7,430</w:t>
            </w:r>
          </w:p>
        </w:tc>
        <w:tc>
          <w:tcPr>
            <w:tcW w:w="148"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1062" w:type="dxa"/>
            <w:tcBorders/>
            <w:shd w:fill="FFFFFF" w:val="clear"/>
            <w:vAlign w:val="center"/>
          </w:tcPr>
          <w:p>
            <w:pPr>
              <w:pStyle w:val="TableContents"/>
              <w:bidi w:val="0"/>
              <w:spacing w:before="0" w:after="283"/>
              <w:jc w:val="right"/>
              <w:rPr/>
            </w:pPr>
            <w:r>
              <w:rPr/>
              <w:t>(5,639</w:t>
            </w:r>
          </w:p>
        </w:tc>
        <w:tc>
          <w:tcPr>
            <w:tcW w:w="110" w:type="dxa"/>
            <w:tcBorders/>
            <w:shd w:fill="FFFFFF" w:val="clear"/>
            <w:vAlign w:val="center"/>
          </w:tcPr>
          <w:p>
            <w:pPr>
              <w:pStyle w:val="TableContents"/>
              <w:bidi w:val="0"/>
              <w:spacing w:before="0" w:after="283"/>
              <w:jc w:val="left"/>
              <w:rPr/>
            </w:pPr>
            <w:r>
              <w:rPr/>
              <w:t>)</w:t>
            </w:r>
          </w:p>
        </w:tc>
      </w:tr>
      <w:tr>
        <w:trPr/>
        <w:tc>
          <w:tcPr>
            <w:tcW w:w="3065" w:type="dxa"/>
            <w:tcBorders/>
            <w:shd w:fill="CCEEFF" w:val="clear"/>
            <w:vAlign w:val="center"/>
          </w:tcPr>
          <w:p>
            <w:pPr>
              <w:pStyle w:val="TableContents"/>
              <w:bidi w:val="0"/>
              <w:spacing w:before="0" w:after="283"/>
              <w:jc w:val="left"/>
              <w:rPr/>
            </w:pPr>
            <w:r>
              <w:rPr/>
              <w:t>Investing activities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992" w:type="dxa"/>
            <w:tcBorders/>
            <w:shd w:fill="CCEEFF" w:val="clear"/>
            <w:vAlign w:val="center"/>
          </w:tcPr>
          <w:p>
            <w:pPr>
              <w:pStyle w:val="TableContents"/>
              <w:bidi w:val="0"/>
              <w:spacing w:before="0" w:after="283"/>
              <w:jc w:val="right"/>
              <w:rPr/>
            </w:pPr>
            <w:r>
              <w:rPr/>
              <w:t>(1,324</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(2,571</w:t>
            </w:r>
          </w:p>
        </w:tc>
        <w:tc>
          <w:tcPr>
            <w:tcW w:w="110" w:type="dxa"/>
            <w:tcBorders/>
            <w:shd w:fill="CCEEFF" w:val="clear"/>
            <w:vAlign w:val="center"/>
          </w:tcPr>
          <w:p>
            <w:pPr>
              <w:pStyle w:val="TableContents"/>
              <w:bidi w:val="0"/>
              <w:spacing w:before="0" w:after="283"/>
              <w:jc w:val="left"/>
              <w:rPr/>
            </w:pPr>
            <w:r>
              <w:rPr/>
              <w:t>)</w:t>
            </w:r>
          </w:p>
        </w:tc>
      </w:tr>
      <w:tr>
        <w:trPr/>
        <w:tc>
          <w:tcPr>
            <w:tcW w:w="3065" w:type="dxa"/>
            <w:tcBorders/>
            <w:shd w:fill="FFFFFF" w:val="clear"/>
            <w:vAlign w:val="center"/>
          </w:tcPr>
          <w:p>
            <w:pPr>
              <w:pStyle w:val="TableContents"/>
              <w:bidi w:val="0"/>
              <w:spacing w:before="0" w:after="283"/>
              <w:jc w:val="left"/>
              <w:rPr/>
            </w:pPr>
            <w:r>
              <w:rPr/>
              <w:t>Financing activities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992" w:type="dxa"/>
            <w:tcBorders/>
            <w:shd w:fill="FFFFFF" w:val="clear"/>
            <w:vAlign w:val="center"/>
          </w:tcPr>
          <w:p>
            <w:pPr>
              <w:pStyle w:val="TableContents"/>
              <w:bidi w:val="0"/>
              <w:spacing w:before="0" w:after="283"/>
              <w:jc w:val="right"/>
              <w:rPr/>
            </w:pPr>
            <w:r>
              <w:rPr/>
              <w:t>740</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1062" w:type="dxa"/>
            <w:tcBorders/>
            <w:shd w:fill="FFFFFF" w:val="clear"/>
            <w:vAlign w:val="center"/>
          </w:tcPr>
          <w:p>
            <w:pPr>
              <w:pStyle w:val="TableContents"/>
              <w:bidi w:val="0"/>
              <w:spacing w:before="0" w:after="283"/>
              <w:jc w:val="right"/>
              <w:rPr/>
            </w:pPr>
            <w:r>
              <w:rPr/>
              <w:t>23,381</w:t>
            </w:r>
          </w:p>
        </w:tc>
        <w:tc>
          <w:tcPr>
            <w:tcW w:w="110"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$7.4 million for the six months ended June 30, 2024, primarily due to a net loss of $24.0 million partially offset by $4.6 million of payment in-kind interest accrued on the term loan and $10.1 million decrease in inventory as a result of management’s decision to lower overall stocking levels to adjust for more modest demand.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$5.6 million for six months ended June 30, 2023, primarily due to a net loss of $7.1 million and negative change of $19.3 million in the fair market value of our warrant liability during the period offset by lower inventory levels an increase in accounts payable and accrued expenses as a result of extended payments for the large influx of cells received late in 2022 and early 2023.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$1.3 million for the six months ended June 30, 2024, as compared to net cash used in investing activities of $2.6 million for the six months ended June 30, 2023. The decrease in cash used in investing activities was primarily due to a decrease in capital equipment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$0.7 million net cash provided in financing activities, primarily from proceeds of issuing and selling shares under ChEF Equity Facility for the six months ended June 30, 2024, as compared to net cash provided by financing activities of $23.4 million for the six months ended June 30, 2023 was primarily due to net proceeds of $21.1 million from the June 2023 Offering.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estimated future obligations consist of short-term and long-term operating lease liabilities. As of June 30, 2024, we had $2.8 million in short-term operating lease liabilities and $24.0 million in long-term operating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above, we have a Term Loan and as of June 30, 2024, the principal amount outstanding under the Term Loan was $69.7 million.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888" w:name="sw_002"/>
      <w:bookmarkEnd w:id="888"/>
      <w:r>
        <w:rPr>
          <w:rFonts w:ascii="Times New Roman;Times;Serif" w:hAnsi="Times New Roman;Times;Serif"/>
          <w:b/>
          <w:i w:val="false"/>
          <w:caps w:val="false"/>
          <w:smallCaps w:val="false"/>
          <w:sz w:val="20"/>
        </w:rPr>
        <w:t>ITEM 3. QUANTITATIVE AND QUALITATIVE DISCLOSURES ABOUT MARKET RISK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89" w:name="sw_003"/>
      <w:bookmarkEnd w:id="889"/>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Disclosure Controls and Procedures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Chief Executive Officer, as our principal executive officer, and Interim Chief Financial Officer, as our principal financial officer, to allow timely decisions regarding required disclosure.</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of the Quarterly Report on Form 10-Q for the quarter ended June 30, 2024, our management, with the participation of our Chief Executive Officer and Interim Chief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As described in our Annual Report, our management identified a material weakness in our internal control over financial reporting as a result of our failure to capture, and record, and pay tariffs correctly related to the imported merchandise on previously filed 2022 and 2021 financial statements. Based upon the evaluation described above, our Chief Executive Officer and Interim Chief Financial Officer concluded that, due to the material weakness previously reported in our Annual Report that has not yet been remediated, our disclosure controls and procedures were not effective as of June 30, 2024.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Internal Control over Financial Reporting</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described a plan to remediate the material weakness within our Annual Report. Management, with the assistance of a third-party service provider, continues to design and implement additional internal controls. Additionally, management continued its risk assessment to identify risks and objectives. There were no other changes in our internal controls over financial reporting that occurred during the quarter ended June 30, 2024 that materially affected, or are reasonably likely to materially affect, our internal control over financial reporting. Management will continue to evaluate and enhance our processes as noted in the remediation plan described within our Annual Report. The elements of our remediation plan can only be accomplished over time, and we can offer no assurance that these will ultimately have the intended effects.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90" w:name="sw_004"/>
      <w:bookmarkEnd w:id="890"/>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91" w:name="sw_005"/>
      <w:bookmarkEnd w:id="891"/>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litigation or other legal proceedings. We are not currently a party to any litigation or legal proceedings that, in the opinion of our management, are likely to have a material adverse effect on our business. Regardless of the outcome, litigation can have an adverse impact on us because of defense and settlement costs, diversion of management resources and other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92" w:name="sw_006"/>
      <w:bookmarkEnd w:id="892"/>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to provide the information required by this item.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93" w:name="sw_007"/>
      <w:bookmarkEnd w:id="893"/>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June 30, 2024, we issued certain additional Penny Warrants to purchase 7,675 shares of Common Stock to the Term Loan Lenders in accordance with the anti-dilution provisions of the penny warrants with respect to certain sales we made under the ChEF Equity Facility. In addition, from the period of July 1, 2024 to August 13, 2024 we issued certain Penny Warrants to purchase 10,021 shares of Common Stock to the Term Loan Lenders in accordance with the anti-dilution provisions of the penny warrants with respect to certain sales we made under the ChEF Equity Facility. The Penny Warrants were immediately exercisable upon issuance and will expire ten years from the date of issuance. The Penny Warrants and the shares of Common Stock underlying the Penny Warrants have not been registered under the Securities Act and were offered pursuant to the exemption provided in Section 4(a)(2) under the Securities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94" w:name="sw_008"/>
      <w:bookmarkEnd w:id="894"/>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95" w:name="sw_009"/>
      <w:bookmarkEnd w:id="895"/>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96" w:name="sw_010"/>
      <w:bookmarkEnd w:id="896"/>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fiscal quarter ended June 30, 2024, none of our directors or “officers” (as defined in Rule 16a-1(f) under the Exchange Act) </w:t>
            </w:r>
            <w:bookmarkStart w:id="897" w:name="xdx_906_eecd--NonRule10b51ArrAdoptedFlag"/>
            <w:bookmarkStart w:id="898" w:name="xdx_90C_eecd--Rule10b51ArrAdoptedFlag_db"/>
            <w:bookmarkEnd w:id="897"/>
            <w:bookmarkEnd w:id="898"/>
            <w:r>
              <w:rPr>
                <w:rFonts w:ascii="Times New Roman;Times;Serif" w:hAnsi="Times New Roman;Times;Serif"/>
                <w:b w:val="false"/>
                <w:i w:val="false"/>
                <w:caps w:val="false"/>
                <w:smallCaps w:val="false"/>
                <w:sz w:val="20"/>
              </w:rPr>
              <w:t xml:space="preserve">adopted or </w:t>
            </w:r>
            <w:bookmarkStart w:id="899" w:name="xdx_90A_eecd--NonRule10b51ArrTrmntdFlag_"/>
            <w:bookmarkStart w:id="900" w:name="xdx_90C_eecd--Rule10b51ArrTrmntdFlag_dbF"/>
            <w:bookmarkEnd w:id="899"/>
            <w:bookmarkEnd w:id="900"/>
            <w:r>
              <w:rPr>
                <w:rFonts w:ascii="Times New Roman;Times;Serif" w:hAnsi="Times New Roman;Times;Serif"/>
                <w:b w:val="false"/>
                <w:i w:val="false"/>
                <w:caps w:val="false"/>
                <w:smallCaps w:val="false"/>
                <w:sz w:val="20"/>
              </w:rPr>
              <w:t>terminated any “Rule 10b5-1 trading arrangement” or “non-Rule 10b5-1 trading arrangement,” as each term is defined in Item 408(c) of Regulation S-K.</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01" w:name="sw_011"/>
      <w:bookmarkEnd w:id="901"/>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Quarterly Report on Form 10-Q.</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9"/>
        <w:gridCol w:w="60"/>
        <w:gridCol w:w="7377"/>
        <w:gridCol w:w="60"/>
        <w:gridCol w:w="509"/>
        <w:gridCol w:w="60"/>
        <w:gridCol w:w="656"/>
        <w:gridCol w:w="60"/>
        <w:gridCol w:w="674"/>
      </w:tblGrid>
      <w:tr>
        <w:trPr/>
        <w:tc>
          <w:tcPr>
            <w:tcW w:w="7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59" w:type="dxa"/>
            <w:gridSpan w:val="5"/>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tc>
      </w:tr>
      <w:tr>
        <w:trPr/>
        <w:tc>
          <w:tcPr>
            <w:tcW w:w="749"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Articles of Incorporation of Dragonfly Energy Holdings Corp.</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03/31/2023</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Bylaws of Dragonfly Energy Holdings Corp.</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03/31/2023</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Form of May 2024 Penny Warrant.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05/14/2024</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Form of June 2024 Penny Warrant.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06/28/2024</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Limited Waiver and First Amendment to Term Loan, Guarantee and Security Agreement, dated as of June 28, 2024, by and among Dragonfly Energy Holdings Corp., Dragonfly Energy Corp., the lenders from time to time party thereto and Alter Domus (US)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07/01/2024</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Amended and Restated ChEF Purchase Agreement, by and between Chardan Capital Markets LLC and Dragonfly Energy Holdings Corp., dated May 20, 2024.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05/20/2024</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Trademark License Agreement, by and among Dragonfly Energy Corp., Battle Born Battery Products, LLC, and Stryten Energy LLC, dated as of July 29, 2024.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08/01/2024</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Trademark Transfer and License-Back Agreement, by and between Dragonfly Energy Corp. and Battle Born Battery Products, LLC, dated as of July 29, 2024.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08/01/2024</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Limited Waiver, Consent and Second Amendment to Term Loan, Guarantee and Security Agreement, dated as of July 29, 2024, by and among Dragonfly Energy Corp., Dragonfly Energy Holdings Corp., Battle Born Battery Products, LLC, the lenders from time-to-time party thereto and Alter Domus (US)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08/01/2024</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Joinder Agreement, by Battle Born Battery Products, LLC and acknowledged by Dragonfly Energy Corp., and Dragonfly Energy Holdings Corp., dated as of July 29, 2024.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08/01/2024</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Pursuant to Securities Exchange Act Rules 13a-14(a) and 15(d)-14(a), as adopted Pursuant to Section 302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Principal Financial Officer Pursuant to Securities Exchange Act Rules 13a-14(a) and 15(d)-14(a), as adopted Pursuant to Section 302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Labels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 and included as Exhibit 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w:t>
            </w:r>
          </w:p>
        </w:tc>
      </w:tr>
      <w:tr>
        <w:trPr/>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Portions of these exhibits have been omitted pursuant to Regulation S-K Item 601(a)(5) promulgated under the Exchange Act. The Registrant agrees to furnish supplementally a copy of any omitted schedules and or exhibits to the SEC upon request.</w:t>
            </w:r>
          </w:p>
        </w:tc>
      </w:tr>
      <w:tr>
        <w:trPr/>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Portions of this exhibit, pursuant to Regulation S-K Item 601(b)(10)(iv) promulgated under the Exchange Act, marked by brackets, have been omitted because the omitted information (i) is not material and (ii) the Registrant customarily and actually treats such information as private or confidential. The Registrant agrees to furnish supplementally a copy of any omitted information to the SEC upon request.</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02" w:name="sw_012"/>
      <w:bookmarkEnd w:id="902"/>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8430" w:type="dxa"/>
        <w:jc w:val="left"/>
        <w:tblInd w:w="0" w:type="dxa"/>
        <w:tblLayout w:type="fixed"/>
        <w:tblCellMar>
          <w:top w:w="0" w:type="dxa"/>
          <w:left w:w="0" w:type="dxa"/>
          <w:bottom w:w="0" w:type="dxa"/>
          <w:right w:w="0" w:type="dxa"/>
        </w:tblCellMar>
      </w:tblPr>
      <w:tblGrid>
        <w:gridCol w:w="1865"/>
        <w:gridCol w:w="320"/>
        <w:gridCol w:w="624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56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2024</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24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and Interim Chief Financial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and 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903" w:name="ex31-1.htm"/>
      <w:bookmarkStart w:id="904" w:name="ksex311"/>
      <w:bookmarkEnd w:id="903"/>
      <w:bookmarkEnd w:id="90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Denis Phares, certify that:</w:t>
      </w:r>
    </w:p>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have reviewed this quarterly report on Form 10-Q for the period ended June 30, 2024 of Dragonfly Energy Holdings Corp.; </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99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720" w:right="0" w:hanging="0"/>
        <w:jc w:val="both"/>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75"/>
        <w:gridCol w:w="23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905" w:name="ex31-2.htm"/>
      <w:bookmarkStart w:id="906" w:name="ksex312"/>
      <w:bookmarkEnd w:id="905"/>
      <w:bookmarkEnd w:id="90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Denis Phares, certify that:</w:t>
      </w:r>
    </w:p>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period ended June 30, 2024 of Dragonfly Energy Holdings Corp.;</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99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720" w:right="0" w:hanging="0"/>
        <w:jc w:val="both"/>
        <w:rPr>
          <w:caps w:val="false"/>
          <w:smallCaps w:val="false"/>
        </w:rPr>
      </w:pPr>
      <w:r>
        <w:rPr>
          <w:caps w:val="false"/>
          <w:smallCaps w:val="false"/>
        </w:rPr>
        <w:t> </w:t>
      </w:r>
    </w:p>
    <w:tbl>
      <w:tblPr>
        <w:tblW w:w="3725" w:type="dxa"/>
        <w:jc w:val="left"/>
        <w:tblInd w:w="0" w:type="dxa"/>
        <w:tblLayout w:type="fixed"/>
        <w:tblCellMar>
          <w:top w:w="0" w:type="dxa"/>
          <w:left w:w="0" w:type="dxa"/>
          <w:bottom w:w="0" w:type="dxa"/>
          <w:right w:w="0" w:type="dxa"/>
        </w:tblCellMar>
      </w:tblPr>
      <w:tblGrid>
        <w:gridCol w:w="75"/>
        <w:gridCol w:w="36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907" w:name="ex32-1.htm"/>
      <w:bookmarkStart w:id="908" w:name="ksex321"/>
      <w:bookmarkEnd w:id="907"/>
      <w:bookmarkEnd w:id="90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is being filed pursuant to 18 U.S.C. Section 1350, as adopted by Section 906 of the Sarbanes-Oxley Act of 2002. This Certification is included solely for the purposes of complying with the provisions of Section 906 of the Sarbanes-Oxley Act and is not intended to be used for any other purpose. In connection with the accompanying Quarterly Report on Form 10-Q of Dragonfly Energy Holdings Corp.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for the quarter ended June 30, 2024 (the “</w:t>
      </w:r>
      <w:r>
        <w:rPr>
          <w:rFonts w:ascii="Times New Roman;Times;Serif" w:hAnsi="Times New Roman;Times;Serif"/>
          <w:b/>
          <w:i w:val="false"/>
          <w:caps w:val="false"/>
          <w:smallCaps w:val="false"/>
          <w:sz w:val="20"/>
        </w:rPr>
        <w:t>Quarterly Report</w:t>
      </w:r>
      <w:r>
        <w:rPr>
          <w:rFonts w:ascii="Times New Roman;Times;Serif" w:hAnsi="Times New Roman;Times;Serif"/>
          <w:b w:val="false"/>
          <w:i w:val="false"/>
          <w:caps w:val="false"/>
          <w:smallCaps w:val="false"/>
          <w:sz w:val="20"/>
        </w:rPr>
        <w:t>”), Denis Phares, as Chief Executive Officer and Interim Chief Financial Officer, certifies in his capacity as such officer of the Company, that to his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Quarterly Report fully complies with the requirements of Section 13(a) or 15(d) of the Securities Exchange Act of 1934;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Quarterly Report fairly presents, in all material respects, the financial condition and results of operations of the Company.</w:t>
      </w:r>
    </w:p>
    <w:p>
      <w:pPr>
        <w:pStyle w:val="TextBody"/>
        <w:bidi w:val="0"/>
        <w:spacing w:before="0" w:after="0"/>
        <w:ind w:left="0" w:right="0" w:hanging="0"/>
        <w:jc w:val="both"/>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75"/>
        <w:gridCol w:w="320"/>
        <w:gridCol w:w="48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1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14,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1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4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4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Interim 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4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and Principal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shall not be deemed “filed” for any purpose, nor shall it be deemed to be incorporated by reference into any filing under the Securities Act of 1933 or the Exchange Act.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7986/000149315223010262/ex3-1.htm" TargetMode="External"/><Relationship Id="rId3" Type="http://schemas.openxmlformats.org/officeDocument/2006/relationships/hyperlink" Target="https://www.sec.gov/Archives/edgar/data/1847986/000149315223010262/ex3-2.htm" TargetMode="External"/><Relationship Id="rId4" Type="http://schemas.openxmlformats.org/officeDocument/2006/relationships/hyperlink" Target="https://www.sec.gov/Archives/edgar/data/1847986/000149315224019360/ex4-3.htm" TargetMode="External"/><Relationship Id="rId5" Type="http://schemas.openxmlformats.org/officeDocument/2006/relationships/hyperlink" Target="https://www.sec.gov/Archives/edgar/data/1847986/000149315224025664/ex4-1.htm" TargetMode="External"/><Relationship Id="rId6" Type="http://schemas.openxmlformats.org/officeDocument/2006/relationships/hyperlink" Target="https://www.sec.gov/Archives/edgar/data/1847986/000149315224025664/ex10-1.htm" TargetMode="External"/><Relationship Id="rId7" Type="http://schemas.openxmlformats.org/officeDocument/2006/relationships/hyperlink" Target="https://www.sec.gov/Archives/edgar/data/1847986/000149315224020704/ex10-1.htm" TargetMode="External"/><Relationship Id="rId8" Type="http://schemas.openxmlformats.org/officeDocument/2006/relationships/hyperlink" Target="https://www.sec.gov/Archives/edgar/data/1847986/000149315224029924/ex10-1.htm" TargetMode="External"/><Relationship Id="rId9" Type="http://schemas.openxmlformats.org/officeDocument/2006/relationships/hyperlink" Target="https://www.sec.gov/Archives/edgar/data/1847986/000149315224029924/ex10-2.htm" TargetMode="External"/><Relationship Id="rId10" Type="http://schemas.openxmlformats.org/officeDocument/2006/relationships/hyperlink" Target="https://www.sec.gov/Archives/edgar/data/1847986/000149315224029924/ex10-3.htm" TargetMode="External"/><Relationship Id="rId11" Type="http://schemas.openxmlformats.org/officeDocument/2006/relationships/hyperlink" Target="https://www.sec.gov/Archives/edgar/data/1847986/000149315224029924/ex10-4.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30225</Words>
  <Characters>159255</Characters>
  <CharactersWithSpaces>191284</CharactersWithSpaces>
  <Paragraphs>7088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