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666750</wp:posOffset>
            </wp:positionH>
            <wp:positionV relativeFrom="page">
              <wp:posOffset>686435</wp:posOffset>
            </wp:positionV>
            <wp:extent cx="643953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39535" cy="38100"/>
                    </a:xfrm>
                    <a:prstGeom prst="rect">
                      <a:avLst/>
                    </a:prstGeom>
                    <a:noFill/>
                  </pic:spPr>
                </pic:pic>
              </a:graphicData>
            </a:graphic>
          </wp:anchor>
        </w:drawing>
        <w:drawing>
          <wp:anchor simplePos="0" relativeHeight="251657728" behindDoc="1" locked="0" layoutInCell="0" allowOverlap="1">
            <wp:simplePos x="0" y="0"/>
            <wp:positionH relativeFrom="page">
              <wp:posOffset>666750</wp:posOffset>
            </wp:positionH>
            <wp:positionV relativeFrom="page">
              <wp:posOffset>743585</wp:posOffset>
            </wp:positionV>
            <wp:extent cx="6439535"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9535" cy="190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161925</wp:posOffset>
            </wp:positionV>
            <wp:extent cx="6433820"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3820" cy="1206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163830</wp:posOffset>
            </wp:positionV>
            <wp:extent cx="6439535"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9535" cy="1206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(Mark One)</w:t>
      </w:r>
    </w:p>
    <w:p>
      <w:pPr>
        <w:spacing w:after="0" w:line="227" w:lineRule="exact"/>
        <w:rPr>
          <w:sz w:val="24"/>
          <w:szCs w:val="24"/>
          <w:color w:val="auto"/>
        </w:rPr>
      </w:pPr>
    </w:p>
    <w:p>
      <w:pPr>
        <w:ind w:left="220" w:hanging="220"/>
        <w:spacing w:after="0"/>
        <w:tabs>
          <w:tab w:leader="none" w:pos="220" w:val="left"/>
        </w:tabs>
        <w:numPr>
          <w:ilvl w:val="0"/>
          <w:numId w:val="1"/>
        </w:numPr>
        <w:rPr>
          <w:rFonts w:ascii="Segoe UI Symbol" w:cs="Segoe UI Symbol" w:eastAsia="Segoe UI Symbol" w:hAnsi="Segoe UI Symbol"/>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40" w:lineRule="exact"/>
        <w:rPr>
          <w:rFonts w:ascii="Segoe UI Symbol" w:cs="Segoe UI Symbol" w:eastAsia="Segoe UI Symbol" w:hAnsi="Segoe UI Symbol"/>
          <w:sz w:val="20"/>
          <w:szCs w:val="20"/>
          <w:b w:val="1"/>
          <w:bCs w:val="1"/>
          <w:color w:val="auto"/>
        </w:rPr>
      </w:pPr>
    </w:p>
    <w:p>
      <w:pPr>
        <w:ind w:left="3220"/>
        <w:spacing w:after="0"/>
        <w:rPr>
          <w:rFonts w:ascii="Segoe UI Symbol" w:cs="Segoe UI Symbol" w:eastAsia="Segoe UI Symbol" w:hAnsi="Segoe UI Symbol"/>
          <w:sz w:val="20"/>
          <w:szCs w:val="20"/>
          <w:b w:val="1"/>
          <w:bCs w:val="1"/>
          <w:color w:val="auto"/>
        </w:rPr>
      </w:pPr>
      <w:r>
        <w:rPr>
          <w:rFonts w:ascii="Times New Roman" w:cs="Times New Roman" w:eastAsia="Times New Roman" w:hAnsi="Times New Roman"/>
          <w:sz w:val="20"/>
          <w:szCs w:val="20"/>
          <w:b w:val="1"/>
          <w:bCs w:val="1"/>
          <w:color w:val="auto"/>
        </w:rPr>
        <w:t>For the fiscal year ended December 31, 2024</w:t>
      </w:r>
    </w:p>
    <w:p>
      <w:pPr>
        <w:spacing w:after="0" w:line="234" w:lineRule="exact"/>
        <w:rPr>
          <w:rFonts w:ascii="Segoe UI Symbol" w:cs="Segoe UI Symbol" w:eastAsia="Segoe UI Symbol" w:hAnsi="Segoe UI Symbol"/>
          <w:sz w:val="20"/>
          <w:szCs w:val="20"/>
          <w:b w:val="1"/>
          <w:bCs w:val="1"/>
          <w:color w:val="auto"/>
        </w:rPr>
      </w:pPr>
    </w:p>
    <w:p>
      <w:pPr>
        <w:ind w:left="4900"/>
        <w:spacing w:after="0"/>
        <w:rPr>
          <w:rFonts w:ascii="Segoe UI Symbol" w:cs="Segoe UI Symbol" w:eastAsia="Segoe UI Symbol" w:hAnsi="Segoe UI Symbol"/>
          <w:sz w:val="20"/>
          <w:szCs w:val="20"/>
          <w:b w:val="1"/>
          <w:bCs w:val="1"/>
          <w:color w:val="auto"/>
        </w:rPr>
      </w:pPr>
      <w:r>
        <w:rPr>
          <w:rFonts w:ascii="Times New Roman" w:cs="Times New Roman" w:eastAsia="Times New Roman" w:hAnsi="Times New Roman"/>
          <w:sz w:val="20"/>
          <w:szCs w:val="20"/>
          <w:b w:val="1"/>
          <w:bCs w:val="1"/>
          <w:color w:val="auto"/>
        </w:rPr>
        <w:t>OR</w:t>
      </w:r>
    </w:p>
    <w:p>
      <w:pPr>
        <w:spacing w:after="0" w:line="272" w:lineRule="exact"/>
        <w:rPr>
          <w:sz w:val="24"/>
          <w:szCs w:val="24"/>
          <w:color w:val="auto"/>
        </w:rPr>
      </w:pPr>
    </w:p>
    <w:p>
      <w:pPr>
        <w:spacing w:after="0" w:line="222" w:lineRule="auto"/>
        <w:tabs>
          <w:tab w:leader="none" w:pos="232" w:val="left"/>
        </w:tabs>
        <w:numPr>
          <w:ilvl w:val="0"/>
          <w:numId w:val="2"/>
        </w:numPr>
        <w:rPr>
          <w:rFonts w:ascii="Segoe UI Symbol" w:cs="Segoe UI Symbol" w:eastAsia="Segoe UI Symbol" w:hAnsi="Segoe UI Symbol"/>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35"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 to _______</w:t>
      </w:r>
    </w:p>
    <w:p>
      <w:pPr>
        <w:spacing w:after="0" w:line="23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Commission file number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161290</wp:posOffset>
            </wp:positionV>
            <wp:extent cx="6439535"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9535" cy="1206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6433820"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3820" cy="12065"/>
                    </a:xfrm>
                    <a:prstGeom prst="rect">
                      <a:avLst/>
                    </a:prstGeom>
                    <a:noFill/>
                  </pic:spPr>
                </pic:pic>
              </a:graphicData>
            </a:graphic>
          </wp:anchor>
        </w:drawing>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34" w:lineRule="exact"/>
        <w:rPr>
          <w:sz w:val="24"/>
          <w:szCs w:val="24"/>
          <w:color w:val="auto"/>
        </w:rPr>
      </w:pPr>
    </w:p>
    <w:tbl>
      <w:tblPr>
        <w:tblLayout w:type="fixed"/>
        <w:tblInd w:w="840" w:type="dxa"/>
        <w:tblCellMar>
          <w:top w:w="0" w:type="dxa"/>
          <w:left w:w="0" w:type="dxa"/>
          <w:bottom w:w="0" w:type="dxa"/>
          <w:right w:w="0" w:type="dxa"/>
        </w:tblCellMar>
      </w:tblPr>
      <w:tr>
        <w:trPr>
          <w:trHeight w:val="230"/>
        </w:trPr>
        <w:tc>
          <w:tcPr>
            <w:tcW w:w="4640" w:type="dxa"/>
            <w:vAlign w:val="bottom"/>
          </w:tcPr>
          <w:p>
            <w:pPr>
              <w:jc w:val="center"/>
              <w:ind w:right="1280"/>
              <w:spacing w:after="0"/>
              <w:rPr>
                <w:sz w:val="20"/>
                <w:szCs w:val="20"/>
                <w:color w:val="auto"/>
              </w:rPr>
            </w:pPr>
            <w:r>
              <w:rPr>
                <w:rFonts w:ascii="Times New Roman" w:cs="Times New Roman" w:eastAsia="Times New Roman" w:hAnsi="Times New Roman"/>
                <w:sz w:val="20"/>
                <w:szCs w:val="20"/>
                <w:b w:val="1"/>
                <w:bCs w:val="1"/>
                <w:color w:val="auto"/>
              </w:rPr>
              <w:t>Nevada</w:t>
            </w:r>
          </w:p>
        </w:tc>
        <w:tc>
          <w:tcPr>
            <w:tcW w:w="288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85-1873463</w:t>
            </w:r>
          </w:p>
        </w:tc>
      </w:tr>
      <w:tr>
        <w:trPr>
          <w:trHeight w:val="232"/>
        </w:trPr>
        <w:tc>
          <w:tcPr>
            <w:tcW w:w="4640" w:type="dxa"/>
            <w:vAlign w:val="bottom"/>
          </w:tcPr>
          <w:p>
            <w:pPr>
              <w:jc w:val="center"/>
              <w:ind w:right="1280"/>
              <w:spacing w:after="0"/>
              <w:rPr>
                <w:sz w:val="20"/>
                <w:szCs w:val="20"/>
                <w:color w:val="auto"/>
              </w:rPr>
            </w:pPr>
            <w:r>
              <w:rPr>
                <w:rFonts w:ascii="Times New Roman" w:cs="Times New Roman" w:eastAsia="Times New Roman" w:hAnsi="Times New Roman"/>
                <w:sz w:val="20"/>
                <w:szCs w:val="20"/>
                <w:color w:val="auto"/>
                <w:w w:val="99"/>
              </w:rPr>
              <w:t>(State or other jurisdiction</w:t>
            </w:r>
          </w:p>
        </w:tc>
        <w:tc>
          <w:tcPr>
            <w:tcW w:w="2880" w:type="dxa"/>
            <w:vAlign w:val="bottom"/>
          </w:tcPr>
          <w:p>
            <w:pPr>
              <w:jc w:val="center"/>
              <w:ind w:left="1280"/>
              <w:spacing w:after="0"/>
              <w:rPr>
                <w:sz w:val="20"/>
                <w:szCs w:val="20"/>
                <w:color w:val="auto"/>
              </w:rPr>
            </w:pPr>
            <w:r>
              <w:rPr>
                <w:rFonts w:ascii="Times New Roman" w:cs="Times New Roman" w:eastAsia="Times New Roman" w:hAnsi="Times New Roman"/>
                <w:sz w:val="20"/>
                <w:szCs w:val="20"/>
                <w:color w:val="auto"/>
              </w:rPr>
              <w:t>(I.R.S. Employer</w:t>
            </w:r>
          </w:p>
        </w:tc>
      </w:tr>
      <w:tr>
        <w:trPr>
          <w:trHeight w:val="232"/>
        </w:trPr>
        <w:tc>
          <w:tcPr>
            <w:tcW w:w="4640" w:type="dxa"/>
            <w:vAlign w:val="bottom"/>
          </w:tcPr>
          <w:p>
            <w:pPr>
              <w:jc w:val="center"/>
              <w:ind w:right="1280"/>
              <w:spacing w:after="0"/>
              <w:rPr>
                <w:sz w:val="20"/>
                <w:szCs w:val="20"/>
                <w:color w:val="auto"/>
              </w:rPr>
            </w:pPr>
            <w:r>
              <w:rPr>
                <w:rFonts w:ascii="Times New Roman" w:cs="Times New Roman" w:eastAsia="Times New Roman" w:hAnsi="Times New Roman"/>
                <w:sz w:val="20"/>
                <w:szCs w:val="20"/>
                <w:color w:val="auto"/>
                <w:w w:val="99"/>
              </w:rPr>
              <w:t>of incorporation or organization)</w:t>
            </w:r>
          </w:p>
        </w:tc>
        <w:tc>
          <w:tcPr>
            <w:tcW w:w="2880" w:type="dxa"/>
            <w:vAlign w:val="bottom"/>
          </w:tcPr>
          <w:p>
            <w:pPr>
              <w:jc w:val="center"/>
              <w:ind w:left="1280"/>
              <w:spacing w:after="0"/>
              <w:rPr>
                <w:sz w:val="20"/>
                <w:szCs w:val="20"/>
                <w:color w:val="auto"/>
              </w:rPr>
            </w:pPr>
            <w:r>
              <w:rPr>
                <w:rFonts w:ascii="Times New Roman" w:cs="Times New Roman" w:eastAsia="Times New Roman" w:hAnsi="Times New Roman"/>
                <w:sz w:val="20"/>
                <w:szCs w:val="20"/>
                <w:color w:val="auto"/>
              </w:rPr>
              <w:t>Identification No.)</w:t>
            </w:r>
          </w:p>
        </w:tc>
      </w:tr>
      <w:tr>
        <w:trPr>
          <w:trHeight w:val="464"/>
        </w:trPr>
        <w:tc>
          <w:tcPr>
            <w:tcW w:w="4640" w:type="dxa"/>
            <w:vAlign w:val="bottom"/>
          </w:tcPr>
          <w:p>
            <w:pPr>
              <w:jc w:val="center"/>
              <w:ind w:right="1280"/>
              <w:spacing w:after="0"/>
              <w:rPr>
                <w:sz w:val="20"/>
                <w:szCs w:val="20"/>
                <w:color w:val="auto"/>
              </w:rPr>
            </w:pPr>
            <w:r>
              <w:rPr>
                <w:rFonts w:ascii="Times New Roman" w:cs="Times New Roman" w:eastAsia="Times New Roman" w:hAnsi="Times New Roman"/>
                <w:sz w:val="20"/>
                <w:szCs w:val="20"/>
                <w:b w:val="1"/>
                <w:bCs w:val="1"/>
                <w:color w:val="auto"/>
              </w:rPr>
              <w:t>12915 Old Virgina Rd.</w:t>
            </w:r>
          </w:p>
        </w:tc>
        <w:tc>
          <w:tcPr>
            <w:tcW w:w="2880" w:type="dxa"/>
            <w:vAlign w:val="bottom"/>
          </w:tcPr>
          <w:p>
            <w:pPr>
              <w:spacing w:after="0"/>
              <w:rPr>
                <w:sz w:val="24"/>
                <w:szCs w:val="24"/>
                <w:color w:val="auto"/>
              </w:rPr>
            </w:pPr>
          </w:p>
        </w:tc>
      </w:tr>
      <w:tr>
        <w:trPr>
          <w:trHeight w:val="232"/>
        </w:trPr>
        <w:tc>
          <w:tcPr>
            <w:tcW w:w="4640" w:type="dxa"/>
            <w:vAlign w:val="bottom"/>
          </w:tcPr>
          <w:p>
            <w:pPr>
              <w:jc w:val="center"/>
              <w:ind w:right="1280"/>
              <w:spacing w:after="0"/>
              <w:rPr>
                <w:sz w:val="20"/>
                <w:szCs w:val="20"/>
                <w:color w:val="auto"/>
              </w:rPr>
            </w:pPr>
            <w:r>
              <w:rPr>
                <w:rFonts w:ascii="Times New Roman" w:cs="Times New Roman" w:eastAsia="Times New Roman" w:hAnsi="Times New Roman"/>
                <w:sz w:val="20"/>
                <w:szCs w:val="20"/>
                <w:b w:val="1"/>
                <w:bCs w:val="1"/>
                <w:color w:val="auto"/>
                <w:w w:val="99"/>
              </w:rPr>
              <w:t>Reno, Nevada</w:t>
            </w:r>
          </w:p>
        </w:tc>
        <w:tc>
          <w:tcPr>
            <w:tcW w:w="288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89521</w:t>
            </w:r>
          </w:p>
        </w:tc>
      </w:tr>
      <w:tr>
        <w:trPr>
          <w:trHeight w:val="232"/>
        </w:trPr>
        <w:tc>
          <w:tcPr>
            <w:tcW w:w="4640" w:type="dxa"/>
            <w:vAlign w:val="bottom"/>
          </w:tcPr>
          <w:p>
            <w:pPr>
              <w:jc w:val="center"/>
              <w:ind w:right="1280"/>
              <w:spacing w:after="0"/>
              <w:rPr>
                <w:sz w:val="20"/>
                <w:szCs w:val="20"/>
                <w:color w:val="auto"/>
              </w:rPr>
            </w:pPr>
            <w:r>
              <w:rPr>
                <w:rFonts w:ascii="Times New Roman" w:cs="Times New Roman" w:eastAsia="Times New Roman" w:hAnsi="Times New Roman"/>
                <w:sz w:val="20"/>
                <w:szCs w:val="20"/>
                <w:color w:val="auto"/>
                <w:w w:val="99"/>
              </w:rPr>
              <w:t>(Address of Principal Executive Offices)</w:t>
            </w:r>
          </w:p>
        </w:tc>
        <w:tc>
          <w:tcPr>
            <w:tcW w:w="2880" w:type="dxa"/>
            <w:vAlign w:val="bottom"/>
          </w:tcPr>
          <w:p>
            <w:pPr>
              <w:jc w:val="center"/>
              <w:ind w:left="1280"/>
              <w:spacing w:after="0"/>
              <w:rPr>
                <w:sz w:val="20"/>
                <w:szCs w:val="20"/>
                <w:color w:val="auto"/>
              </w:rPr>
            </w:pPr>
            <w:r>
              <w:rPr>
                <w:rFonts w:ascii="Times New Roman" w:cs="Times New Roman" w:eastAsia="Times New Roman" w:hAnsi="Times New Roman"/>
                <w:sz w:val="20"/>
                <w:szCs w:val="20"/>
                <w:color w:val="auto"/>
              </w:rPr>
              <w:t>(Zip Code)</w:t>
            </w:r>
          </w:p>
        </w:tc>
      </w:tr>
    </w:tbl>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(775) 622-3448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Title of each class</w:t>
            </w:r>
          </w:p>
        </w:tc>
        <w:tc>
          <w:tcPr>
            <w:tcW w:w="2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Trading Symbol(s)</w:t>
            </w:r>
          </w:p>
        </w:tc>
        <w:tc>
          <w:tcPr>
            <w:tcW w:w="22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Name of each exchange on which registered</w:t>
            </w:r>
          </w:p>
        </w:tc>
      </w:tr>
      <w:tr>
        <w:trPr>
          <w:trHeight w:val="462"/>
        </w:trPr>
        <w:tc>
          <w:tcPr>
            <w:tcW w:w="4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Common stock, par value $0.0001 per share</w:t>
            </w:r>
          </w:p>
        </w:tc>
        <w:tc>
          <w:tcPr>
            <w:tcW w:w="2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DFLI</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The Nasdaq Capital Market</w:t>
            </w:r>
          </w:p>
        </w:tc>
      </w:tr>
      <w:tr>
        <w:trPr>
          <w:trHeight w:val="232"/>
        </w:trPr>
        <w:tc>
          <w:tcPr>
            <w:tcW w:w="4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Redeemable Warrants, exercisable for common</w:t>
            </w:r>
          </w:p>
        </w:tc>
        <w:tc>
          <w:tcPr>
            <w:tcW w:w="2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DFLIW</w:t>
            </w: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The Nasdaq Capital Market</w:t>
            </w:r>
          </w:p>
        </w:tc>
      </w:tr>
      <w:tr>
        <w:trPr>
          <w:trHeight w:val="232"/>
        </w:trPr>
        <w:tc>
          <w:tcPr>
            <w:tcW w:w="4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stock at an exercise price of $11.50 per share,</w:t>
            </w: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33"/>
        </w:trPr>
        <w:tc>
          <w:tcPr>
            <w:tcW w:w="4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subject to adjustment</w:t>
            </w: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Securities registered pursuant to Section 12(g) of the Act: </w:t>
      </w:r>
      <w:r>
        <w:rPr>
          <w:rFonts w:ascii="Times New Roman" w:cs="Times New Roman" w:eastAsia="Times New Roman" w:hAnsi="Times New Roman"/>
          <w:sz w:val="20"/>
          <w:szCs w:val="20"/>
          <w:b w:val="1"/>
          <w:bCs w:val="1"/>
          <w:u w:val="single" w:color="auto"/>
          <w:color w:val="auto"/>
        </w:rPr>
        <w:t>None</w:t>
      </w:r>
      <w:r>
        <w:rPr>
          <w:rFonts w:ascii="Times New Roman" w:cs="Times New Roman" w:eastAsia="Times New Roman" w:hAnsi="Times New Roman"/>
          <w:sz w:val="20"/>
          <w:szCs w:val="20"/>
          <w:color w:val="auto"/>
        </w:rPr>
        <w:t>.</w:t>
      </w:r>
    </w:p>
    <w:p>
      <w:pPr>
        <w:spacing w:after="0" w:line="235"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 </w:t>
      </w:r>
      <w:r>
        <w:rPr>
          <w:rFonts w:ascii="Segoe UI Symbol" w:cs="Segoe UI Symbol" w:eastAsia="Segoe UI Symbol" w:hAnsi="Segoe UI Symbol"/>
          <w:sz w:val="20"/>
          <w:szCs w:val="20"/>
          <w:color w:val="auto"/>
        </w:rPr>
        <w:t>☒</w:t>
      </w:r>
    </w:p>
    <w:p>
      <w:pPr>
        <w:sectPr>
          <w:pgSz w:w="12240" w:h="15840" w:orient="portrait"/>
          <w:cols w:equalWidth="0" w:num="1">
            <w:col w:w="10080"/>
          </w:cols>
          <w:pgMar w:left="1080" w:top="1440" w:right="1080" w:bottom="893" w:gutter="0" w:footer="0" w:header="0"/>
        </w:sectPr>
      </w:pPr>
    </w:p>
    <w:bookmarkStart w:id="1" w:name="page2"/>
    <w:bookmarkEnd w:id="1"/>
    <w:p>
      <w:pPr>
        <w:jc w:val="both"/>
        <w:spacing w:after="0" w:line="267"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 </w:t>
      </w:r>
      <w:r>
        <w:rPr>
          <w:rFonts w:ascii="Segoe UI Symbol" w:cs="Segoe UI Symbol" w:eastAsia="Segoe UI Symbol" w:hAnsi="Segoe UI Symbol"/>
          <w:sz w:val="20"/>
          <w:szCs w:val="20"/>
          <w:color w:val="auto"/>
        </w:rPr>
        <w:t>☒</w:t>
      </w:r>
    </w:p>
    <w:p>
      <w:pPr>
        <w:spacing w:after="0" w:line="22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 </w:t>
      </w:r>
      <w:r>
        <w:rPr>
          <w:rFonts w:ascii="Segoe UI Symbol" w:cs="Segoe UI Symbol" w:eastAsia="Segoe UI Symbol" w:hAnsi="Segoe UI Symbol"/>
          <w:sz w:val="20"/>
          <w:szCs w:val="20"/>
          <w:color w:val="auto"/>
        </w:rPr>
        <w:t>☐</w:t>
      </w:r>
    </w:p>
    <w:p>
      <w:pPr>
        <w:spacing w:after="0" w:line="2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 </w:t>
      </w:r>
      <w:r>
        <w:rPr>
          <w:rFonts w:ascii="Segoe UI Symbol" w:cs="Segoe UI Symbol" w:eastAsia="Segoe UI Symbol" w:hAnsi="Segoe UI Symbol"/>
          <w:sz w:val="20"/>
          <w:szCs w:val="20"/>
          <w:color w:val="auto"/>
        </w:rPr>
        <w:t>☐</w:t>
      </w:r>
    </w:p>
    <w:p>
      <w:pPr>
        <w:spacing w:after="0" w:line="25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20"/>
          <w:szCs w:val="20"/>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Emerging growth company</w:t>
            </w:r>
          </w:p>
        </w:tc>
        <w:tc>
          <w:tcPr>
            <w:tcW w:w="1280" w:type="dxa"/>
            <w:vAlign w:val="bottom"/>
          </w:tcPr>
          <w:p>
            <w:pPr>
              <w:ind w:left="1120"/>
              <w:spacing w:after="0"/>
              <w:rPr>
                <w:sz w:val="20"/>
                <w:szCs w:val="20"/>
                <w:color w:val="auto"/>
              </w:rPr>
            </w:pPr>
            <w:r>
              <w:rPr>
                <w:rFonts w:ascii="Segoe UI Symbol" w:cs="Segoe UI Symbol" w:eastAsia="Segoe UI Symbol" w:hAnsi="Segoe UI Symbol"/>
                <w:sz w:val="20"/>
                <w:szCs w:val="20"/>
                <w:color w:val="auto"/>
                <w:w w:val="81"/>
              </w:rPr>
              <w:t>☒</w:t>
            </w:r>
          </w:p>
        </w:tc>
      </w:tr>
      <w:tr>
        <w:trPr>
          <w:trHeight w:val="50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1760" w:type="dxa"/>
            <w:vAlign w:val="bottom"/>
          </w:tcPr>
          <w:p>
            <w:pPr>
              <w:ind w:left="1320"/>
              <w:spacing w:after="0"/>
              <w:rPr>
                <w:sz w:val="20"/>
                <w:szCs w:val="20"/>
                <w:color w:val="auto"/>
              </w:rPr>
            </w:pPr>
            <w:r>
              <w:rPr>
                <w:rFonts w:ascii="Segoe UI Symbol" w:cs="Segoe UI Symbol" w:eastAsia="Segoe UI Symbol" w:hAnsi="Segoe UI Symbol"/>
                <w:sz w:val="20"/>
                <w:szCs w:val="20"/>
                <w:color w:val="auto"/>
              </w:rPr>
              <w:t>☐</w:t>
            </w:r>
          </w:p>
        </w:tc>
        <w:tc>
          <w:tcPr>
            <w:tcW w:w="3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Accelerated filer</w:t>
            </w:r>
          </w:p>
        </w:tc>
        <w:tc>
          <w:tcPr>
            <w:tcW w:w="1280" w:type="dxa"/>
            <w:vAlign w:val="bottom"/>
          </w:tcPr>
          <w:p>
            <w:pPr>
              <w:ind w:left="1120"/>
              <w:spacing w:after="0"/>
              <w:rPr>
                <w:sz w:val="20"/>
                <w:szCs w:val="20"/>
                <w:color w:val="auto"/>
              </w:rPr>
            </w:pPr>
            <w:r>
              <w:rPr>
                <w:rFonts w:ascii="Segoe UI Symbol" w:cs="Segoe UI Symbol" w:eastAsia="Segoe UI Symbol" w:hAnsi="Segoe UI Symbol"/>
                <w:sz w:val="20"/>
                <w:szCs w:val="20"/>
                <w:color w:val="auto"/>
                <w:w w:val="81"/>
              </w:rPr>
              <w:t>☐</w:t>
            </w:r>
          </w:p>
        </w:tc>
      </w:tr>
      <w:tr>
        <w:trPr>
          <w:trHeight w:val="268"/>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1760" w:type="dxa"/>
            <w:vAlign w:val="bottom"/>
          </w:tcPr>
          <w:p>
            <w:pPr>
              <w:ind w:left="1320"/>
              <w:spacing w:after="0"/>
              <w:rPr>
                <w:sz w:val="20"/>
                <w:szCs w:val="20"/>
                <w:color w:val="auto"/>
              </w:rPr>
            </w:pPr>
            <w:r>
              <w:rPr>
                <w:rFonts w:ascii="Segoe UI Symbol" w:cs="Segoe UI Symbol" w:eastAsia="Segoe UI Symbol" w:hAnsi="Segoe UI Symbol"/>
                <w:sz w:val="20"/>
                <w:szCs w:val="20"/>
                <w:color w:val="auto"/>
              </w:rPr>
              <w:t>☒</w:t>
            </w:r>
          </w:p>
        </w:tc>
        <w:tc>
          <w:tcPr>
            <w:tcW w:w="3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1280" w:type="dxa"/>
            <w:vAlign w:val="bottom"/>
          </w:tcPr>
          <w:p>
            <w:pPr>
              <w:ind w:left="1120"/>
              <w:spacing w:after="0"/>
              <w:rPr>
                <w:sz w:val="20"/>
                <w:szCs w:val="20"/>
                <w:color w:val="auto"/>
              </w:rPr>
            </w:pPr>
            <w:r>
              <w:rPr>
                <w:rFonts w:ascii="Segoe UI Symbol" w:cs="Segoe UI Symbol" w:eastAsia="Segoe UI Symbol" w:hAnsi="Segoe UI Symbol"/>
                <w:sz w:val="20"/>
                <w:szCs w:val="20"/>
                <w:color w:val="auto"/>
                <w:w w:val="81"/>
              </w:rPr>
              <w:t>☒</w:t>
            </w:r>
          </w:p>
        </w:tc>
      </w:tr>
    </w:tbl>
    <w:p>
      <w:pPr>
        <w:spacing w:after="0" w:line="2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20"/>
          <w:szCs w:val="20"/>
          <w:color w:val="auto"/>
        </w:rPr>
        <w:t>☐</w:t>
      </w:r>
    </w:p>
    <w:p>
      <w:pPr>
        <w:spacing w:after="0" w:line="25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statements. </w:t>
      </w:r>
      <w:r>
        <w:rPr>
          <w:rFonts w:ascii="Segoe UI Symbol" w:cs="Segoe UI Symbol" w:eastAsia="Segoe UI Symbol" w:hAnsi="Segoe UI Symbol"/>
          <w:sz w:val="20"/>
          <w:szCs w:val="20"/>
          <w:color w:val="auto"/>
        </w:rPr>
        <w:t>☐</w:t>
      </w:r>
    </w:p>
    <w:p>
      <w:pPr>
        <w:spacing w:after="0" w:line="2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Segoe UI Symbol" w:cs="Segoe UI Symbol" w:eastAsia="Segoe UI Symbol" w:hAnsi="Segoe UI Symbol"/>
          <w:sz w:val="20"/>
          <w:szCs w:val="20"/>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Act).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 </w:t>
      </w:r>
      <w:r>
        <w:rPr>
          <w:rFonts w:ascii="Segoe UI Symbol" w:cs="Segoe UI Symbol" w:eastAsia="Segoe UI Symbol" w:hAnsi="Segoe UI Symbol"/>
          <w:sz w:val="20"/>
          <w:szCs w:val="20"/>
          <w:color w:val="auto"/>
        </w:rPr>
        <w:t>☒</w:t>
      </w:r>
    </w:p>
    <w:p>
      <w:pPr>
        <w:spacing w:after="0" w:line="25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aggregate market value of voting stock held by non-affiliates of the Registrant on June 30, 2024, based on the closing price of $7.61 for shares of the registrant’s common stock as reported by the Nasdaq Capital Market, was approximately $37.5 million.</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As of March 27, 2025, there were 7,589,642 shares of the registrant’s common stock, par value $0.0001 per share, issued and outstanding.</w:t>
      </w:r>
    </w:p>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199390</wp:posOffset>
            </wp:positionV>
            <wp:extent cx="643953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953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161290</wp:posOffset>
            </wp:positionV>
            <wp:extent cx="64395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9535" cy="19050"/>
                    </a:xfrm>
                    <a:prstGeom prst="rect">
                      <a:avLst/>
                    </a:prstGeom>
                    <a:noFill/>
                  </pic:spPr>
                </pic:pic>
              </a:graphicData>
            </a:graphic>
          </wp:anchor>
        </w:drawing>
      </w:r>
    </w:p>
    <w:p>
      <w:pPr>
        <w:sectPr>
          <w:pgSz w:w="12240" w:h="15840" w:orient="portrait"/>
          <w:cols w:equalWidth="0" w:num="1">
            <w:col w:w="10080"/>
          </w:cols>
          <w:pgMar w:left="1080" w:top="1079" w:right="1080" w:bottom="1440" w:gutter="0" w:footer="0" w:header="0"/>
        </w:sectPr>
      </w:pPr>
    </w:p>
    <w:bookmarkStart w:id="2" w:name="page3"/>
    <w:bookmarkEnd w:id="2"/>
    <w:p>
      <w:pPr>
        <w:ind w:left="404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33"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20"/>
          <w:szCs w:val="20"/>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5943600</wp:posOffset>
                </wp:positionH>
                <wp:positionV relativeFrom="paragraph">
                  <wp:posOffset>8255</wp:posOffset>
                </wp:positionV>
                <wp:extent cx="45783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83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0.65pt" to="504.05pt,0.65pt" o:allowincell="f" strokecolor="#000000" strokeweight="0.96pt"/>
            </w:pict>
          </mc:Fallback>
        </mc:AlternateContent>
      </w:r>
    </w:p>
    <w:p>
      <w:pPr>
        <w:spacing w:after="0" w:line="92" w:lineRule="exact"/>
        <w:rPr>
          <w:sz w:val="20"/>
          <w:szCs w:val="20"/>
          <w:color w:val="auto"/>
        </w:rPr>
      </w:pPr>
    </w:p>
    <w:p>
      <w:pPr>
        <w:spacing w:after="0"/>
        <w:tabs>
          <w:tab w:leader="dot" w:pos="9660" w:val="left"/>
        </w:tabs>
        <w:rPr>
          <w:sz w:val="20"/>
          <w:szCs w:val="20"/>
          <w:color w:val="auto"/>
        </w:rPr>
      </w:pPr>
      <w:r>
        <w:rPr>
          <w:rFonts w:ascii="Times New Roman" w:cs="Times New Roman" w:eastAsia="Times New Roman" w:hAnsi="Times New Roman"/>
          <w:sz w:val="20"/>
          <w:szCs w:val="20"/>
          <w:color w:val="auto"/>
        </w:rPr>
        <w:t>Part I</w:t>
      </w:r>
      <w:r>
        <w:rPr>
          <w:sz w:val="20"/>
          <w:szCs w:val="20"/>
          <w:color w:val="auto"/>
        </w:rPr>
        <w:tab/>
      </w:r>
      <w:r>
        <w:rPr>
          <w:rFonts w:ascii="Times New Roman" w:cs="Times New Roman" w:eastAsia="Times New Roman" w:hAnsi="Times New Roman"/>
          <w:sz w:val="20"/>
          <w:szCs w:val="20"/>
          <w:color w:val="auto"/>
        </w:rPr>
        <w:t>1</w:t>
      </w:r>
    </w:p>
    <w:p>
      <w:pPr>
        <w:spacing w:after="0" w:line="71" w:lineRule="exact"/>
        <w:rPr>
          <w:sz w:val="20"/>
          <w:szCs w:val="20"/>
          <w:color w:val="auto"/>
        </w:rPr>
      </w:pPr>
    </w:p>
    <w:p>
      <w:pPr>
        <w:spacing w:after="0"/>
        <w:tabs>
          <w:tab w:leader="dot" w:pos="9660" w:val="left"/>
        </w:tabs>
        <w:rPr>
          <w:sz w:val="20"/>
          <w:szCs w:val="20"/>
          <w:color w:val="auto"/>
        </w:rPr>
      </w:pPr>
      <w:r>
        <w:rPr>
          <w:rFonts w:ascii="Times New Roman" w:cs="Times New Roman" w:eastAsia="Times New Roman" w:hAnsi="Times New Roman"/>
          <w:sz w:val="20"/>
          <w:szCs w:val="20"/>
          <w:color w:val="auto"/>
        </w:rPr>
        <w:t>Item 1. Business</w:t>
      </w:r>
      <w:r>
        <w:rPr>
          <w:sz w:val="20"/>
          <w:szCs w:val="20"/>
          <w:color w:val="auto"/>
        </w:rPr>
        <w:tab/>
      </w:r>
      <w:r>
        <w:rPr>
          <w:rFonts w:ascii="Times New Roman" w:cs="Times New Roman" w:eastAsia="Times New Roman" w:hAnsi="Times New Roman"/>
          <w:sz w:val="20"/>
          <w:szCs w:val="20"/>
          <w:color w:val="auto"/>
        </w:rPr>
        <w:t>1</w:t>
      </w:r>
    </w:p>
    <w:p>
      <w:pPr>
        <w:spacing w:after="0" w:line="73"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1A. Risk Factors</w:t>
      </w:r>
      <w:r>
        <w:rPr>
          <w:sz w:val="20"/>
          <w:szCs w:val="20"/>
          <w:color w:val="auto"/>
        </w:rPr>
        <w:tab/>
      </w:r>
      <w:r>
        <w:rPr>
          <w:rFonts w:ascii="Times New Roman" w:cs="Times New Roman" w:eastAsia="Times New Roman" w:hAnsi="Times New Roman"/>
          <w:sz w:val="20"/>
          <w:szCs w:val="20"/>
          <w:color w:val="auto"/>
        </w:rPr>
        <w:t>17</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1B. Unresolved Staff Comments</w:t>
      </w:r>
      <w:r>
        <w:rPr>
          <w:sz w:val="20"/>
          <w:szCs w:val="20"/>
          <w:color w:val="auto"/>
        </w:rPr>
        <w:tab/>
      </w:r>
      <w:r>
        <w:rPr>
          <w:rFonts w:ascii="Times New Roman" w:cs="Times New Roman" w:eastAsia="Times New Roman" w:hAnsi="Times New Roman"/>
          <w:sz w:val="20"/>
          <w:szCs w:val="20"/>
          <w:color w:val="auto"/>
        </w:rPr>
        <w:t>42</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1C. Cybersecurity</w:t>
      </w:r>
      <w:r>
        <w:rPr>
          <w:sz w:val="20"/>
          <w:szCs w:val="20"/>
          <w:color w:val="auto"/>
        </w:rPr>
        <w:tab/>
      </w:r>
      <w:r>
        <w:rPr>
          <w:rFonts w:ascii="Times New Roman" w:cs="Times New Roman" w:eastAsia="Times New Roman" w:hAnsi="Times New Roman"/>
          <w:sz w:val="20"/>
          <w:szCs w:val="20"/>
          <w:color w:val="auto"/>
        </w:rPr>
        <w:t>42</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2. Properties</w:t>
      </w:r>
      <w:r>
        <w:rPr>
          <w:sz w:val="20"/>
          <w:szCs w:val="20"/>
          <w:color w:val="auto"/>
        </w:rPr>
        <w:tab/>
      </w:r>
      <w:r>
        <w:rPr>
          <w:rFonts w:ascii="Times New Roman" w:cs="Times New Roman" w:eastAsia="Times New Roman" w:hAnsi="Times New Roman"/>
          <w:sz w:val="20"/>
          <w:szCs w:val="20"/>
          <w:color w:val="auto"/>
        </w:rPr>
        <w:t>42</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3. Legal Proceedings</w:t>
      </w:r>
      <w:r>
        <w:rPr>
          <w:sz w:val="20"/>
          <w:szCs w:val="20"/>
          <w:color w:val="auto"/>
        </w:rPr>
        <w:tab/>
      </w:r>
      <w:r>
        <w:rPr>
          <w:rFonts w:ascii="Times New Roman" w:cs="Times New Roman" w:eastAsia="Times New Roman" w:hAnsi="Times New Roman"/>
          <w:sz w:val="20"/>
          <w:szCs w:val="20"/>
          <w:color w:val="auto"/>
        </w:rPr>
        <w:t>43</w:t>
      </w:r>
    </w:p>
    <w:p>
      <w:pPr>
        <w:spacing w:after="0" w:line="72"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4. Mine Safety Disclosures</w:t>
      </w:r>
      <w:r>
        <w:rPr>
          <w:sz w:val="20"/>
          <w:szCs w:val="20"/>
          <w:color w:val="auto"/>
        </w:rPr>
        <w:tab/>
      </w:r>
      <w:r>
        <w:rPr>
          <w:rFonts w:ascii="Times New Roman" w:cs="Times New Roman" w:eastAsia="Times New Roman" w:hAnsi="Times New Roman"/>
          <w:sz w:val="20"/>
          <w:szCs w:val="20"/>
          <w:color w:val="auto"/>
        </w:rPr>
        <w:t>43</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Part II</w:t>
      </w:r>
      <w:r>
        <w:rPr>
          <w:sz w:val="20"/>
          <w:szCs w:val="20"/>
          <w:color w:val="auto"/>
        </w:rPr>
        <w:tab/>
      </w:r>
      <w:r>
        <w:rPr>
          <w:rFonts w:ascii="Times New Roman" w:cs="Times New Roman" w:eastAsia="Times New Roman" w:hAnsi="Times New Roman"/>
          <w:sz w:val="20"/>
          <w:szCs w:val="20"/>
          <w:color w:val="auto"/>
        </w:rPr>
        <w:t>44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 Equity</w:t>
      </w:r>
    </w:p>
    <w:p>
      <w:pPr>
        <w:spacing w:after="0" w:line="2"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Securities</w:t>
      </w:r>
      <w:r>
        <w:rPr>
          <w:sz w:val="20"/>
          <w:szCs w:val="20"/>
          <w:color w:val="auto"/>
        </w:rPr>
        <w:tab/>
      </w:r>
      <w:r>
        <w:rPr>
          <w:rFonts w:ascii="Times New Roman" w:cs="Times New Roman" w:eastAsia="Times New Roman" w:hAnsi="Times New Roman"/>
          <w:sz w:val="20"/>
          <w:szCs w:val="20"/>
          <w:color w:val="auto"/>
        </w:rPr>
        <w:t>44</w:t>
      </w:r>
    </w:p>
    <w:p>
      <w:pPr>
        <w:spacing w:after="0" w:line="72"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6. [Reserved]</w:t>
      </w:r>
      <w:r>
        <w:rPr>
          <w:sz w:val="20"/>
          <w:szCs w:val="20"/>
          <w:color w:val="auto"/>
        </w:rPr>
        <w:tab/>
      </w:r>
      <w:r>
        <w:rPr>
          <w:rFonts w:ascii="Times New Roman" w:cs="Times New Roman" w:eastAsia="Times New Roman" w:hAnsi="Times New Roman"/>
          <w:sz w:val="20"/>
          <w:szCs w:val="20"/>
          <w:color w:val="auto"/>
        </w:rPr>
        <w:t>44</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44</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r>
        <w:rPr>
          <w:sz w:val="20"/>
          <w:szCs w:val="20"/>
          <w:color w:val="auto"/>
        </w:rPr>
        <w:tab/>
      </w:r>
      <w:r>
        <w:rPr>
          <w:rFonts w:ascii="Times New Roman" w:cs="Times New Roman" w:eastAsia="Times New Roman" w:hAnsi="Times New Roman"/>
          <w:sz w:val="20"/>
          <w:szCs w:val="20"/>
          <w:color w:val="auto"/>
        </w:rPr>
        <w:t>61</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8. Financial Statements and Supplementary Data</w:t>
      </w:r>
      <w:r>
        <w:rPr>
          <w:sz w:val="20"/>
          <w:szCs w:val="20"/>
          <w:color w:val="auto"/>
        </w:rPr>
        <w:tab/>
      </w:r>
      <w:r>
        <w:rPr>
          <w:rFonts w:ascii="Times New Roman" w:cs="Times New Roman" w:eastAsia="Times New Roman" w:hAnsi="Times New Roman"/>
          <w:sz w:val="20"/>
          <w:szCs w:val="20"/>
          <w:color w:val="auto"/>
        </w:rPr>
        <w:t>61</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9. 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61</w:t>
      </w:r>
    </w:p>
    <w:p>
      <w:pPr>
        <w:spacing w:after="0" w:line="72"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9A. Controls and Procedures</w:t>
      </w:r>
      <w:r>
        <w:rPr>
          <w:sz w:val="20"/>
          <w:szCs w:val="20"/>
          <w:color w:val="auto"/>
        </w:rPr>
        <w:tab/>
      </w:r>
      <w:r>
        <w:rPr>
          <w:rFonts w:ascii="Times New Roman" w:cs="Times New Roman" w:eastAsia="Times New Roman" w:hAnsi="Times New Roman"/>
          <w:sz w:val="20"/>
          <w:szCs w:val="20"/>
          <w:color w:val="auto"/>
        </w:rPr>
        <w:t>61</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9B. Other Information</w:t>
      </w:r>
      <w:r>
        <w:rPr>
          <w:sz w:val="20"/>
          <w:szCs w:val="20"/>
          <w:color w:val="auto"/>
        </w:rPr>
        <w:tab/>
      </w:r>
      <w:r>
        <w:rPr>
          <w:rFonts w:ascii="Times New Roman" w:cs="Times New Roman" w:eastAsia="Times New Roman" w:hAnsi="Times New Roman"/>
          <w:sz w:val="20"/>
          <w:szCs w:val="20"/>
          <w:color w:val="auto"/>
        </w:rPr>
        <w:t>62</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9C. Disclosure Regarding Foreign Jurisdiction that Prevent Inspections</w:t>
      </w:r>
      <w:r>
        <w:rPr>
          <w:sz w:val="20"/>
          <w:szCs w:val="20"/>
          <w:color w:val="auto"/>
        </w:rPr>
        <w:tab/>
      </w:r>
      <w:r>
        <w:rPr>
          <w:rFonts w:ascii="Times New Roman" w:cs="Times New Roman" w:eastAsia="Times New Roman" w:hAnsi="Times New Roman"/>
          <w:sz w:val="20"/>
          <w:szCs w:val="20"/>
          <w:color w:val="auto"/>
        </w:rPr>
        <w:t>62</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Part III</w:t>
      </w:r>
      <w:r>
        <w:rPr>
          <w:sz w:val="20"/>
          <w:szCs w:val="20"/>
          <w:color w:val="auto"/>
        </w:rPr>
        <w:tab/>
      </w:r>
      <w:r>
        <w:rPr>
          <w:rFonts w:ascii="Times New Roman" w:cs="Times New Roman" w:eastAsia="Times New Roman" w:hAnsi="Times New Roman"/>
          <w:sz w:val="20"/>
          <w:szCs w:val="20"/>
          <w:color w:val="auto"/>
        </w:rPr>
        <w:t>63</w:t>
      </w:r>
    </w:p>
    <w:p>
      <w:pPr>
        <w:spacing w:after="0" w:line="72"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10. Directors, Executive Officers and Corporate Governance</w:t>
      </w:r>
      <w:r>
        <w:rPr>
          <w:sz w:val="20"/>
          <w:szCs w:val="20"/>
          <w:color w:val="auto"/>
        </w:rPr>
        <w:tab/>
      </w:r>
      <w:r>
        <w:rPr>
          <w:rFonts w:ascii="Times New Roman" w:cs="Times New Roman" w:eastAsia="Times New Roman" w:hAnsi="Times New Roman"/>
          <w:sz w:val="20"/>
          <w:szCs w:val="20"/>
          <w:color w:val="auto"/>
        </w:rPr>
        <w:t>63</w:t>
      </w:r>
    </w:p>
    <w:p>
      <w:pPr>
        <w:spacing w:after="0" w:line="72"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11. Executive Compensation</w:t>
      </w:r>
      <w:r>
        <w:rPr>
          <w:sz w:val="20"/>
          <w:szCs w:val="20"/>
          <w:color w:val="auto"/>
        </w:rPr>
        <w:tab/>
      </w:r>
      <w:r>
        <w:rPr>
          <w:rFonts w:ascii="Times New Roman" w:cs="Times New Roman" w:eastAsia="Times New Roman" w:hAnsi="Times New Roman"/>
          <w:sz w:val="20"/>
          <w:szCs w:val="20"/>
          <w:color w:val="auto"/>
        </w:rPr>
        <w:t>67</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auto"/>
        </w:rPr>
        <w:t>72</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74</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14. Principal Accountant Fees and Services</w:t>
      </w:r>
      <w:r>
        <w:rPr>
          <w:sz w:val="20"/>
          <w:szCs w:val="20"/>
          <w:color w:val="auto"/>
        </w:rPr>
        <w:tab/>
      </w:r>
      <w:r>
        <w:rPr>
          <w:rFonts w:ascii="Times New Roman" w:cs="Times New Roman" w:eastAsia="Times New Roman" w:hAnsi="Times New Roman"/>
          <w:sz w:val="20"/>
          <w:szCs w:val="20"/>
          <w:color w:val="auto"/>
        </w:rPr>
        <w:t>76</w:t>
      </w:r>
    </w:p>
    <w:p>
      <w:pPr>
        <w:spacing w:after="0" w:line="72"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Part IV</w:t>
      </w:r>
      <w:r>
        <w:rPr>
          <w:sz w:val="20"/>
          <w:szCs w:val="20"/>
          <w:color w:val="auto"/>
        </w:rPr>
        <w:tab/>
      </w:r>
      <w:r>
        <w:rPr>
          <w:rFonts w:ascii="Times New Roman" w:cs="Times New Roman" w:eastAsia="Times New Roman" w:hAnsi="Times New Roman"/>
          <w:sz w:val="20"/>
          <w:szCs w:val="20"/>
          <w:color w:val="auto"/>
        </w:rPr>
        <w:t>77</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15. Exhibit and Financial Statement Schedules</w:t>
      </w:r>
      <w:r>
        <w:rPr>
          <w:sz w:val="20"/>
          <w:szCs w:val="20"/>
          <w:color w:val="auto"/>
        </w:rPr>
        <w:tab/>
      </w:r>
      <w:r>
        <w:rPr>
          <w:rFonts w:ascii="Times New Roman" w:cs="Times New Roman" w:eastAsia="Times New Roman" w:hAnsi="Times New Roman"/>
          <w:sz w:val="20"/>
          <w:szCs w:val="20"/>
          <w:color w:val="auto"/>
        </w:rPr>
        <w:t>77</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16. Form 10-K Summary</w:t>
      </w:r>
      <w:r>
        <w:rPr>
          <w:sz w:val="20"/>
          <w:szCs w:val="20"/>
          <w:color w:val="auto"/>
        </w:rPr>
        <w:tab/>
      </w:r>
      <w:r>
        <w:rPr>
          <w:rFonts w:ascii="Times New Roman" w:cs="Times New Roman" w:eastAsia="Times New Roman" w:hAnsi="Times New Roman"/>
          <w:sz w:val="20"/>
          <w:szCs w:val="20"/>
          <w:color w:val="auto"/>
        </w:rPr>
        <w:t>81</w:t>
      </w:r>
    </w:p>
    <w:p>
      <w:pPr>
        <w:spacing w:after="0" w:line="7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82</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November 22, 2024, we effected a 1-for-9 reverse stock split of our outstanding shares of common stock. Unless specifically provided otherwise herein, all share and per share information in this Annual Report on Form 10-K has been adjusted to reflect the reverse stock split.</w:t>
      </w:r>
    </w:p>
    <w:p>
      <w:pPr>
        <w:sectPr>
          <w:pgSz w:w="12240" w:h="15840" w:orient="portrait"/>
          <w:cols w:equalWidth="0" w:num="1">
            <w:col w:w="10080"/>
          </w:cols>
          <w:pgMar w:left="1080" w:top="1079" w:right="108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080"/>
          </w:cols>
          <w:pgMar w:left="1080" w:top="1079" w:right="1080" w:bottom="215" w:gutter="0" w:footer="0" w:header="0"/>
          <w:type w:val="continuous"/>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Annual Report on Form 10-K contains forward-looking statements made pursuant to the safe harbor provisions of the Private Securities Litigation Reform Act of 1995 under Section 27A of the Securities Act of 1933, as amended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and Section 21E of the Securities Exchange Act of 1934, as amended. Forward-looking statements include statements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2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There are a number of important factors that could cause the actual results to differ materially from those expressed in any forward-looking statement made by us. These factors include, but are not limited to:</w:t>
      </w:r>
    </w:p>
    <w:p>
      <w:pPr>
        <w:spacing w:after="0" w:line="199" w:lineRule="exact"/>
        <w:rPr>
          <w:sz w:val="20"/>
          <w:szCs w:val="20"/>
          <w:color w:val="auto"/>
        </w:rPr>
      </w:pPr>
    </w:p>
    <w:p>
      <w:pPr>
        <w:jc w:val="both"/>
        <w:ind w:left="360" w:hanging="360"/>
        <w:spacing w:after="0" w:line="239"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p>
      <w:pPr>
        <w:spacing w:after="0" w:line="6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raise additional capital to fund our operations;</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increase market penetration into target markets;</w:t>
      </w:r>
    </w:p>
    <w:p>
      <w:pPr>
        <w:spacing w:after="0" w:line="7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cure any listing deficiencies and maintain the listing of our common stock and Public Warrants (as defined herein) on the Nasdaq Capital Market;</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addressable markets that we intend to target do not grow as expected;</w:t>
      </w:r>
    </w:p>
    <w:p>
      <w:pPr>
        <w:spacing w:after="0" w:line="72"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for events or circumstances that result in our failure to timely achieve the anticipated benefits of our customer arrangements with THOR Industries and its affiliate brands (including Keystone RV Company (“</w:t>
      </w:r>
      <w:r>
        <w:rPr>
          <w:rFonts w:ascii="Times New Roman" w:cs="Times New Roman" w:eastAsia="Times New Roman" w:hAnsi="Times New Roman"/>
          <w:sz w:val="20"/>
          <w:szCs w:val="20"/>
          <w:b w:val="1"/>
          <w:bCs w:val="1"/>
          <w:color w:val="auto"/>
        </w:rPr>
        <w:t>Keystone</w:t>
      </w:r>
      <w:r>
        <w:rPr>
          <w:rFonts w:ascii="Times New Roman" w:cs="Times New Roman" w:eastAsia="Times New Roman" w:hAnsi="Times New Roman"/>
          <w:sz w:val="20"/>
          <w:szCs w:val="20"/>
          <w:color w:val="auto"/>
        </w:rPr>
        <w:t>”)),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74"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generate revenue from future product sales in our existing markets or new markets that we enter, including the trucking and industrials markets, and our ability to achieve and maintain profitability;</w:t>
      </w:r>
    </w:p>
    <w:p>
      <w:pPr>
        <w:spacing w:after="0" w:line="72"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impact of the conversion and the terms of our outstanding Series A Convertible Preferred Stock (“Series A Preferred Stock”) on the market price of our common stock;</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any members of our senior management team or other key personnel;</w:t>
      </w:r>
    </w:p>
    <w:p>
      <w:pPr>
        <w:spacing w:after="0" w:line="6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any relationships with key suppliers, including suppliers in China;</w:t>
      </w:r>
    </w:p>
    <w:p>
      <w:pPr>
        <w:spacing w:after="0" w:line="6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any relationships with key customers;</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patents and other intellectual property;</w:t>
      </w:r>
    </w:p>
    <w:p>
      <w:pPr>
        <w:spacing w:after="0" w:line="6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engage target customers and successfully retain these customers for future orders;</w:t>
      </w:r>
    </w:p>
    <w:p>
      <w:pPr>
        <w:spacing w:after="0" w:line="7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to successfully optimize solid-state cells or to produce commercially viable solid-state cells in a timely manner or at all, or to scale to mass production;</w:t>
      </w:r>
    </w:p>
    <w:p>
      <w:pPr>
        <w:spacing w:after="0" w:line="74"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to produce lithium battery cells in the United States in a timely manner or at all, or to scale to mass production;</w:t>
      </w:r>
    </w:p>
    <w:p>
      <w:pPr>
        <w:spacing w:after="0" w:line="63" w:lineRule="exact"/>
        <w:rPr>
          <w:rFonts w:ascii="Times New Roman" w:cs="Times New Roman" w:eastAsia="Times New Roman" w:hAnsi="Times New Roman"/>
          <w:sz w:val="19"/>
          <w:szCs w:val="19"/>
          <w:color w:val="auto"/>
        </w:rPr>
      </w:pPr>
    </w:p>
    <w:p>
      <w:pPr>
        <w:ind w:left="360" w:hanging="360"/>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to timely achieve the anticipated benefits of our recent licensing arrangement with Stryten Energy LLC;</w:t>
      </w:r>
    </w:p>
    <w:p>
      <w:pPr>
        <w:spacing w:after="0" w:line="7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applicable laws or regulations, including changes in the rates of tariffs or any adjustments to the amounts payable by us to customs as a result of improperly identifying the applicable tariff rate payable on our products;</w:t>
      </w:r>
    </w:p>
    <w:p>
      <w:pPr>
        <w:spacing w:after="0" w:line="74"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we may be adversely affected by other economic, business and/or competitive factors (including an economic slowdown or inflationary pressures);</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sell the desired amounts of shares of common stock at desired prices under our committed equity facility;</w:t>
      </w:r>
    </w:p>
    <w:p>
      <w:pPr>
        <w:spacing w:after="0" w:line="71"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accuracy of our projections and estimates regarding our expenses, capital requirements, cash utilization, and need for additional financing;</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relating to our competitors and our industry;</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080"/>
          </w:cols>
          <w:pgMar w:left="1080" w:top="1079" w:right="1080" w:bottom="155" w:gutter="0" w:footer="0" w:header="0"/>
          <w:type w:val="continuous"/>
        </w:sectPr>
      </w:pPr>
    </w:p>
    <w:bookmarkStart w:id="4" w:name="page5"/>
    <w:bookmarkEnd w:id="4"/>
    <w:p>
      <w:pPr>
        <w:ind w:left="360" w:hanging="360"/>
        <w:spacing w:after="0" w:line="235" w:lineRule="auto"/>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reliance on two suppliers for our lithium iron phosphate cells and a single supplier for the manufacture of our battery management system;</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dependence on one manufacturing facility; and</w:t>
      </w:r>
    </w:p>
    <w:p>
      <w:pPr>
        <w:spacing w:after="0" w:line="72"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impact of global and macroeconomic conditions, including economic, political and social instability, including the Russia-Ukraine conflict and Hamas’ attack on Israel, and their effects on our operations.</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 w:cs="Times New Roman" w:eastAsia="Times New Roman" w:hAnsi="Times New Roman"/>
          <w:sz w:val="20"/>
          <w:szCs w:val="20"/>
          <w:i w:val="1"/>
          <w:iCs w:val="1"/>
          <w:color w:val="auto"/>
        </w:rPr>
        <w:t>Part I—Item 1A—Risk Factors</w:t>
      </w:r>
      <w:r>
        <w:rPr>
          <w:rFonts w:ascii="Times New Roman" w:cs="Times New Roman" w:eastAsia="Times New Roman" w:hAnsi="Times New Roman"/>
          <w:sz w:val="20"/>
          <w:szCs w:val="20"/>
          <w:color w:val="auto"/>
        </w:rPr>
        <w:t>” for additional risks which could adversely impact our business and financial performance.</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All forward-looking statements are expressly qualified in their entirety by this cautionary notice. You are cautioned not to place undue reliance on any forward looking statements, which speak only as of the date of this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ectPr>
          <w:pgSz w:w="12240" w:h="15840" w:orient="portrait"/>
          <w:cols w:equalWidth="0" w:num="1">
            <w:col w:w="10080"/>
          </w:cols>
          <w:pgMar w:left="1080" w:top="108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10080"/>
          </w:cols>
          <w:pgMar w:left="1080" w:top="1089" w:right="1080" w:bottom="157" w:gutter="0" w:footer="0" w:header="0"/>
          <w:type w:val="continuous"/>
        </w:sectPr>
      </w:pPr>
    </w:p>
    <w:bookmarkStart w:id="5" w:name="page6"/>
    <w:bookmarkEnd w:id="5"/>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All references in this report to “Dragonfly,” the “Company,” “we,” “us,” or “our” mean Dragonfly Energy Holdings Corp. and its subsidiaries unless stated otherwise or the context otherwise indicates.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are a manufacturer of non-toxic deep cycle lithium-ion batteries that caters to customers in the consumer industry (including the recreational vehicle (“</w:t>
      </w:r>
      <w:r>
        <w:rPr>
          <w:rFonts w:ascii="Times New Roman" w:cs="Times New Roman" w:eastAsia="Times New Roman" w:hAnsi="Times New Roman"/>
          <w:sz w:val="20"/>
          <w:szCs w:val="20"/>
          <w:b w:val="1"/>
          <w:bCs w:val="1"/>
          <w:color w:val="auto"/>
        </w:rPr>
        <w:t>RV</w:t>
      </w:r>
      <w:r>
        <w:rPr>
          <w:rFonts w:ascii="Times New Roman" w:cs="Times New Roman" w:eastAsia="Times New Roman" w:hAnsi="Times New Roman"/>
          <w:sz w:val="20"/>
          <w:szCs w:val="20"/>
          <w:color w:val="auto"/>
        </w:rPr>
        <w:t>”), marine vessel, solar and off-grid residence industries), and trucking, industrial and energy storage markets, with proprietary, patented and disruptive battery cell manufacturing and non-flammable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deep cycle lithium iron phosphate (“</w:t>
      </w:r>
      <w:r>
        <w:rPr>
          <w:rFonts w:ascii="Times New Roman" w:cs="Times New Roman" w:eastAsia="Times New Roman" w:hAnsi="Times New Roman"/>
          <w:sz w:val="20"/>
          <w:szCs w:val="20"/>
          <w:b w:val="1"/>
          <w:bCs w:val="1"/>
          <w:color w:val="auto"/>
        </w:rPr>
        <w:t>LFP</w:t>
      </w:r>
      <w:r>
        <w:rPr>
          <w:rFonts w:ascii="Times New Roman" w:cs="Times New Roman" w:eastAsia="Times New Roman" w:hAnsi="Times New Roman"/>
          <w:sz w:val="20"/>
          <w:szCs w:val="20"/>
          <w:color w:val="auto"/>
        </w:rPr>
        <w:t>”)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w:t>
      </w:r>
      <w:r>
        <w:rPr>
          <w:rFonts w:ascii="Times New Roman" w:cs="Times New Roman" w:eastAsia="Times New Roman" w:hAnsi="Times New Roman"/>
          <w:sz w:val="20"/>
          <w:szCs w:val="20"/>
          <w:b w:val="1"/>
          <w:bCs w:val="1"/>
          <w:color w:val="auto"/>
        </w:rPr>
        <w:t>LiFePO4</w:t>
      </w:r>
      <w:r>
        <w:rPr>
          <w:rFonts w:ascii="Times New Roman" w:cs="Times New Roman" w:eastAsia="Times New Roman" w:hAnsi="Times New Roman"/>
          <w:sz w:val="20"/>
          <w:szCs w:val="20"/>
          <w:color w:val="auto"/>
        </w:rPr>
        <w:t>”)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gases, which are chemically unstable and form hydrogen sulfide when exposed to air).</w:t>
      </w:r>
    </w:p>
    <w:p>
      <w:pPr>
        <w:spacing w:after="0" w:line="2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have a dual-brand strategy for battery products, Dragonfly Energy (“</w:t>
      </w:r>
      <w:r>
        <w:rPr>
          <w:rFonts w:ascii="Times New Roman" w:cs="Times New Roman" w:eastAsia="Times New Roman" w:hAnsi="Times New Roman"/>
          <w:sz w:val="20"/>
          <w:szCs w:val="20"/>
          <w:b w:val="1"/>
          <w:bCs w:val="1"/>
          <w:color w:val="auto"/>
        </w:rPr>
        <w:t>Dragonfly Energy</w:t>
      </w:r>
      <w:r>
        <w:rPr>
          <w:rFonts w:ascii="Times New Roman" w:cs="Times New Roman" w:eastAsia="Times New Roman" w:hAnsi="Times New Roman"/>
          <w:sz w:val="20"/>
          <w:szCs w:val="20"/>
          <w:color w:val="auto"/>
        </w:rPr>
        <w:t>”) and Battle Born Batteries (“</w:t>
      </w:r>
      <w:r>
        <w:rPr>
          <w:rFonts w:ascii="Times New Roman" w:cs="Times New Roman" w:eastAsia="Times New Roman" w:hAnsi="Times New Roman"/>
          <w:sz w:val="20"/>
          <w:szCs w:val="20"/>
          <w:b w:val="1"/>
          <w:bCs w:val="1"/>
          <w:color w:val="auto"/>
        </w:rPr>
        <w:t>Battle Born</w:t>
      </w:r>
      <w:r>
        <w:rPr>
          <w:rFonts w:ascii="Times New Roman" w:cs="Times New Roman" w:eastAsia="Times New Roman" w:hAnsi="Times New Roman"/>
          <w:sz w:val="20"/>
          <w:szCs w:val="20"/>
          <w:color w:val="auto"/>
        </w:rPr>
        <w:t>”). Battle Born branded products are primarily sold direct-to-consumers (“</w:t>
      </w:r>
      <w:r>
        <w:rPr>
          <w:rFonts w:ascii="Times New Roman" w:cs="Times New Roman" w:eastAsia="Times New Roman" w:hAnsi="Times New Roman"/>
          <w:sz w:val="20"/>
          <w:szCs w:val="20"/>
          <w:b w:val="1"/>
          <w:bCs w:val="1"/>
          <w:color w:val="auto"/>
        </w:rPr>
        <w:t>DTC</w:t>
      </w:r>
      <w:r>
        <w:rPr>
          <w:rFonts w:ascii="Times New Roman" w:cs="Times New Roman" w:eastAsia="Times New Roman" w:hAnsi="Times New Roman"/>
          <w:sz w:val="20"/>
          <w:szCs w:val="20"/>
          <w:color w:val="auto"/>
        </w:rPr>
        <w:t>”), while the Dragonfly Energy brand is primarily sold to original equipment manufacturers (“</w:t>
      </w:r>
      <w:r>
        <w:rPr>
          <w:rFonts w:ascii="Times New Roman" w:cs="Times New Roman" w:eastAsia="Times New Roman" w:hAnsi="Times New Roman"/>
          <w:sz w:val="20"/>
          <w:szCs w:val="20"/>
          <w:b w:val="1"/>
          <w:bCs w:val="1"/>
          <w:color w:val="auto"/>
        </w:rPr>
        <w:t>OEMs</w:t>
      </w:r>
      <w:r>
        <w:rPr>
          <w:rFonts w:ascii="Times New Roman" w:cs="Times New Roman" w:eastAsia="Times New Roman" w:hAnsi="Times New Roman"/>
          <w:sz w:val="20"/>
          <w:szCs w:val="20"/>
          <w:color w:val="auto"/>
        </w:rPr>
        <w:t>”).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Reflecting the strength of our DTC brand, we signed a brand licensing contract in July of 2024 with Stryten Energy for the Battle Born brand to be deployed in B2B sales within Stryten’s target market. The contract is expected to bring $30 million of licensing revenues within a seven year period. Additionally, we signed a contract manufacturing agreement that allows for us to assemble battery packs to be sold by Stryten under the Battle Born label. Both licensing and contract manufacturing revenues from these contracts are expected to come in throughout 2025, and we believe will represent a significant portion of our total revenues beginning in 2026.</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Founded as an aftermarket-focused company, we initially targeted direct-to-consumer (DTC) sales within the recreational vehicle (RV) market. Since our inception in 2020, we have successfully sold over 330,000 batteries. For the fiscal years ended December 31, 2024, and December 31, 2023, we sold 42,447 and 64,906 batteries, respectively, generating revenues of $50.6 million and $64.5 million for each year.</w:t>
      </w:r>
    </w:p>
    <w:p>
      <w:pPr>
        <w:spacing w:after="0" w:line="1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Our innovative battery products have disrupted the traditional lead-acid battery markets. The strong DTC demand, combined with our efforts to educate and market to original equipment manufacturers (OEMs), has facilitated significant penetration into the OEM sector. Historically, we have driven total sales growth through several strategies:</w:t>
      </w:r>
    </w:p>
    <w:p>
      <w:pPr>
        <w:spacing w:after="0" w:line="188" w:lineRule="exact"/>
        <w:rPr>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Expansion of DTC Sales</w:t>
      </w:r>
      <w:r>
        <w:rPr>
          <w:rFonts w:ascii="Times New Roman" w:cs="Times New Roman" w:eastAsia="Times New Roman" w:hAnsi="Times New Roman"/>
          <w:sz w:val="20"/>
          <w:szCs w:val="20"/>
          <w:color w:val="auto"/>
        </w:rPr>
        <w:t>: Increasing direct sales of batteries for RV applications.</w:t>
      </w:r>
    </w:p>
    <w:p>
      <w:pPr>
        <w:spacing w:after="0" w:line="6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Market Diversification</w:t>
      </w:r>
      <w:r>
        <w:rPr>
          <w:rFonts w:ascii="Times New Roman" w:cs="Times New Roman" w:eastAsia="Times New Roman" w:hAnsi="Times New Roman"/>
          <w:sz w:val="20"/>
          <w:szCs w:val="20"/>
          <w:color w:val="auto"/>
        </w:rPr>
        <w:t>: Entering the marine vessel and off-grid storage markets with related DTC offerings.</w:t>
      </w:r>
    </w:p>
    <w:p>
      <w:pPr>
        <w:spacing w:after="0" w:line="6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OEM Partnerships</w:t>
      </w:r>
      <w:r>
        <w:rPr>
          <w:rFonts w:ascii="Times New Roman" w:cs="Times New Roman" w:eastAsia="Times New Roman" w:hAnsi="Times New Roman"/>
          <w:sz w:val="20"/>
          <w:szCs w:val="20"/>
          <w:color w:val="auto"/>
        </w:rPr>
        <w:t>: Supplying batteries to RV OEMs.</w:t>
      </w:r>
    </w:p>
    <w:p>
      <w:pPr>
        <w:spacing w:after="0" w:line="6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Distributor Engagement</w:t>
      </w:r>
      <w:r>
        <w:rPr>
          <w:rFonts w:ascii="Times New Roman" w:cs="Times New Roman" w:eastAsia="Times New Roman" w:hAnsi="Times New Roman"/>
          <w:sz w:val="20"/>
          <w:szCs w:val="20"/>
          <w:color w:val="auto"/>
        </w:rPr>
        <w:t>: Enhancing sales through increased distribution channels.</w:t>
      </w:r>
    </w:p>
    <w:p>
      <w:pPr>
        <w:spacing w:after="0" w:line="6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Accessory Sales</w:t>
      </w:r>
      <w:r>
        <w:rPr>
          <w:rFonts w:ascii="Times New Roman" w:cs="Times New Roman" w:eastAsia="Times New Roman" w:hAnsi="Times New Roman"/>
          <w:sz w:val="20"/>
          <w:szCs w:val="20"/>
          <w:color w:val="auto"/>
        </w:rPr>
        <w:t>: Reselling accessories for our battery systems.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080"/>
          </w:cols>
          <w:pgMar w:left="1080" w:top="1079" w:right="1080" w:bottom="155" w:gutter="0" w:footer="0" w:header="0"/>
          <w:type w:val="continuous"/>
        </w:sectPr>
      </w:pPr>
    </w:p>
    <w:bookmarkStart w:id="6" w:name="page7"/>
    <w:bookmarkEnd w:id="6"/>
    <w:p>
      <w:pPr>
        <w:jc w:val="both"/>
        <w:spacing w:after="0" w:line="237" w:lineRule="auto"/>
        <w:rPr>
          <w:sz w:val="20"/>
          <w:szCs w:val="20"/>
          <w:color w:val="auto"/>
        </w:rPr>
      </w:pPr>
      <w:r>
        <w:rPr>
          <w:rFonts w:ascii="Times New Roman" w:cs="Times New Roman" w:eastAsia="Times New Roman" w:hAnsi="Times New Roman"/>
          <w:sz w:val="20"/>
          <w:szCs w:val="20"/>
          <w:color w:val="auto"/>
        </w:rPr>
        <w:t>Our valued RV OEM partners currently include industry leaders such as Airstream, Tiffin Motorhomes, Forest River, nuCamp RV, Triple E RV, REV Group, Keystone, and THOR Industries (“</w:t>
      </w:r>
      <w:r>
        <w:rPr>
          <w:rFonts w:ascii="Times New Roman" w:cs="Times New Roman" w:eastAsia="Times New Roman" w:hAnsi="Times New Roman"/>
          <w:sz w:val="20"/>
          <w:szCs w:val="20"/>
          <w:b w:val="1"/>
          <w:bCs w:val="1"/>
          <w:color w:val="auto"/>
        </w:rPr>
        <w:t>THOR</w:t>
      </w:r>
      <w:r>
        <w:rPr>
          <w:rFonts w:ascii="Times New Roman" w:cs="Times New Roman" w:eastAsia="Times New Roman" w:hAnsi="Times New Roman"/>
          <w:sz w:val="20"/>
          <w:szCs w:val="20"/>
          <w:color w:val="auto"/>
        </w:rPr>
        <w:t>”). Notably, THOR has made a strategic investment in our business, which we believe underscores our strong industry relationships.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For the year ended December 31, 2024, we experienced a period of sustained market correction characterized by ongoing inflation and historically high interest rates, which posed challenges to our DTC markets. While there were small increases in retail registrations and wholesale shipments within the RV industry, much of this growth was concentrated in the price-sensitive entry-level segment. These entry-level RVs typically do not incorporate our battery products, resulting in a decline in our overall sales due to the limited growth in segments aligned with our offerings.</w:t>
      </w:r>
    </w:p>
    <w:p>
      <w:pPr>
        <w:spacing w:after="0" w:line="2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However, we did observe increased OEM adoption of our products outside the entry-level segment, marked by the acquisition of new customers and enhanced market share within existing customer product lines. As a result, a higher proportion of our revenue was generated through the OEM channel compared to the DTC market.</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successfully entered into two significant distribution agreements with Keystone Automotive Group (a division of LKQ) and Meyer Distribution. These partnerships are expected to expand our reach within the RV and marine dealer networks and support continued growth in our DTC channels.</w:t>
      </w:r>
    </w:p>
    <w:p>
      <w:pPr>
        <w:spacing w:after="0" w:line="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2024, RV dealers continued to optimize their inventory levels, resulting in relatively flat sales after a substantial 36% correction in 2023. The industry’s pivot towards entry-level RVs, which do not typically utilize our batteries, contributed to the decline in total revenue for the year ended December 31, 2024, compared to the prior year.</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Based on our ongoing discussions with customers and current unit forecast projections, we anticipate an increase in revenue within the RV market for 2025. We remain committed to expanding our market presence, leveraging strategic partnerships, and driving innovation to sustain our growth trajectory.</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currently offer several lines of batteries across our two brands, each differentiated by size, power and capacity, consisting of seven different models, which come with an option for internal heat for cold temperature operation or an option for wireless communication using our Dragonfly IntelLigence feature. 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2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battery packs are designed and assembled in-house in the United States. In November 2024, we relocated from our 99,000 square foot facility in Reno, Nevada to our new 390,240 square foot facility also in Reno, Nevada, which has allowed us to increase our production capacity and gives us the ability to increase sales to existing customers and penetrate new markets. Our 390,240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also entered into a lease for use of an approximately 64,000 square foot facility to further increase our capacity to produce our patented dry electrode process (the “</w:t>
      </w:r>
      <w:r>
        <w:rPr>
          <w:rFonts w:ascii="Times New Roman" w:cs="Times New Roman" w:eastAsia="Times New Roman" w:hAnsi="Times New Roman"/>
          <w:sz w:val="20"/>
          <w:szCs w:val="20"/>
          <w:b w:val="1"/>
          <w:bCs w:val="1"/>
          <w:color w:val="auto"/>
        </w:rPr>
        <w:t>Fernley Lease Agreement</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Through our Battle Born Batteries and Wakespeed brands, we operate in three primary consumer end markets: RVs, marine vessels, and off-grid storage systems. We are strategically expanding into additional markets, with a focus on trucking – including heavy-duty trucks and work trucks – and industrial markets – including oil and gas and industrial solar integration. Within our core markets, we focus on displacing lead-acid batteries with our technologically advanced and greener lithium-ion solutions. Our Battle Born Batteries portfolio is designed to provide customers with a reliable, long-lasting, and highly efficient off-grid power source.</w:t>
      </w:r>
    </w:p>
    <w:p>
      <w:pPr>
        <w:spacing w:after="0" w:line="2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continue to leverage our proven sales and marketing strategy to efficiently penetrate our target end markets. We prioritize customer education through various channels, highlighting the distinct advantages of lithium-ion batteries over traditional lead-acid alternatives. Tradeshows, rallies, and industry events serve as key platforms for direct customer engagement, featuring product demonstrations, educational seminars, and opportunities for interaction with knowledgeable sales and technical experts. We further amplify our reach through a robust social media program, strategically partnering with content creators and industry influencers to disseminate product benefits to targeted audiences. Additionally, we cultivate relationships with industry publications to secure editorial coverage that informs and educates potential customers. We also employ a targeted pay-per-click (“</w:t>
      </w:r>
      <w:r>
        <w:rPr>
          <w:rFonts w:ascii="Times New Roman" w:cs="Times New Roman" w:eastAsia="Times New Roman" w:hAnsi="Times New Roman"/>
          <w:sz w:val="20"/>
          <w:szCs w:val="20"/>
          <w:b w:val="1"/>
          <w:bCs w:val="1"/>
          <w:color w:val="auto"/>
        </w:rPr>
        <w:t>PPC</w:t>
      </w:r>
      <w:r>
        <w:rPr>
          <w:rFonts w:ascii="Times New Roman" w:cs="Times New Roman" w:eastAsia="Times New Roman" w:hAnsi="Times New Roman"/>
          <w:sz w:val="20"/>
          <w:szCs w:val="20"/>
          <w:color w:val="auto"/>
        </w:rPr>
        <w:t>”) advertising campaigns across various platforms, including search engines, social media, and connected TV to efficiently convert high-intent customers at the bottom of the purchase funnel.</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080"/>
          </w:cols>
          <w:pgMar w:left="1080" w:top="1089" w:right="1080" w:bottom="155" w:gutter="0" w:footer="0" w:header="0"/>
          <w:type w:val="continuous"/>
        </w:sectPr>
      </w:pPr>
    </w:p>
    <w:bookmarkStart w:id="7" w:name="page8"/>
    <w:bookmarkEnd w:id="7"/>
    <w:p>
      <w:pPr>
        <w:jc w:val="both"/>
        <w:spacing w:after="0" w:line="239" w:lineRule="auto"/>
        <w:rPr>
          <w:sz w:val="20"/>
          <w:szCs w:val="20"/>
          <w:color w:val="auto"/>
        </w:rPr>
      </w:pPr>
      <w:r>
        <w:rPr>
          <w:rFonts w:ascii="Times New Roman" w:cs="Times New Roman" w:eastAsia="Times New Roman" w:hAnsi="Times New Roman"/>
          <w:sz w:val="20"/>
          <w:szCs w:val="20"/>
          <w:color w:val="auto"/>
        </w:rPr>
        <w:t>Drawing upon our success in collaborating with RV and marine OEMs, we have begun expanding into the heavy-duty trucking market. We are leveraging our expertise in designing and supporting lithium-ion storage systems to tailor solutions meeting specific requirements for fleets. These solutions have been adopted as factory options, demonstrating their value proposition for truck fleets seeking to:</w:t>
      </w:r>
    </w:p>
    <w:p>
      <w:pPr>
        <w:spacing w:after="0" w:line="233" w:lineRule="exact"/>
        <w:rPr>
          <w:sz w:val="20"/>
          <w:szCs w:val="20"/>
          <w:color w:val="auto"/>
        </w:rPr>
      </w:pPr>
    </w:p>
    <w:p>
      <w:pPr>
        <w:ind w:left="360" w:hanging="360"/>
        <w:spacing w:after="0"/>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diesel fuel costs: our technology delivers significant fuel savings, offering a rapid return on investment.</w:t>
      </w:r>
    </w:p>
    <w:p>
      <w:pPr>
        <w:spacing w:after="0" w:line="71"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anti-idling regulations: Lithium-ion batteries enable efficient power management eliminating the need for long haul truck drivers to idle, thus aligning with increasingly stringent regulations.</w:t>
      </w:r>
    </w:p>
    <w:p>
      <w:pPr>
        <w:spacing w:after="0" w:line="72"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sustainability efforts: Transitioning to long lasting and greener lithium-ion solutions contributes to improved environmental impact.</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This strategic approach has resulted in successful pilot programs with fleets representing over 15% of the North American heavy-duty trucking market, and has already resulted in several new arrangements, including Stevens Transport and Highway Transport.</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the Fall of 2024, a partnership with Alegacy – a packager of natural gas compression equipment – led to a successful demonstration of an uninterruptible battery powered vapor recovery unit (VRU) that exhibited methane leakage mitigation in a large (greater than 3000 hp) gas compression unit. We believe that this successful demonstration will pave the way for the aftermarket and OEM deployments of these lithium battery powered VRUs, beginning in 2025. The opportunity leverages our expertise in combining alternator charging and battery cycling, as well as our Class 1 Div 2 battery classification, which allows our battery systems to be deployed in the vicinity of oil &amp; gas pipelines.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To augment our core lithium-ion battery pack business, we rely on our research and development department. The team has successfully developed innovative manufacturing processes for dry-electrode manufacturing of lithium-ion cells, and continues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2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Background</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20"/>
          <w:szCs w:val="20"/>
          <w:b w:val="1"/>
          <w:bCs w:val="1"/>
          <w:color w:val="auto"/>
        </w:rPr>
        <w:t>AGM</w:t>
      </w:r>
      <w:r>
        <w:rPr>
          <w:rFonts w:ascii="Times New Roman" w:cs="Times New Roman" w:eastAsia="Times New Roman" w:hAnsi="Times New Roman"/>
          <w:sz w:val="20"/>
          <w:szCs w:val="20"/>
          <w:color w:val="auto"/>
        </w:rPr>
        <w:t>”) lead-acid battery in the mid-1970s, the technological advancements in lead-acid battery technology have been limited. LFP batteries have numerous advantages over the incumbent lead-acid batteries used in today’s markets:</w:t>
      </w:r>
    </w:p>
    <w:p>
      <w:pPr>
        <w:spacing w:after="0" w:line="244" w:lineRule="exact"/>
        <w:rPr>
          <w:sz w:val="20"/>
          <w:szCs w:val="20"/>
          <w:color w:val="auto"/>
        </w:rPr>
      </w:pPr>
    </w:p>
    <w:p>
      <w:pPr>
        <w:jc w:val="both"/>
        <w:ind w:left="360" w:hanging="360"/>
        <w:spacing w:after="0"/>
        <w:tabs>
          <w:tab w:leader="none" w:pos="3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Environmentally Friendly, Socially Responsible and Safer. </w:t>
      </w:r>
      <w:r>
        <w:rPr>
          <w:rFonts w:ascii="Times New Roman" w:cs="Times New Roman" w:eastAsia="Times New Roman" w:hAnsi="Times New Roman"/>
          <w:sz w:val="20"/>
          <w:szCs w:val="20"/>
          <w:color w:val="auto"/>
        </w:rPr>
        <w:t>Lead-acid batteries that are not recycled or disposed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properly 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86" w:lineRule="exact"/>
        <w:rPr>
          <w:rFonts w:ascii="Times New Roman" w:cs="Times New Roman" w:eastAsia="Times New Roman" w:hAnsi="Times New Roman"/>
          <w:sz w:val="20"/>
          <w:szCs w:val="20"/>
          <w:color w:val="auto"/>
        </w:rPr>
      </w:pPr>
    </w:p>
    <w:p>
      <w:pPr>
        <w:jc w:val="both"/>
        <w:ind w:left="360" w:hanging="360"/>
        <w:spacing w:after="0" w:line="255" w:lineRule="auto"/>
        <w:tabs>
          <w:tab w:leader="none" w:pos="36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Longer Lifespan. </w:t>
      </w:r>
      <w:r>
        <w:rPr>
          <w:rFonts w:ascii="Times New Roman" w:cs="Times New Roman" w:eastAsia="Times New Roman" w:hAnsi="Times New Roman"/>
          <w:sz w:val="19"/>
          <w:szCs w:val="19"/>
          <w:color w:val="auto"/>
        </w:rPr>
        <w:t>Lithium-ion batteries have longer lifecycles compared to lead-acid batteries. LFP batteries are able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cycle (i.e.,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w:t>
      </w:r>
    </w:p>
    <w:p>
      <w:pPr>
        <w:sectPr>
          <w:pgSz w:w="12240" w:h="15840" w:orient="portrait"/>
          <w:cols w:equalWidth="0" w:num="1">
            <w:col w:w="10080"/>
          </w:cols>
          <w:pgMar w:left="1080" w:top="1089" w:right="1080" w:bottom="155"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080"/>
          </w:cols>
          <w:pgMar w:left="1080" w:top="1089" w:right="1080" w:bottom="155" w:gutter="0" w:footer="0" w:header="0"/>
          <w:type w:val="continuous"/>
        </w:sectPr>
      </w:pPr>
    </w:p>
    <w:bookmarkStart w:id="8" w:name="page9"/>
    <w:bookmarkEnd w:id="8"/>
    <w:p>
      <w:pPr>
        <w:jc w:val="both"/>
        <w:ind w:left="360"/>
        <w:spacing w:after="0" w:line="237" w:lineRule="auto"/>
        <w:rPr>
          <w:sz w:val="20"/>
          <w:szCs w:val="20"/>
          <w:color w:val="auto"/>
        </w:rPr>
      </w:pPr>
      <w:r>
        <w:rPr>
          <w:rFonts w:ascii="Times New Roman" w:cs="Times New Roman" w:eastAsia="Times New Roman" w:hAnsi="Times New Roman"/>
          <w:sz w:val="20"/>
          <w:szCs w:val="20"/>
          <w:color w:val="auto"/>
        </w:rPr>
        <w:t>in that lifespan). In many storage applications, lithium-ion batteries have a lifespan exceeding the lifetime of the project with very limited maintenance requirements, compared to lead-acid batteries, which have a one- to two-year useful life in most applications.</w:t>
      </w:r>
    </w:p>
    <w:p>
      <w:pPr>
        <w:spacing w:after="0" w:line="84" w:lineRule="exact"/>
        <w:rPr>
          <w:sz w:val="20"/>
          <w:szCs w:val="20"/>
          <w:color w:val="auto"/>
        </w:rPr>
      </w:pPr>
    </w:p>
    <w:p>
      <w:pPr>
        <w:jc w:val="both"/>
        <w:ind w:left="360" w:hanging="360"/>
        <w:spacing w:after="0"/>
        <w:tabs>
          <w:tab w:leader="none" w:pos="3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Power and Performance. </w:t>
      </w:r>
      <w:r>
        <w:rPr>
          <w:rFonts w:ascii="Times New Roman" w:cs="Times New Roman" w:eastAsia="Times New Roman" w:hAnsi="Times New Roman"/>
          <w:sz w:val="20"/>
          <w:szCs w:val="20"/>
          <w:color w:val="auto"/>
        </w:rPr>
        <w:t>As new technologies evolve and people consume more electricity, the importance of battery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power 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82" w:lineRule="exact"/>
        <w:rPr>
          <w:rFonts w:ascii="Times New Roman" w:cs="Times New Roman" w:eastAsia="Times New Roman" w:hAnsi="Times New Roman"/>
          <w:sz w:val="20"/>
          <w:szCs w:val="20"/>
          <w:color w:val="auto"/>
        </w:rPr>
      </w:pPr>
    </w:p>
    <w:p>
      <w:pPr>
        <w:jc w:val="both"/>
        <w:ind w:left="360" w:hanging="360"/>
        <w:spacing w:after="0"/>
        <w:tabs>
          <w:tab w:leader="none" w:pos="3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Charging. </w:t>
      </w:r>
      <w:r>
        <w:rPr>
          <w:rFonts w:ascii="Times New Roman" w:cs="Times New Roman" w:eastAsia="Times New Roman" w:hAnsi="Times New Roman"/>
          <w:sz w:val="20"/>
          <w:szCs w:val="20"/>
          <w:color w:val="auto"/>
        </w:rPr>
        <w:t>Lead-acid batteries were the first rechargeable batteries on the market. However, due to new advancements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energy density (i.e., the 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81" w:lineRule="exact"/>
        <w:rPr>
          <w:rFonts w:ascii="Times New Roman" w:cs="Times New Roman" w:eastAsia="Times New Roman" w:hAnsi="Times New Roman"/>
          <w:sz w:val="20"/>
          <w:szCs w:val="20"/>
          <w:color w:val="auto"/>
        </w:rPr>
      </w:pPr>
    </w:p>
    <w:p>
      <w:pPr>
        <w:jc w:val="both"/>
        <w:ind w:left="360" w:hanging="360"/>
        <w:spacing w:after="0"/>
        <w:tabs>
          <w:tab w:leader="none" w:pos="3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Maintenance-Free. </w:t>
      </w:r>
      <w:r>
        <w:rPr>
          <w:rFonts w:ascii="Times New Roman" w:cs="Times New Roman" w:eastAsia="Times New Roman" w:hAnsi="Times New Roman"/>
          <w:sz w:val="20"/>
          <w:szCs w:val="20"/>
          <w:color w:val="auto"/>
        </w:rPr>
        <w:t>LFP batteries provide the benefit of being a maintenance-free option compared to lead-acid batteries.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Unlike lead-acid 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End Markets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Current Markets</w:t>
      </w:r>
    </w:p>
    <w:p>
      <w:pPr>
        <w:spacing w:after="0" w:line="24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According to a Frost and Sullivan report commissioned by us in 2021 (“</w:t>
      </w:r>
      <w:r>
        <w:rPr>
          <w:rFonts w:ascii="Times New Roman" w:cs="Times New Roman" w:eastAsia="Times New Roman" w:hAnsi="Times New Roman"/>
          <w:sz w:val="20"/>
          <w:szCs w:val="20"/>
          <w:b w:val="1"/>
          <w:bCs w:val="1"/>
          <w:color w:val="auto"/>
        </w:rPr>
        <w:t>Frost &amp; Sullivan</w:t>
      </w:r>
      <w:r>
        <w:rPr>
          <w:rFonts w:ascii="Times New Roman" w:cs="Times New Roman" w:eastAsia="Times New Roman" w:hAnsi="Times New Roman"/>
          <w:sz w:val="20"/>
          <w:szCs w:val="20"/>
          <w:color w:val="auto"/>
        </w:rPr>
        <w:t>”), the total addressable market (“</w:t>
      </w:r>
      <w:r>
        <w:rPr>
          <w:rFonts w:ascii="Times New Roman" w:cs="Times New Roman" w:eastAsia="Times New Roman" w:hAnsi="Times New Roman"/>
          <w:sz w:val="20"/>
          <w:szCs w:val="20"/>
          <w:b w:val="1"/>
          <w:bCs w:val="1"/>
          <w:color w:val="auto"/>
        </w:rPr>
        <w:t>TAM</w:t>
      </w:r>
      <w:r>
        <w:rPr>
          <w:rFonts w:ascii="Times New Roman" w:cs="Times New Roman" w:eastAsia="Times New Roman" w:hAnsi="Times New Roman"/>
          <w:sz w:val="20"/>
          <w:szCs w:val="20"/>
          <w:color w:val="auto"/>
        </w:rPr>
        <w:t>”) of our three current end markets was estimated to be approximately $12 billion by 2025.</w:t>
      </w:r>
    </w:p>
    <w:p>
      <w:pPr>
        <w:spacing w:after="0" w:line="236" w:lineRule="exact"/>
        <w:rPr>
          <w:sz w:val="20"/>
          <w:szCs w:val="20"/>
          <w:color w:val="auto"/>
        </w:rPr>
      </w:pPr>
    </w:p>
    <w:p>
      <w:pPr>
        <w:ind w:left="360" w:hanging="360"/>
        <w:spacing w:after="0"/>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Recreational Vehicles. </w:t>
      </w:r>
      <w:r>
        <w:rPr>
          <w:rFonts w:ascii="Times New Roman" w:cs="Times New Roman" w:eastAsia="Times New Roman" w:hAnsi="Times New Roman"/>
          <w:sz w:val="20"/>
          <w:szCs w:val="20"/>
          <w:color w:val="auto"/>
        </w:rPr>
        <w:t>The growth of the RV market is expected to continue to drive demand for LFP storage batteries.</w:t>
      </w:r>
    </w:p>
    <w:p>
      <w:pPr>
        <w:spacing w:after="0" w:line="11" w:lineRule="exact"/>
        <w:rPr>
          <w:rFonts w:ascii="Times New Roman" w:cs="Times New Roman" w:eastAsia="Times New Roman" w:hAnsi="Times New Roman"/>
          <w:sz w:val="20"/>
          <w:szCs w:val="20"/>
          <w:color w:val="auto"/>
        </w:rPr>
      </w:pPr>
    </w:p>
    <w:p>
      <w:pPr>
        <w:jc w:val="both"/>
        <w:ind w:lef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According to the 2025 RV Industry Association (“</w:t>
      </w:r>
      <w:r>
        <w:rPr>
          <w:rFonts w:ascii="Times New Roman" w:cs="Times New Roman" w:eastAsia="Times New Roman" w:hAnsi="Times New Roman"/>
          <w:sz w:val="20"/>
          <w:szCs w:val="20"/>
          <w:b w:val="1"/>
          <w:bCs w:val="1"/>
          <w:color w:val="auto"/>
        </w:rPr>
        <w:t>RVIA</w:t>
      </w:r>
      <w:r>
        <w:rPr>
          <w:rFonts w:ascii="Times New Roman" w:cs="Times New Roman" w:eastAsia="Times New Roman" w:hAnsi="Times New Roman"/>
          <w:sz w:val="20"/>
          <w:szCs w:val="20"/>
          <w:color w:val="auto"/>
        </w:rPr>
        <w:t>”) Owner Demographic Profile, 16% of RV buyers are between the ages of 18 and 34. In addition, over a third of the respondents in the study (36%) are first-time owners, underscoring the growth of the industry in the past decade. RV interiors are becoming more modern as customers adopt the full-time RV lifestyle, with additional appliances and electronics being installed, increasing the need for reliable power.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w:t>
      </w:r>
    </w:p>
    <w:p>
      <w:pPr>
        <w:spacing w:after="0" w:line="8" w:lineRule="exact"/>
        <w:rPr>
          <w:rFonts w:ascii="Times New Roman" w:cs="Times New Roman" w:eastAsia="Times New Roman" w:hAnsi="Times New Roman"/>
          <w:sz w:val="20"/>
          <w:szCs w:val="20"/>
          <w:color w:val="auto"/>
        </w:rPr>
      </w:pPr>
    </w:p>
    <w:p>
      <w:pPr>
        <w:ind w:lef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LFP batteries. According to the RVIA’s 2024 RV Market Report, approximately 89% of wholesale RV units shipping in</w:t>
      </w:r>
    </w:p>
    <w:p>
      <w:pPr>
        <w:spacing w:after="0" w:line="2" w:lineRule="exact"/>
        <w:rPr>
          <w:rFonts w:ascii="Times New Roman" w:cs="Times New Roman" w:eastAsia="Times New Roman" w:hAnsi="Times New Roman"/>
          <w:sz w:val="20"/>
          <w:szCs w:val="20"/>
          <w:color w:val="auto"/>
        </w:rPr>
      </w:pPr>
    </w:p>
    <w:p>
      <w:pPr>
        <w:ind w:lef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2025 are projected to be towable units, representing a significant growth opportunity for LFP batteries.</w:t>
      </w:r>
    </w:p>
    <w:p>
      <w:pPr>
        <w:spacing w:after="0" w:line="81" w:lineRule="exact"/>
        <w:rPr>
          <w:rFonts w:ascii="Times New Roman" w:cs="Times New Roman" w:eastAsia="Times New Roman" w:hAnsi="Times New Roman"/>
          <w:sz w:val="20"/>
          <w:szCs w:val="20"/>
          <w:color w:val="auto"/>
        </w:rPr>
      </w:pPr>
    </w:p>
    <w:p>
      <w:pPr>
        <w:jc w:val="both"/>
        <w:ind w:left="360" w:hanging="360"/>
        <w:spacing w:after="0"/>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Marine Vessels. </w:t>
      </w:r>
      <w:r>
        <w:rPr>
          <w:rFonts w:ascii="Times New Roman" w:cs="Times New Roman" w:eastAsia="Times New Roman" w:hAnsi="Times New Roman"/>
          <w:sz w:val="20"/>
          <w:szCs w:val="20"/>
          <w:color w:val="auto"/>
        </w:rPr>
        <w:t>As boating becomes more popular in North America, the need for a reliable, non-flammable energy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storage system is becoming increasingly apparent. According to the 2020 Recreational Boating Statistics and the 2020 National Recreational Boating Safety Survey, in 2018 over 84 million Americans participated in some form of boating activity. There were a total of over 11.6 million registered boats on the water as of 2023.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84" w:lineRule="exact"/>
        <w:rPr>
          <w:rFonts w:ascii="Times New Roman" w:cs="Times New Roman" w:eastAsia="Times New Roman" w:hAnsi="Times New Roman"/>
          <w:sz w:val="20"/>
          <w:szCs w:val="20"/>
          <w:color w:val="auto"/>
        </w:rPr>
      </w:pPr>
    </w:p>
    <w:p>
      <w:pPr>
        <w:jc w:val="both"/>
        <w:ind w:left="360" w:hanging="360"/>
        <w:spacing w:after="0" w:line="255" w:lineRule="auto"/>
        <w:tabs>
          <w:tab w:leader="none" w:pos="3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Off-Grid Residences. </w:t>
      </w:r>
      <w:r>
        <w:rPr>
          <w:rFonts w:ascii="Times New Roman" w:cs="Times New Roman" w:eastAsia="Times New Roman" w:hAnsi="Times New Roman"/>
          <w:sz w:val="19"/>
          <w:szCs w:val="19"/>
          <w:color w:val="auto"/>
        </w:rPr>
        <w:t>Many people are turning to off-grid housing and, as individuals and governments become more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conscious of their carbon 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w:t>
      </w:r>
      <w:r>
        <w:rPr>
          <w:rFonts w:ascii="Times New Roman" w:cs="Times New Roman" w:eastAsia="Times New Roman" w:hAnsi="Times New Roman"/>
          <w:sz w:val="19"/>
          <w:szCs w:val="19"/>
          <w:b w:val="1"/>
          <w:bCs w:val="1"/>
          <w:color w:val="auto"/>
        </w:rPr>
        <w:t>SEIA</w:t>
      </w:r>
      <w:r>
        <w:rPr>
          <w:rFonts w:ascii="Times New Roman" w:cs="Times New Roman" w:eastAsia="Times New Roman" w:hAnsi="Times New Roman"/>
          <w:sz w:val="19"/>
          <w:szCs w:val="19"/>
          <w:color w:val="auto"/>
        </w:rPr>
        <w:t>”), approximately 11% of solar installations in 2021 were supplemented with a battery system for efficient storing</w:t>
      </w:r>
    </w:p>
    <w:p>
      <w:pPr>
        <w:sectPr>
          <w:pgSz w:w="12240" w:h="15840" w:orient="portrait"/>
          <w:cols w:equalWidth="0" w:num="1">
            <w:col w:w="10080"/>
          </w:cols>
          <w:pgMar w:left="1080" w:top="1089" w:right="1080" w:bottom="155"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080"/>
          </w:cols>
          <w:pgMar w:left="1080" w:top="1089" w:right="1080" w:bottom="155" w:gutter="0" w:footer="0" w:header="0"/>
          <w:type w:val="continuous"/>
        </w:sectPr>
      </w:pPr>
    </w:p>
    <w:bookmarkStart w:id="9" w:name="page10"/>
    <w:bookmarkEnd w:id="9"/>
    <w:p>
      <w:pPr>
        <w:jc w:val="both"/>
        <w:ind w:left="360"/>
        <w:spacing w:after="0" w:line="239" w:lineRule="auto"/>
        <w:rPr>
          <w:sz w:val="20"/>
          <w:szCs w:val="20"/>
          <w:color w:val="auto"/>
        </w:rPr>
      </w:pPr>
      <w:r>
        <w:rPr>
          <w:rFonts w:ascii="Times New Roman" w:cs="Times New Roman" w:eastAsia="Times New Roman" w:hAnsi="Times New Roman"/>
          <w:sz w:val="20"/>
          <w:szCs w:val="20"/>
          <w:color w:val="auto"/>
        </w:rPr>
        <w:t>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Addressable Adjacent Markets</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w:t>
      </w:r>
    </w:p>
    <w:p>
      <w:pPr>
        <w:spacing w:after="0" w:line="243" w:lineRule="exact"/>
        <w:rPr>
          <w:sz w:val="20"/>
          <w:szCs w:val="20"/>
          <w:color w:val="auto"/>
        </w:rPr>
      </w:pPr>
    </w:p>
    <w:p>
      <w:pPr>
        <w:jc w:val="both"/>
        <w:ind w:left="360" w:hanging="360"/>
        <w:spacing w:after="0" w:line="241"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Heavy Duty Truck. </w:t>
      </w:r>
      <w:r>
        <w:rPr>
          <w:rFonts w:ascii="Times New Roman" w:cs="Times New Roman" w:eastAsia="Times New Roman" w:hAnsi="Times New Roman"/>
          <w:sz w:val="20"/>
          <w:szCs w:val="20"/>
          <w:color w:val="auto"/>
        </w:rPr>
        <w:t>The heavy-duty truck market encompasses a broad range of vehicles designed for extensive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commercial and industrial use, such as long-haul transport, construction, and logistics. With more than 300,000 Class 8 units sold in 2022, the market demonstrates a robust demand for vehicles that are integral to the backbone of global commerce and infrastructure projects. As the demand for more efficient, sustainable, and reliable transportation solutions grows, the use of Auxiliary Power Units (“</w:t>
      </w:r>
      <w:r>
        <w:rPr>
          <w:rFonts w:ascii="Times New Roman" w:cs="Times New Roman" w:eastAsia="Times New Roman" w:hAnsi="Times New Roman"/>
          <w:sz w:val="20"/>
          <w:szCs w:val="20"/>
          <w:b w:val="1"/>
          <w:bCs w:val="1"/>
          <w:color w:val="auto"/>
        </w:rPr>
        <w:t>APUs</w:t>
      </w:r>
      <w:r>
        <w:rPr>
          <w:rFonts w:ascii="Times New Roman" w:cs="Times New Roman" w:eastAsia="Times New Roman" w:hAnsi="Times New Roman"/>
          <w:sz w:val="20"/>
          <w:szCs w:val="20"/>
          <w:color w:val="auto"/>
        </w:rPr>
        <w:t>”) in heavy duty trucks is becoming increasingly significant. APUs provide an alternative energy source for powering onboard systems and maintaining cabin comfort during rest periods, without the need for the main engine to run—thereby reducing fuel consumption and emissions. Additionally, the market opportunity extends to the electrification of Transport Refrigeration Units (“</w:t>
      </w:r>
      <w:r>
        <w:rPr>
          <w:rFonts w:ascii="Times New Roman" w:cs="Times New Roman" w:eastAsia="Times New Roman" w:hAnsi="Times New Roman"/>
          <w:sz w:val="20"/>
          <w:szCs w:val="20"/>
          <w:b w:val="1"/>
          <w:bCs w:val="1"/>
          <w:color w:val="auto"/>
        </w:rPr>
        <w:t>TRUs</w:t>
      </w:r>
      <w:r>
        <w:rPr>
          <w:rFonts w:ascii="Times New Roman" w:cs="Times New Roman" w:eastAsia="Times New Roman" w:hAnsi="Times New Roman"/>
          <w:sz w:val="20"/>
          <w:szCs w:val="20"/>
          <w:color w:val="auto"/>
        </w:rPr>
        <w:t>”) on trailers and smaller class refrigerated vehicles, which are crucial for the cold chain logistics sector. This shift towards electrification is driven by the need for more sustainable and efficient cooling solutions, reducing the carbon footprint of refrigerated transport. The expansion of global trade and the continuous push for lower emissions standards are driving the demand for heavy duty trucks equipped with APUs, as well as for the electrification of TRUs, highlighting a considerable market opportunity. This trend emphasizes the potential for advanced battery technologies not only as an environmental solution but also as a competitive advantage in the heavy-duty truck and refrigerated transport markets, offering a substantial retrofitting and market penetration opportunity for battery manufacturers and suppliers with the requisite expertise and product offerings.</w:t>
      </w:r>
    </w:p>
    <w:p>
      <w:pPr>
        <w:spacing w:after="0" w:line="84" w:lineRule="exact"/>
        <w:rPr>
          <w:rFonts w:ascii="Times New Roman" w:cs="Times New Roman" w:eastAsia="Times New Roman" w:hAnsi="Times New Roman"/>
          <w:sz w:val="20"/>
          <w:szCs w:val="20"/>
          <w:color w:val="auto"/>
        </w:rPr>
      </w:pPr>
    </w:p>
    <w:p>
      <w:pPr>
        <w:jc w:val="both"/>
        <w:ind w:left="360" w:hanging="360"/>
        <w:spacing w:after="0"/>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Industrial / Material Handlings / Work Truck. </w:t>
      </w:r>
      <w:r>
        <w:rPr>
          <w:rFonts w:ascii="Times New Roman" w:cs="Times New Roman" w:eastAsia="Times New Roman" w:hAnsi="Times New Roman"/>
          <w:sz w:val="20"/>
          <w:szCs w:val="20"/>
          <w:color w:val="auto"/>
        </w:rPr>
        <w:t>The industrial vehicle market includes work trucks, material handling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warehousing equipment and compact construction equipment. As industrial vehicles increase in terms of automation and incorporate more onboard tools, the need for a long 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83" w:lineRule="exact"/>
        <w:rPr>
          <w:rFonts w:ascii="Times New Roman" w:cs="Times New Roman" w:eastAsia="Times New Roman" w:hAnsi="Times New Roman"/>
          <w:sz w:val="20"/>
          <w:szCs w:val="20"/>
          <w:color w:val="auto"/>
        </w:rPr>
      </w:pPr>
    </w:p>
    <w:p>
      <w:pPr>
        <w:jc w:val="both"/>
        <w:ind w:left="360" w:hanging="360"/>
        <w:spacing w:after="0"/>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Specialty Vehicles. </w:t>
      </w:r>
      <w:r>
        <w:rPr>
          <w:rFonts w:ascii="Times New Roman" w:cs="Times New Roman" w:eastAsia="Times New Roman" w:hAnsi="Times New Roman"/>
          <w:sz w:val="20"/>
          <w:szCs w:val="20"/>
          <w:color w:val="auto"/>
        </w:rPr>
        <w:t>According to Mordor Intelligence, as of 2019, approximately 40% of the specialty vehicle market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United States 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82" w:lineRule="exact"/>
        <w:rPr>
          <w:rFonts w:ascii="Times New Roman" w:cs="Times New Roman" w:eastAsia="Times New Roman" w:hAnsi="Times New Roman"/>
          <w:sz w:val="20"/>
          <w:szCs w:val="20"/>
          <w:color w:val="auto"/>
        </w:rPr>
      </w:pPr>
    </w:p>
    <w:p>
      <w:pPr>
        <w:jc w:val="both"/>
        <w:ind w:left="360" w:hanging="360"/>
        <w:spacing w:after="0"/>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Emergency and Standby Power. </w:t>
      </w:r>
      <w:r>
        <w:rPr>
          <w:rFonts w:ascii="Times New Roman" w:cs="Times New Roman" w:eastAsia="Times New Roman" w:hAnsi="Times New Roman"/>
          <w:sz w:val="20"/>
          <w:szCs w:val="20"/>
          <w:color w:val="auto"/>
        </w:rPr>
        <w:t>Demand for reliable emergency and standby power sources is expected to continue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drive 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87" w:lineRule="exact"/>
        <w:rPr>
          <w:rFonts w:ascii="Times New Roman" w:cs="Times New Roman" w:eastAsia="Times New Roman" w:hAnsi="Times New Roman"/>
          <w:sz w:val="20"/>
          <w:szCs w:val="20"/>
          <w:color w:val="auto"/>
        </w:rPr>
      </w:pPr>
    </w:p>
    <w:p>
      <w:pPr>
        <w:jc w:val="both"/>
        <w:ind w:left="360" w:hanging="360"/>
        <w:spacing w:after="0" w:line="255" w:lineRule="auto"/>
        <w:tabs>
          <w:tab w:leader="none" w:pos="3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Telecom. </w:t>
      </w:r>
      <w:r>
        <w:rPr>
          <w:rFonts w:ascii="Times New Roman" w:cs="Times New Roman" w:eastAsia="Times New Roman" w:hAnsi="Times New Roman"/>
          <w:sz w:val="19"/>
          <w:szCs w:val="19"/>
          <w:color w:val="auto"/>
        </w:rPr>
        <w:t>Demand for mobile data continues to increase and network providers are investing heavily in 5G networks,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particularly in unserved and 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w:t>
      </w:r>
    </w:p>
    <w:p>
      <w:pPr>
        <w:sectPr>
          <w:pgSz w:w="12240" w:h="15840" w:orient="portrait"/>
          <w:cols w:equalWidth="0" w:num="1">
            <w:col w:w="10080"/>
          </w:cols>
          <w:pgMar w:left="1080" w:top="1089" w:right="1080" w:bottom="155" w:gutter="0" w:footer="0" w:header="0"/>
        </w:sect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080"/>
          </w:cols>
          <w:pgMar w:left="1080" w:top="1089" w:right="1080" w:bottom="155" w:gutter="0" w:footer="0" w:header="0"/>
          <w:type w:val="continuous"/>
        </w:sectPr>
      </w:pPr>
    </w:p>
    <w:bookmarkStart w:id="10" w:name="page11"/>
    <w:bookmarkEnd w:id="10"/>
    <w:p>
      <w:pPr>
        <w:jc w:val="both"/>
        <w:ind w:left="360"/>
        <w:spacing w:after="0" w:line="237" w:lineRule="auto"/>
        <w:rPr>
          <w:sz w:val="20"/>
          <w:szCs w:val="20"/>
          <w:color w:val="auto"/>
        </w:rPr>
      </w:pPr>
      <w:r>
        <w:rPr>
          <w:rFonts w:ascii="Times New Roman" w:cs="Times New Roman" w:eastAsia="Times New Roman" w:hAnsi="Times New Roman"/>
          <w:sz w:val="20"/>
          <w:szCs w:val="20"/>
          <w:color w:val="auto"/>
        </w:rPr>
        <w:t>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84" w:lineRule="exact"/>
        <w:rPr>
          <w:sz w:val="20"/>
          <w:szCs w:val="20"/>
          <w:color w:val="auto"/>
        </w:rPr>
      </w:pPr>
    </w:p>
    <w:p>
      <w:pPr>
        <w:jc w:val="both"/>
        <w:ind w:left="360" w:hanging="360"/>
        <w:spacing w:after="0"/>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Rail. </w:t>
      </w:r>
      <w:r>
        <w:rPr>
          <w:rFonts w:ascii="Times New Roman" w:cs="Times New Roman" w:eastAsia="Times New Roman" w:hAnsi="Times New Roman"/>
          <w:sz w:val="20"/>
          <w:szCs w:val="20"/>
          <w:color w:val="auto"/>
        </w:rPr>
        <w:t>Rail transportation is a large potential market, with an estimated U.S. market size of $110.1 billion in 2023, according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IBISWorld. Many 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86" w:lineRule="exact"/>
        <w:rPr>
          <w:rFonts w:ascii="Times New Roman" w:cs="Times New Roman" w:eastAsia="Times New Roman" w:hAnsi="Times New Roman"/>
          <w:sz w:val="20"/>
          <w:szCs w:val="20"/>
          <w:color w:val="auto"/>
        </w:rPr>
      </w:pPr>
    </w:p>
    <w:p>
      <w:pPr>
        <w:jc w:val="both"/>
        <w:ind w:left="360" w:hanging="360"/>
        <w:spacing w:after="0"/>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Data Centers. </w:t>
      </w:r>
      <w:r>
        <w:rPr>
          <w:rFonts w:ascii="Times New Roman" w:cs="Times New Roman" w:eastAsia="Times New Roman" w:hAnsi="Times New Roman"/>
          <w:sz w:val="20"/>
          <w:szCs w:val="20"/>
          <w:color w:val="auto"/>
        </w:rPr>
        <w:t>Data centers have seen strong growth in recent years, with over 5,000 data centers in the United States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September 2023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88" w:lineRule="exact"/>
        <w:rPr>
          <w:rFonts w:ascii="Times New Roman" w:cs="Times New Roman" w:eastAsia="Times New Roman" w:hAnsi="Times New Roman"/>
          <w:sz w:val="20"/>
          <w:szCs w:val="20"/>
          <w:color w:val="auto"/>
        </w:rPr>
      </w:pPr>
    </w:p>
    <w:p>
      <w:pPr>
        <w:jc w:val="both"/>
        <w:ind w:left="360" w:hanging="360"/>
        <w:spacing w:after="0" w:line="241" w:lineRule="auto"/>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On-grid Storage. </w:t>
      </w:r>
      <w:r>
        <w:rPr>
          <w:rFonts w:ascii="Times New Roman" w:cs="Times New Roman" w:eastAsia="Times New Roman" w:hAnsi="Times New Roman"/>
          <w:sz w:val="20"/>
          <w:szCs w:val="20"/>
          <w:color w:val="auto"/>
        </w:rPr>
        <w:t>On-grid energy storage is used on a large-scale platform within an electrical power grid in conjunction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246" w:lineRule="exact"/>
        <w:rPr>
          <w:sz w:val="20"/>
          <w:szCs w:val="20"/>
          <w:color w:val="auto"/>
        </w:rPr>
      </w:pPr>
    </w:p>
    <w:p>
      <w:pPr>
        <w:jc w:val="both"/>
        <w:ind w:left="360" w:hanging="360"/>
        <w:spacing w:after="0"/>
        <w:tabs>
          <w:tab w:leader="none" w:pos="3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Premier Lithium-Ion Battery Technology. </w:t>
      </w:r>
      <w:r>
        <w:rPr>
          <w:rFonts w:ascii="Times New Roman" w:cs="Times New Roman" w:eastAsia="Times New Roman" w:hAnsi="Times New Roman"/>
          <w:sz w:val="20"/>
          <w:szCs w:val="20"/>
          <w:color w:val="auto"/>
        </w:rPr>
        <w:t>Each of our innovative batteries features custom designed components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enhance 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p>
      <w:pPr>
        <w:spacing w:after="0" w:line="84"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Extensive, Growing Patent Portfolio. </w:t>
      </w:r>
      <w:r>
        <w:rPr>
          <w:rFonts w:ascii="Times New Roman" w:cs="Times New Roman" w:eastAsia="Times New Roman" w:hAnsi="Times New Roman"/>
          <w:sz w:val="20"/>
          <w:szCs w:val="20"/>
          <w:color w:val="auto"/>
        </w:rPr>
        <w:t>We have developed and filed patent applications on commercially relevant aspects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our business including chemical compositions systems and production processes. To date, we have owned 44 issued patents, with an additional 39 patent applications pending, in the United States, Canada, Australia, Korea, Japan, India, China, and Europe (with individual patents in Germany, France and the United Kingdom).</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55" w:lineRule="auto"/>
        <w:tabs>
          <w:tab w:leader="none" w:pos="36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Proven Go-To-Market Strategy. </w:t>
      </w:r>
      <w:r>
        <w:rPr>
          <w:rFonts w:ascii="Times New Roman" w:cs="Times New Roman" w:eastAsia="Times New Roman" w:hAnsi="Times New Roman"/>
          <w:sz w:val="19"/>
          <w:szCs w:val="19"/>
          <w:color w:val="auto"/>
        </w:rPr>
        <w:t>We have successfully established a DTC platform and have developed strong working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relationships with major OEMs and fleets in the RV, marine and heavy trucking markets. We custom design and engineer storage systems for new and existing applications. We see opportunities to continue to leverage our success in the aftermarket to expand our relationships to other leading OEMs, fleets, and distributors while further enhancing our DTC</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80"/>
          </w:cols>
          <w:pgMar w:left="1080" w:top="1089" w:right="1080" w:bottom="155" w:gutter="0" w:footer="0" w:header="0"/>
          <w:type w:val="continuous"/>
        </w:sectPr>
      </w:pPr>
    </w:p>
    <w:bookmarkStart w:id="11" w:name="page12"/>
    <w:bookmarkEnd w:id="11"/>
    <w:p>
      <w:pPr>
        <w:ind w:left="360"/>
        <w:spacing w:after="0" w:line="235" w:lineRule="auto"/>
        <w:rPr>
          <w:sz w:val="20"/>
          <w:szCs w:val="20"/>
          <w:color w:val="auto"/>
        </w:rPr>
      </w:pPr>
      <w:r>
        <w:rPr>
          <w:rFonts w:ascii="Times New Roman" w:cs="Times New Roman" w:eastAsia="Times New Roman" w:hAnsi="Times New Roman"/>
          <w:sz w:val="20"/>
          <w:szCs w:val="20"/>
          <w:color w:val="auto"/>
        </w:rPr>
        <w:t>offerings. Extensive informational videos and exceptional customer service provide sales, technical and hands-on service support to facilitate consumer transition from traditional lead-acid or incumbent lithium-ion batteries to our products.</w:t>
      </w:r>
    </w:p>
    <w:p>
      <w:pPr>
        <w:spacing w:after="0" w:line="82" w:lineRule="exact"/>
        <w:rPr>
          <w:sz w:val="20"/>
          <w:szCs w:val="20"/>
          <w:color w:val="auto"/>
        </w:rPr>
      </w:pPr>
    </w:p>
    <w:p>
      <w:pPr>
        <w:jc w:val="both"/>
        <w:ind w:left="360" w:hanging="360"/>
        <w:spacing w:after="0" w:line="239" w:lineRule="auto"/>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Established Customer Base with Brand Recognition. </w:t>
      </w:r>
      <w:r>
        <w:rPr>
          <w:rFonts w:ascii="Times New Roman" w:cs="Times New Roman" w:eastAsia="Times New Roman" w:hAnsi="Times New Roman"/>
          <w:sz w:val="20"/>
          <w:szCs w:val="20"/>
          <w:color w:val="auto"/>
        </w:rPr>
        <w:t>We have a growing customer base of more than 23,000 customers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featuring 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OEMs and fleets with visibility for future growth through further expansion of our existing relationships.</w:t>
      </w:r>
    </w:p>
    <w:p>
      <w:pPr>
        <w:spacing w:after="0" w:line="85"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High Quality Manufacturing Process. </w:t>
      </w:r>
      <w:r>
        <w:rPr>
          <w:rFonts w:ascii="Times New Roman" w:cs="Times New Roman" w:eastAsia="Times New Roman" w:hAnsi="Times New Roman"/>
          <w:sz w:val="20"/>
          <w:szCs w:val="20"/>
          <w:color w:val="auto"/>
        </w:rPr>
        <w:t>Unlike competitors that outsource their manufacturing processes, our batteries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designed, assembled and tested in the United States, ensuring that our manufacturing process is thoroughly tested and our batteries are of the highest quality as a result of governmental regulations for performance and safety.</w:t>
      </w:r>
    </w:p>
    <w:p>
      <w:pPr>
        <w:spacing w:after="0" w:line="83" w:lineRule="exact"/>
        <w:rPr>
          <w:rFonts w:ascii="Times New Roman" w:cs="Times New Roman" w:eastAsia="Times New Roman" w:hAnsi="Times New Roman"/>
          <w:sz w:val="20"/>
          <w:szCs w:val="20"/>
          <w:color w:val="auto"/>
        </w:rPr>
      </w:pPr>
    </w:p>
    <w:p>
      <w:pPr>
        <w:jc w:val="both"/>
        <w:ind w:left="360" w:hanging="360"/>
        <w:spacing w:after="0" w:line="255" w:lineRule="auto"/>
        <w:tabs>
          <w:tab w:leader="none" w:pos="36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Drop-in Replacement. </w:t>
      </w:r>
      <w:r>
        <w:rPr>
          <w:rFonts w:ascii="Times New Roman" w:cs="Times New Roman" w:eastAsia="Times New Roman" w:hAnsi="Times New Roman"/>
          <w:sz w:val="19"/>
          <w:szCs w:val="19"/>
          <w:color w:val="auto"/>
        </w:rPr>
        <w:t>Our battery modules are largely designed to be “drop-in replacements” for traditional lead-acid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Growth Strategy</w:t>
      </w:r>
    </w:p>
    <w:p>
      <w:pPr>
        <w:spacing w:after="0" w:line="19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We intend to leverage our competitive strengths, technology leadership and market share position to pursue our growth strategy through the following:</w:t>
      </w:r>
    </w:p>
    <w:p>
      <w:pPr>
        <w:spacing w:after="0" w:line="199" w:lineRule="exact"/>
        <w:rPr>
          <w:sz w:val="20"/>
          <w:szCs w:val="20"/>
          <w:color w:val="auto"/>
        </w:rPr>
      </w:pPr>
    </w:p>
    <w:p>
      <w:pPr>
        <w:jc w:val="both"/>
        <w:ind w:left="360" w:hanging="360"/>
        <w:spacing w:after="0" w:line="254" w:lineRule="auto"/>
        <w:tabs>
          <w:tab w:leader="none" w:pos="3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Expand Product Offerings. </w:t>
      </w:r>
      <w:r>
        <w:rPr>
          <w:rFonts w:ascii="Times New Roman" w:cs="Times New Roman" w:eastAsia="Times New Roman" w:hAnsi="Times New Roman"/>
          <w:sz w:val="19"/>
          <w:szCs w:val="19"/>
          <w:color w:val="auto"/>
        </w:rPr>
        <w:t>In the short-term, our aim is to further diversify our product offerings to give consumers,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well as OEMs and 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Additionally, in 2024, we began selling to both OEM customers and retail consumers batteries having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p>
      <w:pPr>
        <w:spacing w:after="0" w:line="73" w:lineRule="exact"/>
        <w:rPr>
          <w:rFonts w:ascii="Times New Roman" w:cs="Times New Roman" w:eastAsia="Times New Roman" w:hAnsi="Times New Roman"/>
          <w:sz w:val="19"/>
          <w:szCs w:val="19"/>
          <w:color w:val="auto"/>
        </w:rPr>
      </w:pPr>
    </w:p>
    <w:p>
      <w:pPr>
        <w:jc w:val="both"/>
        <w:ind w:left="360" w:hanging="360"/>
        <w:spacing w:after="0" w:line="239" w:lineRule="auto"/>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Expand End Markets. </w:t>
      </w:r>
      <w:r>
        <w:rPr>
          <w:rFonts w:ascii="Times New Roman" w:cs="Times New Roman" w:eastAsia="Times New Roman" w:hAnsi="Times New Roman"/>
          <w:sz w:val="20"/>
          <w:szCs w:val="20"/>
          <w:color w:val="auto"/>
        </w:rPr>
        <w:t>We have identified additional end markets that we believe in the medium- to longer-term will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increasingly look to alternative energy solutions, such as LFP batteries. Markets, such as long-haul trucking,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84" w:lineRule="exact"/>
        <w:rPr>
          <w:rFonts w:ascii="Times New Roman" w:cs="Times New Roman" w:eastAsia="Times New Roman" w:hAnsi="Times New Roman"/>
          <w:sz w:val="20"/>
          <w:szCs w:val="20"/>
          <w:color w:val="auto"/>
        </w:rPr>
      </w:pPr>
    </w:p>
    <w:p>
      <w:pPr>
        <w:jc w:val="both"/>
        <w:ind w:left="360" w:hanging="360"/>
        <w:spacing w:after="0" w:line="254" w:lineRule="auto"/>
        <w:tabs>
          <w:tab w:leader="none" w:pos="3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Commercialize our Dry Electrode Cell Manufacturing Technology. </w:t>
      </w:r>
      <w:r>
        <w:rPr>
          <w:rFonts w:ascii="Times New Roman" w:cs="Times New Roman" w:eastAsia="Times New Roman" w:hAnsi="Times New Roman"/>
          <w:sz w:val="19"/>
          <w:szCs w:val="19"/>
          <w:color w:val="auto"/>
        </w:rPr>
        <w:t>In July 2023, we completed the construction of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proprietary and patented cell manufacturing pilot line. 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have since produced sample cells using PFAS-free binders and automotive-grade electrode loadings and C-rates, and are now working on the design and deployment of scaled-up coating equipment that can be applied to a GWh-scale factory, reflecting the shift in industry priorities from cell performance to cost-effective scalability.</w:t>
      </w:r>
    </w:p>
    <w:p>
      <w:pPr>
        <w:spacing w:after="0" w:line="75" w:lineRule="exact"/>
        <w:rPr>
          <w:rFonts w:ascii="Times New Roman" w:cs="Times New Roman" w:eastAsia="Times New Roman" w:hAnsi="Times New Roman"/>
          <w:sz w:val="19"/>
          <w:szCs w:val="19"/>
          <w:color w:val="auto"/>
        </w:rPr>
      </w:pPr>
    </w:p>
    <w:p>
      <w:pPr>
        <w:jc w:val="both"/>
        <w:ind w:left="360" w:hanging="360"/>
        <w:spacing w:after="0" w:line="238" w:lineRule="auto"/>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Develop and Commercialize Solid-State Technology. </w:t>
      </w:r>
      <w:r>
        <w:rPr>
          <w:rFonts w:ascii="Times New Roman" w:cs="Times New Roman" w:eastAsia="Times New Roman" w:hAnsi="Times New Roman"/>
          <w:sz w:val="20"/>
          <w:szCs w:val="20"/>
          <w:color w:val="auto"/>
        </w:rPr>
        <w:t>We believe solid-state technology presents a significant advantage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all products currently 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Products and Technology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Chemistry Comparison</w:t>
      </w:r>
    </w:p>
    <w:p>
      <w:pPr>
        <w:spacing w:after="0" w:line="1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sectPr>
          <w:pgSz w:w="12240" w:h="15840" w:orient="portrait"/>
          <w:cols w:equalWidth="0" w:num="1">
            <w:col w:w="10080"/>
          </w:cols>
          <w:pgMar w:left="1080" w:top="1089" w:right="1080" w:bottom="155" w:gutter="0" w:footer="0" w:header="0"/>
        </w:sect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080"/>
          </w:cols>
          <w:pgMar w:left="1080" w:top="1089" w:right="1080" w:bottom="155" w:gutter="0" w:footer="0" w:header="0"/>
          <w:type w:val="continuous"/>
        </w:sectPr>
      </w:pPr>
    </w:p>
    <w:bookmarkStart w:id="12" w:name="page13"/>
    <w:bookmarkEnd w:id="12"/>
    <w:p>
      <w:pPr>
        <w:jc w:val="both"/>
        <w:spacing w:after="0" w:line="239" w:lineRule="auto"/>
        <w:rPr>
          <w:sz w:val="20"/>
          <w:szCs w:val="20"/>
          <w:color w:val="auto"/>
        </w:rPr>
      </w:pPr>
      <w:r>
        <w:rPr>
          <w:rFonts w:ascii="Times New Roman" w:cs="Times New Roman" w:eastAsia="Times New Roman" w:hAnsi="Times New Roman"/>
          <w:sz w:val="20"/>
          <w:szCs w:val="20"/>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20"/>
          <w:szCs w:val="20"/>
          <w:b w:val="1"/>
          <w:bCs w:val="1"/>
          <w:color w:val="auto"/>
        </w:rPr>
        <w:t>NMC</w:t>
      </w:r>
      <w:r>
        <w:rPr>
          <w:rFonts w:ascii="Times New Roman" w:cs="Times New Roman" w:eastAsia="Times New Roman" w:hAnsi="Times New Roman"/>
          <w:sz w:val="20"/>
          <w:szCs w:val="20"/>
          <w:color w:val="auto"/>
        </w:rPr>
        <w:t>”), and nickel cobalt aluminum (“</w:t>
      </w:r>
      <w:r>
        <w:rPr>
          <w:rFonts w:ascii="Times New Roman" w:cs="Times New Roman" w:eastAsia="Times New Roman" w:hAnsi="Times New Roman"/>
          <w:sz w:val="20"/>
          <w:szCs w:val="20"/>
          <w:b w:val="1"/>
          <w:bCs w:val="1"/>
          <w:color w:val="auto"/>
        </w:rPr>
        <w:t>NCA</w:t>
      </w:r>
      <w:r>
        <w:rPr>
          <w:rFonts w:ascii="Times New Roman" w:cs="Times New Roman" w:eastAsia="Times New Roman" w:hAnsi="Times New Roman"/>
          <w:sz w:val="20"/>
          <w:szCs w:val="20"/>
          <w:color w:val="auto"/>
        </w:rPr>
        <w:t>”). The higher energy density and shorter cycle life found in NMC and NCA batteries are suitable for markets where fast charging and high energy density are required, such as electric vehicle (“</w:t>
      </w:r>
      <w:r>
        <w:rPr>
          <w:rFonts w:ascii="Times New Roman" w:cs="Times New Roman" w:eastAsia="Times New Roman" w:hAnsi="Times New Roman"/>
          <w:sz w:val="20"/>
          <w:szCs w:val="20"/>
          <w:b w:val="1"/>
          <w:bCs w:val="1"/>
          <w:color w:val="auto"/>
        </w:rPr>
        <w:t>EV</w:t>
      </w:r>
      <w:r>
        <w:rPr>
          <w:rFonts w:ascii="Times New Roman" w:cs="Times New Roman" w:eastAsia="Times New Roman" w:hAnsi="Times New Roman"/>
          <w:sz w:val="20"/>
          <w:szCs w:val="20"/>
          <w:color w:val="auto"/>
        </w:rPr>
        <w:t>”)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152400</wp:posOffset>
            </wp:positionV>
            <wp:extent cx="5485765" cy="168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5485765" cy="168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Times New Roman" w:cs="Times New Roman" w:eastAsia="Times New Roman" w:hAnsi="Times New Roman"/>
          <w:sz w:val="20"/>
          <w:szCs w:val="20"/>
          <w:i w:val="1"/>
          <w:iCs w:val="1"/>
          <w:color w:val="auto"/>
        </w:rPr>
        <w:t>Lithium and Cobalt: A tale of two commodities</w:t>
      </w:r>
      <w:r>
        <w:rPr>
          <w:rFonts w:ascii="Times New Roman" w:cs="Times New Roman" w:eastAsia="Times New Roman" w:hAnsi="Times New Roman"/>
          <w:sz w:val="20"/>
          <w:szCs w:val="20"/>
          <w:color w:val="auto"/>
        </w:rPr>
        <w:t>”,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as compared to NMC and NCA batteries, making LFP batteries less flammable and safer.</w:t>
      </w:r>
    </w:p>
    <w:p>
      <w:pPr>
        <w:spacing w:after="0" w:line="2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 loaded cost of energy (production and storage) approaches cost parity with inexpensive fossil fuel energy provided through the electric grid. Compared to NMC and NCA batteries, LFP batteries are at or much closer to grid parity.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Dry Electrode Cell Manufacturing Technology</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Since our inception, we have been developing proprietary dry-electrode manufacturing processes for which we have issued patents and pending patent applications, where appropriate. Dry-electrode manufacturing eliminates the use of toxic and expensive solvents and energy-intensive drying ovens in the cell manufacturing process. This in turn reduces the energy usage, space requirements, carbon footprint, and overall cost as compared to conventional slurry-based methods. Furthermore, the manufacturing technology is chemistry agnostic – meaning it can produce battery cells across a variety of different chemistries and application use cases. In 2023, we completed the construction of our dry-electrode manufacturing pilot line, demonstrated the ability to produce Anode and Cathode electrode tapes at scale using this manufacturing process. We have developed sample cells for prospective customers across a variety of chemistries and end-markets and are designing equipment for scaled production of full cells.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080"/>
          </w:cols>
          <w:pgMar w:left="1080" w:top="1089" w:right="1080" w:bottom="155"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i w:val="1"/>
          <w:iCs w:val="1"/>
          <w:color w:val="auto"/>
        </w:rPr>
        <w:t>Solid-State Cells</w:t>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8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 w:cs="Times New Roman" w:eastAsia="Times New Roman" w:hAnsi="Times New Roman"/>
          <w:sz w:val="20"/>
          <w:szCs w:val="20"/>
          <w:i w:val="1"/>
          <w:iCs w:val="1"/>
          <w:color w:val="auto"/>
        </w:rPr>
        <w:t>Research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Development</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provide various industries with clean, reliable, and efficient power solutions through our comprehensive product portfolio.</w:t>
      </w:r>
    </w:p>
    <w:p>
      <w:pPr>
        <w:spacing w:after="0" w:line="237" w:lineRule="auto"/>
        <w:rPr>
          <w:sz w:val="20"/>
          <w:szCs w:val="20"/>
          <w:color w:val="auto"/>
        </w:rPr>
      </w:pPr>
      <w:r>
        <w:rPr>
          <w:rFonts w:ascii="Times New Roman" w:cs="Times New Roman" w:eastAsia="Times New Roman" w:hAnsi="Times New Roman"/>
          <w:sz w:val="20"/>
          <w:szCs w:val="20"/>
          <w:color w:val="auto"/>
        </w:rPr>
        <w:t>These products and solutions are sold to both OEMs and retail customers.</w:t>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Our lead product line is Battle Born Batteries product line, respected for its exceptional performance and durability. When compared to traditional lead-acid options, Battle Born Batteries deliver two to three times the power in the same physical space, one-fifth the weight for equal usable power, and up to five times faster charging. Additionally, these batteries have extended lifespans of 3,000-5,000 cycles, translating to ten to fifteen years of reliable use under typical conditions. This longevity is backed by our 10-year warranty, showcasing our commitment to quality. The Battle Born Batteries product line currently features various sizes and configurations including models with proprietary built-in heating for cold weather charging and Dragonfly IntelLigence™, a communication technology that unlocks real-time monitoring, instant notifications, various protocol integration and superior battery protection. A focus on safety is central to our products, and all Battle Born Battery products utilize LiFePO4 chemistry, the safest lithium-ion chemistry available on the market. Additionally, our battery products undergo rigorous testing under stringent industry standards like UL Standard 2054, IEC 62133, UN 38.3 and IP65 to ensure safety and reliability.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Looking beyond batteries, we also offer a diverse range of power products.</w:t>
      </w:r>
    </w:p>
    <w:p>
      <w:pPr>
        <w:spacing w:after="0" w:line="185" w:lineRule="exact"/>
        <w:rPr>
          <w:sz w:val="20"/>
          <w:szCs w:val="20"/>
          <w:color w:val="auto"/>
        </w:rPr>
      </w:pPr>
    </w:p>
    <w:p>
      <w:pPr>
        <w:jc w:val="both"/>
        <w:ind w:left="360" w:hanging="360"/>
        <w:spacing w:after="0" w:line="233" w:lineRule="auto"/>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Wakespeed Advanced Alternator Regulator, WS500, utilizes current, voltage, and temperature to deliver precise and effective charging of battery banks via an alternator. Its intelligent control leverages advanced multi-PID engine technology to ensure the most accurate charging available, simplifying installation, configuration, and operation. The WS500 offers superior protection for both lead-acid and lithium battery chemistries, making it a valuable investment for optimizing power management and extending battery life.</w:t>
      </w:r>
    </w:p>
    <w:p>
      <w:pPr>
        <w:spacing w:after="0" w:line="76" w:lineRule="exact"/>
        <w:rPr>
          <w:rFonts w:ascii="Times New Roman" w:cs="Times New Roman" w:eastAsia="Times New Roman" w:hAnsi="Times New Roman"/>
          <w:sz w:val="20"/>
          <w:szCs w:val="20"/>
          <w:color w:val="auto"/>
        </w:rPr>
      </w:pPr>
    </w:p>
    <w:p>
      <w:pPr>
        <w:jc w:val="both"/>
        <w:ind w:left="360" w:hanging="360"/>
        <w:spacing w:after="0" w:line="234" w:lineRule="auto"/>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Battle Born Batteries Lithium Power Pack Series features all-in-one power solutions for RVs, vans, and other mobile, off-grid, and industrial applications. These pre-wired, ready-to-go systems make the upgrade to lithium simple with easy installation into RVs or other applications. Designed with the dimensions and mounting points of traditional generators in mind, Lithium Power Packs are made to be quiet, sustainable, and simple drop-in replacements, allowing customers to eliminate generator fuel and noise. Custom configurations of Lithium Power Pack products are available for dealers and OEMs to size these all-in-one solutions to their specific needs.</w:t>
      </w:r>
    </w:p>
    <w:p>
      <w:pPr>
        <w:spacing w:after="0" w:line="73" w:lineRule="exact"/>
        <w:rPr>
          <w:rFonts w:ascii="Times New Roman" w:cs="Times New Roman" w:eastAsia="Times New Roman" w:hAnsi="Times New Roman"/>
          <w:sz w:val="20"/>
          <w:szCs w:val="20"/>
          <w:color w:val="auto"/>
        </w:rPr>
      </w:pPr>
    </w:p>
    <w:p>
      <w:pPr>
        <w:jc w:val="both"/>
        <w:ind w:left="360" w:hanging="360"/>
        <w:spacing w:after="0" w:line="234" w:lineRule="auto"/>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for the demanding world of heavy-duty trucking, our Battle Born All-Electric APU leverages a lithium battery system to empower drivers with long lasting power for their hotel loads. This upgrade eliminates the need for idling and its associated fuel costs and emissions—this APU provides power to run a truck’s HVAC, appliances, and electronics during mandatory rest periods. The Battle Born All Electric APU is pre-assembled and pre-wired, seamlessly integrating into a truck’s frame rails.</w:t>
      </w:r>
    </w:p>
    <w:p>
      <w:pPr>
        <w:spacing w:after="0" w:line="18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Additionally, as a distributor of leading brands like Victron, Schneider, and REDARC, we act as a one-stop shop for full system integration, catering to both OEMs and retail customers. Our complete offering allows customers to benefit from clean and sustainable power, extended lifespans, reduced costs, increased efficiency, and seamless integration - all backed by expert service and support.</w:t>
      </w:r>
    </w:p>
    <w:p>
      <w:pPr>
        <w:sectPr>
          <w:pgSz w:w="12240" w:h="15840" w:orient="portrait"/>
          <w:cols w:equalWidth="0" w:num="1">
            <w:col w:w="10080"/>
          </w:cols>
          <w:pgMar w:left="1080" w:top="1075" w:right="1080" w:bottom="155"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080"/>
          </w:cols>
          <w:pgMar w:left="1080" w:top="1075" w:right="1080" w:bottom="155"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auto"/>
        </w:rPr>
        <w:t>Battery Management System</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244" w:lineRule="exact"/>
        <w:rPr>
          <w:sz w:val="20"/>
          <w:szCs w:val="20"/>
          <w:color w:val="auto"/>
        </w:rPr>
      </w:pPr>
    </w:p>
    <w:p>
      <w:pPr>
        <w:ind w:left="360" w:hanging="360"/>
        <w:spacing w:after="0" w:line="236" w:lineRule="auto"/>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enables batteries to draw power under 135 degrees Fahrenheit, and is designed to cut off charging at 24 degrees Fahrenheit to protect cells;</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actively monitors the rate of change of currents to detect and prevent short circuiting, and also protects against potential ground faults;</w:t>
      </w:r>
    </w:p>
    <w:p>
      <w:pPr>
        <w:spacing w:after="0" w:line="82"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allows for up to an average of 300 amps continuously, 500 amp surges for 30 seconds, and momentary, half second maximum capacity surges;</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enables batteries to recharge even if completely drained;</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utilizes larger resistors to ensure balanced loads to improve performance and extend useful life; and</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facilitates scalability by enabling batteries to be combined in parallel and in series.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Battery Communication System</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began offering the Dragonfly IntelLigence product line to OEMs in the third quarter of 2024, and to retail consumers in the fourth quarter of 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Alternator Regulation</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has allowed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Pipeline</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Beyond our current battery modules, we have several LFP products in development that will enable us to access additional end markets.</w:t>
      </w:r>
    </w:p>
    <w:p>
      <w:pPr>
        <w:spacing w:after="0" w:line="246" w:lineRule="exact"/>
        <w:rPr>
          <w:sz w:val="20"/>
          <w:szCs w:val="20"/>
          <w:color w:val="auto"/>
        </w:rPr>
      </w:pPr>
    </w:p>
    <w:p>
      <w:pPr>
        <w:jc w:val="both"/>
        <w:ind w:left="360" w:hanging="360"/>
        <w:spacing w:after="0" w:line="237" w:lineRule="auto"/>
        <w:tabs>
          <w:tab w:leader="none" w:pos="3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New Products. </w:t>
      </w:r>
      <w:r>
        <w:rPr>
          <w:rFonts w:ascii="Times New Roman" w:cs="Times New Roman" w:eastAsia="Times New Roman" w:hAnsi="Times New Roman"/>
          <w:sz w:val="20"/>
          <w:szCs w:val="20"/>
          <w:color w:val="auto"/>
        </w:rPr>
        <w:t>Our current offerings feature battery products that serve the RV, marine vessel and off-grid markets.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Although manufacturing operations were previously capacity constrained the expansion into our new manufacturing facility will allow us to add production capacity and increase product offerings and scale based on demand.</w:t>
      </w:r>
    </w:p>
    <w:p>
      <w:pPr>
        <w:spacing w:after="0" w:line="84"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majority of our current batteries are 12 volt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83"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86" w:lineRule="exact"/>
        <w:rPr>
          <w:rFonts w:ascii="Times New Roman" w:cs="Times New Roman" w:eastAsia="Times New Roman" w:hAnsi="Times New Roman"/>
          <w:sz w:val="20"/>
          <w:szCs w:val="20"/>
          <w:color w:val="auto"/>
        </w:rPr>
      </w:pPr>
    </w:p>
    <w:p>
      <w:pPr>
        <w:jc w:val="both"/>
        <w:ind w:left="360" w:hanging="360"/>
        <w:spacing w:after="0" w:line="257" w:lineRule="auto"/>
        <w:tabs>
          <w:tab w:leader="none" w:pos="3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intend to offer 48 voltage batteries at 100 amp hours that utilize the Dragonfly IntelLigence system to maintain balance and full visibility into the status of all cells. The 48 voltage batteries provide further efficiency gains with higher voltage.</w:t>
      </w:r>
    </w:p>
    <w:p>
      <w:pPr>
        <w:sectPr>
          <w:pgSz w:w="12240" w:h="15840" w:orient="portrait"/>
          <w:cols w:equalWidth="0" w:num="1">
            <w:col w:w="10080"/>
          </w:cols>
          <w:pgMar w:left="1080" w:top="1079" w:right="1080" w:bottom="155"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080"/>
          </w:cols>
          <w:pgMar w:left="1080" w:top="1079" w:right="1080" w:bottom="155" w:gutter="0" w:footer="0" w:header="0"/>
          <w:type w:val="continuous"/>
        </w:sectPr>
      </w:pPr>
    </w:p>
    <w:bookmarkStart w:id="15" w:name="page16"/>
    <w:bookmarkEnd w:id="15"/>
    <w:p>
      <w:pPr>
        <w:jc w:val="both"/>
        <w:ind w:left="360"/>
        <w:spacing w:after="0" w:line="237" w:lineRule="auto"/>
        <w:rPr>
          <w:sz w:val="20"/>
          <w:szCs w:val="20"/>
          <w:color w:val="auto"/>
        </w:rPr>
      </w:pPr>
      <w:r>
        <w:rPr>
          <w:rFonts w:ascii="Times New Roman" w:cs="Times New Roman" w:eastAsia="Times New Roman" w:hAnsi="Times New Roman"/>
          <w:sz w:val="20"/>
          <w:szCs w:val="20"/>
          <w:color w:val="auto"/>
        </w:rPr>
        <w:t>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84" w:lineRule="exact"/>
        <w:rPr>
          <w:sz w:val="20"/>
          <w:szCs w:val="20"/>
          <w:color w:val="auto"/>
        </w:rPr>
      </w:pPr>
    </w:p>
    <w:p>
      <w:pPr>
        <w:jc w:val="both"/>
        <w:ind w:left="360" w:hanging="360"/>
        <w:spacing w:after="0"/>
        <w:tabs>
          <w:tab w:leader="none" w:pos="3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System Integrator. </w:t>
      </w:r>
      <w:r>
        <w:rPr>
          <w:rFonts w:ascii="Times New Roman" w:cs="Times New Roman" w:eastAsia="Times New Roman" w:hAnsi="Times New Roman"/>
          <w:sz w:val="20"/>
          <w:szCs w:val="20"/>
          <w:color w:val="auto"/>
        </w:rPr>
        <w:t>A natural evolution of our business is to offer customers a system integration solution providing more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efficient power solutions 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research and development team has built up its efforts to support two main initiatives – (1) scale up of our patented dry electrode process for cell manufacturing and (2) the advanced manufacturing of solid-state lithium-ion batteries. We believe the dry electrode process can be leveraged to help us vertically integrate from a pack supplier to a cell supplier – positioning ourselves for long-term competitiveness in the given geopolitical, economic, and technological landscapes. Our innovations in dry electrode processing result in reduced manufacturing costs, CO</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xml:space="preserve"> equivalents, and factory footprint while eliminating the need for solvents like N-Methyl-2-pyrrolidone (“</w:t>
      </w:r>
      <w:r>
        <w:rPr>
          <w:rFonts w:ascii="Times New Roman" w:cs="Times New Roman" w:eastAsia="Times New Roman" w:hAnsi="Times New Roman"/>
          <w:sz w:val="20"/>
          <w:szCs w:val="20"/>
          <w:b w:val="1"/>
          <w:bCs w:val="1"/>
          <w:color w:val="auto"/>
        </w:rPr>
        <w:t>NMP</w:t>
      </w:r>
      <w:r>
        <w:rPr>
          <w:rFonts w:ascii="Times New Roman" w:cs="Times New Roman" w:eastAsia="Times New Roman" w:hAnsi="Times New Roman"/>
          <w:sz w:val="20"/>
          <w:szCs w:val="20"/>
          <w:color w:val="auto"/>
        </w:rPr>
        <w:t>”). A third-party assessment conducted by Sphere Energy confirming these benefits has been completed in the first quarter of 2024 relating to cost effectiveness and sustainability of our dry electrode battery manufacturing process (the “</w:t>
      </w:r>
      <w:r>
        <w:rPr>
          <w:rFonts w:ascii="Times New Roman" w:cs="Times New Roman" w:eastAsia="Times New Roman" w:hAnsi="Times New Roman"/>
          <w:sz w:val="20"/>
          <w:szCs w:val="20"/>
          <w:b w:val="1"/>
          <w:bCs w:val="1"/>
          <w:color w:val="auto"/>
        </w:rPr>
        <w:t>Sphere Energy Assessment</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Sphere Energy Assessment concluded that our dry electrode battery manufacturing process resulted in a 9% reduced carbon footprint of cell manufacturing with no toxic NMP solvent required, resulting in a significantly more sustainable process. This sustainability advantage is further augmented by a 71% reduction in energy usage during electrode manufacturing using our process (spray drying, coating, calendaring) compared to standard cell manufacturing operations (slurry casting, drying, calendaring). By removing the need for large and expensive drying ovens, our manufacturing process requires 22% less square footage. The culmination of these advantages results in a 25% reduction in emissions from energy use, making our manufacturing process more sustainable and much more environmentally friendly as compared to conventional manufacturing methods.</w:t>
      </w:r>
    </w:p>
    <w:p>
      <w:pPr>
        <w:spacing w:after="0" w:line="24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addition to the energy savings, the cost assessment found our process to be highly cost-effective with an estimated 5% savings (depending on cell chemistry) on process-related costs compared to conventional methods. Importantly, these savings were calculated without the additional cost benefits provided by domestically manufacturing battery cells such as Inflation Reduction Act tax credits (issued by the IRS), tariffs, and shipping.</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dry electrode battery manufacturing process we employ uses a patented spray coating technology to adhere the anode and cathode electrodes, eliminating the need for large, energy-intensive equipment such as slurry coaters, conveyor dryers, and NMP processing equipment. This process is chemistry agnostic, allowing for the various applications, such as electric vehicles, consumer electronics, and energy storage, which is expected to enable us to expand into new markets and to achieve our goal of domestically producing nonflammable all-solid-state battery cells.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have successfully produced anode and cathode electrode reels at scale using the dry electrode process and are now qualifying prototype cells for the core business and potential partners. When compared to slurry cast electrode tapes, which is the conventional manufacturing method, electrode tapes produced using the dry electrode process match or surpass mechanical integrity and electrochemical performance. We are considering joint development agreements, licensing agreements, and offtake agreements as instruments of partnership with interested parties.</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comparison with traditional manufacturing methods, our patented process leverages two off-the-shelf technologies to deliver the stated cell manufacturing benefits – spray drying and electrostatic powder coating. Technical risk is reduced by using off-the-shelf equipment and both unit operations continue to be optimized in 2025. A new set of spray dryers have arrived at our facility in the second quarter of 2024, enabling us to produce larger volumes of material for the electrode coating lines. However, we have delayed the deployment of these spray dryers until at least the third quarter of 2025 as we focus on designing larger-scale electrode coating equipment.</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080"/>
          </w:cols>
          <w:pgMar w:left="1080" w:top="1089" w:right="1080" w:bottom="155"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1143000</wp:posOffset>
            </wp:positionH>
            <wp:positionV relativeFrom="page">
              <wp:posOffset>685800</wp:posOffset>
            </wp:positionV>
            <wp:extent cx="5486400" cy="2531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486400" cy="253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have developed our patented to be chemistry agnostic and capable of producing current cell chemistries (graphite, LCO, LFP, LTO, NCA, NMC, LTO, silicon, etc.) and next generation cell chemistries (sodium-ion, solid-state, ionic liquid electrolytes, etc.). We believe this flexibility and our robust intellectual property protection internationally positions us well for potential partnerships with cell manufacturers, EV companies, and other pack suppliers in need of cell capacity. The next stage in technical development is to produce larger volumes of sample cells for qualification. These production runs will be completed with partners in the United States and at our own facilities . We have invested significant resources into developing an in-house comprehensive understanding of cell manufacturing – raw material qualification, quality control such as, cell failure diagnostics, aging, and formation processes. Our research and development Lab is equipped with over $20 million in research infrastructure to support the development of new cell chemistries, process quality control, failure diagnostics, and more. This equipment includes quality control instruments (ex. moisture analysis, particle size analysis, peel testing and titrations) and cutting-edge research instrumentation such as en operando nuclear magnetic resonance (“</w:t>
      </w:r>
      <w:r>
        <w:rPr>
          <w:rFonts w:ascii="Times New Roman" w:cs="Times New Roman" w:eastAsia="Times New Roman" w:hAnsi="Times New Roman"/>
          <w:sz w:val="20"/>
          <w:szCs w:val="20"/>
          <w:b w:val="1"/>
          <w:bCs w:val="1"/>
          <w:color w:val="auto"/>
        </w:rPr>
        <w:t>NMR</w:t>
      </w:r>
      <w:r>
        <w:rPr>
          <w:rFonts w:ascii="Times New Roman" w:cs="Times New Roman" w:eastAsia="Times New Roman" w:hAnsi="Times New Roman"/>
          <w:sz w:val="20"/>
          <w:szCs w:val="20"/>
          <w:color w:val="auto"/>
        </w:rPr>
        <w:t>”), electron microscopes with lithium-tracking capabilities, and en operando x-ray diffraction. This infrastructure has allowed us to optimize the dry-electrode process, allowing our team to match or surpass traditional electrode tape performance and mechanical integrity. Because our process is dry and the active material is coated directly onto the current collector, interfacial and composite resistivity of the electrode tapes often surpass the quality of slurry cast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150495</wp:posOffset>
            </wp:positionV>
            <wp:extent cx="5485130" cy="2188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5485130" cy="2188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solid-state technology continues to progress as we qualify new chemistries and refine the dry electrode process for solid-state applications. Currently, we are cycling solid-state coin cells, although we have delayed the production of prototype pouch cells until at least the beginning of 2026. These cell chemistries are nonflammable, solid-state, and an LFP/graphite cell chemistry. We believe these cells will be a pivotal technology in grid storage applications once fully deployed. We intend to integrate our conventional and solid-state cells produced using our dry-electrode process into the existing Dragonfly Energy and Battle Born Batteries product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080"/>
          </w:cols>
          <w:pgMar w:left="1080" w:top="1440" w:right="1080" w:bottom="155"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Headquarters, Manufacturing, and Production</w:t>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On February 8, 2022, we entered into a 124-month lease for an additional 390,240 square foot warehouse. In November 2024, we relocated our headquarters from our 99,000 square foot facility in Reno, Nevada to our new 390,240 square foot facility also in Reno, Nevada, which has allowed us to increase our production capacity and gives us the ability to increase sales to existing customers and penetrate new markets. Our 390,240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do not own any real estate property. We currently have two production lines with another line currently in construction. We continue to have the capability to expand our production volumes and line quantities to support increased volumes of new products we intend to introduce soon.</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On April 12, 2024, we entered into the Fernley Lease Agreement pursuant to which we agreed to lease an approximately 64,000 square foot facility (the “</w:t>
      </w: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in Fernley, Nevada, to be used for general, warehousing, assembly/light manufacturing, painting of products, storage fulfillment, distribution of our products, and other uses as permitted under in the Fernley Lease Agreement.</w:t>
      </w:r>
    </w:p>
    <w:p>
      <w:pPr>
        <w:spacing w:after="0" w:line="18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Our manufacturing process is divided into two aspects – (1) module assembly and (2)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fully discharged, recharged fully,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147955</wp:posOffset>
            </wp:positionV>
            <wp:extent cx="5484495" cy="1251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548449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Supplier Relationships</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spacing w:after="0" w:line="18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As we look toward the production of our traditional and solid-state cells, we have signed a Commercial Offtake Agreement with a lithium mining company and a lithium recycling company, both located in Nevada for the supply of lithium.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 RV OEM Strategic Arrangements</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We currently serve more than 23,000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2024 and 2023, OEM sales represented 54.5% and 42.7% of our total revenues, respectively.</w:t>
      </w:r>
    </w:p>
    <w:p>
      <w:pPr>
        <w:sectPr>
          <w:pgSz w:w="12240" w:h="15840" w:orient="portrait"/>
          <w:cols w:equalWidth="0" w:num="1">
            <w:col w:w="10080"/>
          </w:cols>
          <w:pgMar w:left="1080" w:top="1075" w:right="1080" w:bottom="155"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080"/>
          </w:cols>
          <w:pgMar w:left="1080" w:top="1075" w:right="1080" w:bottom="155" w:gutter="0" w:footer="0" w:header="0"/>
          <w:type w:val="continuous"/>
        </w:sectPr>
      </w:pPr>
    </w:p>
    <w:bookmarkStart w:id="18" w:name="page19"/>
    <w:bookmarkEnd w:id="18"/>
    <w:p>
      <w:pPr>
        <w:jc w:val="both"/>
        <w:spacing w:after="0" w:line="239" w:lineRule="auto"/>
        <w:rPr>
          <w:sz w:val="20"/>
          <w:szCs w:val="20"/>
          <w:color w:val="auto"/>
        </w:rPr>
      </w:pPr>
      <w:r>
        <w:rPr>
          <w:rFonts w:ascii="Times New Roman" w:cs="Times New Roman" w:eastAsia="Times New Roman" w:hAnsi="Times New Roman"/>
          <w:sz w:val="20"/>
          <w:szCs w:val="20"/>
          <w:color w:val="auto"/>
        </w:rPr>
        <w:t>We have deep, long-standing relationships with many of our customers. We also have a diverse customer base, with our top 10 customers accounting for 47.4% of our revenue for the year ended December 31, 2024, in which only one customer accounted for more than 10% of our revenue. Our customers primarily utilize our products for RVs, marine vessels and off-grid residences. We work directly with OEMs to ensure compatibility with existing designs and also collaborate on custom designs for new applications.</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w:t>
      </w:r>
      <w:r>
        <w:rPr>
          <w:rFonts w:ascii="Times New Roman" w:cs="Times New Roman" w:eastAsia="Times New Roman" w:hAnsi="Times New Roman"/>
          <w:sz w:val="20"/>
          <w:szCs w:val="20"/>
          <w:b w:val="1"/>
          <w:bCs w:val="1"/>
          <w:color w:val="auto"/>
        </w:rPr>
        <w:t>Supply Agreement</w:t>
      </w:r>
      <w:r>
        <w:rPr>
          <w:rFonts w:ascii="Times New Roman" w:cs="Times New Roman" w:eastAsia="Times New Roman" w:hAnsi="Times New Roman"/>
          <w:sz w:val="20"/>
          <w:szCs w:val="20"/>
          <w:color w:val="auto"/>
        </w:rPr>
        <w:t>”). Under the Supply Agreement, we will be the exclusive supplier to Keystone for certain of its future LFP battery requirements, solidifying our long standing relationship with Keystone.</w:t>
      </w:r>
    </w:p>
    <w:p>
      <w:pPr>
        <w:spacing w:after="0" w:line="19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July 2022, we strengthened our ties with the THOR group of RV OEMs when (i) THOR Industries made a $15,000,000 strategic investment in us and (ii) we agreed to enter into a future, mutually agreed distribution arrangement and joint IP development arrangement. This arrangement helps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continue to seek to grow our customer base within our existing segments; however, we also believe that our products are well suited to address the needs in additional segments, including residential, commercial and/or industrial standby power, long-haul trucking,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proven sales and marketing strategy has allowed us to penetrate our current end markets efficiently. We have established a highly efficient sales and marketing strategy, to penetrate targeted end markets and ensuring prominent visibility for our Battle Born Batteries and Wakespeed brands. We prioritize educating our customer base about the benefits of LFP batteries as a superior investment compared to traditional lead-acid options. Informational videos published on our website and social media platforms highlight these advantages, complemented by written guides that assist customers in configuring, installing, and utilizing battery systems and accessories. This messaging is further reinforced through our active presence at tradeshows, live webinars, and other in-person training events with dealers and customers, fostering direct engagement and ensuring comprehensive product understanding. Participation in these events fosters strong relationships with both OEMs and retail customers, keeping us attuned to evolving preferences. By leveraging this customer feedback, we collaborate with major OEMs to design solutions tailored to new and existing applications.</w:t>
      </w:r>
    </w:p>
    <w:p>
      <w:pPr>
        <w:spacing w:after="0" w:line="20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addition to traditional print and digital advertising, we harness the significant influence of social media platforms like YouTube, Instagram, and Facebook, through affiliate marketing. We partner with established content creators and influencers to cultivate lasting relationships that showcase product performance organically, beyond mere one-off promotions. Organic integration of our products in television shows, podcasts and other similar sponsorships further amplifies brand awareness. Additionally, we foster relationships with key industry publications, securing valuable editorial coverage that showcases our innovative power solutions and how they are used. We believe these strategic collaborations position our brands as industry leaders within our markets and to the general public as a whole, further strengthening brand awareness and consumer confidence.</w:t>
      </w:r>
    </w:p>
    <w:p>
      <w:pPr>
        <w:sectPr>
          <w:pgSz w:w="12240" w:h="15840" w:orient="portrait"/>
          <w:cols w:equalWidth="0" w:num="1">
            <w:col w:w="10080"/>
          </w:cols>
          <w:pgMar w:left="1080" w:top="1089" w:right="1080" w:bottom="155"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080"/>
          </w:cols>
          <w:pgMar w:left="1080" w:top="1089" w:right="1080" w:bottom="155" w:gutter="0" w:footer="0" w:header="0"/>
          <w:type w:val="continuous"/>
        </w:sectPr>
      </w:pPr>
    </w:p>
    <w:bookmarkStart w:id="19" w:name="page20"/>
    <w:bookmarkEnd w:id="19"/>
    <w:p>
      <w:pPr>
        <w:jc w:val="both"/>
        <w:spacing w:after="0" w:line="237" w:lineRule="auto"/>
        <w:rPr>
          <w:sz w:val="20"/>
          <w:szCs w:val="20"/>
          <w:color w:val="auto"/>
        </w:rPr>
      </w:pPr>
      <w:r>
        <w:rPr>
          <w:rFonts w:ascii="Times New Roman" w:cs="Times New Roman" w:eastAsia="Times New Roman" w:hAnsi="Times New Roman"/>
          <w:sz w:val="20"/>
          <w:szCs w:val="20"/>
          <w:color w:val="auto"/>
        </w:rPr>
        <w:t>We also leverage targeted pay-per-click advertising campaigns across various platforms, including search engines, social media, and connected TV. This data driven approach ensures efficient conversion of high-intent customers at the bottom of the purchase funnel, maximizing return on investment and driving targeted brand awareness among potential buyers.</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Direct relationships with retail customers remain a core value. Our user-friendly website facilitates direct purchases of Battle Born Batteries and Wakespeed products, along with well-known third-party components, allowing customers to explore and acquire complete system solutions in one convenient location. Furthermore, a dedicated team of in-house experts provides comprehensive sales, technical, and service support to ensure our valued customers receive exceptional care and expertise.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energy storage market is highly competitive, with traditional lead-acid batteries still dominating. However, lithium-ion adoption continues to grow as customers seek better performance and longer lifespans. We compete with traditional lead-acid manufacturers and distributers, such as East Penn, Trojan, and Interstate and companies importing and white-labeling low-cost lithium products. This influx of inexpensive overseas batteries has intensified price competition. We believe our products stand out through American design and assembly, premium components, superior customer service, and full system design capabilities. Our batteries are lighter and longer-lasting compared to traditional lead-acid batteries, and easy to install as direct replacements for lead-acid batteries. Proprietary technologies, including advanced battery management systems, integrated heat capabilities, and intelligent battery communication, ensure reliable, high-performance energy storage as compared to traditional lead-acid batteries and other lithium-ion products.</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As of December 31, 2024, we owned 44 issued patents and 39 filed and pending patent applications. The pending patent applications are down from prior year since we abandoned 9 that were no longer useful. The patents and patent applications cover the United States, Canada, Australia, Korea, Japan, India, China, and Europe (with individual patents in Germany, France and the United Kingdom).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2033 and 2043, absent any patent term adjustments or extensions.</w:t>
      </w:r>
    </w:p>
    <w:p>
      <w:pPr>
        <w:spacing w:after="0" w:line="1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2024, we owned 38 trademarks globally. Dragonfly owns 16 trademark registrations to cover our house marks in the United States and we have 7 registered trademark relating to our design logos and slogans in the United States and we have 22 registered trademarks internationally with 10 other international trademark applications pending.</w:t>
      </w:r>
    </w:p>
    <w:p>
      <w:pPr>
        <w:sectPr>
          <w:pgSz w:w="12240" w:h="15840" w:orient="portrait"/>
          <w:cols w:equalWidth="0" w:num="1">
            <w:col w:w="10080"/>
          </w:cols>
          <w:pgMar w:left="1080" w:top="1089" w:right="1080" w:bottom="155"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080"/>
          </w:cols>
          <w:pgMar w:left="1080" w:top="1089" w:right="1080" w:bottom="155"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Government Regulation and Compliance</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currently operate from a dedicated leased manufacturing facility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spacing w:after="0" w:line="2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31, 2024, we had 144 employees: 139 full-time, 2 part-time and 3 interns. We have adopted our Code of Ethics</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246" w:lineRule="exact"/>
        <w:rPr>
          <w:sz w:val="20"/>
          <w:szCs w:val="20"/>
          <w:color w:val="auto"/>
        </w:rPr>
      </w:pPr>
    </w:p>
    <w:p>
      <w:pPr>
        <w:jc w:val="both"/>
        <w:ind w:left="360" w:hanging="360"/>
        <w:spacing w:after="0" w:line="237" w:lineRule="auto"/>
        <w:tabs>
          <w:tab w:leader="none" w:pos="3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Safety</w:t>
      </w:r>
      <w:r>
        <w:rPr>
          <w:rFonts w:ascii="Times New Roman" w:cs="Times New Roman" w:eastAsia="Times New Roman" w:hAnsi="Times New Roman"/>
          <w:sz w:val="20"/>
          <w:szCs w:val="20"/>
          <w:color w:val="auto"/>
        </w:rPr>
        <w:t> — Employees are regularly educated in safety around their workspaces, and employees participate in volunteer roles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a safety committee, and in emergency readiness roles. We have a dedicated safety coordinator who tracks and measures our performance, and helps us benchmark our safety programs against our peers.</w:t>
      </w:r>
    </w:p>
    <w:p>
      <w:pPr>
        <w:spacing w:after="0" w:line="83"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Diversity, Equity &amp; Inclusion</w:t>
      </w:r>
      <w:r>
        <w:rPr>
          <w:rFonts w:ascii="Times New Roman" w:cs="Times New Roman" w:eastAsia="Times New Roman" w:hAnsi="Times New Roman"/>
          <w:sz w:val="20"/>
          <w:szCs w:val="20"/>
          <w:color w:val="auto"/>
        </w:rPr>
        <w:t> — Our culture has benefitted from the diversity of our workforce from the very beginning.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Collaboration</w:t>
      </w:r>
      <w:r>
        <w:rPr>
          <w:rFonts w:ascii="Times New Roman" w:cs="Times New Roman" w:eastAsia="Times New Roman" w:hAnsi="Times New Roman"/>
          <w:sz w:val="20"/>
          <w:szCs w:val="20"/>
          <w:color w:val="auto"/>
        </w:rPr>
        <w:t> — As we grow, opportunities for cross-functional collaboration are not as organic as they used to be.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have responded to that change by staying mindful and acting intentionally to gather cross-functional input on new initiatives and continuous improvement efforts.</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Continuous Improvement</w:t>
      </w:r>
      <w:r>
        <w:rPr>
          <w:rFonts w:ascii="Times New Roman" w:cs="Times New Roman" w:eastAsia="Times New Roman" w:hAnsi="Times New Roman"/>
          <w:sz w:val="20"/>
          <w:szCs w:val="20"/>
          <w:color w:val="auto"/>
        </w:rPr>
        <w:t> — We apply continuous improvement measures to processes as well as people. We encourage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professional development of our employees, through ongoing learning, credentialing, and collaboration with their industry peers.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October 2022, we completed the merger in connection with our business combination. On March 31, 2023, we changed our state of incorporation from the State of Delaware to the State of Nevada (the “</w:t>
      </w:r>
      <w:r>
        <w:rPr>
          <w:rFonts w:ascii="Times New Roman" w:cs="Times New Roman" w:eastAsia="Times New Roman" w:hAnsi="Times New Roman"/>
          <w:sz w:val="20"/>
          <w:szCs w:val="20"/>
          <w:b w:val="1"/>
          <w:bCs w:val="1"/>
          <w:color w:val="auto"/>
        </w:rPr>
        <w:t>Reincorporation</w:t>
      </w:r>
      <w:r>
        <w:rPr>
          <w:rFonts w:ascii="Times New Roman" w:cs="Times New Roman" w:eastAsia="Times New Roman" w:hAnsi="Times New Roman"/>
          <w:sz w:val="20"/>
          <w:szCs w:val="20"/>
          <w:color w:val="auto"/>
        </w:rPr>
        <w:t>”) pursuant to a plan of conversion dated March 30, 2023.The mailing address of our principal executive office is 12915 Old Virginia Road, Reno, Nevada 89521, and our telephone number is (775) 622-3448.</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On November 22, 2024, we effected a reverse stock split of our issued and outstanding common stock at a ratio of 1-for-9 (the “</w:t>
      </w:r>
      <w:r>
        <w:rPr>
          <w:rFonts w:ascii="Times New Roman" w:cs="Times New Roman" w:eastAsia="Times New Roman" w:hAnsi="Times New Roman"/>
          <w:sz w:val="19"/>
          <w:szCs w:val="19"/>
          <w:b w:val="1"/>
          <w:bCs w:val="1"/>
          <w:color w:val="auto"/>
        </w:rPr>
        <w:t>Reverse Stock Split</w:t>
      </w:r>
      <w:r>
        <w:rPr>
          <w:rFonts w:ascii="Times New Roman" w:cs="Times New Roman" w:eastAsia="Times New Roman" w:hAnsi="Times New Roman"/>
          <w:sz w:val="19"/>
          <w:szCs w:val="19"/>
          <w:color w:val="auto"/>
        </w:rPr>
        <w:t>”). Shares of common stock underlying outstanding stock options and other equity instruments convertible into common stock were proportionately reduced and the respective exercise prices, if applicable, were proportionately increased in accordance with the terms of the agreements governing such securities in connection with the Reverse Stock Split. No fractional shares were issued in connection with the Reverse Stock Split. Any fractional shares of common stock resulting from the Reverse Stock Split were rounded up to the nearest whole number. All of our historical share and per share information related to issued and outstanding common stock and outstanding options and warrants exercisable for common stock included or incorporated by reference in this prospectus have been adjusted, on a retroactive basis, to reflect the Reverse Stock Split.</w:t>
      </w:r>
    </w:p>
    <w:p>
      <w:pPr>
        <w:sectPr>
          <w:pgSz w:w="12240" w:h="15840" w:orient="portrait"/>
          <w:cols w:equalWidth="0" w:num="1">
            <w:col w:w="10080"/>
          </w:cols>
          <w:pgMar w:left="1080" w:top="1079" w:right="1080" w:bottom="155"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080"/>
          </w:cols>
          <w:pgMar w:left="1080" w:top="1079" w:right="1080" w:bottom="155" w:gutter="0" w:footer="0" w:header="0"/>
          <w:type w:val="continuous"/>
        </w:sectPr>
      </w:pPr>
    </w:p>
    <w:bookmarkStart w:id="21" w:name="page22"/>
    <w:bookmarkEnd w:id="21"/>
    <w:p>
      <w:pPr>
        <w:jc w:val="both"/>
        <w:spacing w:after="0"/>
        <w:rPr>
          <w:sz w:val="20"/>
          <w:szCs w:val="20"/>
          <w:color w:val="auto"/>
        </w:rPr>
      </w:pPr>
      <w:r>
        <w:rPr>
          <w:rFonts w:ascii="Times New Roman" w:cs="Times New Roman" w:eastAsia="Times New Roman" w:hAnsi="Times New Roman"/>
          <w:sz w:val="20"/>
          <w:szCs w:val="20"/>
          <w:color w:val="auto"/>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i w:val="1"/>
          <w:iCs w:val="1"/>
          <w:color w:val="auto"/>
        </w:rPr>
        <w:t>An investment in our common stock is speculative and illiquid and involves a high degree of risk including the risk of a loss of your entire investment. You should carefully consider the risks and uncertainties described below and the other information contained in this report and our other reports filed with the Securities and Exchange Commission (the “SEC”). The risks set forth below are not the only ones facing us. Additional risks and uncertainties may exist that could also adversely affect our business, operations and financial condition. If any of the following risks actually materialize, our business, financial condition and/or operations could suffer. In such event, the value of our common stock could decline, and you could lose all or a substantial portion of the money that you pay for our common stock.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Existing Lithium-Ion Battery Operations</w:t>
      </w:r>
    </w:p>
    <w:p>
      <w:pPr>
        <w:spacing w:after="0" w:line="234" w:lineRule="exact"/>
        <w:rPr>
          <w:sz w:val="20"/>
          <w:szCs w:val="20"/>
          <w:color w:val="auto"/>
        </w:rPr>
      </w:pPr>
    </w:p>
    <w:p>
      <w:pPr>
        <w:ind w:left="360" w:hanging="360"/>
        <w:spacing w:after="0"/>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future growth depends on the needs and success of our customers.</w:t>
      </w:r>
    </w:p>
    <w:p>
      <w:pPr>
        <w:spacing w:after="0" w:line="71"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spacing w:after="0" w:line="71"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71"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74"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currently, and likely will continue to be, dependent on a single manufacturing facility until the construction of our new facility is completed, if at all. If our facility becomes inoperable for any reason, or our automation and expansion plans do not yield the desired effects, our ability to produce our products could be negatively impacted.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Solid-State Technology Development</w:t>
      </w:r>
    </w:p>
    <w:p>
      <w:pPr>
        <w:spacing w:after="0" w:line="243" w:lineRule="exact"/>
        <w:rPr>
          <w:sz w:val="20"/>
          <w:szCs w:val="20"/>
          <w:color w:val="auto"/>
        </w:rPr>
      </w:pPr>
    </w:p>
    <w:p>
      <w:pPr>
        <w:ind w:left="360" w:hanging="360"/>
        <w:spacing w:after="0" w:line="235" w:lineRule="auto"/>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significant engineering challenges in our attempts to develop and manufacture solid-state battery cells and these efforts may be delayed or fail which could negatively impact our business.</w:t>
      </w:r>
    </w:p>
    <w:p>
      <w:pPr>
        <w:spacing w:after="0" w:line="74"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73"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solid-state batteries fail to perform as expected, our ability to further develop, market and sell our solid-state batteries could be harmed.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Supply chain and Third-Party Vendors</w:t>
      </w:r>
    </w:p>
    <w:p>
      <w:pPr>
        <w:spacing w:after="0" w:line="234" w:lineRule="exact"/>
        <w:rPr>
          <w:sz w:val="20"/>
          <w:szCs w:val="20"/>
          <w:color w:val="auto"/>
        </w:rPr>
      </w:pPr>
    </w:p>
    <w:p>
      <w:pPr>
        <w:ind w:left="360" w:hanging="360"/>
        <w:spacing w:after="0"/>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components and other inputs that are sourced from a variety of domestic and international vendors.</w:t>
      </w:r>
    </w:p>
    <w:p>
      <w:pPr>
        <w:spacing w:after="0" w:line="6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long-term relationships with our suppliers but have not significant long-term contracts with such suppliers.</w:t>
      </w:r>
    </w:p>
    <w:p>
      <w:pPr>
        <w:spacing w:after="0" w:line="7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success will depend in large measure upon our ability to maintain our existing supplier relationships and/or develop new ones.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080"/>
          </w:cols>
          <w:pgMar w:left="1080" w:top="1089" w:right="1080" w:bottom="155" w:gutter="0" w:footer="0" w:header="0"/>
          <w:type w:val="continuous"/>
        </w:sectPr>
      </w:pPr>
    </w:p>
    <w:bookmarkStart w:id="22" w:name="page23"/>
    <w:bookmarkEnd w:id="22"/>
    <w:p>
      <w:pPr>
        <w:jc w:val="both"/>
        <w:ind w:left="360" w:hanging="360"/>
        <w:spacing w:after="0" w:line="256" w:lineRule="auto"/>
        <w:tabs>
          <w:tab w:leader="none" w:pos="36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reliance exposes us to the risk of inadequate and untimely supplies of various products due to political, economic, social, health, or environmental conditions, transportation delays, or changes in laws and regulations affecting distribution.</w:t>
      </w:r>
    </w:p>
    <w:p>
      <w:pPr>
        <w:spacing w:after="0" w:line="57" w:lineRule="exact"/>
        <w:rPr>
          <w:rFonts w:ascii="Times New Roman" w:cs="Times New Roman" w:eastAsia="Times New Roman" w:hAnsi="Times New Roman"/>
          <w:sz w:val="19"/>
          <w:szCs w:val="19"/>
          <w:color w:val="auto"/>
        </w:rPr>
      </w:pPr>
    </w:p>
    <w:p>
      <w:pPr>
        <w:ind w:left="360" w:hanging="360"/>
        <w:spacing w:after="0" w:line="236" w:lineRule="auto"/>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vendors may be forced to reduce their production, shut down their operations or file for bankruptcy protection, which could make it difficult for us to serve the market needs and could have a material adverse effect on our business.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Intellectual Property</w:t>
      </w:r>
    </w:p>
    <w:p>
      <w:pPr>
        <w:spacing w:after="0" w:line="245" w:lineRule="exact"/>
        <w:rPr>
          <w:sz w:val="20"/>
          <w:szCs w:val="20"/>
          <w:color w:val="auto"/>
        </w:rPr>
      </w:pPr>
    </w:p>
    <w:p>
      <w:pPr>
        <w:ind w:left="360" w:hanging="360"/>
        <w:spacing w:after="0" w:line="235" w:lineRule="auto"/>
        <w:tabs>
          <w:tab w:leader="none" w:pos="3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heavily upon our intellectual property portfolio. If we are unable to protect our intellectual property rights, our business and competitive position would be harmed.</w:t>
      </w:r>
    </w:p>
    <w:p>
      <w:pPr>
        <w:spacing w:after="0" w:line="72"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to defend ourselves against intellectual property infringement claims, which may be time-consuming and could cause us to incur substantial costs.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Risk Factors</w:t>
      </w:r>
    </w:p>
    <w:p>
      <w:pPr>
        <w:spacing w:after="0" w:line="243" w:lineRule="exact"/>
        <w:rPr>
          <w:sz w:val="20"/>
          <w:szCs w:val="20"/>
          <w:color w:val="auto"/>
        </w:rPr>
      </w:pPr>
    </w:p>
    <w:p>
      <w:pPr>
        <w:ind w:left="360" w:hanging="360"/>
        <w:spacing w:after="0" w:line="236" w:lineRule="auto"/>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uncertainty in global and macroeconomic conditions, including economic, political and socials instability, could reduce consumer spending and disrupt our supply chain which could negatively affect our results of operations.</w:t>
      </w:r>
    </w:p>
    <w:p>
      <w:pPr>
        <w:spacing w:after="0" w:line="72"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72"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manage our growth effectively, we may be unable to execute our business plan, maintain high levels of customer service, or adequately address competitive challenges.</w:t>
      </w:r>
    </w:p>
    <w:p>
      <w:pPr>
        <w:spacing w:after="0" w:line="72"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applicable laws or regulations could impact our operations, including changes in the rates of tariffs or any adjustments to the amounts payable by us to customs as a result of improperly identifying the applicable tariff rate payable on our products.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Being a Public Company</w:t>
      </w:r>
    </w:p>
    <w:p>
      <w:pPr>
        <w:spacing w:after="0" w:line="243" w:lineRule="exact"/>
        <w:rPr>
          <w:sz w:val="20"/>
          <w:szCs w:val="20"/>
          <w:color w:val="auto"/>
        </w:rPr>
      </w:pPr>
    </w:p>
    <w:p>
      <w:pPr>
        <w:ind w:left="360" w:hanging="360"/>
        <w:spacing w:after="0" w:line="236" w:lineRule="auto"/>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continue to incur significant increased expenses and administrative burdens as a public company, which could have an adverse effect on our business, financial condition and operating results.</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management team has limited experience managing a public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Financial Position and Capital Requirements related our ability to continue as a going concern</w:t>
      </w:r>
    </w:p>
    <w:p>
      <w:pPr>
        <w:spacing w:after="0" w:line="244" w:lineRule="exact"/>
        <w:rPr>
          <w:sz w:val="20"/>
          <w:szCs w:val="20"/>
          <w:color w:val="auto"/>
        </w:rPr>
      </w:pPr>
    </w:p>
    <w:p>
      <w:pPr>
        <w:ind w:left="360" w:hanging="360"/>
        <w:spacing w:after="0" w:line="235" w:lineRule="auto"/>
        <w:tabs>
          <w:tab w:leader="none" w:pos="3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as well as our independent registered public accounting firm, have expressed substantial doubt about our ability to continue as a going concern.</w:t>
      </w:r>
    </w:p>
    <w:p>
      <w:pPr>
        <w:spacing w:after="0" w:line="72"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capital intensive, and we may not be able to raise additional capital on attractive terms, if at all. Any further indebtedness we incur may limit our operational flexibility in the future.</w:t>
      </w:r>
    </w:p>
    <w:p>
      <w:pPr>
        <w:spacing w:after="0" w:line="72"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p>
      <w:pPr>
        <w:spacing w:after="0" w:line="71"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Ownership of Our Common Stock</w:t>
      </w:r>
    </w:p>
    <w:p>
      <w:pPr>
        <w:spacing w:after="0" w:line="243" w:lineRule="exact"/>
        <w:rPr>
          <w:sz w:val="20"/>
          <w:szCs w:val="20"/>
          <w:color w:val="auto"/>
        </w:rPr>
      </w:pPr>
    </w:p>
    <w:p>
      <w:pPr>
        <w:jc w:val="both"/>
        <w:ind w:left="360" w:hanging="360"/>
        <w:spacing w:after="0" w:line="236" w:lineRule="auto"/>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correct any deficiencies or meet the Nasdaq Stock Market continued listing standards, including the market value of listed securities, our common stock and Public Warrants may be delisted from the Nasdaq Stock Market;</w:t>
      </w:r>
    </w:p>
    <w:p>
      <w:pPr>
        <w:spacing w:after="0" w:line="72"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the conversion and the terms of our outstanding Series A Preferred Stock on the market price of common stock;</w:t>
      </w:r>
    </w:p>
    <w:p>
      <w:pPr>
        <w:spacing w:after="0" w:line="72"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issuances of debt securities and equity securities may adversely affect us and may be dilutive to existing stockholders.</w:t>
      </w:r>
    </w:p>
    <w:p>
      <w:pPr>
        <w:spacing w:after="0" w:line="72"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issue additional shares of our common stock or other equity securities without your approval, which would dilute your ownership interests and may depress the market price of your shares.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080"/>
          </w:cols>
          <w:pgMar w:left="1080" w:top="1089" w:right="1080" w:bottom="155"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Risks Related to Our Existing Lithium-Ion Battery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and future growth depends on the needs and success of our OEM’s and similar customers.</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demand for our products, including sales to OEM</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9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with Keystone RV Company, or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or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Increased overall RV OEM sales in the future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and renew our supply agreements;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engage target customers successfully and convert these customers into meaningful orders in the future.</w:t>
      </w:r>
    </w:p>
    <w:p>
      <w:pPr>
        <w:spacing w:after="0" w:line="19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 However,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and in 2024.</w:t>
      </w:r>
    </w:p>
    <w:p>
      <w:pPr>
        <w:sectPr>
          <w:pgSz w:w="12240" w:h="15840" w:orient="portrait"/>
          <w:cols w:equalWidth="0" w:num="1">
            <w:col w:w="10080"/>
          </w:cols>
          <w:pgMar w:left="1080" w:top="1079" w:right="1080" w:bottom="155"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080"/>
          </w:cols>
          <w:pgMar w:left="1080" w:top="1079" w:right="1080" w:bottom="155" w:gutter="0" w:footer="0" w:header="0"/>
          <w:type w:val="continuous"/>
        </w:sectPr>
      </w:pPr>
    </w:p>
    <w:bookmarkStart w:id="24" w:name="page25"/>
    <w:bookmarkEnd w:id="24"/>
    <w:p>
      <w:pPr>
        <w:jc w:val="both"/>
        <w:spacing w:after="0" w:line="239" w:lineRule="auto"/>
        <w:rPr>
          <w:sz w:val="20"/>
          <w:szCs w:val="20"/>
          <w:color w:val="auto"/>
        </w:rPr>
      </w:pPr>
      <w:r>
        <w:rPr>
          <w:rFonts w:ascii="Times New Roman" w:cs="Times New Roman" w:eastAsia="Times New Roman" w:hAnsi="Times New Roman"/>
          <w:sz w:val="20"/>
          <w:szCs w:val="20"/>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EV’s to our target markets.</w:t>
      </w:r>
    </w:p>
    <w:p>
      <w:pPr>
        <w:spacing w:after="0" w:line="1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future success depends, in part, upon our ability to expand into additional end markets identified by us as opportunities for our LFP batteries. These markets include heavy-duty trucking, industrial solar integration,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080"/>
          </w:cols>
          <w:pgMar w:left="1080" w:top="1089" w:right="1080" w:bottom="155" w:gutter="0" w:footer="0" w:header="0"/>
          <w:type w:val="continuous"/>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9"/>
          <w:szCs w:val="19"/>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Further, our dependence on these third-party suppliers entails additional risks, including:</w:t>
      </w:r>
    </w:p>
    <w:p>
      <w:pPr>
        <w:spacing w:after="0" w:line="188" w:lineRule="exact"/>
        <w:rPr>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failure or unwillingness of third-party suppliers to comply with regulatory requirements;</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breach of supply agreements by the third-party suppliers;</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misappropriation or disclosure of our proprietary information, including our trade secrets and know-how;</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or nonrenewal of agreements by third-party suppliers at times that are costly or inconvenient for us.</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seek to maintain approximately a six-month supply of LFP cells and other critical components by pre-ordering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would harm our business, financial condition and results of operations.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080"/>
          </w:cols>
          <w:pgMar w:left="1080" w:top="1089" w:right="1080" w:bottom="155" w:gutter="0" w:footer="0" w:header="0"/>
          <w:type w:val="continuous"/>
        </w:sectPr>
      </w:pPr>
    </w:p>
    <w:bookmarkStart w:id="26" w:name="page27"/>
    <w:bookmarkEnd w:id="26"/>
    <w:p>
      <w:pPr>
        <w:jc w:val="both"/>
        <w:spacing w:after="0"/>
        <w:rPr>
          <w:sz w:val="20"/>
          <w:szCs w:val="20"/>
          <w:color w:val="auto"/>
        </w:rPr>
      </w:pPr>
      <w:r>
        <w:rPr>
          <w:rFonts w:ascii="Times New Roman" w:cs="Times New Roman" w:eastAsia="Times New Roman" w:hAnsi="Times New Roman"/>
          <w:sz w:val="20"/>
          <w:szCs w:val="20"/>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25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are currently dependent on one manufacturing facility. If our facility becomes inoperable for any reason, or our automation and expansion plans do not yield the desired effects, our ability to produce our products could be negatively impacted.</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All of our battery assembly currently takes place at our 390,240 square foot headquarters and manufacturing facility located in Reno, Nevada. We also entered into the Fernley Lease Agreement in April 2024 for use of an approximately 64,000 square foot facility to further increase our capacity to produce our patented dry electrode process. We currently operate three LFP battery production lines, which has been sufficient to meet customer demand. If one or several production lines were to become inoperable for any period of time, we would face delays in meeting orders, which could prevent us from meeting demand or require us to incur unplanned costs, including capital expenditures.</w:t>
      </w:r>
    </w:p>
    <w:p>
      <w:pPr>
        <w:spacing w:after="0" w:line="2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facilities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2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In November 2024, we relocated our headquarters and production lines to a 390,240 square foot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Lithium-ion battery cells have been observed to catch fire or release smoke and flame, which may have a negative impact on our reputation and business.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w:t>
      </w:r>
    </w:p>
    <w:p>
      <w:pPr>
        <w:sectPr>
          <w:pgSz w:w="12240" w:h="15840" w:orient="portrait"/>
          <w:cols w:equalWidth="0" w:num="1">
            <w:col w:w="10080"/>
          </w:cols>
          <w:pgMar w:left="1080" w:top="1089" w:right="1080" w:bottom="155"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080"/>
          </w:cols>
          <w:pgMar w:left="1080" w:top="1089" w:right="1080" w:bottom="155" w:gutter="0" w:footer="0" w:header="0"/>
          <w:type w:val="continuous"/>
        </w:sectPr>
      </w:pPr>
    </w:p>
    <w:bookmarkStart w:id="27" w:name="page28"/>
    <w:bookmarkEnd w:id="27"/>
    <w:p>
      <w:pPr>
        <w:jc w:val="both"/>
        <w:spacing w:after="0" w:line="239" w:lineRule="auto"/>
        <w:rPr>
          <w:sz w:val="20"/>
          <w:szCs w:val="20"/>
          <w:color w:val="auto"/>
        </w:rPr>
      </w:pPr>
      <w:r>
        <w:rPr>
          <w:rFonts w:ascii="Times New Roman" w:cs="Times New Roman" w:eastAsia="Times New Roman" w:hAnsi="Times New Roman"/>
          <w:sz w:val="20"/>
          <w:szCs w:val="20"/>
          <w:color w:val="auto"/>
        </w:rPr>
        <w:t>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2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product liability claims, which could harm our financial condition and liquidity if we are not able to successfully defend or insure against such claims.</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2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2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Each of our batteries include our proprietary battery management system, which relies on software and hardware manufactured by third parties that is complex and technical. In addition, Dragonfly IntelLigence, our battery communications system which we launched in the first quarter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080"/>
          </w:cols>
          <w:pgMar w:left="1080" w:top="1089" w:right="1080" w:bottom="155"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Risks Related to Our Solid-State Technology Development</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currently purchase the battery cells incorporated into our LFP batteries and have limited experience in manufacturing battery cells at a commercial scale.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20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our solid-state batteries fail to perform as expected, our ability to further develop, market and sell our solid-state batteries could be harmed.</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20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ectPr>
          <w:pgSz w:w="12240" w:h="15840" w:orient="portrait"/>
          <w:cols w:equalWidth="0" w:num="1">
            <w:col w:w="10080"/>
          </w:cols>
          <w:pgMar w:left="1080" w:top="1079" w:right="1080" w:bottom="155"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080"/>
          </w:cols>
          <w:pgMar w:left="1080" w:top="1079" w:right="1080" w:bottom="155" w:gutter="0" w:footer="0" w:header="0"/>
          <w:type w:val="continuous"/>
        </w:sectPr>
      </w:pPr>
    </w:p>
    <w:bookmarkStart w:id="29" w:name="page30"/>
    <w:bookmarkEnd w:id="29"/>
    <w:p>
      <w:pPr>
        <w:jc w:val="both"/>
        <w:spacing w:after="0"/>
        <w:rPr>
          <w:sz w:val="20"/>
          <w:szCs w:val="20"/>
          <w:color w:val="auto"/>
        </w:rPr>
      </w:pPr>
      <w:r>
        <w:rPr>
          <w:rFonts w:ascii="Times New Roman" w:cs="Times New Roman" w:eastAsia="Times New Roman" w:hAnsi="Times New Roman"/>
          <w:sz w:val="20"/>
          <w:szCs w:val="20"/>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Supply Chain and Third-Party Vendors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risks associated with vendors from whom our products are sourced.</w:t>
      </w: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While we select these third-party vendors carefully, we do not control their actions or the manufacture of their products. Any problems caused by these third 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spacing w:after="0" w:line="2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spacing w:after="0" w:line="2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Changes in U.S. trade policy, including recently announced tariffs, could have a material adverse impact on our business, financial condition, and results of operations. 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w:t>
      </w:r>
    </w:p>
    <w:p>
      <w:pPr>
        <w:sectPr>
          <w:pgSz w:w="12240" w:h="15840" w:orient="portrait"/>
          <w:cols w:equalWidth="0" w:num="1">
            <w:col w:w="10080"/>
          </w:cols>
          <w:pgMar w:left="1080" w:top="1089" w:right="1080" w:bottom="155"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080"/>
          </w:cols>
          <w:pgMar w:left="1080" w:top="1089" w:right="1080" w:bottom="155" w:gutter="0" w:footer="0" w:header="0"/>
          <w:type w:val="continuous"/>
        </w:sectPr>
      </w:pPr>
    </w:p>
    <w:bookmarkStart w:id="30" w:name="page31"/>
    <w:bookmarkEnd w:id="30"/>
    <w:p>
      <w:pPr>
        <w:jc w:val="both"/>
        <w:spacing w:after="0" w:line="237" w:lineRule="auto"/>
        <w:rPr>
          <w:sz w:val="20"/>
          <w:szCs w:val="20"/>
          <w:color w:val="auto"/>
        </w:rPr>
      </w:pPr>
      <w:r>
        <w:rPr>
          <w:rFonts w:ascii="Times New Roman" w:cs="Times New Roman" w:eastAsia="Times New Roman" w:hAnsi="Times New Roman"/>
          <w:sz w:val="20"/>
          <w:szCs w:val="20"/>
          <w:color w:val="auto"/>
        </w:rPr>
        <w:t>could result in reduced sales and profits. It remains unclear how tax or trade policies, tariffs or trade relations may further evolve under the current U.S. administration, and how such policies could adversely affect our business, results of operations, effective income tax rate, liquidity, and net income.</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 addition, the imposition of tariffs by the U.S. has resulted in the adoption of retaliatory tariffs by China on U.S. exports and could result in the adoption of tariffs by other countries as well. A resulting trade war could have a significant adverse effect on world trade and the global economy.</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 In 2024, we identified an underpayment of tariffs to U.S. Customs and Border Protection (“</w:t>
      </w:r>
      <w:r>
        <w:rPr>
          <w:rFonts w:ascii="Times New Roman" w:cs="Times New Roman" w:eastAsia="Times New Roman" w:hAnsi="Times New Roman"/>
          <w:sz w:val="19"/>
          <w:szCs w:val="19"/>
          <w:b w:val="1"/>
          <w:bCs w:val="1"/>
          <w:color w:val="auto"/>
        </w:rPr>
        <w:t>CBP</w:t>
      </w:r>
      <w:r>
        <w:rPr>
          <w:rFonts w:ascii="Times New Roman" w:cs="Times New Roman" w:eastAsia="Times New Roman" w:hAnsi="Times New Roman"/>
          <w:sz w:val="19"/>
          <w:szCs w:val="19"/>
          <w:color w:val="auto"/>
        </w:rPr>
        <w:t>”) in the amount of approximately $1.58 million in the aggregate, related to the improper classification and valuation of certain of the products used in our batteries. The underpayment related to years 2021 through 2023. We have reported the underpayment to CBP. In the event CBP determines that we owe additional amounts or any penalties or determines in the future that we have not paid the correct duties, our results of operations could be materially impacted.</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Changes in geopolitical conditions, U.S.-China trade relations and other factors beyond our control may adversely impact our business and operating results.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operations and performance depend, in part, on global and regional economic and geopolitical conditions, given that we have suppliers located in China. Changes in U.S.-China trade policies, and a number of other economic and geopolitical factors both in China and abroad could have a material adverse effect on our business, financial condition, results of operations or prospects. Such factors may include:</w:t>
      </w:r>
    </w:p>
    <w:p>
      <w:pPr>
        <w:spacing w:after="0" w:line="243" w:lineRule="exact"/>
        <w:rPr>
          <w:sz w:val="20"/>
          <w:szCs w:val="20"/>
          <w:color w:val="auto"/>
        </w:rPr>
      </w:pPr>
    </w:p>
    <w:p>
      <w:pPr>
        <w:jc w:val="both"/>
        <w:ind w:left="360" w:hanging="360"/>
        <w:spacing w:after="0" w:line="238" w:lineRule="auto"/>
        <w:tabs>
          <w:tab w:leader="none" w:pos="3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instability in political or economic conditions, such as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jurisdiction of the Committee for Foreign Investment in the U.S.; and</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intergovernmental conflicts or actions, such as the armed conflicts between Russia and Ukraine and in the Middle East, trade wars, retaliatory tariffs, and acts of terrorism or war.</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As a result of these events, our ability to obtain supplies from our China-based suppliers may be limited or adversely affected, and we may incur operational constraints.</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A significant disruption to the timely receipt of inventory could adversely impact sales or increase our transportation costs, which would decrease our profits.</w:t>
      </w:r>
    </w:p>
    <w:p>
      <w:pPr>
        <w:spacing w:after="0" w:line="2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sectPr>
          <w:pgSz w:w="12240" w:h="15840" w:orient="portrait"/>
          <w:cols w:equalWidth="0" w:num="1">
            <w:col w:w="10080"/>
          </w:cols>
          <w:pgMar w:left="1080" w:top="1089" w:right="1080" w:bottom="155"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080"/>
          </w:cols>
          <w:pgMar w:left="1080" w:top="1089" w:right="1080" w:bottom="155"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We rely heavily upon our intellectual property portfolio. If we are unable to protect our intellectual property rights, our business and competitive position would be harmed.</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and joint development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25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may need to defend ourselves against intellectual property infringement claims, which may be time-consuming and could cause us to incur substantial costs.</w:t>
      </w:r>
    </w:p>
    <w:p>
      <w:pPr>
        <w:spacing w:after="0" w:line="2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20"/>
          <w:szCs w:val="20"/>
          <w:b w:val="1"/>
          <w:bCs w:val="1"/>
          <w:color w:val="auto"/>
        </w:rPr>
        <w:t>FTO</w:t>
      </w:r>
      <w:r>
        <w:rPr>
          <w:rFonts w:ascii="Times New Roman" w:cs="Times New Roman" w:eastAsia="Times New Roman" w:hAnsi="Times New Roman"/>
          <w:sz w:val="20"/>
          <w:szCs w:val="20"/>
          <w:color w:val="auto"/>
        </w:rPr>
        <w:t>”)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246" w:lineRule="exact"/>
        <w:rPr>
          <w:sz w:val="20"/>
          <w:szCs w:val="20"/>
          <w:color w:val="auto"/>
        </w:rPr>
      </w:pPr>
    </w:p>
    <w:p>
      <w:pPr>
        <w:ind w:left="360" w:hanging="360"/>
        <w:spacing w:after="0" w:line="235" w:lineRule="auto"/>
        <w:tabs>
          <w:tab w:leader="none" w:pos="3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cease using, making, having made, selling, having sold, developing, having developed or importing products that incorporate the infringed intellectual property rights;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substantial damages;</w:t>
      </w:r>
    </w:p>
    <w:p>
      <w:pPr>
        <w:spacing w:after="0" w:line="81"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 license from the holder of the infringed intellectual property rights, which license may not be available on reasonable terms or at all; or</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redesign our processes or products, which may result in inferior products or processes.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ectPr>
          <w:pgSz w:w="12240" w:h="15840" w:orient="portrait"/>
          <w:cols w:equalWidth="0" w:num="1">
            <w:col w:w="10080"/>
          </w:cols>
          <w:pgMar w:left="1080" w:top="1079" w:right="1080" w:bottom="155"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080"/>
          </w:cols>
          <w:pgMar w:left="1080" w:top="1079" w:right="1080" w:bottom="155" w:gutter="0" w:footer="0" w:header="0"/>
          <w:type w:val="continuous"/>
        </w:sectPr>
      </w:pPr>
    </w:p>
    <w:bookmarkStart w:id="32" w:name="page33"/>
    <w:bookmarkEnd w:id="32"/>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24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The uncertainty in global and macroeconomic conditions, including economic, political and social instability, including the Russia-Ukraine conflict and Hamas’ attack on Israel, could reduce consumer spending and disrupt our supply chain which could negatively affect our results of operations.</w:t>
      </w:r>
    </w:p>
    <w:p>
      <w:pPr>
        <w:spacing w:after="0" w:line="2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global credit and financial markets have recently experienced extreme volatility and disruptions including severely diminished liquidity and credit availability, disruptions in access to bank deposits and lending commitments due to bank failures, declines in economic growth, increases in unemployment rates, supply chain disruptions, heightened interest rates and inflation, stock volatility and uncertainty about economic stability. Such conditions may continue or worsen in the future. The financial markets and the global economy may also be adversely affected by the current or anticipated impact of military conflict including Russia’s invasion of Ukraine and the conflict between Hamas and Israel, terrorism or other geopolitical events. Sanctions imposed by the U.S. and other countries in response to such conflicts, including sanctions imposed in connection with the war in Ukraine and the conflict between Hamas and Israel, the effect of tariffs and/or any resulting trade wars, increasing interest rates, or other factors may also adversely impact the financial markets and the global economy and any economic countermeasures by affected countries and others could exacerbate market and economic instability. For example, in late 2024 and early 2025, the United States, China, and the European Union each announced either new tariffs, non-tariff barriers, or export controls. Any of these risks, ensuing retaliation, or the further deterioration of trade relations between countries could have an adverse impact on our financial condition and results of operations. Additional tariffs or further retaliatory trade measures taken by China or other countries in response could affect the demand for any of our products, impact the competitive position of our products, prevent us from being able to sell products in certain countries or otherwise adversely impact our results of operations. Growing tensions, protectionist trade policies, and tariffs may also lead to a fragmentation of the global economy, a general reduction of international trade in goods and services, and a reduction in the integration of financial markets, any of which could materially and adversely affect our financial condition, or prospects. There can be no assurance that further deterioration in credit and financial markets and confidence in economic conditions will not occur.</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w:t>
      </w:r>
    </w:p>
    <w:p>
      <w:pPr>
        <w:sectPr>
          <w:pgSz w:w="12240" w:h="15840" w:orient="portrait"/>
          <w:cols w:equalWidth="0" w:num="1">
            <w:col w:w="10080"/>
          </w:cols>
          <w:pgMar w:left="1080" w:top="1089" w:right="1080" w:bottom="155"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080"/>
          </w:cols>
          <w:pgMar w:left="1080" w:top="1089" w:right="1080" w:bottom="155" w:gutter="0" w:footer="0" w:header="0"/>
          <w:type w:val="continuous"/>
        </w:sectPr>
      </w:pPr>
    </w:p>
    <w:bookmarkStart w:id="33" w:name="page34"/>
    <w:bookmarkEnd w:id="33"/>
    <w:p>
      <w:pPr>
        <w:jc w:val="both"/>
        <w:spacing w:after="0" w:line="239" w:lineRule="auto"/>
        <w:rPr>
          <w:sz w:val="20"/>
          <w:szCs w:val="20"/>
          <w:color w:val="auto"/>
        </w:rPr>
      </w:pPr>
      <w:r>
        <w:rPr>
          <w:rFonts w:ascii="Times New Roman" w:cs="Times New Roman" w:eastAsia="Times New Roman" w:hAnsi="Times New Roman"/>
          <w:sz w:val="20"/>
          <w:szCs w:val="20"/>
          <w:color w:val="auto"/>
        </w:rPr>
        <w:t>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general business strategy as well as our suppliers’ ability to provide us with raw materials and components, may be adversely affected by any such economic downturn, volatile business environment or continued unpredictable and unstable market conditions, which could directly affect our ability to attain our operating goals on schedule and on budget, including requiring us to delay or abandon certain development plans and could have a material adverse effect on our growth strategy, financial performance and stock price. In addition, there is a risk that one or more of our current suppliers may not survive an economic downturn, which could directly affect our ability to attain our operating goals on schedule and within budget.</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Changes in trade policies, including the imposition of tariffs or other trade restrictions, could materially impact our ability to obtain the raw materials, active pharmaceutical ingredients, and other components necessary for the manufacturing of our product candidates used in our clinical development activities. Some of these materials may be sourced from foreign suppliers, and any increase in tariffs or duties on imported goods could significantly raise the cost of doing business. Additionally, retaliatory tariffs, trade disputes, trade wars, or changes in international trade agreements may lead to supply chain disruptions, including delays in obtaining critical components or the need to seek alternative suppliers. If we are unable to mitigate the impact of increased costs or supply chain disruptions, our financial condition, and ability to develop our product candidates in a timely manner, could be adversely affected.</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Adverse global conditions, including economic uncertainty, may negatively impact our financial results.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Global conditions, dislocations in the financial markets, any negative financial impacts affecting U.S. as a result of tax reform or changes to existing trade agreements or tax conventions, may adversely impact our business.</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the global macroeconomic environment has been and may continue to be negatively affected by, among other things, instability in global economic markets, increased U.S. trade tariffs and trade disputes with other countries, instability in the global credit markets, supply chain weaknesses, instability in the geopolitical environment and political tensions, and foreign governmental debt concerns. Such challenges have caused, and may continue to cause, uncertainty and instability in local economies and in global financial markets, which may adversely affect our business.</w:t>
      </w:r>
    </w:p>
    <w:p>
      <w:pPr>
        <w:spacing w:after="0" w:line="2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are highly dependent on the talent and services of Denis Phares, our Chief Executive Officer and Interim Chief Financial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080"/>
          </w:cols>
          <w:pgMar w:left="1080" w:top="1089" w:right="1080" w:bottom="155" w:gutter="0" w:footer="0" w:header="0"/>
          <w:type w:val="continuous"/>
        </w:sectPr>
      </w:pPr>
    </w:p>
    <w:bookmarkStart w:id="34" w:name="page35"/>
    <w:bookmarkEnd w:id="34"/>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2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we fail to manage our growth effectively, we may be unable to execute our business plan, maintain high levels of customer service, or adequately address competitive challenges.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spacing w:after="0" w:line="24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We may expand our business through acquisitions in the future, and any future acquisition may not be accretive and may negatively affect our business.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2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a variety of environmental, health and safety rules that can bring scrutiny from regulatory agencies and increase our costs.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080"/>
          </w:cols>
          <w:pgMar w:left="1080" w:top="1089" w:right="1080" w:bottom="155" w:gutter="0" w:footer="0" w:header="0"/>
          <w:type w:val="continuous"/>
        </w:sectPr>
      </w:pPr>
    </w:p>
    <w:bookmarkStart w:id="35" w:name="page36"/>
    <w:bookmarkEnd w:id="35"/>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social and governance matters may cause us to incur additional costs.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20"/>
          <w:szCs w:val="20"/>
          <w:b w:val="1"/>
          <w:bCs w:val="1"/>
          <w:color w:val="auto"/>
        </w:rPr>
        <w:t>ESG</w:t>
      </w:r>
      <w:r>
        <w:rPr>
          <w:rFonts w:ascii="Times New Roman" w:cs="Times New Roman" w:eastAsia="Times New Roman" w:hAnsi="Times New Roman"/>
          <w:sz w:val="20"/>
          <w:szCs w:val="20"/>
          <w:color w:val="auto"/>
        </w:rPr>
        <w:t>”) disclosure or performance. For example, the Securities and Exchange Commission has enacted rules that will mandate certain companies to provide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23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will continue to incur significant increased expenses and administrative burdens as a public company, which could have an adverse effect on our business, financial condition and operating results.</w:t>
      </w:r>
    </w:p>
    <w:p>
      <w:pPr>
        <w:spacing w:after="0" w:line="2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We will continue to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w:t>
      </w:r>
    </w:p>
    <w:p>
      <w:pPr>
        <w:sectPr>
          <w:pgSz w:w="12240" w:h="15840" w:orient="portrait"/>
          <w:cols w:equalWidth="0" w:num="1">
            <w:col w:w="10080"/>
          </w:cols>
          <w:pgMar w:left="1080" w:top="1089" w:right="1080" w:bottom="155"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080"/>
          </w:cols>
          <w:pgMar w:left="1080" w:top="1089" w:right="1080" w:bottom="155" w:gutter="0" w:footer="0" w:header="0"/>
          <w:type w:val="continuous"/>
        </w:sectPr>
      </w:pPr>
    </w:p>
    <w:bookmarkStart w:id="36" w:name="page37"/>
    <w:bookmarkEnd w:id="36"/>
    <w:p>
      <w:pPr>
        <w:jc w:val="both"/>
        <w:spacing w:after="0" w:line="247" w:lineRule="auto"/>
        <w:rPr>
          <w:sz w:val="20"/>
          <w:szCs w:val="20"/>
          <w:color w:val="auto"/>
        </w:rPr>
      </w:pPr>
      <w:r>
        <w:rPr>
          <w:rFonts w:ascii="Times New Roman" w:cs="Times New Roman" w:eastAsia="Times New Roman" w:hAnsi="Times New Roman"/>
          <w:sz w:val="19"/>
          <w:szCs w:val="19"/>
          <w:color w:val="auto"/>
        </w:rPr>
        <w:t>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Annual Report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management team has limited experience managing a public company.</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Most of the members of our management team have limited experience managing and operating a publicly traded company, interacting with public company investors and complying with the increasingly complex laws pertaining to public companies. Our management team may not successfully or efficiently manage our role as a public company subject to significant regulatory oversight and reporting obligations under the federal securities laws and the continuous scrutiny of securities analysts and investors.</w:t>
      </w:r>
    </w:p>
    <w:p>
      <w:pPr>
        <w:spacing w:after="0" w:line="18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These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Capital Requirements</w:t>
      </w:r>
    </w:p>
    <w:p>
      <w:pPr>
        <w:spacing w:after="0" w:line="18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As of December 31, 2024, we had cash totaling $4.8 million. Our net loss for the year ended December 31, 2024 was $40.6 million and our net loss for the year ended December 31, 2023 was $13.8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to provide additional capital to us. However, market conditions and certain restrictions contained in the agreements governing the ChEF Equity Facility, the Term Loan and the Series A Preferred Stock may limit our ability to access equity and debt under such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incurrence of additional debt could adversely impact our business, including limiting our operational flexibility by:</w:t>
      </w:r>
    </w:p>
    <w:p>
      <w:pPr>
        <w:spacing w:after="0" w:line="176" w:lineRule="exact"/>
        <w:rPr>
          <w:sz w:val="20"/>
          <w:szCs w:val="20"/>
          <w:color w:val="auto"/>
        </w:rPr>
      </w:pPr>
    </w:p>
    <w:p>
      <w:pPr>
        <w:ind w:left="360" w:hanging="360"/>
        <w:spacing w:after="0"/>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it difficult for us to pay other obligations;</w:t>
      </w:r>
    </w:p>
    <w:p>
      <w:pPr>
        <w:spacing w:after="0" w:line="55"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cost of borrowing from other sources;</w:t>
      </w:r>
    </w:p>
    <w:p>
      <w:pPr>
        <w:spacing w:after="0" w:line="64" w:lineRule="exact"/>
        <w:rPr>
          <w:rFonts w:ascii="Times New Roman" w:cs="Times New Roman" w:eastAsia="Times New Roman" w:hAnsi="Times New Roman"/>
          <w:sz w:val="20"/>
          <w:szCs w:val="20"/>
          <w:color w:val="auto"/>
        </w:rPr>
      </w:pPr>
    </w:p>
    <w:p>
      <w:pPr>
        <w:ind w:left="360" w:hanging="360"/>
        <w:spacing w:after="0" w:line="232" w:lineRule="auto"/>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it difficult to obtain favorable terms for any necessary future financing for working capital, capital expenditures, investments, acquisitions, debt service requirements, or other purposes;</w:t>
      </w:r>
    </w:p>
    <w:p>
      <w:pPr>
        <w:spacing w:after="0" w:line="56"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us from making acquisitions or causing us to make divestitures or similar transactions;</w:t>
      </w:r>
    </w:p>
    <w:p>
      <w:pPr>
        <w:spacing w:after="0" w:line="64" w:lineRule="exact"/>
        <w:rPr>
          <w:rFonts w:ascii="Times New Roman" w:cs="Times New Roman" w:eastAsia="Times New Roman" w:hAnsi="Times New Roman"/>
          <w:sz w:val="20"/>
          <w:szCs w:val="20"/>
          <w:color w:val="auto"/>
        </w:rPr>
      </w:pPr>
    </w:p>
    <w:p>
      <w:pPr>
        <w:ind w:left="360" w:hanging="360"/>
        <w:spacing w:after="0" w:line="232" w:lineRule="auto"/>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us to dedicate a substantial portion of our cash flow from operations to service and repay our indebtedness, reducing the amount of cash flow available for other purposes;</w:t>
      </w:r>
    </w:p>
    <w:p>
      <w:pPr>
        <w:spacing w:after="0" w:line="57"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placing us at a competitive disadvantage compared to our less leveraged competitors; and</w:t>
      </w:r>
    </w:p>
    <w:p>
      <w:pPr>
        <w:spacing w:after="0" w:line="54"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flexibility in planning for and reacting to changes in our business.</w:t>
      </w:r>
    </w:p>
    <w:p>
      <w:pPr>
        <w:sectPr>
          <w:pgSz w:w="12240" w:h="15840" w:orient="portrait"/>
          <w:cols w:equalWidth="0" w:num="1">
            <w:col w:w="10080"/>
          </w:cols>
          <w:pgMar w:left="1080" w:top="1085"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080"/>
          </w:cols>
          <w:pgMar w:left="1080" w:top="1085" w:right="1080" w:bottom="155" w:gutter="0" w:footer="0" w:header="0"/>
          <w:type w:val="continuous"/>
        </w:sectPr>
      </w:pPr>
    </w:p>
    <w:bookmarkStart w:id="37" w:name="page38"/>
    <w:bookmarkEnd w:id="37"/>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Failure to service our outstanding debt or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 Additionally, without additional concessions or modifications to our loan agreement and the inherent uncertainty surrounding the realization of projected revenues from new markets, there is substantial doubt about our ability to continue as a going concern. Due to these reasons, this could require us, to among other things, reduce operations, sell off our assets, seek the protection of bankruptcy courts or shut down our operations and dissolve.</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For the year ended December 31, 2024, we incurred losses and had a negative cash flow from operations. As of December 31, 2024, we had approximately $4.8 million in cash and cash equivalents and working capital of $11.1 million. As of December 31, 2024, we had $86 million outstanding under our Term Loan Agreement. Our ability to achieve profitability and positive cash flow depends on our ability to increase revenue, contain our expenses and maintain compliance with the financial covenants in our outstanding indebtedness agreements.</w:t>
      </w:r>
    </w:p>
    <w:p>
      <w:pPr>
        <w:spacing w:after="0" w:line="2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and September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and September 30, 2023, respectively. On December 29, 2023, we received an additional waiver from our Administrative Agent and Term Loan Lenders in regards to our compliance with the Tests as of the last day of the quarter ended December 31, 2023. On March 31, 2024, April 29, 2024, May 30, 2024, June 28, 2024, July 31, 2024, August 31, 2024, September 30, 2024, October 31, 2024, November 30, 2024, December 31, 2024 and January 31, 2025, we received an additional waiver from the Administrative Agent and the Term Loan Lenders in regard to our compliance with the liquidity requirement under the Term Loan as of the last day of the fiscal quarter ended March 31, 2024, June 30, 2024, September 30, 2024 and December 31, 2024.</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February 2025, subsequent to the current year ended December 31, 2024, we entered into a Securities Purchase agreement (“Purchase Agreement”). Under the Purchase Agreement, we authorized a new series of convertible preferred stock designated as the Series A Convertible Preferred Stock, which shares are convertible into shares of our common stock, and sold shares of Series A Preferred Stock. We raised $3.5 million and expect to have an additional closing for $3.5 million, which we will use for working capital general corporate purposes and mandatory payments on the Term Loan if we raise additional capital. In connection with the Purchase Agreement, the Term Loan was amended to (i) extend the maturity date by one (1) year to October 2027, (ii) defer all principal and interest payments to April 2026 and (iii) Remove any applicable financial covenants (except for a financial covenant requiring us to maintain cash and cash equivalents equal to or greater than $2,500) for the next one and a half years.</w:t>
      </w:r>
    </w:p>
    <w:p>
      <w:pPr>
        <w:spacing w:after="0" w:line="2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presented above, strategic initiatives were executed in order to alleviate the substantial doubt, such as the Company’s ability to raise funds through the Purchase Agreement, the maturity extension of the Term Loan (which reclassifies the loan as long-term on the financial statements for the year ending December 31, 2024), and the absence of any covenants, other than a $2,500 minimum cash requirement, for at least one year from the financial statement issuance date. While these initiatives were enough support to move our debt to a long term classification,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spacing w:after="0" w:line="24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As a result, our independent registered public accounting firm included an explanatory paragraph in its report on our 2024 consolidated financial statements, with respect to this uncertainty.</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 addition, we will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w:t>
      </w:r>
    </w:p>
    <w:p>
      <w:pPr>
        <w:sectPr>
          <w:pgSz w:w="12240" w:h="15840" w:orient="portrait"/>
          <w:cols w:equalWidth="0" w:num="1">
            <w:col w:w="10080"/>
          </w:cols>
          <w:pgMar w:left="1080" w:top="1089" w:right="1080" w:bottom="155"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080"/>
          </w:cols>
          <w:pgMar w:left="1080" w:top="1089" w:right="1080" w:bottom="155" w:gutter="0" w:footer="0" w:header="0"/>
          <w:type w:val="continuous"/>
        </w:sectPr>
      </w:pPr>
    </w:p>
    <w:bookmarkStart w:id="38" w:name="page39"/>
    <w:bookmarkEnd w:id="38"/>
    <w:p>
      <w:pPr>
        <w:jc w:val="both"/>
        <w:spacing w:after="0" w:line="239" w:lineRule="auto"/>
        <w:rPr>
          <w:sz w:val="20"/>
          <w:szCs w:val="20"/>
          <w:color w:val="auto"/>
        </w:rPr>
      </w:pPr>
      <w:r>
        <w:rPr>
          <w:rFonts w:ascii="Times New Roman" w:cs="Times New Roman" w:eastAsia="Times New Roman" w:hAnsi="Times New Roman"/>
          <w:sz w:val="20"/>
          <w:szCs w:val="20"/>
          <w:color w:val="auto"/>
        </w:rPr>
        <w:t>convertible or exchangeable securities as well as preferred stock that we issue in the future may have rights, preferences and privileges more favorable than those of our common stock. If we are unable to raise additional capital or service our debt, we may be forced to reduce operations, seek the protection of bankruptcy courts or shut down our operations and dissolve. If we liquidate our assets and the values we receive for our assets in liquidation or dissolution could be significantly lower than the values reflected in our financial statements.</w:t>
      </w:r>
    </w:p>
    <w:p>
      <w:pPr>
        <w:spacing w:after="0" w:line="2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agreements governing our indebtedness restrict us from engaging in specified types of transactions. These restrictive covenants restrict our ability to, among other things:</w:t>
      </w:r>
    </w:p>
    <w:p>
      <w:pPr>
        <w:spacing w:after="0" w:line="234" w:lineRule="exact"/>
        <w:rPr>
          <w:sz w:val="20"/>
          <w:szCs w:val="20"/>
          <w:color w:val="auto"/>
        </w:rPr>
      </w:pPr>
    </w:p>
    <w:p>
      <w:pPr>
        <w:ind w:left="360" w:hanging="360"/>
        <w:spacing w:after="0"/>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w:t>
      </w:r>
    </w:p>
    <w:p>
      <w:pPr>
        <w:spacing w:after="0" w:line="6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or incur encumbrances or liens;</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consolidations, amalgamations, mergers, acquisitions, liquidations, dissolutions or dispositions;</w:t>
      </w:r>
    </w:p>
    <w:p>
      <w:pPr>
        <w:spacing w:after="0" w:line="6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transfer or otherwise dispose of assets; and</w:t>
      </w:r>
    </w:p>
    <w:p>
      <w:pPr>
        <w:spacing w:after="0" w:line="6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and distributions on, or purchase, redeem, defease, or otherwise acquire or retire for value, our stock.</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2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2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have in the past identified material weaknesses in our internal control over financial reporting. These material weaknesses in the future could adversely affect our ability to report our results of operations and financial condition accurately and in a timely manner</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w:t>
      </w:r>
      <w:r>
        <w:rPr>
          <w:rFonts w:ascii="Times New Roman" w:cs="Times New Roman" w:eastAsia="Times New Roman" w:hAnsi="Times New Roman"/>
          <w:sz w:val="20"/>
          <w:szCs w:val="20"/>
          <w:b w:val="1"/>
          <w:bCs w:val="1"/>
          <w:color w:val="auto"/>
        </w:rPr>
        <w:t>U.S. GAAP</w:t>
      </w:r>
      <w:r>
        <w:rPr>
          <w:rFonts w:ascii="Times New Roman" w:cs="Times New Roman" w:eastAsia="Times New Roman" w:hAnsi="Times New Roman"/>
          <w:sz w:val="20"/>
          <w:szCs w:val="20"/>
          <w:color w:val="auto"/>
        </w:rPr>
        <w:t>”).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As described elsewhere in this Annual Report, our management identified material weaknesses in our internal control over financial reporting as a result of our failure to capture, and record, and pay tariffs correctly related to the imported merchandise on previously filed 2022 and 2021 financial statements. We have implemented additional measures to address the material weakness relating to tariff by designing new controls to capture, record, and pay tariffs related to the imported merchandise .</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080"/>
          </w:cols>
          <w:pgMar w:left="1080" w:top="1089" w:right="1080" w:bottom="155" w:gutter="0" w:footer="0" w:header="0"/>
          <w:type w:val="continuous"/>
        </w:sectPr>
      </w:pPr>
    </w:p>
    <w:bookmarkStart w:id="39" w:name="page40"/>
    <w:bookmarkEnd w:id="39"/>
    <w:p>
      <w:pPr>
        <w:jc w:val="both"/>
        <w:spacing w:after="0"/>
        <w:rPr>
          <w:sz w:val="20"/>
          <w:szCs w:val="20"/>
          <w:color w:val="auto"/>
        </w:rPr>
      </w:pPr>
      <w:r>
        <w:rPr>
          <w:rFonts w:ascii="Times New Roman" w:cs="Times New Roman" w:eastAsia="Times New Roman" w:hAnsi="Times New Roman"/>
          <w:sz w:val="20"/>
          <w:szCs w:val="20"/>
          <w:color w:val="auto"/>
        </w:rPr>
        <w:t>Our efforts to remediate these material weaknesses in internal controls over financial reporting may not be successful,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and/or a “non-accelerated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pacing w:after="0" w:line="25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are not currently in compliance with the continued listing requirements for The Nasdaq Capital Market. If we do not regain compliance and continue to meet the continued listing requirements, our securities may be delisted, which could affect the market price and liquidity for our common stock and reduce our ability to raise additional capital.</w:t>
      </w: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On December 12, 2024, we received a written notice (the “Notice”) from the Listing Qualifications Staff of the Nasdaq Stock Market, LLC (“Nasdaq”) indicating that we are not in compliance with Nasdaq Listing Rule 5550(b)(2), which requires us to maintain a minimum Market Value of Listed Securities (“MVLS”) of $35 million for continued listing on The Nasdaq Capital Market (the “MVLS Requirement”) for the 30 consecutive business days preceding receipt of the Notice. Additionally,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 In accordance with Nasdaq Listing Rule 5810(c)(3)(C), we will have 180 calendar days, or until June 10, 2025, to regain compliance with the MVLS Requirement, subject to extension by Nasdaq.</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intend to monitor our MVLS and may, if appropriate, consider implementing available options to regain compliance with the MVLS Requirement. If we do not regain compliance within the allotted compliance period, including any extensions that may be granted by Nasdaq, Nasdaq will provide notice that our securities will be subject to delisting. We would then be entitled to appeal that determination to a Nasdaq hearings panel. There can be no assurance that we will regain compliance with the MVLS Requirement during the 180-day compliance period or maintain compliance with the other Nasdaq listing requirements. A delisting could substantially decrease trading in our common stock, adversely affect the market liquidity of our common stock as a result of the loss of market efficiencies associated with Nasdaq and the loss of federal preemption of state securities laws,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Future resales of our outstanding securities may cause the market price of our securities to drop significantly, even if our business is doing well.</w:t>
      </w: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have filed registration statements registering the resale of up to approximately 1.7 million shares of common stock underlying outstanding warrants that may be sold and/or issued into the public markets by certain securityholders. The shares being registered for resale into the public markets represent a significant number of shares in respect to our outstanding common stock. The securityholders selling pursuant to the registration statements will determine the timing, pricing and rate at which they sell such shares into the public market and such sales could have a significant negative impact on the trading price of our common stock.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and may cause the trading prices of our securities to experience a decline.</w:t>
      </w:r>
    </w:p>
    <w:p>
      <w:pPr>
        <w:sectPr>
          <w:pgSz w:w="12240" w:h="15840" w:orient="portrait"/>
          <w:cols w:equalWidth="0" w:num="1">
            <w:col w:w="10080"/>
          </w:cols>
          <w:pgMar w:left="1080" w:top="1089" w:right="1080" w:bottom="155"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080"/>
          </w:cols>
          <w:pgMar w:left="1080" w:top="1089" w:right="1080" w:bottom="155" w:gutter="0" w:footer="0" w:header="0"/>
          <w:type w:val="continuous"/>
        </w:sectPr>
      </w:pPr>
    </w:p>
    <w:bookmarkStart w:id="40" w:name="page41"/>
    <w:bookmarkEnd w:id="40"/>
    <w:p>
      <w:pPr>
        <w:jc w:val="both"/>
        <w:spacing w:after="0" w:line="234" w:lineRule="auto"/>
        <w:rPr>
          <w:sz w:val="20"/>
          <w:szCs w:val="20"/>
          <w:color w:val="auto"/>
        </w:rPr>
      </w:pPr>
      <w:r>
        <w:rPr>
          <w:rFonts w:ascii="Times New Roman" w:cs="Times New Roman" w:eastAsia="Times New Roman" w:hAnsi="Times New Roman"/>
          <w:sz w:val="20"/>
          <w:szCs w:val="20"/>
          <w:color w:val="auto"/>
        </w:rPr>
        <w:t>Further, we have registered 2,390,226 shares of common stock to be issued and sold to CCM LLC in connection with the ChEF Equity Facility. Any sales of such shares into the public market could have a significant negative impact on the trading price of our common stock. This impact may be heightened by the fact that sales to CCM LLC will generally be at prices below the then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about us, or publish negative reports, our stock price and trading volume could decline.</w:t>
      </w:r>
    </w:p>
    <w:p>
      <w:pPr>
        <w:spacing w:after="0" w:line="18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If we do not meet the expectations of investors, stockholders or securities analysts, the market price of our securities may decline. In addition, fluctuations in the price of our securities could contribute to the loss of all or part of your investment.</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Factors affecting the trading price of our securities may include:</w:t>
      </w:r>
    </w:p>
    <w:p>
      <w:pPr>
        <w:spacing w:after="0" w:line="186" w:lineRule="exact"/>
        <w:rPr>
          <w:sz w:val="20"/>
          <w:szCs w:val="20"/>
          <w:color w:val="auto"/>
        </w:rPr>
      </w:pPr>
    </w:p>
    <w:p>
      <w:pPr>
        <w:ind w:left="360" w:hanging="360"/>
        <w:spacing w:after="0" w:line="231" w:lineRule="auto"/>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financial results or the quarterly financial results of companies perceived to be similar to ours;</w:t>
      </w:r>
    </w:p>
    <w:p>
      <w:pPr>
        <w:spacing w:after="0" w:line="64"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market’s expectations about our operating results;</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other public announcements and filings with the SEC;</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speculation in the press or investment community;</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developments in our business, competitors’ businesses or the competitive landscape generally;</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innovations or new products developed by us or our competitors;</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supply or distribution delays or shortages;</w:t>
      </w:r>
    </w:p>
    <w:p>
      <w:pPr>
        <w:spacing w:after="0" w:line="72" w:lineRule="exact"/>
        <w:rPr>
          <w:rFonts w:ascii="Times New Roman" w:cs="Times New Roman" w:eastAsia="Times New Roman" w:hAnsi="Times New Roman"/>
          <w:sz w:val="20"/>
          <w:szCs w:val="20"/>
          <w:color w:val="auto"/>
        </w:rPr>
      </w:pPr>
    </w:p>
    <w:p>
      <w:pPr>
        <w:ind w:left="360" w:hanging="360"/>
        <w:spacing w:after="0" w:line="232" w:lineRule="auto"/>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changes to our relationship with any manufacturers, suppliers, licensors, future collaborators, or other strategic partners;</w:t>
      </w:r>
    </w:p>
    <w:p>
      <w:pPr>
        <w:spacing w:after="0" w:line="6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operating results failing to meet the expectation of securities analysts or investors in a particular period;</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financial estimates and recommendations by securities analysts concerning us or the market in general;</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and stock price performance of other companies that investors deem comparable to ours;</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affecting our business;</w:t>
      </w:r>
    </w:p>
    <w:p>
      <w:pPr>
        <w:spacing w:after="0" w:line="6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commencement of, or involvement in, litigation involving us;</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capital structure, such as future issuances of securities or the incurrence of additional debt;</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of our common stock available for public sale;</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major change in our board of directors or management;</w:t>
      </w:r>
    </w:p>
    <w:p>
      <w:pPr>
        <w:spacing w:after="0" w:line="72" w:lineRule="exact"/>
        <w:rPr>
          <w:rFonts w:ascii="Times New Roman" w:cs="Times New Roman" w:eastAsia="Times New Roman" w:hAnsi="Times New Roman"/>
          <w:sz w:val="20"/>
          <w:szCs w:val="20"/>
          <w:color w:val="auto"/>
        </w:rPr>
      </w:pPr>
    </w:p>
    <w:p>
      <w:pPr>
        <w:ind w:left="360" w:hanging="360"/>
        <w:spacing w:after="0" w:line="232" w:lineRule="auto"/>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substantial amounts of our common stock by our directors, officers or significant stockholders or the perception that such sales could occur; and</w:t>
      </w:r>
    </w:p>
    <w:p>
      <w:pPr>
        <w:spacing w:after="0" w:line="74" w:lineRule="exact"/>
        <w:rPr>
          <w:rFonts w:ascii="Times New Roman" w:cs="Times New Roman" w:eastAsia="Times New Roman" w:hAnsi="Times New Roman"/>
          <w:sz w:val="20"/>
          <w:szCs w:val="20"/>
          <w:color w:val="auto"/>
        </w:rPr>
      </w:pPr>
    </w:p>
    <w:p>
      <w:pPr>
        <w:ind w:left="360" w:hanging="360"/>
        <w:spacing w:after="0" w:line="232" w:lineRule="auto"/>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political conditions such as recessions, interest rates, “trade wars,” pandemics (such as COVID-19) and acts of war or terrorism (including the Russia-Ukraine conflict and Hamas’ attack on Israel).</w:t>
      </w:r>
    </w:p>
    <w:p>
      <w:pPr>
        <w:sectPr>
          <w:pgSz w:w="12240" w:h="15840" w:orient="portrait"/>
          <w:cols w:equalWidth="0" w:num="1">
            <w:col w:w="10080"/>
          </w:cols>
          <w:pgMar w:left="1080" w:top="1085" w:right="1080" w:bottom="155"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080"/>
          </w:cols>
          <w:pgMar w:left="1080" w:top="1085" w:right="1080" w:bottom="155" w:gutter="0" w:footer="0" w:header="0"/>
          <w:type w:val="continuous"/>
        </w:sectPr>
      </w:pPr>
    </w:p>
    <w:bookmarkStart w:id="41" w:name="page42"/>
    <w:bookmarkEnd w:id="41"/>
    <w:p>
      <w:pPr>
        <w:jc w:val="both"/>
        <w:spacing w:after="0"/>
        <w:rPr>
          <w:sz w:val="20"/>
          <w:szCs w:val="20"/>
          <w:color w:val="auto"/>
        </w:rPr>
      </w:pPr>
      <w:r>
        <w:rPr>
          <w:rFonts w:ascii="Times New Roman" w:cs="Times New Roman" w:eastAsia="Times New Roman" w:hAnsi="Times New Roman"/>
          <w:sz w:val="20"/>
          <w:szCs w:val="20"/>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2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securities may not be available on a consistent basis to provide stockholders with adequate liquidity.</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The exercise of outstanding warrants to acquire our common stock would increase the number of shares eligible for future resale in the public market and result in dilution to our stockholders.</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exercise of outstanding warrants to acquire our common stock will increase the number of shares eligible for future resale in the public market and result in dilution to our stockholders. As of March 27, 2025 , there are currently (i) 1,046,947 shares of common stock issuable upon the exercise of outstanding public warrants at an exercise price of $103.50 per share (the “Public Warrants”); (ii) 166,821 shares of common stock issuable upon the exercise of outstanding private warrants at an exercise price of $103.50 per share (the “Private Warrants”); and (iii) 680,473 shares of common stock issuable upon exercise of outstanding Penny Warrants at an exercise price of $0.01 per share and 1,061,685 shares of common stock issuable upon exercise of outstanding Penny Warrants at an exercise price of $0.09 per share. The $10 Warrants were exercised in full in 2022 and are no longer outstanding.</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 addition, the Penny Warrants have price-based anti-dilution protection against subsequent equity sales or distributions at below $90.00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$45.00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237" w:lineRule="exact"/>
        <w:rPr>
          <w:sz w:val="20"/>
          <w:szCs w:val="20"/>
          <w:color w:val="auto"/>
        </w:rPr>
      </w:pPr>
    </w:p>
    <w:p>
      <w:pPr>
        <w:ind w:left="360" w:hanging="360"/>
        <w:spacing w:after="0"/>
        <w:tabs>
          <w:tab w:leader="none" w:pos="3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engage target customers and successfully convert these customers into meaningful orders in the future;</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two suppliers for LFP cells and a single supplier for the manufacture of our battery management system;</w:t>
      </w:r>
    </w:p>
    <w:p>
      <w:pPr>
        <w:sectPr>
          <w:pgSz w:w="12240" w:h="15840" w:orient="portrait"/>
          <w:cols w:equalWidth="0" w:num="1">
            <w:col w:w="10080"/>
          </w:cols>
          <w:pgMar w:left="1080" w:top="1089" w:right="1080" w:bottom="155"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080"/>
          </w:cols>
          <w:pgMar w:left="1080" w:top="1089" w:right="1080" w:bottom="155" w:gutter="0" w:footer="0" w:header="0"/>
          <w:type w:val="continuous"/>
        </w:sectPr>
      </w:pPr>
    </w:p>
    <w:bookmarkStart w:id="42" w:name="page43"/>
    <w:bookmarkEnd w:id="42"/>
    <w:p>
      <w:pPr>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growth of the potential markets for our batteries and its ability to serve those markets;</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our attempts to develop and produce solid state battery cells;</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demand for any products, which may vary significantly;</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accounting pronouncements or changes in our accounting policies;</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macroeconomic conditions, both nationally and locally; and</w:t>
      </w:r>
    </w:p>
    <w:p>
      <w:pPr>
        <w:spacing w:after="0" w:line="8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change in the competitive landscape of our industry, including consolidation among our competitors or partners.</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Changes in laws, regulations or rules, or a failure to comply with any laws, regulations or rules, may adversely affect our business, investments and results of operations.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2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2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Nevada Revised Statutes (the “</w:t>
      </w:r>
      <w:r>
        <w:rPr>
          <w:rFonts w:ascii="Times New Roman" w:cs="Times New Roman" w:eastAsia="Times New Roman" w:hAnsi="Times New Roman"/>
          <w:sz w:val="20"/>
          <w:szCs w:val="20"/>
          <w:b w:val="1"/>
          <w:bCs w:val="1"/>
          <w:color w:val="auto"/>
        </w:rPr>
        <w:t>NRS</w:t>
      </w:r>
      <w:r>
        <w:rPr>
          <w:rFonts w:ascii="Times New Roman" w:cs="Times New Roman" w:eastAsia="Times New Roman" w:hAnsi="Times New Roman"/>
          <w:sz w:val="20"/>
          <w:szCs w:val="20"/>
          <w:color w:val="auto"/>
        </w:rPr>
        <w:t>”)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080"/>
          </w:cols>
          <w:pgMar w:left="1080" w:top="1079" w:right="1080" w:bottom="155" w:gutter="0" w:footer="0" w:header="0"/>
          <w:type w:val="continuous"/>
        </w:sectPr>
      </w:pPr>
    </w:p>
    <w:bookmarkStart w:id="43" w:name="page44"/>
    <w:bookmarkEnd w:id="43"/>
    <w:p>
      <w:pPr>
        <w:jc w:val="both"/>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Articles of Incorporation could discourage another company from acquiring us and may prevent attempts by our stockholders to replace or remove our management.</w:t>
      </w:r>
    </w:p>
    <w:p>
      <w:pPr>
        <w:spacing w:after="0" w:line="18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88" w:lineRule="exact"/>
        <w:rPr>
          <w:sz w:val="20"/>
          <w:szCs w:val="20"/>
          <w:color w:val="auto"/>
        </w:rPr>
      </w:pPr>
    </w:p>
    <w:p>
      <w:pPr>
        <w:ind w:left="360" w:hanging="360"/>
        <w:spacing w:after="0" w:line="232"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board of directors will be divided into three classes, with each class serving staggered three-year terms, which may delay the ability of stockholders to change the membership of a majority of our board of directors;</w:t>
      </w:r>
    </w:p>
    <w:p>
      <w:pPr>
        <w:spacing w:after="0" w:line="73" w:lineRule="exact"/>
        <w:rPr>
          <w:rFonts w:ascii="Times New Roman" w:cs="Times New Roman" w:eastAsia="Times New Roman" w:hAnsi="Times New Roman"/>
          <w:sz w:val="20"/>
          <w:szCs w:val="20"/>
          <w:color w:val="auto"/>
        </w:rPr>
      </w:pPr>
    </w:p>
    <w:p>
      <w:pPr>
        <w:jc w:val="both"/>
        <w:ind w:left="360" w:hanging="360"/>
        <w:spacing w:after="0" w:line="233"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72" w:lineRule="exact"/>
        <w:rPr>
          <w:rFonts w:ascii="Times New Roman" w:cs="Times New Roman" w:eastAsia="Times New Roman" w:hAnsi="Times New Roman"/>
          <w:sz w:val="20"/>
          <w:szCs w:val="20"/>
          <w:color w:val="auto"/>
        </w:rPr>
      </w:pPr>
    </w:p>
    <w:p>
      <w:pPr>
        <w:ind w:left="360" w:hanging="360"/>
        <w:spacing w:after="0" w:line="232"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stockholders may not act by written consent, which forces stockholder action to be taken at an annual or special meeting of stockholders;</w:t>
      </w:r>
    </w:p>
    <w:p>
      <w:pPr>
        <w:spacing w:after="0" w:line="73" w:lineRule="exact"/>
        <w:rPr>
          <w:rFonts w:ascii="Times New Roman" w:cs="Times New Roman" w:eastAsia="Times New Roman" w:hAnsi="Times New Roman"/>
          <w:sz w:val="20"/>
          <w:szCs w:val="20"/>
          <w:color w:val="auto"/>
        </w:rPr>
      </w:pPr>
    </w:p>
    <w:p>
      <w:pPr>
        <w:ind w:left="360" w:hanging="360"/>
        <w:spacing w:after="0" w:line="232"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73" w:lineRule="exact"/>
        <w:rPr>
          <w:rFonts w:ascii="Times New Roman" w:cs="Times New Roman" w:eastAsia="Times New Roman" w:hAnsi="Times New Roman"/>
          <w:sz w:val="20"/>
          <w:szCs w:val="20"/>
          <w:color w:val="auto"/>
        </w:rPr>
      </w:pPr>
    </w:p>
    <w:p>
      <w:pPr>
        <w:ind w:left="360" w:hanging="360"/>
        <w:spacing w:after="0" w:line="231"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Articles of Incorporation prohibits cumulative voting in the election of directors, which limits the ability of minority stockholders to elect director candidates;</w:t>
      </w:r>
    </w:p>
    <w:p>
      <w:pPr>
        <w:spacing w:after="0" w:line="64"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board of directors may alter certain provisions of our Bylaws without obtaining stockholder approval;</w:t>
      </w:r>
    </w:p>
    <w:p>
      <w:pPr>
        <w:spacing w:after="0" w:line="72" w:lineRule="exact"/>
        <w:rPr>
          <w:rFonts w:ascii="Times New Roman" w:cs="Times New Roman" w:eastAsia="Times New Roman" w:hAnsi="Times New Roman"/>
          <w:sz w:val="20"/>
          <w:szCs w:val="20"/>
          <w:color w:val="auto"/>
        </w:rPr>
      </w:pPr>
    </w:p>
    <w:p>
      <w:pPr>
        <w:jc w:val="both"/>
        <w:ind w:left="360" w:hanging="360"/>
        <w:spacing w:after="0" w:line="233"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of the holders of at least sixty-six and two-thirds percent (66 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p>
      <w:pPr>
        <w:spacing w:after="0" w:line="75" w:lineRule="exact"/>
        <w:rPr>
          <w:rFonts w:ascii="Times New Roman" w:cs="Times New Roman" w:eastAsia="Times New Roman" w:hAnsi="Times New Roman"/>
          <w:sz w:val="20"/>
          <w:szCs w:val="20"/>
          <w:color w:val="auto"/>
        </w:rPr>
      </w:pPr>
    </w:p>
    <w:p>
      <w:pPr>
        <w:jc w:val="both"/>
        <w:ind w:left="360" w:hanging="360"/>
        <w:spacing w:after="0" w:line="233"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75" w:lineRule="exact"/>
        <w:rPr>
          <w:rFonts w:ascii="Times New Roman" w:cs="Times New Roman" w:eastAsia="Times New Roman" w:hAnsi="Times New Roman"/>
          <w:sz w:val="20"/>
          <w:szCs w:val="20"/>
          <w:color w:val="auto"/>
        </w:rPr>
      </w:pPr>
    </w:p>
    <w:p>
      <w:pPr>
        <w:jc w:val="both"/>
        <w:ind w:left="360" w:hanging="360"/>
        <w:spacing w:after="0" w:line="233"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8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86" w:lineRule="exact"/>
        <w:rPr>
          <w:sz w:val="20"/>
          <w:szCs w:val="20"/>
          <w:color w:val="auto"/>
        </w:rPr>
      </w:pPr>
    </w:p>
    <w:p>
      <w:pPr>
        <w:ind w:left="360" w:hanging="360"/>
        <w:spacing w:after="0" w:line="231" w:lineRule="auto"/>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being required to have an independent registered public accounting firm audit our internal control over financial reporting under Section 404 of the Sarbanes-Oxley Act;</w:t>
      </w:r>
    </w:p>
    <w:p>
      <w:pPr>
        <w:spacing w:after="0" w:line="74" w:lineRule="exact"/>
        <w:rPr>
          <w:rFonts w:ascii="Times New Roman" w:cs="Times New Roman" w:eastAsia="Times New Roman" w:hAnsi="Times New Roman"/>
          <w:sz w:val="20"/>
          <w:szCs w:val="20"/>
          <w:color w:val="auto"/>
        </w:rPr>
      </w:pPr>
    </w:p>
    <w:p>
      <w:pPr>
        <w:ind w:left="360" w:hanging="360"/>
        <w:spacing w:after="0" w:line="232" w:lineRule="auto"/>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disclosure obligations regarding executive compensation in our periodic reports and annual report on Form 10-K; and</w:t>
      </w:r>
    </w:p>
    <w:p>
      <w:pPr>
        <w:spacing w:after="0" w:line="73" w:lineRule="exact"/>
        <w:rPr>
          <w:rFonts w:ascii="Times New Roman" w:cs="Times New Roman" w:eastAsia="Times New Roman" w:hAnsi="Times New Roman"/>
          <w:sz w:val="20"/>
          <w:szCs w:val="20"/>
          <w:color w:val="auto"/>
        </w:rPr>
      </w:pPr>
    </w:p>
    <w:p>
      <w:pPr>
        <w:ind w:left="360" w:hanging="360"/>
        <w:spacing w:after="0" w:line="232" w:lineRule="auto"/>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exemptions from the requirements of holding non-binding advisory votes on executive compensation and stockholder approval of any golden parachute payments not previously approved.</w:t>
      </w:r>
    </w:p>
    <w:p>
      <w:pPr>
        <w:spacing w:after="0" w:line="18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As a result, the stockholders may not have access to certain information that they may deem important. Our status as an emerging growth company will end as soon as any of the following takes place:</w:t>
      </w:r>
    </w:p>
    <w:p>
      <w:pPr>
        <w:spacing w:after="0" w:line="177" w:lineRule="exact"/>
        <w:rPr>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last day of the fiscal year in which we have at least $1.235 billion in annual revenue;</w:t>
      </w:r>
    </w:p>
    <w:p>
      <w:pPr>
        <w:spacing w:after="0" w:line="6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we qualify as a “large accelerated filer,” with at least $700.0 million of equity securities held by non-affiliates;</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we have issued, in any three-year period, more than $1.0 billion in non-convertible debt securities; or</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last day of the fiscal year ending after the fifth anniversary of our IPO.</w:t>
      </w:r>
    </w:p>
    <w:p>
      <w:pPr>
        <w:sectPr>
          <w:pgSz w:w="12240" w:h="15840" w:orient="portrait"/>
          <w:cols w:equalWidth="0" w:num="1">
            <w:col w:w="10080"/>
          </w:cols>
          <w:pgMar w:left="1080" w:top="1085" w:right="1080" w:bottom="155"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080"/>
          </w:cols>
          <w:pgMar w:left="1080" w:top="1085" w:right="1080" w:bottom="155" w:gutter="0" w:footer="0" w:header="0"/>
          <w:type w:val="continuous"/>
        </w:sectPr>
      </w:pPr>
    </w:p>
    <w:bookmarkStart w:id="44" w:name="page45"/>
    <w:bookmarkEnd w:id="44"/>
    <w:p>
      <w:pPr>
        <w:jc w:val="both"/>
        <w:spacing w:after="0" w:line="237" w:lineRule="auto"/>
        <w:rPr>
          <w:sz w:val="20"/>
          <w:szCs w:val="20"/>
          <w:color w:val="auto"/>
        </w:rPr>
      </w:pPr>
      <w:r>
        <w:rPr>
          <w:rFonts w:ascii="Times New Roman" w:cs="Times New Roman" w:eastAsia="Times New Roman" w:hAnsi="Times New Roman"/>
          <w:sz w:val="20"/>
          <w:szCs w:val="20"/>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a public company, we will be required to comply with the requirements of the Sarbanes-Oxley Act, including, among other things, that we maintain effective disclosure controls and procedures and internal control over financial reporting. See “</w:t>
      </w:r>
      <w:r>
        <w:rPr>
          <w:rFonts w:ascii="Times New Roman" w:cs="Times New Roman" w:eastAsia="Times New Roman" w:hAnsi="Times New Roman"/>
          <w:sz w:val="20"/>
          <w:szCs w:val="20"/>
          <w:i w:val="1"/>
          <w:iCs w:val="1"/>
          <w:color w:val="auto"/>
        </w:rPr>
        <w:t>We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have identified material weaknesses in our internal control over financial reporting. These material weaknesses could continue to adversely affect our ability to report our results of operations and financial condition accurately and in a timely manner” and Part II – Item 9A – Controls and Procedures</w:t>
      </w:r>
      <w:r>
        <w:rPr>
          <w:rFonts w:ascii="Times New Roman" w:cs="Times New Roman" w:eastAsia="Times New Roman" w:hAnsi="Times New Roman"/>
          <w:sz w:val="20"/>
          <w:szCs w:val="20"/>
          <w:color w:val="auto"/>
        </w:rPr>
        <w:t>. We are continuing to develop and refine our disclosure controls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2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24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234" w:lineRule="exact"/>
        <w:rPr>
          <w:sz w:val="20"/>
          <w:szCs w:val="20"/>
          <w:color w:val="auto"/>
        </w:rPr>
      </w:pPr>
    </w:p>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valuation of our deferred tax assets and liabilities;</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timing and amount of the release of any tax valuation allowances;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effects of stock-based compensation;</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intercompany restructurings;</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regulations or interpretations thereof; or</w:t>
      </w:r>
    </w:p>
    <w:p>
      <w:pPr>
        <w:spacing w:after="0" w:line="81"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 than anticipated future earnings in jurisdictions where we have lower statutory tax rates and higher than anticipated future earnings in jurisdictions where we have higher statutory tax rates.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080"/>
          </w:cols>
          <w:pgMar w:left="1080" w:top="1089" w:right="1080" w:bottom="155" w:gutter="0" w:footer="0" w:header="0"/>
          <w:type w:val="continuous"/>
        </w:sectPr>
      </w:pPr>
    </w:p>
    <w:bookmarkStart w:id="45" w:name="page46"/>
    <w:bookmarkEnd w:id="45"/>
    <w:p>
      <w:pPr>
        <w:jc w:val="both"/>
        <w:spacing w:after="0" w:line="235" w:lineRule="auto"/>
        <w:rPr>
          <w:sz w:val="20"/>
          <w:szCs w:val="20"/>
          <w:color w:val="auto"/>
        </w:rPr>
      </w:pPr>
      <w:r>
        <w:rPr>
          <w:rFonts w:ascii="Times New Roman" w:cs="Times New Roman" w:eastAsia="Times New Roman" w:hAnsi="Times New Roman"/>
          <w:sz w:val="20"/>
          <w:szCs w:val="20"/>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Stockholders may experience dilution of their ownership interest due to the issuance of additional shares of common stock upon the conversion of the Series A Preferred Stock, especially since the Series A Preferred Stock has fluctuating conversion rates that are set at a discount to the market price of our common stock during the period immediately prior to conversion.</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have raised approximately $3.5 million in February 2025 through the issuance of shares of Series A Preferred Stock, and expect to issue an additional $4.5 million of additional shares of Series A Preferred Stock upon stockholder approval of the issuance of certain of the shares of common stock underlying the Series A Preferred Stock in compliance with the rules of Nasdaq and the effectiveness of a registration statement in compliance with the agreements governing the Series A Preferred Stock and may issue additional shares of Series A Preferred Stock upon certain events. The shares of Series A Preferred Stock are convertible into shares of our common stock, at the option of the holder, subject to certain conditions and limitations, at the lesser of (i) the fixed conversion price and (ii) 90% of the lowest VWAP during the 10 trading days prior to exercise, subject to the floor prices set forth in the Series A Preferred Stock. This could result in material dilution to our existing stockholders. Because the conversion price is based upon a discount to the trading price of our common stock at the time of conversion, the number of shares into which the Series A Preferred Stock may be converted may increase, subject to the floor prices of the respective series of the Series A Preferred Stock. If the trading prices of our common stock is low when the conversion price of the Series A Preferred Stock is determined, we would be required to issue a greater number of shares of common stock to the holder, which could cause substantial dilution to our stockholders. Based upon the current floor prices and the assumed floor price based on the current market price of the common stock as of the date of the filing of this Annual Report on Form 10-K for the Series A Preferred Stock to be issued at the Second Closing (as defined below), the outstanding Series A Preferred Stock could convert into up to approximately 34.8 million shares of common stock. In addition, if the holder of the Series A Preferred Stock converts and then sells our common stock, this could result in an imbalance of supply and demand for our common stock and reduce our stock price in the market significantly. The further our stock price declines, the further the adjustment of the conversion price will fall and the greater the number of shares of common stock we will have to issue upon conversion, resulting in further dilution to its stockholders. Market price-based conversion formulas, like the one contained in the Series A Preferred Stock can lead to dramatic stock price reductions and corresponding negative effects on both us and our stockholders.</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have Series A Preferred Stock outstanding which securities have certain rights and provisions that could impact our ability to complete certain transactions and could impact the market price of our common stock.</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currently have 320 shares of Series A Preferred Stock outstanding that were issued on February 27, 2025, which were initially convertible, subject to certain beneficial ownership limitations and Nasdaq restrictions until we obtain shareholder approval for the issuance of such shares in compliance with the Nasdaq rules, at the holder’s option at any time.</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Series A Preferred Stock gives its holders, subject to the preference and priority to the holders of its Common Stock, the preferred right to receive dividends, commencing from the date of issuance of the Series A Preferred Stock. The Series A Preferred Stock provides for dividends, payable quarterly in arrears in cash or shares of Series A Preferred Stock, at the dividend rate of 8% per annum and we expect such dividends to be paid in additional shares of Series A Preferred Stock.</w:t>
      </w:r>
    </w:p>
    <w:p>
      <w:pPr>
        <w:spacing w:after="0" w:line="1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Each share of Series A Preferred Stock carries a liquidation preference equal to the greater of (A) the Conversion Amount (as defined in the Certificate of Designation for the Series A Preferred Stock) of such Series A Preferred Stock on the date of such payment and (B) the amount per share such holder would receive if such holder converted such Series A Preferred Stock into common stock immediately prior to the date of such payment.</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agreements governing our Series A Preferred Stock restrict us from engaging in specified types of transactions. These restrictive covenants restrict our ability to, among other things, incur additional indebtedness; create or incur encumbrances or liens; pay dividends and distributions on, or purchase, redeem, defease, or otherwise acquire or retire for value, our stock, make certain sales under our ChEF Equity Facility and other restrictive covenants.</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Our obligations to the holders of the Series A Preferred Stock could limit our ability to obtain additional financing or complete certain transactions or increase our borrowing costs, which could have an adverse effect on its financial condition and hinder the accomplishment of our corporate goals.</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to the Series A Preferred Stock, our board could authorize the issuance of additional series of preferred stock with such rights preferential to the rights of our common stock, including the issuance of a series of preferred stock that has greater voting power than our common stock or that is convertible into our common stock, which could decrease the relative voting power of our common stock or result in dilution to its existing stockholders.</w:t>
      </w:r>
    </w:p>
    <w:p>
      <w:pPr>
        <w:sectPr>
          <w:pgSz w:w="12240" w:h="15840" w:orient="portrait"/>
          <w:cols w:equalWidth="0" w:num="1">
            <w:col w:w="10080"/>
          </w:cols>
          <w:pgMar w:left="1080" w:top="1089" w:right="1080" w:bottom="155"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080"/>
          </w:cols>
          <w:pgMar w:left="1080" w:top="1089" w:right="1080" w:bottom="155"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Risk Management</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like other companies in our industry, face several cybersecurity risks in connection with our business. Our business strategy, results of operations, and financial condition have not, to date, been affected by risks from cybersecurity threats. During the reporting period, we have not experienced any material cyber incidents, nor have we experienced a series of immaterial incidents, which would require disclosure.</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the ordinary course of our business, we use, store and process data including data of our employees, partners, collaborators, and vendors. To effectively prevent, detect, and respond to cybersecurity threats, we maintain a cyber risk management program, which is comprised of a wide array of policies, standards, architecture, and processes. The cyber risk management program falls under the responsibility of our Chief Executive Officer, who in turn, manages our outsourced experts in information technology (“</w:t>
      </w:r>
      <w:r>
        <w:rPr>
          <w:rFonts w:ascii="Times New Roman" w:cs="Times New Roman" w:eastAsia="Times New Roman" w:hAnsi="Times New Roman"/>
          <w:sz w:val="20"/>
          <w:szCs w:val="20"/>
          <w:b w:val="1"/>
          <w:bCs w:val="1"/>
          <w:color w:val="auto"/>
        </w:rPr>
        <w:t>IT</w:t>
      </w:r>
      <w:r>
        <w:rPr>
          <w:rFonts w:ascii="Times New Roman" w:cs="Times New Roman" w:eastAsia="Times New Roman" w:hAnsi="Times New Roman"/>
          <w:sz w:val="20"/>
          <w:szCs w:val="20"/>
          <w:color w:val="auto"/>
        </w:rPr>
        <w:t>”) and cybersecurity. Under the guidance of our Chief Executive Officer, we task reputable third-party IT experts that utilize a wide variety of software to secure the environment. We also utilize a variety of cybersecurity software from reputable vendors in cybersecurity.</w:t>
      </w:r>
    </w:p>
    <w:p>
      <w:pPr>
        <w:spacing w:after="0" w:line="2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have implemented a cybersecurity risk management program that is designed to identify, assess, and mitigate risks from cybersecurity threats to this data and our systems and ensure the effectiveness of our security controls. Our cybersecurity risk management program incorporates several components, including information security program assessments, continuous monitoring of critical risks from cybersecurity threats using automated tools, restoration testing, periodic threat testing, and documented standards, policies, and procedures. We deploy a wide range of security tools across the environment, require multifactor authentication across all critical systems, and implement access control policies to further limit protect the data within the systems.</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periodically engage third parties to conduct risk assessments, including periodic penetration testing and other system vulnerability analyses. As a result of these assessments and testing, we have not identified any material cybersecurity risks. We also maintain documentation of our system hardening progress and plans. Additionally, our program requires cybersecurity training, which includes social engineering and phishing training, on a quarterly basis, for all employees.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is responsible for the oversight of cybersecurity risk management. The Chief Executive Officer reports to our Board. The Chief Executive Officer provides updates to the Board on our cybersecurity risk management program, including any critical cybersecurity risks, ongoing cybersecurity initiatives and strategies, and applicable regulatory requirements and industry standards on a regular basis. The Chief Executive Officer also notifies the Board of any cybersecurity incidents (suspected or actual) and provides updates on the incidents as well as cybersecurity risk mitigation activities as appropriate.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On February 8, 2022, we entered into a 124-month lease for an additional 390,240 square foot warehouse. In November, 2024, we relocated our headquarters to our new 390,240 square foot warehouse at 12915 Old Virginia Road in Reno, Nevada 89521. The current rent, which became payable on March 25, 2024 is $230,000 payable monthly.</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are currently leasing a 99,000 square foot facility at 1190 Trademark Drive #108, Reno, Nevada, which was the prior location of our headquarters until November 2024. The lease for this building was entered into on March 1, 2021 and expires on April 30, 2026. The current monthly rent is $59,750.</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are also currently leasing a 59,500 square foot warehouse facility at 12815 Old Virginia Road in Reno, Nevada. The lease for this space was entered into on December 1, 2021, and expires December 31, 2026; the current monthly rent is $49,732.</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080"/>
          </w:cols>
          <w:pgMar w:left="1080" w:top="1079" w:right="1080" w:bottom="155" w:gutter="0" w:footer="0" w:header="0"/>
          <w:type w:val="continuous"/>
        </w:sectPr>
      </w:pPr>
    </w:p>
    <w:bookmarkStart w:id="47" w:name="page48"/>
    <w:bookmarkEnd w:id="47"/>
    <w:p>
      <w:pPr>
        <w:jc w:val="both"/>
        <w:spacing w:after="0" w:line="239" w:lineRule="auto"/>
        <w:rPr>
          <w:sz w:val="20"/>
          <w:szCs w:val="20"/>
          <w:color w:val="auto"/>
        </w:rPr>
      </w:pPr>
      <w:r>
        <w:rPr>
          <w:rFonts w:ascii="Times New Roman" w:cs="Times New Roman" w:eastAsia="Times New Roman" w:hAnsi="Times New Roman"/>
          <w:sz w:val="20"/>
          <w:szCs w:val="20"/>
          <w:color w:val="auto"/>
        </w:rPr>
        <w:t>On April 12, 2024, we entered into the Fernley Lease Agreement, effective April 1, 2024, for the approximately 64,000 square foot Premises located at 2275 East Newlands Road, Fernley, Nevada, to be used for general, warehousing, assembly/light manufacturing, painting of products, storage fulfillment, distribution of our products. The Fernley Lease Agreement expires April 1, 2029. The current monthly rent is $44,800.</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Our Research &amp; Development lab is a 9,600 square foot facility located in Sparks, Nevada. The lease for these premises was entered into on July 27, 2020 and expires on July 31, 2025. The current monthly rent is $9,336.</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Our podcast studio was a 1,772 square foot facility located in Sparks, Nevada. The lease for this space expired on September 20, 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080"/>
          </w:cols>
          <w:pgMar w:left="1080" w:top="1089" w:right="1080" w:bottom="155" w:gutter="0" w:footer="0" w:header="0"/>
          <w:type w:val="continuous"/>
        </w:sectPr>
      </w:pPr>
    </w:p>
    <w:bookmarkStart w:id="48" w:name="page49"/>
    <w:bookmarkEnd w:id="48"/>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Our common stock is currently listed on the Nasdaq Capital Market under the symbol “DFLI” and our Public Warrants are currently listed on the Nasdaq Capital Market under the symbol “DFLIW”. As of March 27, 2025, the closing price of our common stock and warrants was $1.07 and $0.03, respectively. As of March 27, 2025 , there were 83 holders of record of our common stock and 2 holders of record of our Public Warrants.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currently intend to retain all available funds and any future earnings to fund the growth and development of our business. We have never declared or paid any cash dividends on our common stock. We do not intend to pay cash dividends to our common stockholders in the foreseeable future. Investors should not purchase our common stock with the expectation of receiving cash dividends.</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i w:val="1"/>
          <w:iCs w:val="1"/>
          <w:color w:val="auto"/>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auto"/>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auto"/>
        </w:rPr>
        <w:t>On November 22, 2024, we effected a reverse stock split for our issued and outstanding Common Stock at a ratio of 1-for-9. All of our historical share and per share information related to issued and outstanding Common Stock and outstanding options and warrants exercisable for Common Stock included in this prospectus have been adjusted, on a retroactive basis, to reflect the reverse stock splits. See “Corporate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are a manufacturer of non-toxic deep cycle lithium-ion batteries that are designed to displace lead acid batteries in a number of different storage applications and end markets including RV, marine vessel, and solar and off-grid industries, and trucking, industrial and energy storage with disruptive cell manufacturing and solid-state cell technology currently under development.</w:t>
      </w:r>
    </w:p>
    <w:p>
      <w:pPr>
        <w:spacing w:after="0" w:line="2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Since 2020, we have sold over 330,000 batteries. For the years ended December 31, 2024 and 2023, we sold 42,447 and 64,096 batteries, respectively, and had $50.6 million and $64.4 million in net sales, respectively. We currently offer a line of batteries across our “Battle Born” and “Dragonfly” brands, each differentiated by size, power and capacity, consisting of seven different models, having optional features including internal heat for cold temperature operation and Dragonfly IntelLigence communication capabilities.</w:t>
      </w:r>
    </w:p>
    <w:p>
      <w:pPr>
        <w:sectPr>
          <w:pgSz w:w="12240" w:h="15840" w:orient="portrait"/>
          <w:cols w:equalWidth="0" w:num="1">
            <w:col w:w="10080"/>
          </w:cols>
          <w:pgMar w:left="1080" w:top="1079" w:right="1080" w:bottom="155"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080"/>
          </w:cols>
          <w:pgMar w:left="1080" w:top="1079" w:right="1080" w:bottom="155" w:gutter="0" w:footer="0" w:header="0"/>
          <w:type w:val="continuous"/>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9"/>
          <w:szCs w:val="19"/>
          <w:color w:val="auto"/>
        </w:rPr>
        <w:t>Our decrease in 2024 total sales is a reflection of weaker demand from DTC customers in our core RV and marine markets due to rising interest rates and inflation, as well as increased market competition from imported products sold direct to consumer on Amazon.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 The decision of Keystone RV to make lithium batteries an option rather than a standard reduced our OEM revenue in the second half of 2023. However, our increase in RV OEM business in 2024 kept our RV OEM revenue relatively flat from 2023 to 2024.</w:t>
      </w:r>
    </w:p>
    <w:p>
      <w:pPr>
        <w:spacing w:after="0" w:line="23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May 2024, we announced that we achieved full certification for our energy storage products to be deployed for use in oil &amp; gas operations in North America. As a result of this certification, a number of opportunities within the oil &amp; gas space have appeared. For example, we have designed a power product for Alegacy Equipment, a market leading natural gas compressor package company, and their affiliate Agnes Systems. This power system is expected to be used in natural gas compression equipment to reduce methane emissions. The first of these systems was successfully deployed in the fourth quarter of 2024; and this business line is expected to begin contributing to net sales in 2025.</w:t>
      </w:r>
    </w:p>
    <w:p>
      <w:pPr>
        <w:spacing w:after="0" w:line="2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To supplement our battery offerings, we are also a reseller of accessories for battery systems. These include chargers, inverters, monitors, controllers, solar panels, and other system accessories from brands such as Victron Energy, Progressive Dynamics, Magnum Energy and Sterling Power. Pursuant to the Asset Purchase Agreement dated April 22, 2022 by and among us and Thomason Jones and the other parties thereto, we also acquired the assets, including Wakespeed of Thomason Jones, allowing us to include our own alternator regulator in systems that we sell.</w:t>
      </w:r>
    </w:p>
    <w:p>
      <w:pPr>
        <w:spacing w:after="0" w:line="2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of December 31, 2024, we had cash totaling $4.8 million. Our net loss for the years ended December 31, 2024 and December 31, 2023, were $40.6 million and $13.8 million, respectively. In addition, in February 2025, we completed an offering of shares of our Series A Preferred Stock which provided us with an additional net proceeds of $3.2 million As discussed under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Liquidity and Capital Resources</w:t>
      </w:r>
      <w:r>
        <w:rPr>
          <w:rFonts w:ascii="Times New Roman" w:cs="Times New Roman" w:eastAsia="Times New Roman" w:hAnsi="Times New Roman"/>
          <w:sz w:val="20"/>
          <w:szCs w:val="20"/>
          <w:color w:val="auto"/>
        </w:rPr>
        <w:t>” below we expect that we will need to raise additional funds, including through the use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ChEF Equity Facility and the issuance of equity, equity-related or debt securities or by obtaining additional credit from financial institutions to fund, together with our principal sources of liquidity, ongoing costs.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reduce operations, sell off our assets, seek the protection of bankruptcy courts or shut down our operations and dissolve.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 Agreement with Stryten</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On July 29, 2024, Legacy Dragonfly and Battle Born Battery Products, LLC (“Battle Born LLC”), a newly formed wholly-owned subsidiary of Legacy Dragonfly, entered into a License Agreement (the “License Agreement”) with Stryten. Pursuant to the License Agreement, Battle Born LLC granted Stryten an exclusive, worldwide license to use certain trademarks relating to Legacy Dragonfly’s lithium-ion battery brand, Battle Born Batteries® (the “Licensed Trademarks”) for business-to-business sales of batteries to customers within the following markets: (i) automative, (ii) marine, (iii) powersports, (iv) lawn and garden,</w:t>
      </w:r>
    </w:p>
    <w:p>
      <w:pPr>
        <w:spacing w:after="0" w:line="4" w:lineRule="exact"/>
        <w:rPr>
          <w:sz w:val="20"/>
          <w:szCs w:val="20"/>
          <w:color w:val="auto"/>
        </w:rPr>
      </w:pPr>
    </w:p>
    <w:p>
      <w:pPr>
        <w:jc w:val="both"/>
        <w:spacing w:after="0" w:line="237" w:lineRule="auto"/>
        <w:tabs>
          <w:tab w:leader="none" w:pos="28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golf cart, and (vi) military and defense (such industries, the “Stryten Market”). In exchange for the licensing rights, Stryten agreed to pay Battle Born LLC an initial licensing fee of five million dollars ($5,000,000) (the “Initial Licensing Fee”), which was paid on August 29, 2024.</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License Agreement provides for mid-single digit royalty payments based on net sales using the Licensed Trademarks, with a tiered structure reaching up to twenty-five million dollars ($25,000,000), at which point Stryten will be required to pay a nominal annual license fee. Additional fees will apply for battery design and contract manufacturing services outside of the License Agreement. 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w:t>
      </w:r>
    </w:p>
    <w:p>
      <w:pPr>
        <w:sectPr>
          <w:pgSz w:w="12240" w:h="15840" w:orient="portrait"/>
          <w:cols w:equalWidth="0" w:num="1">
            <w:col w:w="10080"/>
          </w:cols>
          <w:pgMar w:left="1080" w:top="1089" w:right="1080" w:bottom="155"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080"/>
          </w:cols>
          <w:pgMar w:left="1080" w:top="1089" w:right="1080" w:bottom="155" w:gutter="0" w:footer="0" w:header="0"/>
          <w:type w:val="continuous"/>
        </w:sectPr>
      </w:pPr>
    </w:p>
    <w:bookmarkStart w:id="50" w:name="page51"/>
    <w:bookmarkEnd w:id="50"/>
    <w:p>
      <w:pPr>
        <w:jc w:val="both"/>
        <w:spacing w:after="0" w:line="237" w:lineRule="auto"/>
        <w:rPr>
          <w:sz w:val="20"/>
          <w:szCs w:val="20"/>
          <w:color w:val="auto"/>
        </w:rPr>
      </w:pPr>
      <w:r>
        <w:rPr>
          <w:rFonts w:ascii="Times New Roman" w:cs="Times New Roman" w:eastAsia="Times New Roman" w:hAnsi="Times New Roman"/>
          <w:sz w:val="20"/>
          <w:szCs w:val="20"/>
          <w:color w:val="auto"/>
        </w:rPr>
        <w:t>breach within thirty (30) days of notice of such breach, (y) upon the occurrence of certain bankruptcy-related events, or (z) under certain circumstances, if the aggregate royalty payments received by Battle Born LLC under the License Agreement are less than fifteen million dollars ($15,000,000) after five (5) years.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Earnout Merger Consideration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 addition to the initial merger consideration in connection with our business combination, up to 4,444,445 additional shares of common stock (“</w:t>
      </w:r>
      <w:r>
        <w:rPr>
          <w:rFonts w:ascii="Times New Roman" w:cs="Times New Roman" w:eastAsia="Times New Roman" w:hAnsi="Times New Roman"/>
          <w:sz w:val="20"/>
          <w:szCs w:val="20"/>
          <w:b w:val="1"/>
          <w:bCs w:val="1"/>
          <w:color w:val="auto"/>
        </w:rPr>
        <w:t>Earnout Shares</w:t>
      </w:r>
      <w:r>
        <w:rPr>
          <w:rFonts w:ascii="Times New Roman" w:cs="Times New Roman" w:eastAsia="Times New Roman" w:hAnsi="Times New Roman"/>
          <w:sz w:val="20"/>
          <w:szCs w:val="20"/>
          <w:color w:val="auto"/>
        </w:rPr>
        <w:t>”) may be issued based on achieving specified milestones in three tranches:</w:t>
      </w:r>
    </w:p>
    <w:p>
      <w:pPr>
        <w:spacing w:after="0" w:line="244" w:lineRule="exact"/>
        <w:rPr>
          <w:sz w:val="20"/>
          <w:szCs w:val="20"/>
          <w:color w:val="auto"/>
        </w:rPr>
      </w:pPr>
    </w:p>
    <w:p>
      <w:pPr>
        <w:ind w:left="720" w:hanging="360"/>
        <w:spacing w:after="0" w:line="235"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Tranche (1,666,667 shares): Issuable if 2023 total audited revenue is at least $250 million and audited operating income is at least $35 million. This milestone was not achieved for 2023.</w:t>
      </w:r>
    </w:p>
    <w:p>
      <w:pPr>
        <w:spacing w:after="0" w:line="74"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Tranche (1,388,889 shares): Issuable if the volume-weighted average trading price of common stock reaches $202.50 over any 20 trading days within a 30-day period, on or before December 31, 2026.</w:t>
      </w:r>
    </w:p>
    <w:p>
      <w:pPr>
        <w:spacing w:after="0" w:line="72"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Tranche (1,388,889 shares): Issuable if the volume-weighted average trading price of common stock reaches $292.50 over any 20 trading days within a 30-day period, on or before December 31, 2028.</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If a change of control occurs during the second or third earnout periods, unachieved milestones will be automatically deemed satisfied if the share price at the time of the transaction meets or exceeds $202.50 for the second period or $292.50 for the third period.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ChEF Equity Facility</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have the ChEF Equity Facility. During the year ended December 31, 2024, we sold 350,423 shares pursuant to the Purchase Agreement with CCM LLC for aggregate proceeds to us of $2,043,885.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June 2023 Offering</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June 20, 2023, we entered into the Underwriting Agreement with the Underwriters, pursuant to which we sold to the Underwriters, in a firm commitment underwritten public offering, or the June 2023 Offering, an aggregate of (i) 1,111,111 shares of common stock, par value $0.0001 and (ii) Investor Warrants to purchase up to 1,111,111 shares of common Stock, at the combined public offering price of $18.00 per share and accompanying Investor Warrant, less underwriting discounts and commissions, and (iii) Underwriters’ Warrants to purchase up to an aggregate of 63,362 shares of common stock. In addition, we granted the Underwriters a 45-day over-allotment option to purchase up to an additional 166,667 shares of common stock and/or Investor Warrants to purchase up to an aggregate of 166,667 shares of Common Stock at the public offering price per security, less underwriting discounts and commissions.</w:t>
      </w:r>
    </w:p>
    <w:p>
      <w:pPr>
        <w:spacing w:after="0" w:line="2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Investor Warrants are exercisable for five years from the closing date of the Offering, have an exercise price of $18.00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$22.50 per share, which equals 125% of the per share public offering price in the Offering.</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part of the June 2023 Offering, the Underwriters partially exercised their over-allotment option in the amount of 156,112 shares of Common Stock and Investor Warrants to purchase 156,112 shares of common stock. The June 2023 Offering closed on June 22, 2023. The aggregate net proceeds from the June 2023 Offering, including the partial overallotment option, was approximately $20.7 million.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December 2023 Private Placement</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On December 29, 2023, we received the December 2023 Waiver from the Term Loan Lenders in regards to our compliance with the Tests as of the last day of the quarter ended December 31, 2023. The December 2023 Waiver provided for a one-time</w:t>
      </w:r>
    </w:p>
    <w:p>
      <w:pPr>
        <w:sectPr>
          <w:pgSz w:w="12240" w:h="15840" w:orient="portrait"/>
          <w:cols w:equalWidth="0" w:num="1">
            <w:col w:w="10080"/>
          </w:cols>
          <w:pgMar w:left="1080" w:top="1089" w:right="1080" w:bottom="155"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080"/>
          </w:cols>
          <w:pgMar w:left="1080" w:top="1089" w:right="1080" w:bottom="155" w:gutter="0" w:footer="0" w:header="0"/>
          <w:type w:val="continuous"/>
        </w:sectPr>
      </w:pPr>
    </w:p>
    <w:bookmarkStart w:id="51" w:name="page52"/>
    <w:bookmarkEnd w:id="51"/>
    <w:p>
      <w:pPr>
        <w:jc w:val="both"/>
        <w:spacing w:after="0" w:line="239" w:lineRule="auto"/>
        <w:rPr>
          <w:sz w:val="20"/>
          <w:szCs w:val="20"/>
          <w:color w:val="auto"/>
        </w:rPr>
      </w:pPr>
      <w:r>
        <w:rPr>
          <w:rFonts w:ascii="Times New Roman" w:cs="Times New Roman" w:eastAsia="Times New Roman" w:hAnsi="Times New Roman"/>
          <w:sz w:val="20"/>
          <w:szCs w:val="20"/>
          <w:color w:val="auto"/>
        </w:rPr>
        <w:t>issuance of the Waiver Penny Warrants to purchase up to 142,964 Waiver Penny Warrant Shares, at an exercise price of $0.09 per share, in connection with the Term Loan Lender’s agreement to waive the Tests under the Term Loan for the quarter ended December 31, 2023. The Waiver Penny Warrants were immediately exercisable upon issuance and will expire ten years from the date of issuance.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May 2024 Private Placement</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May 13, 2024, we received a waiver (the “May 2024 Waiver”) from the Term Loan Lenders in regards to our compliance with the Tests as of the last day of the quarter ended March 31, 2024. The May 2024 Waiver provided for a one-time issuance of penny warrants (the “May 2024 Penny Warrants”) to purchase up to 283,334 shares of our common stock (the “May 2024 Penny Warrant Shares”),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June 2024 Private Placement and First Amendment to Term Loan Agreement</w:t>
      </w:r>
    </w:p>
    <w:p>
      <w:pPr>
        <w:spacing w:after="0" w:line="19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June 28, 2024, we received a limited waiver and first amendment (the “First Amendment”) to the Term Loan Agreement from the Term Loan Lenders in regards to our compliance with the Tests as of the last day of the quarter ended June 30, 2024. The First Amendment provided for a one-time issuance of penny warrants (the “June 2024 Penny Warrants”) to purchase up to 233,334 shares of our common stock (the “June 2024 Penny Warrant Shares”), at an exercise price of $0.09 per share, in connection with the Term Loan Lender’s agreement to waive the Tests under the Term Loan for the quarter ended June 30, 2024. The June 2024 Penny Warrants were immediately exercisable upon issuance and will expire ten years from the date of issuance.</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addition, the First Amendment (i) reduced the liquidity requirement under the Term Loan to be $3.5 million as of the last day of the month ended June 30, 2024, and $10.0 million as of the last day of each fiscal month thereafter commencing with the fiscal month ended July 31, 2024 and (ii) provided for the interest to be paid on the Payment Date (as defined in the Term Loan Agreement) occurred on July 1, 2024 to be solely payable-in-kind.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Second Amendment to Term Loan Agreement</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connection with the License Agreement, on July 29, 2024, us, Legacy Dragonfly and Battle Born LLC entered into a Limited Waiver, Consent and Second Amendment to the Term Loan, Guarantee and Security Agreement (the “Second Amendment”) with the Term Loan Lenders under our Original Term Loan Agreement (as defined below).</w:t>
      </w:r>
    </w:p>
    <w:p>
      <w:pPr>
        <w:spacing w:after="0" w:line="1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Pursuant to the Second Amendment, the Term Loan Lenders (i) consented to the transactions contemplated by the License Agreement and the Trademark Transfer Agreement and (ii) agreed to waive the mandatory prepayment under the Term Loan Agreement that would have been due to the Term Loan Lenders under the Loan Agreement upon Battle Born LLC’s receipt of the Initial Licensing Fee.</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In connection with the Amendment, Battle Born LLC entered into a Joinder Agreement with the Term Loan Lenders (the “Joinder”) whereby Battle Born LLC became a guarantor and credit party to the Term Loan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September 2024 Private Placement and Third Amendment to the Term Loan Agreement</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September 30, 2024, we received a limited waiver and third amendment (the “Third Amendment”) to the Term Loan Agreement from the Term Loan Lenders in regards to our compliance with the Tests as of the last day of the quarter ended September 30, 2024. The Third Amendment provided for a one-time issuance of penny warrants (the “September 2024 Penny Warrants”) to purchase up to 333,334 shares of our common stock (the “September 2024 Penny Warrant Shares”), at an exercise price of $0.09 per share, in connection with the Term Loan Lender’s agreement to waive the Tests under the Term Loan for the quarter ended September 30, 2024. The September 2024 Penny Warrants were immediately exercisable upon issuance and will expire ten years from the date of issuance.</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addition, the Third Amendment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(as defined in the Term Loan Agreement) plus the Applicable Margin (as defined in the Term Loan Agreement).</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080"/>
          </w:cols>
          <w:pgMar w:left="1080" w:top="1089" w:right="1080" w:bottom="155"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i w:val="1"/>
          <w:iCs w:val="1"/>
          <w:color w:val="auto"/>
        </w:rPr>
        <w:t>December 2024 Private Placement and Fourth Amendment to the Term Loan Agreement</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On December 31, 2024, we received a limited waiver and fourth amendment (the “Fourth Amendment”) to the Term Loan Agreement from the Term Loan Lenders in regards to our compliance with the Tests as of the last day of the quarter ended December 31, 2024. The Fourth Amendment provided for a one-time issuance of penny warrants (the “December 2024 Penny Warrants”) to purchase up to 350,000 shares of our common stock (the “December 2024 Penny Warrant Shares”), at an exercise price of $0.01 per share, in connection with the Term Loan Lender’s agreement to waive the Tests under the Term Loan for the quarter ended December 31, 2024. The December 2024 Penny Warrants will be exercisable at such time that we obtain the Warrant Issuance Shareholder Approval (as defined below) and will expire ten years from the date of issuance.</w:t>
      </w:r>
    </w:p>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the Fourth Amendment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Pursuant to the Fourth Amendment, we agreed to use commercially reasonable efforts to obtain shareholder approval for the issuance of up to 1,400,000 shares of common stock underlying penny warrants issued to the Term Loan Lenders on and after the date of the Fourth Amendment, including the December 2024 Penny Warrant Shares and the Accrued Warrant Shares (as defined below), in accordance with Rules 5635(b) and 5635(d) of the Nasdaq Stock Market (the “Warrant Issuance Shareholder Approval”). Further, we agreed to issue the Term Loan Lenders additional penny warrants (the “Accrued Penny Warrants”) exercisable for a number of shares of common stock pursuant to the formula set forth in the Fourth Amendment (the “Accrued Warrant Shares”) upon the earlier to occur of (i) five business days after the end of the Waiver Period (as defined below) or (ii) five business days prior to the effectiveness of a Change of Control (as defined in the Term Loan Agreement), in which such Accrued Penny Warrants would not be exercisable prior to receipt of the Warrant Issuance Shareholder Approval.</w:t>
      </w:r>
    </w:p>
    <w:p>
      <w:pPr>
        <w:spacing w:after="0" w:line="1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Under the Fourth Amendment, the Term Loan Lenders agreed to temporarily suspend the Term Loan Lenders’ rights under Section 4(b) of the Penny Warrants to receive additional warrant shares in connection with the issuances by us of shares of common stock pursuant to the ChEF Equity Facility during the Waiver Period. In addition, the Fourth Amendment: (i) provided for the interest to be paid on the Payment Date (as defined in the Term Loan Agreement) occurring on January 1, 2025 to be payable partly in cash and the remainder payable-in-kind as set forth in the Amendment; and (ii) reduced the liquidity requirement under the Term Loan Agreement to be $3.5 million as of the last day of the fiscal month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February 2025 Registered Direct Offering and Concurrent Private Placement and Fifth Amendment to Term Loan Agreement</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February 26, 2025, we entered into a securities purchase agreement with a single institutional investor, pursuant to which we sold in a registered direct offering (the “Registered Direct Offering”) 180 shares of Series A Preferred Stock, at a price of $10,000 per share, initially convertible into shares of our common stock, at a conversion price of $2.332 per share of common stock. The Series A Preferred Stock is also convertible by the investor at an adjusted conversion price, subject to the applicable floor price, which is based on a discount to the market price of our common stock as set forth in the certificate of designation for the Series A Preferred Stock. The floor price for the Series A Preferred Stock sold in the Registered Direct Offering is $1.00.</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Concurrently with the sale of the Series A Preferred Stock in the Registered Direct Offering, in a private placement offering pursuant to the Purchase Agreement (the “Private Placement” and, together with the Registered Direct Offering, the “Offerings”), we sold, at the initial closing of the Private Placement (the “Initial Closing”), (i) an additional 170 shares of Series A Preferred Stock at the same offering price as the Series A Preferred Stock offered in the Registered Direct Offering, initially convertible into shares of common stock at a conversion price of $2.332 per share, and (ii) warrants (the “Private Placement Warrants”) to purchase up to an aggregate of 4,000 shares of Series A Preferred Stock (the “Private Placement Warrant Shares”), with an exercise price of $10,000 per share of Series A Preferred Stock, and a term as described below. The floor price for the Series A Preferred Stock sold in the Private Placement is $0.424.</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exercise price under each Private Placement Warrant will be $10,000 per share of Series A Preferred Stock. Each Private Placement Warrant will be exercisable for 200 shares of Series A Preferred Stock in minimum increments of $500,000. The Private Placement Warrants will have a term beginning on the issuance date and ending on or prior to the earlier of (i) the thirty-three (33) month anniversary of the date the shares of common stock issued or issuable upon the conversion of the Series A Preferred Stock issued in the concurrent Private Placement are registered for resale (“Registration Effectiveness”) pursuant to an effective registration statement under the Securities Act of 1933, as amended, (the “Securities Act”) (such date, the</w:t>
      </w:r>
    </w:p>
    <w:p>
      <w:pPr>
        <w:sectPr>
          <w:pgSz w:w="12240" w:h="15840" w:orient="portrait"/>
          <w:cols w:equalWidth="0" w:num="1">
            <w:col w:w="10080"/>
          </w:cols>
          <w:pgMar w:left="1080" w:top="1079" w:right="1080" w:bottom="155"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080"/>
          </w:cols>
          <w:pgMar w:left="1080" w:top="1079" w:right="1080" w:bottom="155" w:gutter="0" w:footer="0" w:header="0"/>
          <w:type w:val="continuous"/>
        </w:sectPr>
      </w:pPr>
    </w:p>
    <w:bookmarkStart w:id="53" w:name="page54"/>
    <w:bookmarkEnd w:id="53"/>
    <w:p>
      <w:pPr>
        <w:jc w:val="both"/>
        <w:spacing w:after="0" w:line="239" w:lineRule="auto"/>
        <w:rPr>
          <w:sz w:val="20"/>
          <w:szCs w:val="20"/>
          <w:color w:val="auto"/>
        </w:rPr>
      </w:pPr>
      <w:r>
        <w:rPr>
          <w:rFonts w:ascii="Times New Roman" w:cs="Times New Roman" w:eastAsia="Times New Roman" w:hAnsi="Times New Roman"/>
          <w:sz w:val="20"/>
          <w:szCs w:val="20"/>
          <w:color w:val="auto"/>
        </w:rPr>
        <w:t>“Registration Effectiveness Date”) and (ii) (A) the consummation of a Change of Control (as defined in the certificate of designation) and (B) the consummation of a redemption of the then outstanding Series A Preferred Stock in full. The exercise price and number of shares of Series A Preferred Stock issuable upon exercise are subject to appropriate adjustment in the event of share dividends, share splits, reorganizations or similar events affecting shares of our common stock.</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Pursuant to the Private Placement Warrants, we have a call right upon the occurrence of certain events. No earlier than two (2) months following the Registration Effectiveness Date and (2) the most recent conversion or exercise in full of a Private Placement Warrant, (i) the VWAP for each of twenty (20) trading days (the “Measurement Period”) exceeds $3.00, (ii) the average daily volume for such Measurement Period exceeds $300,000 per trading day, (iii) the aggregate stated value of the then outstanding Series A Preferred Stock is less than or equal to $1,500,000, (iv) the Private Placement Warrant Shares are registered for resale pursuant to an effective registration statement and (v) there has not been an Equity Conditions Failure (as defined in the certificate of designation), then we may, within one (1) trading day of the end of such Measurement Period, call for cancellation of all or any portion of the Private Placement Warrant for which a notice to exercise has not yet been delivered and require the holder to exercise in part or in full the number of shares of Series A Preferred Stock set forth in an irrevocable written notice (a “Call Notice”) for consideration equal to the applicable number of Series A Preferred Stock issuable upon exercise or cancellation of the Private Placement Warrants.</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upon receipt of stockholder approval pursuant to the rules of Nasdaq for certain shares of common stock issuable upon conversion of the Series A Preferred Stock and the Registration Effectiveness, the investor will be automatically required to purchase for $4.5 million (the “Second Closing”) an additional 450 shares of Series A Preferred Stock (the “Second Closing Preferred Shares”). The Second Closing Preferred Shares will be identical to the Series A Preferred Stock offered in the Registered Direct Offering and sold in the initial closing of the Private Placement, other than the conversion price and the floor price which will be determined at the time of the Second Closing based on the Nasdaq minimum price.</w:t>
      </w: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net proceeds to us from the Initial Offerings, after deducting the placement agent’s fees and expenses and estimated offering expenses, were approximately $3.2 million, excluding the net proceeds, if any, from the exercise of the Private Placement Warrants.</w:t>
      </w:r>
    </w:p>
    <w:p>
      <w:pPr>
        <w:spacing w:after="0" w:line="1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a condition precedent to the closing of the Offerings, on February 26, 2025, we entered into the Fifth Amendment (the “Fifth Amendment”) to the Term Loan Agreement with the Term Loan Lenders. Under the Fifth Amendment, the Term Loan Lenders agreed to, among other matters (i) receive no principal or interest payments under the Term Loan Agreement through March 31, 2026, and (ii) remove certain financial covenant tests under the Term Loan, provided that we maintain cash and cash equivalents equal to at least $2.5 million through such date.</w:t>
      </w:r>
    </w:p>
    <w:p>
      <w:pPr>
        <w:spacing w:after="0" w:line="2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Pursuant to the Fifth Amendment, we agreed to make certain mandatory prepayments on the Term Loan upon the occurrence of certain events. We are obligated to make a mandatory prepayment of the term loan equal to (i) 100% of the net cash proceeds of certain equity issuances by us made on or after the announcement of a Change of Control (as defined in the Term Loan Agreement), and (ii) 20% of the net cash proceeds of certain equity issuances by us made prior to the announcement of a Change of Control.</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 connection with the entry into the Fifth Amendment, we issued to the Term Loan Lenders 330,000 penny warrants (the “February 2025 Penny Warrants”) to purchase shares of our common stock at an exercise price of $0.01 per share on the date of the Initial Closing in connection with the waiver of the antidilution provisions in the existing penny warrants held by the Term Loan Lenders with respect to the shares of Series A Preferred Stock issued at the closing of the Registered Direct Offering and the initial closing of the Private Placement. We also agreed to increase the number of shares subject to the Warrant Issuance Shareholder Approval (as defined in the Term Loan Agreement) from 1,400,000 to 3,130,000. Further, we and the Term Loan Lenders agreed to waive the antidilution provisions in the existing penny warrants held by the Lenders with respect to the Private Placement Warrants issued at the initial closing of the Private Placement and the shares of Series A Preferred Stock issued at the Second Closing on the condition that we will issue to the Term Loan Lenders a number of penny warrants which will be determined by the parties within five (5) trading days after the end of each fiscal quarter after the Second Closing.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financial position and results of operations depend to a significant extent on the following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End Market Consumers</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demand for our products ultimately depends on demand from consumers in our current end markets. We generate sales through (1) direct-to-customer and (2) through OEMs, particularly in the RV market.</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080"/>
          </w:cols>
          <w:pgMar w:left="1080" w:top="1089" w:right="1080" w:bottom="155" w:gutter="0" w:footer="0" w:header="0"/>
          <w:type w:val="continuous"/>
        </w:sectPr>
      </w:pPr>
    </w:p>
    <w:bookmarkStart w:id="54" w:name="page55"/>
    <w:bookmarkEnd w:id="54"/>
    <w:p>
      <w:pPr>
        <w:jc w:val="both"/>
        <w:spacing w:after="0" w:line="239" w:lineRule="auto"/>
        <w:rPr>
          <w:sz w:val="20"/>
          <w:szCs w:val="20"/>
          <w:color w:val="auto"/>
        </w:rPr>
      </w:pPr>
      <w:r>
        <w:rPr>
          <w:rFonts w:ascii="Times New Roman" w:cs="Times New Roman" w:eastAsia="Times New Roman" w:hAnsi="Times New Roman"/>
          <w:sz w:val="20"/>
          <w:szCs w:val="20"/>
          <w:color w:val="auto"/>
        </w:rPr>
        <w:t>An increasing proportion of our sales has been and is expected to continue to be derived from sales to RV and other OEMs, driven by continued efforts to develop larger and more complete storage systems. Although our battery systems are built in to each model,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Demand from end market consumers is impacted by a number of factors, including travel restrictions, fuel costs and energy demands (including an increasing trend towards the use of green energy), as well as overall macro-economic conditions and inflation. Sales of our batteries have benefited from the increased adoption of the RV lifestyle, the demand for and inclusion of additional appliances and electronics in RVs, and the accelerating trend of solar power adoption among RV customers. However, macro-economic conditions and increased competition from imported battery packs have led to a decrease in direct to consumer sales. We have addressed this drop in through product diversification by the release of our Dragonfly IntelLigence feature, as well as more targeted marketing efforts to increase the efficiency of our marketing spend. We expect that direct to consumer sales will remain relatively flat through 2025. However, we expect growth among our existing RV OEM customers due to an overall increase in RV shipments as the industry slowly recovers from the market correction, as well as our customers expanding the number of models that will include our battery systems in the new model year. Moreover, we expect increased revenue through our market diversification efforts – especially in our industrials market, including industrial solar and oil and gas, as well as the trucking market, in which we have been piloting our systems with fleets for the last two years.</w:t>
      </w:r>
    </w:p>
    <w:p>
      <w:pPr>
        <w:spacing w:after="0" w:line="24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strategy includes plans to expand into new end markets that we have identified as opportunities for our LFP batteries, including,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Supply</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spacing w:after="0" w:line="2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and Customer Mix</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w:t>
      </w:r>
    </w:p>
    <w:p>
      <w:pPr>
        <w:sectPr>
          <w:pgSz w:w="12240" w:h="15840" w:orient="portrait"/>
          <w:cols w:equalWidth="0" w:num="1">
            <w:col w:w="10080"/>
          </w:cols>
          <w:pgMar w:left="1080" w:top="1089" w:right="1080" w:bottom="155"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080"/>
          </w:cols>
          <w:pgMar w:left="1080" w:top="1089" w:right="1080" w:bottom="155" w:gutter="0" w:footer="0" w:header="0"/>
          <w:type w:val="continuous"/>
        </w:sectPr>
      </w:pPr>
    </w:p>
    <w:bookmarkStart w:id="55" w:name="page56"/>
    <w:bookmarkEnd w:id="55"/>
    <w:p>
      <w:pPr>
        <w:jc w:val="both"/>
        <w:spacing w:after="0"/>
        <w:rPr>
          <w:sz w:val="20"/>
          <w:szCs w:val="20"/>
          <w:color w:val="auto"/>
        </w:rPr>
      </w:pPr>
      <w:r>
        <w:rPr>
          <w:rFonts w:ascii="Times New Roman" w:cs="Times New Roman" w:eastAsia="Times New Roman" w:hAnsi="Times New Roman"/>
          <w:sz w:val="20"/>
          <w:szCs w:val="20"/>
          <w:color w:val="auto"/>
        </w:rPr>
        <w:t>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Production Capacity</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All of our battery assembly currently takes place at our 390,240 square foot headquarters and manufacturing facility located in Reno, Nevada. While the lease for the 99,000 facility is continuing, no manufacturing is taking place in this location.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Competition</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own conventional LFP cells and, in the longer term,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Our research and development is currently primarily focused on the scaling our proprietary dry electrode process for domestic production of full LFP cells. Although we have reallocated resources from the advanced manufacturing of solid-state lithium-ion batteries in order to focus on conventional cells, we expect to return to the solid-state chemistry as capital becomes more available for these longer term projects.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Net sales is primarily generated from the sale of our LFP batteries to OEMs and consumers, as well as chargers and other accessories, either individually or bundled.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Goods Sold</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Cost of goods sold includes the cost of cells and other components of our LFP batteries, labor and overhead, logistics and freight costs, and depreciation of manufacturing equipment.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Profit</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Gross profit, calculated as net sales less cost of goods sold, may vary between periods and is primarily affected by various factors including average selling prices, product costs, product mix and customer mix.</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080"/>
          </w:cols>
          <w:pgMar w:left="1080" w:top="1089" w:right="1080" w:bottom="155"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Research and development costs include personnel-related expenses for scientists, experienced engineers and technicians as well as the material and supplies to support the development of new products and our solid-state technology.</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Selling and marketing</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Other Income (Expense)</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Other income (expense) consists primarily of interest expense, the change in fair value of the warrant liability and amortization of debt issuance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Comparisons for the Years Ended December 31, 2024 and 2023</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following table sets forth our results of operations for the years ended December 31, 2024 and 2023. This data should be read together with our financial statements and related notes included elsewhere in this Annual Report, and is qualified in its entirety by reference to such financial statements and related notes.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3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300" w:type="dxa"/>
            <w:vAlign w:val="bottom"/>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60" w:type="dxa"/>
            <w:vAlign w:val="bottom"/>
          </w:tcPr>
          <w:p>
            <w:pPr>
              <w:spacing w:after="0"/>
              <w:rPr>
                <w:sz w:val="18"/>
                <w:szCs w:val="18"/>
                <w:color w:val="auto"/>
              </w:rPr>
            </w:pPr>
          </w:p>
        </w:tc>
      </w:tr>
      <w:tr>
        <w:trPr>
          <w:trHeight w:val="208"/>
        </w:trPr>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r>
      <w:tr>
        <w:trPr>
          <w:trHeight w:val="210"/>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Cost of Goods Sold ................................................</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48,946</w:t>
            </w: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60" w:type="dxa"/>
            <w:vAlign w:val="bottom"/>
          </w:tcPr>
          <w:p>
            <w:pPr>
              <w:spacing w:after="0"/>
              <w:rPr>
                <w:sz w:val="18"/>
                <w:szCs w:val="18"/>
                <w:color w:val="auto"/>
              </w:rPr>
            </w:pPr>
          </w:p>
        </w:tc>
      </w:tr>
      <w:tr>
        <w:trPr>
          <w:trHeight w:val="208"/>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tcPr>
          <w:p>
            <w:pPr>
              <w:spacing w:after="0"/>
              <w:rPr>
                <w:sz w:val="18"/>
                <w:szCs w:val="18"/>
                <w:color w:val="auto"/>
              </w:rPr>
            </w:pPr>
          </w:p>
        </w:tc>
      </w:tr>
      <w:tr>
        <w:trPr>
          <w:trHeight w:val="20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Research and development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r>
      <w:tr>
        <w:trPr>
          <w:trHeight w:val="209"/>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General and administrative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26,389</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18"/>
                <w:szCs w:val="18"/>
                <w:color w:val="auto"/>
              </w:rPr>
            </w:pPr>
          </w:p>
        </w:tc>
      </w:tr>
      <w:tr>
        <w:trPr>
          <w:trHeight w:val="210"/>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Sales and marketing ..........................................</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tcPr>
          <w:p>
            <w:pPr>
              <w:spacing w:after="0"/>
              <w:rPr>
                <w:sz w:val="18"/>
                <w:szCs w:val="18"/>
                <w:color w:val="auto"/>
              </w:rPr>
            </w:pPr>
          </w:p>
        </w:tc>
      </w:tr>
      <w:tr>
        <w:trPr>
          <w:trHeight w:val="209"/>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 xml:space="preserve">Total Operating expenses </w:t>
            </w: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42,875</w:t>
            </w: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tcPr>
          <w:p>
            <w:pPr>
              <w:spacing w:after="0"/>
              <w:rPr>
                <w:sz w:val="18"/>
                <w:szCs w:val="18"/>
                <w:color w:val="auto"/>
              </w:rPr>
            </w:pPr>
          </w:p>
        </w:tc>
      </w:tr>
      <w:tr>
        <w:trPr>
          <w:trHeight w:val="207"/>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 xml:space="preserve">Loss From Operations </w:t>
            </w: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(25,759)</w:t>
            </w:r>
          </w:p>
        </w:tc>
        <w:tc>
          <w:tcPr>
            <w:tcW w:w="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(27,429)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Other (expense) income .....................................</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8"/>
                <w:szCs w:val="18"/>
                <w:color w:val="auto"/>
              </w:rPr>
            </w:pPr>
          </w:p>
        </w:tc>
      </w:tr>
      <w:tr>
        <w:trPr>
          <w:trHeight w:val="209"/>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Interest expense, net ..........................................</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(21,504)</w:t>
            </w:r>
          </w:p>
        </w:tc>
        <w:tc>
          <w:tcPr>
            <w:tcW w:w="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(16,015)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0"/>
        </w:trPr>
        <w:tc>
          <w:tcPr>
            <w:tcW w:w="3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60" w:type="dxa"/>
            <w:vAlign w:val="bottom"/>
          </w:tcPr>
          <w:p>
            <w:pPr>
              <w:spacing w:after="0"/>
              <w:rPr>
                <w:sz w:val="18"/>
                <w:szCs w:val="18"/>
                <w:color w:val="auto"/>
              </w:rPr>
            </w:pPr>
          </w:p>
        </w:tc>
      </w:tr>
      <w:tr>
        <w:trPr>
          <w:trHeight w:val="209"/>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 xml:space="preserve">Total Other (Expense) Income </w:t>
            </w:r>
            <w:r>
              <w:rPr>
                <w:rFonts w:ascii="Times New Roman" w:cs="Times New Roman" w:eastAsia="Times New Roman" w:hAnsi="Times New Roman"/>
                <w:sz w:val="18"/>
                <w:szCs w:val="18"/>
                <w:color w:val="auto"/>
                <w:w w:val="98"/>
              </w:rPr>
              <w:t>............................</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(14,856)</w:t>
            </w:r>
          </w:p>
        </w:tc>
        <w:tc>
          <w:tcPr>
            <w:tcW w:w="20" w:type="dxa"/>
            <w:vAlign w:val="bottom"/>
          </w:tcPr>
          <w:p>
            <w:pPr>
              <w:spacing w:after="0"/>
              <w:rPr>
                <w:sz w:val="18"/>
                <w:szCs w:val="18"/>
                <w:color w:val="auto"/>
              </w:rPr>
            </w:pPr>
          </w:p>
        </w:tc>
        <w:tc>
          <w:tcPr>
            <w:tcW w:w="16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tcPr>
          <w:p>
            <w:pPr>
              <w:spacing w:after="0"/>
              <w:rPr>
                <w:sz w:val="18"/>
                <w:szCs w:val="18"/>
                <w:color w:val="auto"/>
              </w:rPr>
            </w:pPr>
          </w:p>
        </w:tc>
      </w:tr>
      <w:tr>
        <w:trPr>
          <w:trHeight w:val="207"/>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 xml:space="preserve">Loss Before Taxes </w:t>
            </w: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(40,615)</w:t>
            </w:r>
          </w:p>
        </w:tc>
        <w:tc>
          <w:tcPr>
            <w:tcW w:w="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0"/>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 xml:space="preserve">Income Tax Benefit </w:t>
            </w: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2"/>
        </w:trPr>
        <w:tc>
          <w:tcPr>
            <w:tcW w:w="3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(40,615)</w:t>
            </w:r>
          </w:p>
        </w:tc>
        <w:tc>
          <w:tcPr>
            <w:tcW w:w="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18"/>
                <w:szCs w:val="18"/>
                <w:color w:val="auto"/>
              </w:rPr>
            </w:pP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0"/>
        </w:trPr>
        <w:tc>
          <w:tcPr>
            <w:tcW w:w="3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40" w:type="dxa"/>
            <w:vAlign w:val="bottom"/>
          </w:tcPr>
          <w:p>
            <w:pPr>
              <w:spacing w:after="0"/>
              <w:rPr>
                <w:sz w:val="18"/>
                <w:szCs w:val="18"/>
                <w:color w:val="auto"/>
              </w:rPr>
            </w:pPr>
          </w:p>
        </w:tc>
        <w:tc>
          <w:tcPr>
            <w:tcW w:w="316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80" w:type="dxa"/>
            <w:vAlign w:val="bottom"/>
            <w:tcBorders>
              <w:bottom w:val="single" w:sz="8" w:color="auto"/>
            </w:tcBorders>
          </w:tcPr>
          <w:p>
            <w:pPr>
              <w:spacing w:after="0"/>
              <w:rPr>
                <w:sz w:val="18"/>
                <w:szCs w:val="18"/>
                <w:color w:val="auto"/>
              </w:rPr>
            </w:pPr>
          </w:p>
        </w:tc>
      </w:tr>
      <w:tr>
        <w:trPr>
          <w:trHeight w:val="219"/>
        </w:trPr>
        <w:tc>
          <w:tcPr>
            <w:tcW w:w="624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r>
      <w:tr>
        <w:trPr>
          <w:trHeight w:val="208"/>
        </w:trPr>
        <w:tc>
          <w:tcPr>
            <w:tcW w:w="6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80" w:type="dxa"/>
            <w:vAlign w:val="bottom"/>
          </w:tcPr>
          <w:p>
            <w:pPr>
              <w:spacing w:after="0"/>
              <w:rPr>
                <w:sz w:val="18"/>
                <w:szCs w:val="18"/>
                <w:color w:val="auto"/>
              </w:rPr>
            </w:pPr>
          </w:p>
        </w:tc>
      </w:tr>
      <w:tr>
        <w:trPr>
          <w:trHeight w:val="209"/>
        </w:trPr>
        <w:tc>
          <w:tcPr>
            <w:tcW w:w="6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DTC ............................................................................................................................</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22,616</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36,875</w:t>
            </w:r>
          </w:p>
        </w:tc>
      </w:tr>
      <w:tr>
        <w:trPr>
          <w:trHeight w:val="209"/>
        </w:trPr>
        <w:tc>
          <w:tcPr>
            <w:tcW w:w="6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Net Sales ............................................................................................................</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09"/>
        </w:trPr>
        <w:tc>
          <w:tcPr>
            <w:tcW w:w="6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OEM ...........................................................................................................................</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w:t>
            </w:r>
          </w:p>
        </w:tc>
      </w:tr>
      <w:tr>
        <w:trPr>
          <w:trHeight w:val="208"/>
        </w:trPr>
        <w:tc>
          <w:tcPr>
            <w:tcW w:w="6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Net Sales ............................................................................................................</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09"/>
        </w:trPr>
        <w:tc>
          <w:tcPr>
            <w:tcW w:w="6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Licensing Revenue .....................................................................................................</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Net Sales ............................................................................................................</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 Sales .....................................................................................................................</w:t>
            </w: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50,645</w:t>
            </w: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64,392</w:t>
            </w:r>
          </w:p>
        </w:tc>
      </w:tr>
    </w:tbl>
    <w:p>
      <w:pPr>
        <w:spacing w:after="0" w:line="200" w:lineRule="exact"/>
        <w:rPr>
          <w:sz w:val="20"/>
          <w:szCs w:val="20"/>
          <w:color w:val="auto"/>
        </w:rPr>
      </w:pPr>
    </w:p>
    <w:p>
      <w:pPr>
        <w:sectPr>
          <w:pgSz w:w="12240" w:h="15840" w:orient="portrait"/>
          <w:cols w:equalWidth="0" w:num="1">
            <w:col w:w="10080"/>
          </w:cols>
          <w:pgMar w:left="1080" w:top="1079" w:right="1080" w:bottom="155" w:gutter="0" w:footer="0" w:header="0"/>
        </w:sect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080"/>
          </w:cols>
          <w:pgMar w:left="1080" w:top="1079" w:right="1080" w:bottom="155"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Net sales decreased by $13.7 million, or 21.3%, to $50.6 million for the year ended December 31, 2024, as compared to $64.4 million for the year ended December 31, 2023. This decrease was primarily due to lower DTC battery and accessory sales due to a decline in demand in our core RV markets, partially offset by a slight increase in average sale prices for our batteries which is related to product mix. For the year ended December 31, 2024, DTC revenue decreased by $14.3 million as a result of decreased customer demand for our products due to rising interest rates and inflation. We expect our sales to increase as the cyclical recovery of the RV market gains momentum in the coming quarters and entrance into new markets, trucking and industrials, with new product offerings.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Goods Sold</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Cost of goods sold decreased by $9.9 million, or 20.3%, to $39.0 million for the year ended December 31, 2024, as compared to $48.9 million for the year ended December 31, 2023. This decrease was primarily due to a $9.1 million decrease in product cost due to lower unit volume, a decrease in labor expense due to reduced headcount and reduced overhead. We expect the materials and labor portion of our Cost of goods sold to increase in conjunction with the anticipated increase in revenue over the next 12 months.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Profit</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Gross profit decreased by $3.8 million, or 24.7%, to $11.6 million for the year ended December 31, 2024, as compared to $15.4 million for the year ended December 31, 2023. The decrease in gross profit was primarily due to lower unit volumes and a change in revenue mix that included a larger percentage of lower margin OEM sales and a lower percentage of higher margin DTC sales. Gross Profit percentage decreased by 1.0% from 24.0% in 2023 to 23.0% in 2024. Lower volume caused a reduction in absorption of labor and overhead impacting gross profit by 1.6% along with a decrease in material costs increasing gross profit by 0.6%. We expect our Gross Profit, as a percentage of revenue, to increase over the next 12 months with higher volumes increasing absorption of labor and overhead.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Research and development expenses increased by $1.6 million, or 41.1%, to $5.5 million for the year ended December 31, 2024, as compared to $3.9 million for the year ended December 31, 2023. The increase was primarily due to $0.8 million in higher employee related expenses due to increased headcount and an increase in rent related to the new lease in Fernley. Product development expenses and depreciation also increased related to new products introduced during the year ended December 31, 2024. We expect Research and Development expenses to reduce as we change our focus from Solid State to Product Development.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General and administrative expenses decreased by $4.5 million, or 17.0%, to $21.9 million for the year ended December 31, 2024, as compared to $26.4 million for the year ended December 31, 2023. This decrease was primarily due to reduction of employee related costs totaling $7.0 million due to lower headcount, which includes lower stock-based compensation expense in the amount of $4.9 million. We also incurred lower compliance, insurance, and professional fees related to public company costs in the amount of $1.3 million, and a $0.7 million decrease in investor relations expenses. The decrease in expense was offset by an impairment loss accrued for assets held for sale at year end of $0.9 million and a loss on patent litigation settlement accrued of $2.5 million. We expect General and Administrative Expenses, as a percentage of revenue, to increase as we increase the staffing in our Engineering department over the next 12 months.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and Marketing Expenses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Sales and marketing expenses decreased by $2.6 million, or 20.6%, to $10.0 million for the year ended December 31, 2024, as compared to $12.6 million for the year ended December 31, 2023. This decrease was primarily due to a $2.3 million reduction in employee related costs and lower stock-based compensation. Shipping costs are also lower by $0.9 million due to lower unit volumes, partially offset by travel and entertainment, previously allocated to General and Administrative Expense, and higher general marketing expenses. We expect our Selling and Marketing Expenses to be relatively stable over the next 12 months.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80"/>
          </w:cols>
          <w:pgMar w:left="1080" w:top="1079" w:right="1080" w:bottom="155"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i w:val="1"/>
          <w:iCs w:val="1"/>
          <w:color w:val="auto"/>
        </w:rPr>
        <w:t>Total Other Income (Expense)</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Other expense totaled $14.9 million for the year ended December 31, 2024 as compared to total other income of $13.6 million for the year ended December 31, 2023. Other expense in 2024 is comprised primarily of interest expense of $21.5 million related to our debt securities partially offset by a change in fair market value of warrant liability in the amount of $6.7 million. Other income in 2023 is comprised of a change in fair market value of warrant liability in the amount of $29.6 million, partially offset by interest expense of $16.0 million related to our debt securities.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income tax benefit for the years ended December 31, 2024 and December 31, 2024 were immaterial.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$19.7 million was recorded as of December 31, 2023 revalued at $29.4 million for the year ended December 31,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experienced a net loss of $40.6 million for the year ended December 31, 2024, as compared to a net loss of $13.8 million for the year ended December 31, 2023. As described above, this result was driven by increased other expenses, lower sales due to reduced demand in the RV market, partially offset by lower cost of goods sold and lower operating expenses.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Estimates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2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believe that the following accounting policies are those most critical to the judgments and estimates used in the preparation of our financial statements.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Valuation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080"/>
          </w:cols>
          <w:pgMar w:left="1080" w:top="1079" w:right="1080" w:bottom="155"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2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2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amount of the deferred tax asset considered realizable could be adjusted if our actual results in the future do not generate taxable income that is sufficient to allow us to utilize our deferred tax assets. Our future taxable income projections are subject to a high degree of uncertainty and could be impacted, both positively and negatively, by changes in our business or the markets in which we operate. A change in the assessment of the realizability of our deferred tax assets could materially impact our results of operations.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Acquired right-of-use assets and assumed lease liabilities are measured based on the remaining lease payments over the remaining portion of the lease term. As our leases do not provide an implicit rate, our incremental borrowing rate is used as a discount rate in determining the present value of lease payments. Our incremental borrowing rate was determined by comparing current low- and high-end mortgage loan rates and calculating an average. For our new Damonte lease, to be conservative in our estimate, we chose to use the high-end average as our incremental borrowing rate .</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Arrangement</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have entered into license arrangements that involve receiving upfront compensation, which is recognized as revenue over a five-year period. Management estimates the appropriate recognition pattern based on the expected delivery of related services and the period over which the economic benefits will be realized. This estimate involves judgments about the timing of performance obligations and the likelihood of continued customer engagement. Changes in these assumptions or unexpected developments could result in adjustments to revenue recognition, impacting the financial statements. As of the reporting date, management believes the estimate reflects the current understanding of the license arrangement’s performance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This Annual Report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2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080"/>
          </w:cols>
          <w:pgMar w:left="1080" w:top="1079" w:right="1080" w:bottom="155" w:gutter="0" w:footer="0" w:header="0"/>
          <w:type w:val="continuous"/>
        </w:sectPr>
      </w:pPr>
    </w:p>
    <w:bookmarkStart w:id="60" w:name="page61"/>
    <w:bookmarkEnd w:id="60"/>
    <w:p>
      <w:pPr>
        <w:spacing w:after="0" w:line="235" w:lineRule="auto"/>
        <w:rPr>
          <w:sz w:val="20"/>
          <w:szCs w:val="20"/>
          <w:color w:val="auto"/>
        </w:rPr>
      </w:pPr>
      <w:r>
        <w:rPr>
          <w:rFonts w:ascii="Times New Roman" w:cs="Times New Roman" w:eastAsia="Times New Roman" w:hAnsi="Times New Roman"/>
          <w:sz w:val="20"/>
          <w:szCs w:val="20"/>
          <w:color w:val="auto"/>
        </w:rPr>
        <w:t>The table below presents our adjusted EBITDA, reconciled to net (loss) income for the years ended December 31, 2024 and 2023.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62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6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 (loss) ....................................................................................................................</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(40,615)</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(13,817)</w:t>
            </w:r>
          </w:p>
        </w:tc>
      </w:tr>
      <w:tr>
        <w:trPr>
          <w:trHeight w:val="209"/>
        </w:trPr>
        <w:tc>
          <w:tcPr>
            <w:tcW w:w="6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Interest Expense .....................................................................................................</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21,504</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16,015</w:t>
            </w:r>
          </w:p>
        </w:tc>
        <w:tc>
          <w:tcPr>
            <w:tcW w:w="60" w:type="dxa"/>
            <w:vAlign w:val="bottom"/>
          </w:tcPr>
          <w:p>
            <w:pPr>
              <w:spacing w:after="0"/>
              <w:rPr>
                <w:sz w:val="18"/>
                <w:szCs w:val="18"/>
                <w:color w:val="auto"/>
              </w:rPr>
            </w:pPr>
          </w:p>
        </w:tc>
      </w:tr>
      <w:tr>
        <w:trPr>
          <w:trHeight w:val="209"/>
        </w:trPr>
        <w:tc>
          <w:tcPr>
            <w:tcW w:w="6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Taxes ......................................................................................................................</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6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Depreciation ...........................................................................................................</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3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60" w:type="dxa"/>
            <w:vAlign w:val="bottom"/>
          </w:tcPr>
          <w:p>
            <w:pPr>
              <w:spacing w:after="0"/>
              <w:rPr>
                <w:sz w:val="18"/>
                <w:szCs w:val="18"/>
                <w:color w:val="auto"/>
              </w:rPr>
            </w:pPr>
          </w:p>
        </w:tc>
      </w:tr>
      <w:tr>
        <w:trPr>
          <w:trHeight w:val="207"/>
        </w:trPr>
        <w:tc>
          <w:tcPr>
            <w:tcW w:w="6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EBITDA .....................................................................................................................</w:t>
            </w:r>
          </w:p>
        </w:tc>
        <w:tc>
          <w:tcPr>
            <w:tcW w:w="1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(17,739)</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60" w:type="dxa"/>
            <w:vAlign w:val="bottom"/>
          </w:tcPr>
          <w:p>
            <w:pPr>
              <w:spacing w:after="0"/>
              <w:rPr>
                <w:sz w:val="18"/>
                <w:szCs w:val="18"/>
                <w:color w:val="auto"/>
              </w:rPr>
            </w:pPr>
          </w:p>
        </w:tc>
      </w:tr>
      <w:tr>
        <w:trPr>
          <w:trHeight w:val="209"/>
        </w:trPr>
        <w:tc>
          <w:tcPr>
            <w:tcW w:w="6240" w:type="dxa"/>
            <w:vAlign w:val="bottom"/>
          </w:tcPr>
          <w:p>
            <w:pPr>
              <w:jc w:val="right"/>
              <w:ind w:right="5210"/>
              <w:spacing w:after="0"/>
              <w:rPr>
                <w:sz w:val="20"/>
                <w:szCs w:val="20"/>
                <w:color w:val="auto"/>
              </w:rPr>
            </w:pPr>
            <w:r>
              <w:rPr>
                <w:rFonts w:ascii="Times New Roman" w:cs="Times New Roman" w:eastAsia="Times New Roman" w:hAnsi="Times New Roman"/>
                <w:sz w:val="18"/>
                <w:szCs w:val="18"/>
                <w:i w:val="1"/>
                <w:iCs w:val="1"/>
                <w:color w:val="auto"/>
                <w:w w:val="97"/>
              </w:rPr>
              <w:t>Adjusted for:</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6240" w:type="dxa"/>
            <w:vAlign w:val="bottom"/>
          </w:tcPr>
          <w:p>
            <w:pPr>
              <w:jc w:val="right"/>
              <w:ind w:right="110"/>
              <w:spacing w:after="0" w:line="213"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60" w:type="dxa"/>
            <w:vAlign w:val="bottom"/>
          </w:tcPr>
          <w:p>
            <w:pPr>
              <w:spacing w:after="0"/>
              <w:rPr>
                <w:sz w:val="18"/>
                <w:szCs w:val="18"/>
                <w:color w:val="auto"/>
              </w:rPr>
            </w:pPr>
          </w:p>
        </w:tc>
      </w:tr>
      <w:tr>
        <w:trPr>
          <w:trHeight w:val="216"/>
        </w:trPr>
        <w:tc>
          <w:tcPr>
            <w:tcW w:w="6240" w:type="dxa"/>
            <w:vAlign w:val="bottom"/>
          </w:tcPr>
          <w:p>
            <w:pPr>
              <w:jc w:val="right"/>
              <w:ind w:right="110"/>
              <w:spacing w:after="0" w:line="216" w:lineRule="exact"/>
              <w:rPr>
                <w:sz w:val="20"/>
                <w:szCs w:val="20"/>
                <w:color w:val="auto"/>
              </w:rPr>
            </w:pPr>
            <w:r>
              <w:rPr>
                <w:rFonts w:ascii="Times New Roman" w:cs="Times New Roman" w:eastAsia="Times New Roman" w:hAnsi="Times New Roman"/>
                <w:sz w:val="18"/>
                <w:szCs w:val="18"/>
                <w:color w:val="auto"/>
              </w:rPr>
              <w:t xml:space="preserve">June 2023 Offering Costs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t>
            </w:r>
          </w:p>
        </w:tc>
        <w:tc>
          <w:tcPr>
            <w:tcW w:w="1100" w:type="dxa"/>
            <w:vAlign w:val="bottom"/>
          </w:tcPr>
          <w:p>
            <w:pPr>
              <w:spacing w:after="0"/>
              <w:rPr>
                <w:sz w:val="18"/>
                <w:szCs w:val="18"/>
                <w:color w:val="auto"/>
              </w:rPr>
            </w:pPr>
          </w:p>
        </w:tc>
        <w:tc>
          <w:tcPr>
            <w:tcW w:w="6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904</w:t>
            </w:r>
          </w:p>
        </w:tc>
        <w:tc>
          <w:tcPr>
            <w:tcW w:w="60" w:type="dxa"/>
            <w:vAlign w:val="bottom"/>
          </w:tcPr>
          <w:p>
            <w:pPr>
              <w:spacing w:after="0"/>
              <w:rPr>
                <w:sz w:val="18"/>
                <w:szCs w:val="18"/>
                <w:color w:val="auto"/>
              </w:rPr>
            </w:pPr>
          </w:p>
        </w:tc>
      </w:tr>
      <w:tr>
        <w:trPr>
          <w:trHeight w:val="197"/>
        </w:trPr>
        <w:tc>
          <w:tcPr>
            <w:tcW w:w="6240" w:type="dxa"/>
            <w:vAlign w:val="bottom"/>
          </w:tcPr>
          <w:p>
            <w:pPr>
              <w:jc w:val="right"/>
              <w:ind w:right="110"/>
              <w:spacing w:after="0" w:line="197" w:lineRule="exact"/>
              <w:rPr>
                <w:sz w:val="20"/>
                <w:szCs w:val="20"/>
                <w:color w:val="auto"/>
              </w:rPr>
            </w:pPr>
            <w:r>
              <w:rPr>
                <w:rFonts w:ascii="Times New Roman" w:cs="Times New Roman" w:eastAsia="Times New Roman" w:hAnsi="Times New Roman"/>
                <w:sz w:val="18"/>
                <w:szCs w:val="18"/>
                <w:color w:val="auto"/>
              </w:rPr>
              <w:t>Loss on Disposal of Assets .....................................................................................</w:t>
            </w:r>
          </w:p>
        </w:tc>
        <w:tc>
          <w:tcPr>
            <w:tcW w:w="1100" w:type="dxa"/>
            <w:vAlign w:val="bottom"/>
          </w:tcPr>
          <w:p>
            <w:pPr>
              <w:spacing w:after="0"/>
              <w:rPr>
                <w:sz w:val="17"/>
                <w:szCs w:val="17"/>
                <w:color w:val="auto"/>
              </w:rPr>
            </w:pPr>
          </w:p>
        </w:tc>
        <w:tc>
          <w:tcPr>
            <w:tcW w:w="6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69</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712</w:t>
            </w:r>
          </w:p>
        </w:tc>
        <w:tc>
          <w:tcPr>
            <w:tcW w:w="60" w:type="dxa"/>
            <w:vAlign w:val="bottom"/>
          </w:tcPr>
          <w:p>
            <w:pPr>
              <w:spacing w:after="0"/>
              <w:rPr>
                <w:sz w:val="17"/>
                <w:szCs w:val="17"/>
                <w:color w:val="auto"/>
              </w:rPr>
            </w:pPr>
          </w:p>
        </w:tc>
      </w:tr>
      <w:tr>
        <w:trPr>
          <w:trHeight w:val="214"/>
        </w:trPr>
        <w:tc>
          <w:tcPr>
            <w:tcW w:w="6240" w:type="dxa"/>
            <w:vAlign w:val="bottom"/>
          </w:tcPr>
          <w:p>
            <w:pPr>
              <w:jc w:val="right"/>
              <w:ind w:right="110"/>
              <w:spacing w:after="0" w:line="213" w:lineRule="exact"/>
              <w:rPr>
                <w:sz w:val="20"/>
                <w:szCs w:val="20"/>
                <w:color w:val="auto"/>
              </w:rPr>
            </w:pPr>
            <w:r>
              <w:rPr>
                <w:rFonts w:ascii="Times New Roman" w:cs="Times New Roman" w:eastAsia="Times New Roman" w:hAnsi="Times New Roman"/>
                <w:sz w:val="18"/>
                <w:szCs w:val="18"/>
                <w:color w:val="auto"/>
              </w:rPr>
              <w:t>Separation Agreement</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tcPr>
          <w:p>
            <w:pPr>
              <w:spacing w:after="0"/>
              <w:rPr>
                <w:sz w:val="18"/>
                <w:szCs w:val="18"/>
                <w:color w:val="auto"/>
              </w:rPr>
            </w:pPr>
          </w:p>
        </w:tc>
      </w:tr>
      <w:tr>
        <w:trPr>
          <w:trHeight w:val="216"/>
        </w:trPr>
        <w:tc>
          <w:tcPr>
            <w:tcW w:w="6240" w:type="dxa"/>
            <w:vAlign w:val="bottom"/>
          </w:tcPr>
          <w:p>
            <w:pPr>
              <w:jc w:val="right"/>
              <w:ind w:right="110"/>
              <w:spacing w:after="0" w:line="216" w:lineRule="exact"/>
              <w:rPr>
                <w:sz w:val="20"/>
                <w:szCs w:val="20"/>
                <w:color w:val="auto"/>
              </w:rPr>
            </w:pPr>
            <w:r>
              <w:rPr>
                <w:rFonts w:ascii="Times New Roman" w:cs="Times New Roman" w:eastAsia="Times New Roman" w:hAnsi="Times New Roman"/>
                <w:sz w:val="18"/>
                <w:szCs w:val="18"/>
                <w:color w:val="auto"/>
              </w:rPr>
              <w:t xml:space="preserve">Change in fair market value of warrant liability </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w:t>
            </w:r>
          </w:p>
        </w:tc>
        <w:tc>
          <w:tcPr>
            <w:tcW w:w="1100" w:type="dxa"/>
            <w:vAlign w:val="bottom"/>
          </w:tcPr>
          <w:p>
            <w:pPr>
              <w:spacing w:after="0"/>
              <w:rPr>
                <w:sz w:val="18"/>
                <w:szCs w:val="18"/>
                <w:color w:val="auto"/>
              </w:rPr>
            </w:pPr>
          </w:p>
        </w:tc>
        <w:tc>
          <w:tcPr>
            <w:tcW w:w="920" w:type="dxa"/>
            <w:vAlign w:val="bottom"/>
            <w:gridSpan w:val="2"/>
          </w:tcPr>
          <w:p>
            <w:pPr>
              <w:jc w:val="right"/>
              <w:ind w:right="240"/>
              <w:spacing w:after="0" w:line="204" w:lineRule="exact"/>
              <w:rPr>
                <w:sz w:val="20"/>
                <w:szCs w:val="20"/>
                <w:color w:val="auto"/>
              </w:rPr>
            </w:pPr>
            <w:r>
              <w:rPr>
                <w:rFonts w:ascii="Times New Roman" w:cs="Times New Roman" w:eastAsia="Times New Roman" w:hAnsi="Times New Roman"/>
                <w:sz w:val="18"/>
                <w:szCs w:val="18"/>
                <w:color w:val="auto"/>
              </w:rPr>
              <w:t>(6,684)</w:t>
            </w:r>
          </w:p>
        </w:tc>
        <w:tc>
          <w:tcPr>
            <w:tcW w:w="1100" w:type="dxa"/>
            <w:vAlign w:val="bottom"/>
          </w:tcPr>
          <w:p>
            <w:pPr>
              <w:spacing w:after="0"/>
              <w:rPr>
                <w:sz w:val="18"/>
                <w:szCs w:val="18"/>
                <w:color w:val="auto"/>
              </w:rPr>
            </w:pPr>
          </w:p>
        </w:tc>
        <w:tc>
          <w:tcPr>
            <w:tcW w:w="6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(29,582)</w:t>
            </w:r>
          </w:p>
        </w:tc>
      </w:tr>
      <w:tr>
        <w:trPr>
          <w:trHeight w:val="197"/>
        </w:trPr>
        <w:tc>
          <w:tcPr>
            <w:tcW w:w="6240" w:type="dxa"/>
            <w:vAlign w:val="bottom"/>
          </w:tcPr>
          <w:p>
            <w:pPr>
              <w:jc w:val="right"/>
              <w:ind w:right="3290"/>
              <w:spacing w:after="0" w:line="197" w:lineRule="exact"/>
              <w:rPr>
                <w:sz w:val="20"/>
                <w:szCs w:val="20"/>
                <w:color w:val="auto"/>
              </w:rPr>
            </w:pPr>
            <w:r>
              <w:rPr>
                <w:rFonts w:ascii="Times New Roman" w:cs="Times New Roman" w:eastAsia="Times New Roman" w:hAnsi="Times New Roman"/>
                <w:sz w:val="18"/>
                <w:szCs w:val="18"/>
                <w:color w:val="auto"/>
              </w:rPr>
              <w:t>Non-Recurring/One-Time Expenses:</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6240" w:type="dxa"/>
            <w:vAlign w:val="bottom"/>
          </w:tcPr>
          <w:p>
            <w:pPr>
              <w:jc w:val="right"/>
              <w:ind w:right="110"/>
              <w:spacing w:after="0" w:line="212" w:lineRule="exact"/>
              <w:rPr>
                <w:sz w:val="20"/>
                <w:szCs w:val="20"/>
                <w:color w:val="auto"/>
              </w:rPr>
            </w:pPr>
            <w:r>
              <w:rPr>
                <w:rFonts w:ascii="Times New Roman" w:cs="Times New Roman" w:eastAsia="Times New Roman" w:hAnsi="Times New Roman"/>
                <w:sz w:val="18"/>
                <w:szCs w:val="18"/>
                <w:color w:val="auto"/>
              </w:rPr>
              <w:t>Tariff Investigation</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8"/>
                <w:szCs w:val="18"/>
                <w:color w:val="auto"/>
              </w:rPr>
              <w:t xml:space="preserve"> .........................................................................................</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240" w:type="dxa"/>
            <w:vAlign w:val="bottom"/>
          </w:tcPr>
          <w:p>
            <w:pPr>
              <w:jc w:val="right"/>
              <w:ind w:right="110"/>
              <w:spacing w:after="0" w:line="209" w:lineRule="exact"/>
              <w:rPr>
                <w:sz w:val="20"/>
                <w:szCs w:val="20"/>
                <w:color w:val="auto"/>
              </w:rPr>
            </w:pPr>
            <w:r>
              <w:rPr>
                <w:rFonts w:ascii="Times New Roman" w:cs="Times New Roman" w:eastAsia="Times New Roman" w:hAnsi="Times New Roman"/>
                <w:sz w:val="18"/>
                <w:szCs w:val="18"/>
                <w:color w:val="auto"/>
              </w:rPr>
              <w:t>Patent Litigation</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w:t>
            </w:r>
          </w:p>
        </w:tc>
        <w:tc>
          <w:tcPr>
            <w:tcW w:w="1100" w:type="dxa"/>
            <w:vAlign w:val="bottom"/>
          </w:tcPr>
          <w:p>
            <w:pPr>
              <w:spacing w:after="0"/>
              <w:rPr>
                <w:sz w:val="18"/>
                <w:szCs w:val="18"/>
                <w:color w:val="auto"/>
              </w:rPr>
            </w:pPr>
          </w:p>
        </w:tc>
        <w:tc>
          <w:tcPr>
            <w:tcW w:w="6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624</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240" w:type="dxa"/>
            <w:vAlign w:val="bottom"/>
          </w:tcPr>
          <w:p>
            <w:pPr>
              <w:jc w:val="right"/>
              <w:ind w:right="110"/>
              <w:spacing w:after="0" w:line="209" w:lineRule="exact"/>
              <w:rPr>
                <w:sz w:val="20"/>
                <w:szCs w:val="20"/>
                <w:color w:val="auto"/>
              </w:rPr>
            </w:pPr>
            <w:r>
              <w:rPr>
                <w:rFonts w:ascii="Times New Roman" w:cs="Times New Roman" w:eastAsia="Times New Roman" w:hAnsi="Times New Roman"/>
                <w:sz w:val="18"/>
                <w:szCs w:val="18"/>
                <w:color w:val="auto"/>
              </w:rPr>
              <w:t xml:space="preserve">Reverse Stock Split </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8"/>
                <w:szCs w:val="18"/>
                <w:color w:val="auto"/>
              </w:rPr>
              <w:t xml:space="preserve"> ........................................................................................</w:t>
            </w:r>
          </w:p>
        </w:tc>
        <w:tc>
          <w:tcPr>
            <w:tcW w:w="1100" w:type="dxa"/>
            <w:vAlign w:val="bottom"/>
          </w:tcPr>
          <w:p>
            <w:pPr>
              <w:spacing w:after="0"/>
              <w:rPr>
                <w:sz w:val="18"/>
                <w:szCs w:val="18"/>
                <w:color w:val="auto"/>
              </w:rPr>
            </w:pPr>
          </w:p>
        </w:tc>
        <w:tc>
          <w:tcPr>
            <w:tcW w:w="6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90</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240" w:type="dxa"/>
            <w:vAlign w:val="bottom"/>
          </w:tcPr>
          <w:p>
            <w:pPr>
              <w:jc w:val="right"/>
              <w:ind w:right="110"/>
              <w:spacing w:after="0" w:line="209" w:lineRule="exact"/>
              <w:rPr>
                <w:sz w:val="20"/>
                <w:szCs w:val="20"/>
                <w:color w:val="auto"/>
              </w:rPr>
            </w:pPr>
            <w:r>
              <w:rPr>
                <w:rFonts w:ascii="Times New Roman" w:cs="Times New Roman" w:eastAsia="Times New Roman" w:hAnsi="Times New Roman"/>
                <w:sz w:val="18"/>
                <w:szCs w:val="18"/>
                <w:color w:val="auto"/>
              </w:rPr>
              <w:t>Stryten Licensing Agreement</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6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284</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240" w:type="dxa"/>
            <w:vAlign w:val="bottom"/>
          </w:tcPr>
          <w:p>
            <w:pPr>
              <w:jc w:val="right"/>
              <w:ind w:right="110"/>
              <w:spacing w:after="0" w:line="209" w:lineRule="exact"/>
              <w:rPr>
                <w:sz w:val="20"/>
                <w:szCs w:val="20"/>
                <w:color w:val="auto"/>
              </w:rPr>
            </w:pPr>
            <w:r>
              <w:rPr>
                <w:rFonts w:ascii="Times New Roman" w:cs="Times New Roman" w:eastAsia="Times New Roman" w:hAnsi="Times New Roman"/>
                <w:sz w:val="18"/>
                <w:szCs w:val="18"/>
                <w:color w:val="auto"/>
              </w:rPr>
              <w:t>Loss on Settlement</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8"/>
                <w:szCs w:val="18"/>
                <w:color w:val="auto"/>
              </w:rPr>
              <w:t xml:space="preserve"> ..........................................................................................</w:t>
            </w:r>
          </w:p>
        </w:tc>
        <w:tc>
          <w:tcPr>
            <w:tcW w:w="1100" w:type="dxa"/>
            <w:vAlign w:val="bottom"/>
          </w:tcPr>
          <w:p>
            <w:pPr>
              <w:spacing w:after="0"/>
              <w:rPr>
                <w:sz w:val="18"/>
                <w:szCs w:val="18"/>
                <w:color w:val="auto"/>
              </w:rPr>
            </w:pPr>
          </w:p>
        </w:tc>
        <w:tc>
          <w:tcPr>
            <w:tcW w:w="6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2,500</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240" w:type="dxa"/>
            <w:vAlign w:val="bottom"/>
          </w:tcPr>
          <w:p>
            <w:pPr>
              <w:jc w:val="right"/>
              <w:ind w:right="110"/>
              <w:spacing w:after="0" w:line="216" w:lineRule="exact"/>
              <w:rPr>
                <w:sz w:val="20"/>
                <w:szCs w:val="20"/>
                <w:color w:val="auto"/>
              </w:rPr>
            </w:pPr>
            <w:r>
              <w:rPr>
                <w:rFonts w:ascii="Times New Roman" w:cs="Times New Roman" w:eastAsia="Times New Roman" w:hAnsi="Times New Roman"/>
                <w:sz w:val="18"/>
                <w:szCs w:val="18"/>
                <w:color w:val="auto"/>
              </w:rPr>
              <w:t>Loss on Impairment of Assets</w:t>
            </w: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8"/>
                <w:szCs w:val="18"/>
                <w:color w:val="auto"/>
              </w:rPr>
              <w:t xml:space="preserve"> .......................................................................</w:t>
            </w:r>
          </w:p>
        </w:tc>
        <w:tc>
          <w:tcPr>
            <w:tcW w:w="1100" w:type="dxa"/>
            <w:vAlign w:val="bottom"/>
          </w:tcPr>
          <w:p>
            <w:pPr>
              <w:spacing w:after="0"/>
              <w:rPr>
                <w:sz w:val="18"/>
                <w:szCs w:val="18"/>
                <w:color w:val="auto"/>
              </w:rPr>
            </w:pPr>
          </w:p>
        </w:tc>
        <w:tc>
          <w:tcPr>
            <w:tcW w:w="6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873</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198"/>
        </w:trPr>
        <w:tc>
          <w:tcPr>
            <w:tcW w:w="6240" w:type="dxa"/>
            <w:vAlign w:val="bottom"/>
          </w:tcPr>
          <w:p>
            <w:pPr>
              <w:jc w:val="right"/>
              <w:ind w:right="110"/>
              <w:spacing w:after="0" w:line="19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t>
            </w:r>
          </w:p>
        </w:tc>
        <w:tc>
          <w:tcPr>
            <w:tcW w:w="1100" w:type="dxa"/>
            <w:vAlign w:val="bottom"/>
          </w:tcPr>
          <w:p>
            <w:pPr>
              <w:jc w:val="right"/>
              <w:ind w:right="91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40"/>
              <w:spacing w:after="0" w:line="197" w:lineRule="exact"/>
              <w:rPr>
                <w:sz w:val="20"/>
                <w:szCs w:val="20"/>
                <w:color w:val="auto"/>
              </w:rPr>
            </w:pPr>
            <w:r>
              <w:rPr>
                <w:rFonts w:ascii="Times New Roman" w:cs="Times New Roman" w:eastAsia="Times New Roman" w:hAnsi="Times New Roman"/>
                <w:sz w:val="18"/>
                <w:szCs w:val="18"/>
                <w:color w:val="auto"/>
              </w:rPr>
              <w:t>(18,500)</w:t>
            </w:r>
          </w:p>
        </w:tc>
        <w:tc>
          <w:tcPr>
            <w:tcW w:w="1100" w:type="dxa"/>
            <w:vAlign w:val="bottom"/>
          </w:tcPr>
          <w:p>
            <w:pPr>
              <w:jc w:val="right"/>
              <w:ind w:right="91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(17,127)</w:t>
            </w:r>
          </w:p>
        </w:tc>
      </w:tr>
      <w:tr>
        <w:trPr>
          <w:trHeight w:val="21"/>
        </w:trPr>
        <w:tc>
          <w:tcPr>
            <w:tcW w:w="6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159385</wp:posOffset>
            </wp:positionV>
            <wp:extent cx="2095500" cy="12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2095500" cy="12065"/>
                    </a:xfrm>
                    <a:prstGeom prst="rect">
                      <a:avLst/>
                    </a:prstGeom>
                    <a:noFill/>
                  </pic:spPr>
                </pic:pic>
              </a:graphicData>
            </a:graphic>
          </wp:anchor>
        </w:drawing>
      </w:r>
    </w:p>
    <w:p>
      <w:pPr>
        <w:spacing w:after="0" w:line="251" w:lineRule="exact"/>
        <w:rPr>
          <w:sz w:val="20"/>
          <w:szCs w:val="20"/>
          <w:color w:val="auto"/>
        </w:rPr>
      </w:pPr>
    </w:p>
    <w:p>
      <w:pPr>
        <w:ind w:left="360" w:hanging="360"/>
        <w:spacing w:after="0"/>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is comprised of costs associated with option and RSU grants made to our employees, consultants and board members.</w:t>
      </w:r>
    </w:p>
    <w:p>
      <w:pPr>
        <w:spacing w:after="0" w:line="70" w:lineRule="exact"/>
        <w:rPr>
          <w:rFonts w:ascii="Times New Roman" w:cs="Times New Roman" w:eastAsia="Times New Roman" w:hAnsi="Times New Roman"/>
          <w:sz w:val="16"/>
          <w:szCs w:val="16"/>
          <w:color w:val="auto"/>
        </w:rPr>
      </w:pPr>
    </w:p>
    <w:p>
      <w:pPr>
        <w:ind w:left="360" w:hanging="360"/>
        <w:spacing w:after="0" w:line="234" w:lineRule="auto"/>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June 2023 Offering Costs related to the warrant liability are comprised of fees and expenses, including legal, accounting, and other expenses associated with this offering.</w:t>
      </w:r>
    </w:p>
    <w:p>
      <w:pPr>
        <w:spacing w:after="0" w:line="72" w:lineRule="exact"/>
        <w:rPr>
          <w:rFonts w:ascii="Times New Roman" w:cs="Times New Roman" w:eastAsia="Times New Roman" w:hAnsi="Times New Roman"/>
          <w:sz w:val="16"/>
          <w:szCs w:val="16"/>
          <w:color w:val="auto"/>
        </w:rPr>
      </w:pPr>
    </w:p>
    <w:p>
      <w:pPr>
        <w:ind w:left="360" w:hanging="360"/>
        <w:spacing w:after="0" w:line="235" w:lineRule="auto"/>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Separation Agreement in 2023 is comprised of $720 in cash severance associated with separation agreement dated April 26, 2023, between us and our former Chief Legal Officer.</w:t>
      </w:r>
    </w:p>
    <w:p>
      <w:pPr>
        <w:spacing w:after="0" w:line="70"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in fair market value of warrant liabilities represents the change in fair value from the date the warrants were issued through December 31, 2024.</w:t>
      </w:r>
    </w:p>
    <w:p>
      <w:pPr>
        <w:spacing w:after="0" w:line="65" w:lineRule="exact"/>
        <w:rPr>
          <w:rFonts w:ascii="Times New Roman" w:cs="Times New Roman" w:eastAsia="Times New Roman" w:hAnsi="Times New Roman"/>
          <w:sz w:val="15"/>
          <w:szCs w:val="15"/>
          <w:color w:val="auto"/>
        </w:rPr>
      </w:pPr>
    </w:p>
    <w:p>
      <w:pPr>
        <w:ind w:left="360" w:hanging="360"/>
        <w:spacing w:after="0"/>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Tariff Investigation are legal and forensic accounting related fees and expenses related to this investigation.</w:t>
      </w:r>
    </w:p>
    <w:p>
      <w:pPr>
        <w:spacing w:after="0" w:line="60"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 Investigation are legal fees and expenses related to the Internation Trade Commission ‘ITC’ Lithium Hub patent infringement case.</w:t>
      </w:r>
    </w:p>
    <w:p>
      <w:pPr>
        <w:spacing w:after="0" w:line="62"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Reverse Stock Split are transfer agent and legal expenses and fees related to the reverse stock split with the SEC.</w:t>
      </w:r>
    </w:p>
    <w:p>
      <w:pPr>
        <w:spacing w:after="0" w:line="62"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Stryten Licensing Agreement is comprised of Legal expenses and fees related to the Licensing agreement with Stryten Energy, LLC</w:t>
      </w:r>
    </w:p>
    <w:p>
      <w:pPr>
        <w:spacing w:after="0" w:line="60"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settlement from patent licensing litigation</w:t>
      </w:r>
    </w:p>
    <w:p>
      <w:pPr>
        <w:spacing w:after="0" w:line="62"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impairment of assets from subsequent sale at a price lower than its carrying value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December 31, 2024, we had cash totaling $4.8 million. In addition, in February 2025, we raised $8.0 million with net proceeds of $3.2 million in connection with the sale of the shares of our Series A Preferred Stock received in February 2025 and the remainder expected in early May 2025. We believe that our cash at December 31, 2024 and the net proceeds of our February 2025 offering will fund our operations into the first quarter of 2026.</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July 29, 2024, Legacy Dragonfly and Battle Born LLC entered into the License with Stryten. In exchange for the licensing rights, Stryten agreed to pay Battle Born LLC the Initial Licensing Fee of five million dollars ($5,000,000). Per the License Agreement, payment for the Initial Licensing Fee is due within 30 days of the effective date of the License Agreement. We received the Initial Licensing Fee in August 2024.</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connection with the contraction of our business and uncertainty around the timing of future needs, we reduced our purchase activities in 2024. As a result, our inventory balance at December 31, 2024 decreased by $17.1 million to $21.7 million, compared to $38.8 million at December 31, 2023.</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080"/>
          </w:cols>
          <w:pgMar w:left="1080" w:top="1089" w:right="1080" w:bottom="155" w:gutter="0" w:footer="0" w:header="0"/>
          <w:type w:val="continuous"/>
        </w:sectPr>
      </w:pPr>
    </w:p>
    <w:bookmarkStart w:id="61" w:name="page62"/>
    <w:bookmarkEnd w:id="61"/>
    <w:p>
      <w:pPr>
        <w:jc w:val="both"/>
        <w:spacing w:after="0" w:line="234" w:lineRule="auto"/>
        <w:rPr>
          <w:sz w:val="20"/>
          <w:szCs w:val="20"/>
          <w:color w:val="auto"/>
        </w:rPr>
      </w:pPr>
      <w:r>
        <w:rPr>
          <w:rFonts w:ascii="Times New Roman" w:cs="Times New Roman" w:eastAsia="Times New Roman" w:hAnsi="Times New Roman"/>
          <w:sz w:val="20"/>
          <w:szCs w:val="20"/>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Further, any future debt or equity financings may be dilutive to our current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Obligations and Requirements</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w:t>
      </w:r>
      <w:r>
        <w:rPr>
          <w:rFonts w:ascii="Times New Roman" w:cs="Times New Roman" w:eastAsia="Times New Roman" w:hAnsi="Times New Roman"/>
          <w:sz w:val="19"/>
          <w:szCs w:val="19"/>
          <w:b w:val="1"/>
          <w:bCs w:val="1"/>
          <w:color w:val="auto"/>
        </w:rPr>
        <w:t>Term Loan</w:t>
      </w:r>
      <w:r>
        <w:rPr>
          <w:rFonts w:ascii="Times New Roman" w:cs="Times New Roman" w:eastAsia="Times New Roman" w:hAnsi="Times New Roman"/>
          <w:sz w:val="19"/>
          <w:szCs w:val="19"/>
          <w:color w:val="auto"/>
        </w:rPr>
        <w:t>”) pursuant to the Term Loan, Guarantee and Security Agreement (the “</w:t>
      </w:r>
      <w:r>
        <w:rPr>
          <w:rFonts w:ascii="Times New Roman" w:cs="Times New Roman" w:eastAsia="Times New Roman" w:hAnsi="Times New Roman"/>
          <w:sz w:val="19"/>
          <w:szCs w:val="19"/>
          <w:b w:val="1"/>
          <w:bCs w:val="1"/>
          <w:color w:val="auto"/>
        </w:rPr>
        <w:t>Original Term Loan Agreement</w:t>
      </w:r>
      <w:r>
        <w:rPr>
          <w:rFonts w:ascii="Times New Roman" w:cs="Times New Roman" w:eastAsia="Times New Roman" w:hAnsi="Times New Roman"/>
          <w:sz w:val="19"/>
          <w:szCs w:val="19"/>
          <w:color w:val="auto"/>
        </w:rPr>
        <w:t>”) by and among, us, Legacy Dragonfly, Alter Domus (US) LLC, as the Agent to the lenders time-to-time party thereto (such lenders, the “</w:t>
      </w:r>
      <w:r>
        <w:rPr>
          <w:rFonts w:ascii="Times New Roman" w:cs="Times New Roman" w:eastAsia="Times New Roman" w:hAnsi="Times New Roman"/>
          <w:sz w:val="19"/>
          <w:szCs w:val="19"/>
          <w:b w:val="1"/>
          <w:bCs w:val="1"/>
          <w:color w:val="auto"/>
        </w:rPr>
        <w:t>Term Loan Lenders</w:t>
      </w:r>
      <w:r>
        <w:rPr>
          <w:rFonts w:ascii="Times New Roman" w:cs="Times New Roman" w:eastAsia="Times New Roman" w:hAnsi="Times New Roman"/>
          <w:sz w:val="19"/>
          <w:szCs w:val="19"/>
          <w:color w:val="auto"/>
        </w:rPr>
        <w:t>”), the proceeds of which were used to repay the $45 million fixed rate senior notes, and ChEF Equity Facility. On June 28, 2024, we entered into the First Amendment with the Term Loan Lenders. The First Amendment provided for a one-time issuance of the June 2024 Penny Warrants to purchase up to 233,334 shares of common stock and certain amendments to the Term Loan. On July 29, 2024, we entered into the Second Amendment with the Term Loan Lenders in connection with the License Agreement. On September 30, 2024, we entered into the Third Amendment with the Term Loan Lenders, which provided for the issuance of the September 2024 Penny Warrants to purchase up to 333,334 shares of common stock and certain amendments to the Term Loan Agreement. On December 31, 2024, we entered into the Fourth Amendment with the Term Loan Lenders, which provided for the issuance of the December 2024 Penny Warrants to purchase up to 350,000 shares of common stock and certain amendments to the Term Loan Agreement.</w:t>
      </w:r>
    </w:p>
    <w:p>
      <w:pPr>
        <w:spacing w:after="0" w:line="16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In connection with the License Agreement, on July 29, 2024, us, Legacy Dragonfly and Battle Born LLC entered into the Second Amendment (together with the Original Term Loan, the First Amendment, the Second Amendment, the Third Amendment and the Fourth Amendment, the “</w:t>
      </w:r>
      <w:r>
        <w:rPr>
          <w:rFonts w:ascii="Times New Roman" w:cs="Times New Roman" w:eastAsia="Times New Roman" w:hAnsi="Times New Roman"/>
          <w:sz w:val="20"/>
          <w:szCs w:val="20"/>
          <w:b w:val="1"/>
          <w:bCs w:val="1"/>
          <w:color w:val="auto"/>
        </w:rPr>
        <w:t>Term Loan Agreement</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Pursuant to the Second Amendment, the Term Loan Lenders (i) consented to the transactions contemplated by the License Agreement and the Trademark Transfer Agreement and (ii) agreed to waive the mandatory prepayment under the Term Loan that would have been due to the Term Loan Lenders under the Term Loan Agreement upon Battle Born LLC’s receipt of the Initial Licensing Fee. In connection with the Second Amendment, Battle Born LLC entered into the Joinder.</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September 29, 2023, December 29, 2023, May 13, 2024, June 28, 2024, September 30, 2024 and December 31, 2024, we obtained waivers from Alter Domus (US) LLC, as the administrative agent for the lenders (the “</w:t>
      </w:r>
      <w:r>
        <w:rPr>
          <w:rFonts w:ascii="Times New Roman" w:cs="Times New Roman" w:eastAsia="Times New Roman" w:hAnsi="Times New Roman"/>
          <w:sz w:val="19"/>
          <w:szCs w:val="19"/>
          <w:b w:val="1"/>
          <w:bCs w:val="1"/>
          <w:color w:val="auto"/>
        </w:rPr>
        <w:t>Administrative Agent</w:t>
      </w:r>
      <w:r>
        <w:rPr>
          <w:rFonts w:ascii="Times New Roman" w:cs="Times New Roman" w:eastAsia="Times New Roman" w:hAnsi="Times New Roman"/>
          <w:sz w:val="19"/>
          <w:szCs w:val="19"/>
          <w:color w:val="auto"/>
        </w:rPr>
        <w:t>”) and EICF Agent LLC and certain third-party financing source of our failure to satisfy the Tests under the Term Loan during the quarters ended March 31, 2023, September 30, 2023, December 31, 2023, March 31, 2024, June 30, 2024, September 30, 2024, and December 31, 2024. On March 31, 2024, April 29, 2024, May 30, 2024, June 28, 2024, July 31, 2024, August 30, 2024, September 30, 2024, October 31, 2024, November 30, 2024 and December 31, 2024, we received additional waivers from the Administrative Agent and the Term Loan Lenders in regard to our compliance with the liquidity requirement under the Term Loan as of the last day of the fiscal quarters ended March 31, 2024, June 30, 2024, September 30, 2024 and December 31, 2024, and as of the last fiscal day for the months ended April 30, 2024, May 31, 2024, July 31, 2024, August 31, 2024, October 31, 2024 and November 30, 2024. However, it is probable that we will fail to meet these covenants within the next twelve months. In accordance with U.S. GAAP, we reclassified our notes payable from a long-term liability to a current liability. The Term Loan accrues interest as follows: (i) until April 1, 2024, at a per annum rate equal to adjusted secured overnight financing rate (“SOFR”) plus 7% payable in cash plus an amount ranging from 4.5% to 6.5%, depending on our senior leverage ratio;</w:t>
      </w:r>
    </w:p>
    <w:p>
      <w:pPr>
        <w:ind w:left="300" w:hanging="300"/>
        <w:spacing w:after="0" w:line="236" w:lineRule="auto"/>
        <w:tabs>
          <w:tab w:leader="none" w:pos="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April 1, 2024 and thereafter, interest payable to certain lenders subject to regulations of the U.S. Small Business</w:t>
      </w:r>
    </w:p>
    <w:p>
      <w:pPr>
        <w:spacing w:after="0" w:line="4" w:lineRule="exact"/>
        <w:rPr>
          <w:rFonts w:ascii="Times New Roman" w:cs="Times New Roman" w:eastAsia="Times New Roman" w:hAnsi="Times New Roman"/>
          <w:sz w:val="20"/>
          <w:szCs w:val="20"/>
          <w:color w:val="auto"/>
        </w:rPr>
      </w:pPr>
    </w:p>
    <w:p>
      <w:pPr>
        <w:jc w:val="both"/>
        <w:spacing w:after="0" w:line="23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Administration (“SBA”)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sectPr>
          <w:pgSz w:w="12240" w:h="15840" w:orient="portrait"/>
          <w:cols w:equalWidth="0" w:num="1">
            <w:col w:w="10080"/>
          </w:cols>
          <w:pgMar w:left="1080" w:top="1085" w:right="1080" w:bottom="155"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080"/>
          </w:cols>
          <w:pgMar w:left="1080" w:top="1085" w:right="1080" w:bottom="155"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color w:val="auto"/>
        </w:rPr>
        <w:t>Payments of interest based on the Term Loan are as follows:</w:t>
      </w:r>
    </w:p>
    <w:p>
      <w:pPr>
        <w:spacing w:after="0" w:line="233" w:lineRule="exact"/>
        <w:rPr>
          <w:sz w:val="20"/>
          <w:szCs w:val="20"/>
          <w:color w:val="auto"/>
        </w:rPr>
      </w:pP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payable on April 1, 2024, was paid in cash.</w:t>
      </w:r>
    </w:p>
    <w:p>
      <w:pPr>
        <w:spacing w:after="0" w:line="6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payable on July 1, 2024, became payable-in-kind.</w:t>
      </w:r>
    </w:p>
    <w:p>
      <w:pPr>
        <w:spacing w:after="0" w:line="71" w:lineRule="exact"/>
        <w:rPr>
          <w:rFonts w:ascii="Times New Roman" w:cs="Times New Roman" w:eastAsia="Times New Roman" w:hAnsi="Times New Roman"/>
          <w:sz w:val="20"/>
          <w:szCs w:val="20"/>
          <w:color w:val="auto"/>
        </w:rPr>
      </w:pPr>
    </w:p>
    <w:p>
      <w:pPr>
        <w:jc w:val="both"/>
        <w:ind w:left="720" w:hanging="360"/>
        <w:spacing w:after="0" w:line="255" w:lineRule="auto"/>
        <w:tabs>
          <w:tab w:leader="none" w:pos="72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payable on October 1, 2024, became payable partly in cash and partly in-kind, at a per annum rate equal to adjusted SOFR plus 7% payable in cash plus an amount ranging from 4.5% to 6.5% paid-in-kind, depending on the senior leverage ratio of the consolidated company (subject to the 14.0% limit for lenders subject to SBA regulations).</w:t>
      </w:r>
    </w:p>
    <w:p>
      <w:pPr>
        <w:spacing w:after="0" w:line="50" w:lineRule="exact"/>
        <w:rPr>
          <w:rFonts w:ascii="Times New Roman" w:cs="Times New Roman" w:eastAsia="Times New Roman" w:hAnsi="Times New Roman"/>
          <w:sz w:val="19"/>
          <w:szCs w:val="19"/>
          <w:color w:val="auto"/>
        </w:rPr>
      </w:pP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payment date occurring on or after January 1, 2025, interest will be payable in cash.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each of the foregoing cases, adjusted SOFR will be no less than 1%.</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245" w:lineRule="exact"/>
        <w:rPr>
          <w:sz w:val="20"/>
          <w:szCs w:val="20"/>
          <w:color w:val="auto"/>
        </w:rPr>
      </w:pPr>
    </w:p>
    <w:p>
      <w:pPr>
        <w:jc w:val="both"/>
        <w:ind w:hanging="9"/>
        <w:spacing w:after="0" w:line="254" w:lineRule="auto"/>
        <w:rPr>
          <w:sz w:val="20"/>
          <w:szCs w:val="20"/>
          <w:color w:val="auto"/>
        </w:rPr>
      </w:pPr>
      <w:r>
        <w:rPr>
          <w:rFonts w:ascii="Times New Roman" w:cs="Times New Roman" w:eastAsia="Times New Roman" w:hAnsi="Times New Roman"/>
          <w:sz w:val="19"/>
          <w:szCs w:val="19"/>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spacing w:after="0" w:line="237" w:lineRule="exact"/>
        <w:rPr>
          <w:sz w:val="20"/>
          <w:szCs w:val="20"/>
          <w:color w:val="auto"/>
        </w:rPr>
      </w:pPr>
    </w:p>
    <w:p>
      <w:pPr>
        <w:jc w:val="both"/>
        <w:ind w:hanging="9"/>
        <w:spacing w:after="0" w:line="241" w:lineRule="auto"/>
        <w:rPr>
          <w:sz w:val="20"/>
          <w:szCs w:val="20"/>
          <w:color w:val="auto"/>
        </w:rPr>
      </w:pPr>
      <w:r>
        <w:rPr>
          <w:rFonts w:ascii="Times New Roman" w:cs="Times New Roman" w:eastAsia="Times New Roman" w:hAnsi="Times New Roman"/>
          <w:sz w:val="20"/>
          <w:szCs w:val="20"/>
          <w:color w:val="auto"/>
        </w:rPr>
        <w:t>Pursuant to the Purchase Agreement, on the terms of and subject to the satisfaction of the conditions in the Purchase Agreement, including the filing and effectiveness of a registration statement registering the resale by CCM LLC of the shares of common stock issued to it under the Purchase Agreement, we will have the right from time to time at our option to direct CCM LLC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2,390,226 shares that may be resold into the public markets by CCM LLC, which represented approximately 33% of the shares of our common stock outstanding as of December 31, 2023. During the year ended December 31, 2023, we issued and sold approximately 65,389 shares of our common stock under this facility, resulting in net cash proceeds of $1,278,566. During the year ended December 31, 2024, we issued 350,423 shares pursuant to the Purchase Agreement with CCM LLC for aggregate proceeds to the Company of $2,043,885. 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March 5, 2023, we issued a note in the principal amount of $1.0 million (the “</w:t>
      </w:r>
      <w:r>
        <w:rPr>
          <w:rFonts w:ascii="Times New Roman" w:cs="Times New Roman" w:eastAsia="Times New Roman" w:hAnsi="Times New Roman"/>
          <w:sz w:val="20"/>
          <w:szCs w:val="20"/>
          <w:b w:val="1"/>
          <w:bCs w:val="1"/>
          <w:color w:val="auto"/>
        </w:rPr>
        <w:t>Principal Amount</w:t>
      </w:r>
      <w:r>
        <w:rPr>
          <w:rFonts w:ascii="Times New Roman" w:cs="Times New Roman" w:eastAsia="Times New Roman" w:hAnsi="Times New Roman"/>
          <w:sz w:val="20"/>
          <w:szCs w:val="20"/>
          <w:color w:val="auto"/>
        </w:rPr>
        <w:t>”) to Brian Nelson, one of our directors, in a private placement in exchange for cash in an equal amount (the “</w:t>
      </w:r>
      <w:r>
        <w:rPr>
          <w:rFonts w:ascii="Times New Roman" w:cs="Times New Roman" w:eastAsia="Times New Roman" w:hAnsi="Times New Roman"/>
          <w:sz w:val="20"/>
          <w:szCs w:val="20"/>
          <w:b w:val="1"/>
          <w:bCs w:val="1"/>
          <w:color w:val="auto"/>
        </w:rPr>
        <w:t>March Note</w:t>
      </w:r>
      <w:r>
        <w:rPr>
          <w:rFonts w:ascii="Times New Roman" w:cs="Times New Roman" w:eastAsia="Times New Roman" w:hAnsi="Times New Roman"/>
          <w:sz w:val="20"/>
          <w:szCs w:val="20"/>
          <w:color w:val="auto"/>
        </w:rPr>
        <w:t>”). The March Note became due and payable in full on April 1, 2023. We were also obligated to pay a fee in the amount of $100,000 (the “</w:t>
      </w:r>
      <w:r>
        <w:rPr>
          <w:rFonts w:ascii="Times New Roman" w:cs="Times New Roman" w:eastAsia="Times New Roman" w:hAnsi="Times New Roman"/>
          <w:sz w:val="20"/>
          <w:szCs w:val="20"/>
          <w:b w:val="1"/>
          <w:bCs w:val="1"/>
          <w:color w:val="auto"/>
        </w:rPr>
        <w:t>March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Fee</w:t>
      </w:r>
      <w:r>
        <w:rPr>
          <w:rFonts w:ascii="Times New Roman" w:cs="Times New Roman" w:eastAsia="Times New Roman" w:hAnsi="Times New Roman"/>
          <w:sz w:val="20"/>
          <w:szCs w:val="20"/>
          <w:color w:val="auto"/>
        </w:rPr>
        <w:t>”) to Mr. Nelson on April 4, 2023. The Principal Amount of the March Note was paid in full on April 1, 2023 and the March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Fee was paid in full on April 4, 2023.</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January 30, 2024, we issued an unsecured convertible promissory note (the “</w:t>
      </w:r>
      <w:r>
        <w:rPr>
          <w:rFonts w:ascii="Times New Roman" w:cs="Times New Roman" w:eastAsia="Times New Roman" w:hAnsi="Times New Roman"/>
          <w:sz w:val="20"/>
          <w:szCs w:val="20"/>
          <w:b w:val="1"/>
          <w:bCs w:val="1"/>
          <w:color w:val="auto"/>
        </w:rPr>
        <w:t>January Note</w:t>
      </w:r>
      <w:r>
        <w:rPr>
          <w:rFonts w:ascii="Times New Roman" w:cs="Times New Roman" w:eastAsia="Times New Roman" w:hAnsi="Times New Roman"/>
          <w:sz w:val="20"/>
          <w:szCs w:val="20"/>
          <w:color w:val="auto"/>
        </w:rPr>
        <w:t>”) in the principal amount of $1.0 million (the “</w:t>
      </w:r>
      <w:r>
        <w:rPr>
          <w:rFonts w:ascii="Times New Roman" w:cs="Times New Roman" w:eastAsia="Times New Roman" w:hAnsi="Times New Roman"/>
          <w:sz w:val="20"/>
          <w:szCs w:val="20"/>
          <w:b w:val="1"/>
          <w:bCs w:val="1"/>
          <w:color w:val="auto"/>
        </w:rPr>
        <w:t>January Principal Amount</w:t>
      </w:r>
      <w:r>
        <w:rPr>
          <w:rFonts w:ascii="Times New Roman" w:cs="Times New Roman" w:eastAsia="Times New Roman" w:hAnsi="Times New Roman"/>
          <w:sz w:val="20"/>
          <w:szCs w:val="20"/>
          <w:color w:val="auto"/>
        </w:rPr>
        <w:t>”) to Brian Nelson, one of our directors, in a private placement in exchange for cash in an equal amount. The January Note became due and payable in full on February 2, 2024. We were also obligated to pay $50,000 (the “</w:t>
      </w:r>
      <w:r>
        <w:rPr>
          <w:rFonts w:ascii="Times New Roman" w:cs="Times New Roman" w:eastAsia="Times New Roman" w:hAnsi="Times New Roman"/>
          <w:sz w:val="20"/>
          <w:szCs w:val="20"/>
          <w:b w:val="1"/>
          <w:bCs w:val="1"/>
          <w:color w:val="auto"/>
        </w:rPr>
        <w:t>January Loan Fee</w:t>
      </w:r>
      <w:r>
        <w:rPr>
          <w:rFonts w:ascii="Times New Roman" w:cs="Times New Roman" w:eastAsia="Times New Roman" w:hAnsi="Times New Roman"/>
          <w:sz w:val="20"/>
          <w:szCs w:val="20"/>
          <w:color w:val="auto"/>
        </w:rPr>
        <w:t>”) to Mr. Nelson on February 2, 2024. We paid the January Principal Amount and the January Loan Fee in full on February 2, 2024.</w:t>
      </w:r>
    </w:p>
    <w:p>
      <w:pPr>
        <w:spacing w:after="0" w:line="246"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February 27, 2024, we issued the February Note to Brian Nelson in the February Principal Amount of $1.7 million in a private placement in exchange for cash in an equal amount. The February Note became due and payable in full on March 1, 2024. We were also obligated to pay the February Loan Fee in the amount of $85,000 to Mr. Nelson on March 1, 2024. The February Principal Amount of the February Note and the February Loan Fee were paid in full on March 1, 2024.</w:t>
      </w:r>
    </w:p>
    <w:p>
      <w:pPr>
        <w:sectPr>
          <w:pgSz w:w="12240" w:h="15840" w:orient="portrait"/>
          <w:cols w:equalWidth="0" w:num="1">
            <w:col w:w="10080"/>
          </w:cols>
          <w:pgMar w:left="1080" w:top="1079" w:right="1080" w:bottom="155"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080"/>
          </w:cols>
          <w:pgMar w:left="1080" w:top="1079" w:right="1080" w:bottom="155"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color w:val="auto"/>
        </w:rPr>
        <w:t>For a discussion of our other financing transaction, see “Overview” above.</w:t>
      </w:r>
    </w:p>
    <w:p>
      <w:pPr>
        <w:spacing w:after="0" w:line="243"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In 2024, we identified an underpayment of tariffs to CBP in the amount of approximately $1.66 million in the aggregate, related to the improper classification and valuation of certain of the products used in our batteries. We have reported the underpayment to CBP.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Going Concern</w:t>
      </w:r>
    </w:p>
    <w:p>
      <w:pPr>
        <w:spacing w:after="0" w:line="244"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For the year ended December 31, 2024, we incurred losses and had a negative cash flow from operations. As of December 31, 2024, we had approximately $4.8 million in cash and cash equivalents and a working capital of $11.1 million.</w:t>
      </w:r>
    </w:p>
    <w:p>
      <w:pPr>
        <w:spacing w:after="0" w:line="246"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Under the Term Loan Agreement, we are obligated to comply with certain financial covenants, which include maintaining a maximum senior leverage ratio, minimum liquidity, a springing fixed charge coverage ratio, and maximum capital expenditures. On March 31, 2024, April 29, 2024, May, 30, 2024, June 28, 2024, July 31, 2024, August 31, 2024, September 30, 2024, October 31, 2024, November 30, 2024 and December 31, 2024, we obtained waivers from the Term Loan administrative agent and lenders of its failures to satisfy the liquidity requirement under the Term Loan for the quarters ended March 31, 2024, June 30, 2024, September 30, 2024, and December 31, 2024 and the fiscal months ended April 30, 2024, May 31, 2024, July 31, 2024, August 31, 2024, October 31, 2024, and November 30, 2024, as applicable. In connection with the License Agreement, on July 29, 2024, us, Legacy Dragonfly and Battle Born LLC entered into the Second Amendment. Pursuant to the Second Amendment, the Term Loan Lenders (i) consented to the transactions contemplated by the License Agreement and the Trademark Transfer Agreement and (ii) agreed to waive the mandatory prepayment under the Loan Agreement that would have been due to the Lenders under the Term Loan upon Battle Born LLC’s receipt of the Initial Licensing Fee. In connection with the Second Amendment, Battle Born LLC entered into the Joinder.</w:t>
      </w:r>
    </w:p>
    <w:p>
      <w:pPr>
        <w:spacing w:after="0" w:line="255"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On September 30, 2024, the Company entered into the Third Amendment, which: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spacing w:after="0" w:line="246"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December 31, 2024, the Company entered into the Fourth Amendment, which: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spacing w:after="0" w:line="249"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February 2025, subsequent to the current year ended December 31, 2024, in connection with the Securities Purchase Agreement, the Company entered into the Fifth Amendment, which: (i) extended the maturity date by one year to October 2027, (ii) deferred all principal and interest payments to April 2026 and (iii) removed any applicable financial covenants (except for a financial covenant requiring the Company to maintain cash and cash equivalents equal to or greater than $2,500 on a monthly basis) for the next 1.5 years.</w:t>
      </w:r>
    </w:p>
    <w:p>
      <w:pPr>
        <w:spacing w:after="0" w:line="246"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As presented above, strategic initiatives were executed in order to alleviate the substantial doubt, such as the Company’s ability to raise funds through the Purchase Agreement, the maturity extension of the Term Loan (which reclassifies the loan as long-term on the financial statements for the year ending December 31, 2024), and the absence of any covenants, other than a $2,500 minimum cash requirement, for at least one year from the financial statement issuance date. While these initiatives were enough support to move our debt to a long term classification,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spacing w:after="0" w:line="250"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As a result, our independent registered public accounting firm included an explanatory paragraph in its report on our 2024 consolidated financial statements, with respect to this uncertainty.</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080"/>
          </w:cols>
          <w:pgMar w:left="1080" w:top="1079" w:right="1080" w:bottom="155" w:gutter="0" w:footer="0" w:header="0"/>
          <w:type w:val="continuous"/>
        </w:sectPr>
      </w:pPr>
    </w:p>
    <w:bookmarkStart w:id="64" w:name="page65"/>
    <w:bookmarkEnd w:id="64"/>
    <w:p>
      <w:pPr>
        <w:jc w:val="both"/>
        <w:ind w:hanging="9"/>
        <w:spacing w:after="0"/>
        <w:rPr>
          <w:sz w:val="20"/>
          <w:szCs w:val="20"/>
          <w:color w:val="auto"/>
        </w:rPr>
      </w:pPr>
      <w:r>
        <w:rPr>
          <w:rFonts w:ascii="Times New Roman" w:cs="Times New Roman" w:eastAsia="Times New Roman" w:hAnsi="Times New Roman"/>
          <w:sz w:val="20"/>
          <w:szCs w:val="20"/>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which may adversely affect our business, operating results, financial condition and prospects. Further, future debt or equity financings may be dilutive to our current stockholders.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for the Years ended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6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6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w:t>
            </w:r>
          </w:p>
        </w:tc>
        <w:tc>
          <w:tcPr>
            <w:tcW w:w="980" w:type="dxa"/>
            <w:vAlign w:val="bottom"/>
          </w:tcPr>
          <w:p>
            <w:pPr>
              <w:spacing w:after="0"/>
              <w:rPr>
                <w:sz w:val="18"/>
                <w:szCs w:val="18"/>
                <w:color w:val="auto"/>
              </w:rPr>
            </w:pPr>
          </w:p>
        </w:tc>
        <w:tc>
          <w:tcPr>
            <w:tcW w:w="17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 .............................................................................................................</w:t>
            </w:r>
          </w:p>
        </w:tc>
        <w:tc>
          <w:tcPr>
            <w:tcW w:w="9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(7,182)</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(17,706)</w:t>
            </w: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 ...............................................................................................................</w:t>
            </w:r>
          </w:p>
        </w:tc>
        <w:tc>
          <w:tcPr>
            <w:tcW w:w="9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(2,729)</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(6,885)</w:t>
            </w: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 ..............................................................................................................</w:t>
            </w:r>
          </w:p>
        </w:tc>
        <w:tc>
          <w:tcPr>
            <w:tcW w:w="9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30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60" w:type="dxa"/>
            <w:vAlign w:val="bottom"/>
          </w:tcPr>
          <w:p>
            <w:pPr>
              <w:spacing w:after="0"/>
              <w:rPr>
                <w:sz w:val="18"/>
                <w:szCs w:val="18"/>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44"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Net cash used in operating activities was $7.2 million for the year ended December 31, 2024, primarily due to a net loss during the period and the change in fair market value of the warrant liability, partially offset by a decrease in inventory as a result of management’s decision to lower overall stocking levels to adjust for more modest demand.</w:t>
      </w:r>
    </w:p>
    <w:p>
      <w:pPr>
        <w:spacing w:after="0" w:line="246"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Net cash used in operating activities was $17.7 million for the year ended December 31, 2023, primarily due to a net loss during the period and the change in fair market value of the warrant liability, partially offset by a decrease in inventory as a result of management’s decision to lower overall stocking levels to adjust for more modest demand.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43"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Net cash used in investing activities was $2.7 million for the year ended December 31, 2024, as compared to $6.9 million for the year ended December 31, 2023. The cash used in investing activities was primarily driven by capital expenditures in leasehold improvements for our new lease and to support our core battery business.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44"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Net cash provided by financing activities was $2.0 million for the year ended December 31, 2024, primarily as a result of proceeds $2.0 million from the utilization of the ChEF Equity Facility.</w:t>
      </w:r>
    </w:p>
    <w:p>
      <w:pPr>
        <w:spacing w:after="0" w:line="244" w:lineRule="exact"/>
        <w:rPr>
          <w:sz w:val="20"/>
          <w:szCs w:val="20"/>
          <w:color w:val="auto"/>
        </w:rPr>
      </w:pPr>
    </w:p>
    <w:p>
      <w:pPr>
        <w:jc w:val="both"/>
        <w:ind w:hanging="9"/>
        <w:spacing w:after="0" w:line="236" w:lineRule="auto"/>
        <w:rPr>
          <w:sz w:val="20"/>
          <w:szCs w:val="20"/>
          <w:color w:val="auto"/>
        </w:rPr>
      </w:pPr>
      <w:r>
        <w:rPr>
          <w:rFonts w:ascii="Times New Roman" w:cs="Times New Roman" w:eastAsia="Times New Roman" w:hAnsi="Times New Roman"/>
          <w:sz w:val="20"/>
          <w:szCs w:val="20"/>
          <w:color w:val="auto"/>
        </w:rPr>
        <w:t>Net cash provided by financing activities was $19.5 million for the year ended December 31, 2023, primarily as a result of $20.7 million proceeds from the June 2023 Offering.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244"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Our estimated future obligations consist of short-term and long-term operating and financing lease liabilities. As of December 31, 2024, we had $3.0 million in short-term operating and financing lease liabilities and $22.7 million in long-term operating, and financing lease liabilities.</w:t>
      </w:r>
    </w:p>
    <w:p>
      <w:pPr>
        <w:spacing w:after="0" w:line="246"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As disclosed above, we have a Term Loan and as of December 31, 2024, the principal amount outstanding under the Term Loan was $69.9 million.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JOBS Act Accounting Election</w:t>
      </w:r>
    </w:p>
    <w:p>
      <w:pPr>
        <w:spacing w:after="0" w:line="244"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9"/>
          <w:szCs w:val="19"/>
          <w:color w:val="auto"/>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w:t>
      </w:r>
    </w:p>
    <w:p>
      <w:pPr>
        <w:sectPr>
          <w:pgSz w:w="12240" w:h="15840" w:orient="portrait"/>
          <w:cols w:equalWidth="0" w:num="1">
            <w:col w:w="10080"/>
          </w:cols>
          <w:pgMar w:left="1080" w:top="1089" w:right="1080" w:bottom="155"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080"/>
          </w:cols>
          <w:pgMar w:left="1080" w:top="1089" w:right="1080" w:bottom="155" w:gutter="0" w:footer="0" w:header="0"/>
          <w:type w:val="continuous"/>
        </w:sectPr>
      </w:pPr>
    </w:p>
    <w:bookmarkStart w:id="65" w:name="page66"/>
    <w:bookmarkEnd w:id="65"/>
    <w:p>
      <w:pPr>
        <w:jc w:val="both"/>
        <w:spacing w:after="0" w:line="255" w:lineRule="auto"/>
        <w:rPr>
          <w:sz w:val="20"/>
          <w:szCs w:val="20"/>
          <w:color w:val="auto"/>
        </w:rPr>
      </w:pPr>
      <w:r>
        <w:rPr>
          <w:rFonts w:ascii="Times New Roman" w:cs="Times New Roman" w:eastAsia="Times New Roman" w:hAnsi="Times New Roman"/>
          <w:sz w:val="19"/>
          <w:szCs w:val="19"/>
          <w:color w:val="auto"/>
        </w:rPr>
        <w:t>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43"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Our consolidated audited financial statements as of and for the years ended December 31, 2024 and December 31, 2023, together with the report of the independent registered public accounting firm thereon and the notes thereto, are presented beginning at page F-2.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We maintain disclosure controls and procedures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49"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As required by Rule 13a-15(b) under the Exchange Act, our management, under the supervision and with the participation of our principal executive officer and principal financial officer, has evaluated the effectiveness of the design and implementation of our disclosure controls and procedures (as such term is defined in Rules 13a-15(e) and 15d-15(e) under the Exchange Act) as of December 31, 2024. Based on that evaluation, management concluded that as of December 31, 2024, the Company did maintain effective disclosure controls and procedures.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officer and principal financial officer to provide reasonable assurance regarding the reliability of financial reporting and preparation of our financial statements for external purposes in accordance with generally accepted accounting principles.</w:t>
      </w:r>
    </w:p>
    <w:p>
      <w:pPr>
        <w:spacing w:after="0" w:line="246"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Due to its inherent limitations, internal control over financial reporting may not prevent or detect misstatements and, even when determined to be effective, can only provide reasonable, not absolute, assurance with respect to financial statement preparation and presentation. Projections of any evaluation of effectiveness to future periods are subject to risk that controls may become inadequate as a result of changes in conditions or deterioration in the degree of compliance.</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Chief Executive Officer, who is also acting as our Interim Chief Financial Officer, we conducted an evaluation of the effectiveness of our internal control over financial reporting based on the framework in Internal Control — Integrated Framework issued by the Committee of Sponsoring Organizations of the Treadway Commission (“COSO”) issued in May 2013 and related COSO guidance. Based on our evaluation under this framework, management concluded that, as of December 31, 2024, our internal control over financial reporting was considered effective.</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080"/>
          </w:cols>
          <w:pgMar w:left="1080" w:top="1089" w:right="1080" w:bottom="155" w:gutter="0" w:footer="0" w:header="0"/>
          <w:type w:val="continuous"/>
        </w:sectPr>
      </w:pPr>
    </w:p>
    <w:bookmarkStart w:id="66" w:name="page67"/>
    <w:bookmarkEnd w:id="66"/>
    <w:p>
      <w:pPr>
        <w:ind w:left="16"/>
        <w:spacing w:after="0"/>
        <w:rPr>
          <w:sz w:val="20"/>
          <w:szCs w:val="20"/>
          <w:color w:val="auto"/>
        </w:rPr>
      </w:pPr>
      <w:r>
        <w:rPr>
          <w:rFonts w:ascii="Times New Roman" w:cs="Times New Roman" w:eastAsia="Times New Roman" w:hAnsi="Times New Roman"/>
          <w:sz w:val="20"/>
          <w:szCs w:val="20"/>
          <w:b w:val="1"/>
          <w:bCs w:val="1"/>
          <w:i w:val="1"/>
          <w:iCs w:val="1"/>
          <w:color w:val="auto"/>
        </w:rPr>
        <w:t>Management’s Remediation Measures</w:t>
      </w:r>
    </w:p>
    <w:p>
      <w:pPr>
        <w:spacing w:after="0" w:line="243" w:lineRule="exact"/>
        <w:rPr>
          <w:sz w:val="20"/>
          <w:szCs w:val="20"/>
          <w:color w:val="auto"/>
        </w:rPr>
      </w:pPr>
    </w:p>
    <w:p>
      <w:pPr>
        <w:jc w:val="both"/>
        <w:ind w:left="16" w:hanging="9"/>
        <w:spacing w:after="0" w:line="239" w:lineRule="auto"/>
        <w:rPr>
          <w:sz w:val="20"/>
          <w:szCs w:val="20"/>
          <w:color w:val="auto"/>
        </w:rPr>
      </w:pPr>
      <w:r>
        <w:rPr>
          <w:rFonts w:ascii="Times New Roman" w:cs="Times New Roman" w:eastAsia="Times New Roman" w:hAnsi="Times New Roman"/>
          <w:sz w:val="20"/>
          <w:szCs w:val="20"/>
          <w:color w:val="auto"/>
        </w:rPr>
        <w:t>In response to the identified material weaknesses in the prior year, management has implemented a new control around tariffs and enhanced other compensating controls during the year ended December 31, 2024. We completed the implementation of the following remedial measures designed to remediate the material weaknesses in internal control over financial reporting noted in the December 31, 2023 Form 10-K:</w:t>
      </w:r>
    </w:p>
    <w:p>
      <w:pPr>
        <w:spacing w:after="0" w:line="245" w:lineRule="exact"/>
        <w:rPr>
          <w:sz w:val="20"/>
          <w:szCs w:val="20"/>
          <w:color w:val="auto"/>
        </w:rPr>
      </w:pPr>
    </w:p>
    <w:p>
      <w:pPr>
        <w:ind w:left="376" w:hanging="360"/>
        <w:spacing w:after="0"/>
        <w:tabs>
          <w:tab w:leader="none" w:pos="376"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Designing new controls to correctly capture tariffs HTS codes, record, and pay tariffs related to the imported merchandise.</w:t>
      </w:r>
    </w:p>
    <w:p>
      <w:pPr>
        <w:spacing w:after="0" w:line="82" w:lineRule="exact"/>
        <w:rPr>
          <w:rFonts w:ascii="Times New Roman" w:cs="Times New Roman" w:eastAsia="Times New Roman" w:hAnsi="Times New Roman"/>
          <w:sz w:val="19"/>
          <w:szCs w:val="19"/>
          <w:color w:val="auto"/>
        </w:rPr>
      </w:pPr>
    </w:p>
    <w:p>
      <w:pPr>
        <w:ind w:left="376" w:hanging="360"/>
        <w:spacing w:after="0" w:line="235" w:lineRule="auto"/>
        <w:tabs>
          <w:tab w:leader="none" w:pos="37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Enhancement over controls related to purchase order approvals and three-way match procedures to accurately record and substantiate tariffs within the system of record.</w:t>
      </w:r>
    </w:p>
    <w:p>
      <w:pPr>
        <w:spacing w:after="0" w:line="246" w:lineRule="exact"/>
        <w:rPr>
          <w:sz w:val="20"/>
          <w:szCs w:val="20"/>
          <w:color w:val="auto"/>
        </w:rPr>
      </w:pPr>
    </w:p>
    <w:p>
      <w:pPr>
        <w:jc w:val="both"/>
        <w:ind w:left="16" w:hanging="9"/>
        <w:spacing w:after="0" w:line="238"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registered public accounting firm on our internal control over financial reporting due to an exemption established by the JOBS Act for “emerging growth companies.” In addition, we are currently a non-accelerated filer and are therefore not required to provide an attestation report on our internal control over financial reporting until such time as we are an accelerated filer or large accelerated filer.</w:t>
      </w:r>
    </w:p>
    <w:p>
      <w:pPr>
        <w:spacing w:after="0" w:line="237" w:lineRule="exact"/>
        <w:rPr>
          <w:sz w:val="20"/>
          <w:szCs w:val="20"/>
          <w:color w:val="auto"/>
        </w:rPr>
      </w:pPr>
    </w:p>
    <w:p>
      <w:pPr>
        <w:ind w:left="16"/>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43" w:lineRule="exact"/>
        <w:rPr>
          <w:sz w:val="20"/>
          <w:szCs w:val="20"/>
          <w:color w:val="auto"/>
        </w:rPr>
      </w:pPr>
    </w:p>
    <w:p>
      <w:pPr>
        <w:jc w:val="both"/>
        <w:ind w:left="16" w:hanging="9"/>
        <w:spacing w:after="0" w:line="239" w:lineRule="auto"/>
        <w:rPr>
          <w:sz w:val="20"/>
          <w:szCs w:val="20"/>
          <w:color w:val="auto"/>
        </w:rPr>
      </w:pPr>
      <w:r>
        <w:rPr>
          <w:rFonts w:ascii="Times New Roman" w:cs="Times New Roman" w:eastAsia="Times New Roman" w:hAnsi="Times New Roman"/>
          <w:sz w:val="20"/>
          <w:szCs w:val="20"/>
          <w:color w:val="auto"/>
        </w:rPr>
        <w:t>Except for the prior year material weakness and the remediation efforts described above, no other changes in our internal control over financial reporting (as defined by Rules 13a015(f) and 15d-15(f) under the Exchange Act) occurred during the year ended December 31, 2024, that has materially affected, or is reasonably likely to materially affect, our internal control over financial reporting.</w:t>
      </w:r>
    </w:p>
    <w:p>
      <w:pPr>
        <w:spacing w:after="0" w:line="234" w:lineRule="exact"/>
        <w:rPr>
          <w:sz w:val="20"/>
          <w:szCs w:val="20"/>
          <w:color w:val="auto"/>
        </w:rPr>
      </w:pPr>
    </w:p>
    <w:p>
      <w:pPr>
        <w:ind w:left="16"/>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3" w:lineRule="exact"/>
        <w:rPr>
          <w:sz w:val="20"/>
          <w:szCs w:val="20"/>
          <w:color w:val="auto"/>
        </w:rPr>
      </w:pPr>
    </w:p>
    <w:p>
      <w:pPr>
        <w:ind w:left="276" w:hanging="276"/>
        <w:spacing w:after="0"/>
        <w:tabs>
          <w:tab w:leader="none" w:pos="27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w:t>
      </w:r>
    </w:p>
    <w:p>
      <w:pPr>
        <w:spacing w:after="0" w:line="244" w:lineRule="exact"/>
        <w:rPr>
          <w:rFonts w:ascii="Times New Roman" w:cs="Times New Roman" w:eastAsia="Times New Roman" w:hAnsi="Times New Roman"/>
          <w:sz w:val="20"/>
          <w:szCs w:val="20"/>
          <w:color w:val="auto"/>
        </w:rPr>
      </w:pPr>
    </w:p>
    <w:p>
      <w:pPr>
        <w:jc w:val="both"/>
        <w:ind w:left="16"/>
        <w:spacing w:after="0" w:line="237" w:lineRule="auto"/>
        <w:tabs>
          <w:tab w:leader="none" w:pos="303"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fiscal quarter ended December 31, 2024, none of our directors or “officers” (as defined in Rule 16a-1(f) under the Exchange Act) adopted or terminated any “Rule 10b5-1 trading arrangement” or “non-Rule 10b5-1 trading arrangement,” as each term is defined in Item 408(c) of Regulation S-K.</w:t>
      </w:r>
    </w:p>
    <w:p>
      <w:pPr>
        <w:spacing w:after="0" w:line="237" w:lineRule="exact"/>
        <w:rPr>
          <w:sz w:val="20"/>
          <w:szCs w:val="20"/>
          <w:color w:val="auto"/>
        </w:rPr>
      </w:pPr>
    </w:p>
    <w:p>
      <w:pPr>
        <w:ind w:left="16"/>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 that Prevent Inspections</w:t>
      </w:r>
    </w:p>
    <w:p>
      <w:pPr>
        <w:spacing w:after="0" w:line="233" w:lineRule="exact"/>
        <w:rPr>
          <w:sz w:val="20"/>
          <w:szCs w:val="20"/>
          <w:color w:val="auto"/>
        </w:rPr>
      </w:pPr>
    </w:p>
    <w:p>
      <w:pPr>
        <w:ind w:left="16"/>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96"/>
          </w:cols>
          <w:pgMar w:left="1064"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096"/>
          </w:cols>
          <w:pgMar w:left="1064" w:top="1079" w:right="1080" w:bottom="155" w:gutter="0" w:footer="0" w:header="0"/>
          <w:type w:val="continuous"/>
        </w:sectPr>
      </w:pPr>
    </w:p>
    <w:bookmarkStart w:id="67" w:name="page68"/>
    <w:bookmarkEnd w:id="67"/>
    <w:p>
      <w:pPr>
        <w:ind w:left="46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97"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The following table provides information regarding our executive officers and members of our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with their respective ages as of March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Age</w:t>
            </w:r>
          </w:p>
        </w:tc>
        <w:tc>
          <w:tcPr>
            <w:tcW w:w="200" w:type="dxa"/>
            <w:vAlign w:val="bottom"/>
          </w:tcPr>
          <w:p>
            <w:pPr>
              <w:spacing w:after="0"/>
              <w:rPr>
                <w:sz w:val="20"/>
                <w:szCs w:val="20"/>
                <w:color w:val="auto"/>
              </w:rPr>
            </w:pPr>
          </w:p>
        </w:tc>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Position(s) Held With Dragonfly</w:t>
            </w:r>
          </w:p>
        </w:tc>
      </w:tr>
      <w:tr>
        <w:trPr>
          <w:trHeight w:val="230"/>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President,  Chief  Executive  Officer,  Interim  Chief  Financial  Officer  and</w:t>
            </w:r>
          </w:p>
        </w:tc>
      </w:tr>
      <w:tr>
        <w:trPr>
          <w:trHeight w:val="232"/>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Denis Phares</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52</w:t>
            </w:r>
          </w:p>
        </w:tc>
        <w:tc>
          <w:tcPr>
            <w:tcW w:w="20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w:t>
            </w:r>
          </w:p>
        </w:tc>
      </w:tr>
      <w:tr>
        <w:trPr>
          <w:trHeight w:val="232"/>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Wade Seaburg</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45</w:t>
            </w:r>
          </w:p>
        </w:tc>
        <w:tc>
          <w:tcPr>
            <w:tcW w:w="20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Chief Commercial Officer</w:t>
            </w:r>
          </w:p>
        </w:tc>
      </w:tr>
      <w:tr>
        <w:trPr>
          <w:trHeight w:val="232"/>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Tyler Bourns</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Chief Marketing Officer</w:t>
            </w:r>
          </w:p>
        </w:tc>
      </w:tr>
      <w:tr>
        <w:trPr>
          <w:trHeight w:val="233"/>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Vickram Singh</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31</w:t>
            </w:r>
          </w:p>
        </w:tc>
        <w:tc>
          <w:tcPr>
            <w:tcW w:w="20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Chief Operating Officer</w:t>
            </w:r>
          </w:p>
        </w:tc>
      </w:tr>
      <w:tr>
        <w:trPr>
          <w:trHeight w:val="232"/>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Luisa Ingargiola</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57</w:t>
            </w:r>
          </w:p>
        </w:tc>
        <w:tc>
          <w:tcPr>
            <w:tcW w:w="20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Lead Independent Director</w:t>
            </w:r>
          </w:p>
        </w:tc>
      </w:tr>
      <w:tr>
        <w:trPr>
          <w:trHeight w:val="232"/>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Rick Parod</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71</w:t>
            </w:r>
          </w:p>
        </w:tc>
        <w:tc>
          <w:tcPr>
            <w:tcW w:w="20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2"/>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Karina Montilla Edmonds</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54</w:t>
            </w:r>
          </w:p>
        </w:tc>
        <w:tc>
          <w:tcPr>
            <w:tcW w:w="20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3"/>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Brian Nelson</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54</w:t>
            </w:r>
          </w:p>
        </w:tc>
        <w:tc>
          <w:tcPr>
            <w:tcW w:w="20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2"/>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Jonathan Bellows</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49</w:t>
            </w:r>
          </w:p>
        </w:tc>
        <w:tc>
          <w:tcPr>
            <w:tcW w:w="20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2"/>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Perry Boyle</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61</w:t>
            </w:r>
          </w:p>
        </w:tc>
        <w:tc>
          <w:tcPr>
            <w:tcW w:w="20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197"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b w:val="1"/>
          <w:bCs w:val="1"/>
          <w:color w:val="auto"/>
        </w:rPr>
        <w:t xml:space="preserve">Dr. Denis Phares </w:t>
      </w:r>
      <w:r>
        <w:rPr>
          <w:rFonts w:ascii="Times New Roman" w:cs="Times New Roman" w:eastAsia="Times New Roman" w:hAnsi="Times New Roman"/>
          <w:sz w:val="20"/>
          <w:szCs w:val="20"/>
          <w:color w:val="auto"/>
        </w:rPr>
        <w:t>has served as our Chief Executive Officer and Chairman of our Board since October 2022. Since April 2024,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Dr. Phares has served as our Interim Chief Financial Officer. Dr. Phares is the co-founder of Dragonfly Energy Corp., a Nevada corporation (“</w:t>
      </w:r>
      <w:r>
        <w:rPr>
          <w:rFonts w:ascii="Times New Roman" w:cs="Times New Roman" w:eastAsia="Times New Roman" w:hAnsi="Times New Roman"/>
          <w:sz w:val="20"/>
          <w:szCs w:val="20"/>
          <w:b w:val="1"/>
          <w:bCs w:val="1"/>
          <w:color w:val="auto"/>
        </w:rPr>
        <w:t>Legacy Dragonfly</w:t>
      </w:r>
      <w:r>
        <w:rPr>
          <w:rFonts w:ascii="Times New Roman" w:cs="Times New Roman" w:eastAsia="Times New Roman" w:hAnsi="Times New Roman"/>
          <w:sz w:val="20"/>
          <w:szCs w:val="20"/>
          <w:color w:val="auto"/>
        </w:rPr>
        <w:t>”)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an M.S. and a Ph.D. in Environmental Engineering Science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spacing w:after="0" w:line="20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b w:val="1"/>
          <w:bCs w:val="1"/>
          <w:color w:val="auto"/>
        </w:rPr>
        <w:t xml:space="preserve">Wade Seaburg </w:t>
      </w:r>
      <w:r>
        <w:rPr>
          <w:rFonts w:ascii="Times New Roman" w:cs="Times New Roman" w:eastAsia="Times New Roman" w:hAnsi="Times New Roman"/>
          <w:sz w:val="20"/>
          <w:szCs w:val="20"/>
          <w:color w:val="auto"/>
        </w:rPr>
        <w:t>has served as our Chief Commercial Officer since February 2025. Prio to that, Mr. Seaburg served as our Chief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Revenue Officer from November 2022. Prior to the merger and the other transactions contemplated by that certain Agreement and Plan of Merger, dated May 15, 2022, as amended on July 12, 2022, by and among Chardan NexTech Acquisition 2 Corporation (“</w:t>
      </w:r>
      <w:r>
        <w:rPr>
          <w:rFonts w:ascii="Times New Roman" w:cs="Times New Roman" w:eastAsia="Times New Roman" w:hAnsi="Times New Roman"/>
          <w:sz w:val="20"/>
          <w:szCs w:val="20"/>
          <w:b w:val="1"/>
          <w:bCs w:val="1"/>
          <w:color w:val="auto"/>
        </w:rPr>
        <w:t>CNTQ</w:t>
      </w:r>
      <w:r>
        <w:rPr>
          <w:rFonts w:ascii="Times New Roman" w:cs="Times New Roman" w:eastAsia="Times New Roman" w:hAnsi="Times New Roman"/>
          <w:sz w:val="20"/>
          <w:szCs w:val="20"/>
          <w:color w:val="auto"/>
        </w:rPr>
        <w:t>”) Merger Sub and Dragonfly (the “</w:t>
      </w:r>
      <w:r>
        <w:rPr>
          <w:rFonts w:ascii="Times New Roman" w:cs="Times New Roman" w:eastAsia="Times New Roman" w:hAnsi="Times New Roman"/>
          <w:sz w:val="20"/>
          <w:szCs w:val="20"/>
          <w:b w:val="1"/>
          <w:bCs w:val="1"/>
          <w:color w:val="auto"/>
        </w:rPr>
        <w:t>Business Combination</w:t>
      </w:r>
      <w:r>
        <w:rPr>
          <w:rFonts w:ascii="Times New Roman" w:cs="Times New Roman" w:eastAsia="Times New Roman" w:hAnsi="Times New Roman"/>
          <w:sz w:val="20"/>
          <w:szCs w:val="20"/>
          <w:color w:val="auto"/>
        </w:rPr>
        <w:t>”), Mr. Seaburg served as an outside 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t>
      </w:r>
      <w:r>
        <w:rPr>
          <w:rFonts w:ascii="Times New Roman" w:cs="Times New Roman" w:eastAsia="Times New Roman" w:hAnsi="Times New Roman"/>
          <w:sz w:val="20"/>
          <w:szCs w:val="20"/>
          <w:b w:val="1"/>
          <w:bCs w:val="1"/>
          <w:color w:val="auto"/>
        </w:rPr>
        <w:t>WESCO</w:t>
      </w:r>
      <w:r>
        <w:rPr>
          <w:rFonts w:ascii="Times New Roman" w:cs="Times New Roman" w:eastAsia="Times New Roman" w:hAnsi="Times New Roman"/>
          <w:sz w:val="20"/>
          <w:szCs w:val="20"/>
          <w:color w:val="auto"/>
        </w:rPr>
        <w:t>”)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spacing w:after="0" w:line="208" w:lineRule="exact"/>
        <w:rPr>
          <w:sz w:val="20"/>
          <w:szCs w:val="20"/>
          <w:color w:val="auto"/>
        </w:rPr>
      </w:pPr>
    </w:p>
    <w:p>
      <w:pPr>
        <w:jc w:val="both"/>
        <w:ind w:hanging="9"/>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Tyler Bourns </w:t>
      </w:r>
      <w:r>
        <w:rPr>
          <w:rFonts w:ascii="Times New Roman" w:cs="Times New Roman" w:eastAsia="Times New Roman" w:hAnsi="Times New Roman"/>
          <w:sz w:val="19"/>
          <w:szCs w:val="19"/>
          <w:color w:val="auto"/>
        </w:rPr>
        <w:t>has served as our Chief Marketing Officer since November 2022. Prior to the Business Combination, Mr. Bourns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served as the Senior Vice President of Marketing of Legacy Dragonfly from December 2021 through October 2022. Previously, Mr. Bourns is the owner and serves as the present of Bourns Productions Inc., a video production and marketing company focused on content creation, messaging and strategy for various brands across multiple industries, for twelve years. At Bourns Productions Inc., he oversaw the day-to-day business of the company, worked closely with clients and provided hands-on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92"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Dr. Vickram Singh </w:t>
      </w:r>
      <w:r>
        <w:rPr>
          <w:rFonts w:ascii="Times New Roman" w:cs="Times New Roman" w:eastAsia="Times New Roman" w:hAnsi="Times New Roman"/>
          <w:sz w:val="20"/>
          <w:szCs w:val="20"/>
          <w:color w:val="auto"/>
        </w:rPr>
        <w:t>has served as our Chief Operating Officer since February 2025. Prior to the Business Combination, Dr.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Singh served as Director of Research and Development. In that capacity, he has been instrumental in overseeing the development of next-generation lithium-ion batteries and manufacturing processes and optimizing all-solid-state battery chemistries for deep-cycle applications. After the Business Combination, Dr. Singh transitioned to overseeing all technical efforts at Dragonfly Energy Corporation – R&amp;D, automation engineering, and pack development. Before joining Dragonfly</w:t>
      </w:r>
    </w:p>
    <w:p>
      <w:pPr>
        <w:sectPr>
          <w:pgSz w:w="12240" w:h="15840" w:orient="portrait"/>
          <w:cols w:equalWidth="0" w:num="1">
            <w:col w:w="10080"/>
          </w:cols>
          <w:pgMar w:left="1080" w:top="1079" w:right="1080" w:bottom="155"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080"/>
          </w:cols>
          <w:pgMar w:left="1080" w:top="1079" w:right="1080" w:bottom="155" w:gutter="0" w:footer="0" w:header="0"/>
          <w:type w:val="continuous"/>
        </w:sectPr>
      </w:pPr>
    </w:p>
    <w:bookmarkStart w:id="68" w:name="page69"/>
    <w:bookmarkEnd w:id="68"/>
    <w:p>
      <w:pPr>
        <w:jc w:val="both"/>
        <w:spacing w:after="0" w:line="239" w:lineRule="auto"/>
        <w:rPr>
          <w:sz w:val="20"/>
          <w:szCs w:val="20"/>
          <w:color w:val="auto"/>
        </w:rPr>
      </w:pPr>
      <w:r>
        <w:rPr>
          <w:rFonts w:ascii="Times New Roman" w:cs="Times New Roman" w:eastAsia="Times New Roman" w:hAnsi="Times New Roman"/>
          <w:sz w:val="20"/>
          <w:szCs w:val="20"/>
          <w:color w:val="auto"/>
        </w:rPr>
        <w:t>Energy Corporation, Dr. Vick Singh was a Postdoctoral Research Fellow at the Lawrence Livermore National Laboratory’s Center for Global Security Research. His research focused on international energy development and its impact on foreign policy. Dr. Singh also served as a Nuclear Regulatory Commission Fellow during his Ph.D. studies at the University of Nevada, Reno, and holds a BS in Chemical Engineering from the University of Tennessee, Knoxville.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Non-Employee Directors</w:t>
      </w:r>
    </w:p>
    <w:p>
      <w:pPr>
        <w:spacing w:after="0" w:line="197" w:lineRule="exact"/>
        <w:rPr>
          <w:sz w:val="20"/>
          <w:szCs w:val="20"/>
          <w:color w:val="auto"/>
        </w:rPr>
      </w:pPr>
    </w:p>
    <w:p>
      <w:pPr>
        <w:jc w:val="both"/>
        <w:ind w:hanging="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Rick Parod </w:t>
      </w:r>
      <w:r>
        <w:rPr>
          <w:rFonts w:ascii="Times New Roman" w:cs="Times New Roman" w:eastAsia="Times New Roman" w:hAnsi="Times New Roman"/>
          <w:sz w:val="20"/>
          <w:szCs w:val="20"/>
          <w:color w:val="auto"/>
        </w:rPr>
        <w:t>has served as a member of our Board since October 2022. Mr. Parod was the President and CEO and a director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received a B.S. in accounting from Northern Illinois University and an M.B.A from Pepperdine University. Mr. Parod is qualified to serve on our Board based on his experience in manufacturing operations, product development and sales and marketing.</w:t>
      </w:r>
    </w:p>
    <w:p>
      <w:pPr>
        <w:spacing w:after="0" w:line="197" w:lineRule="exact"/>
        <w:rPr>
          <w:sz w:val="20"/>
          <w:szCs w:val="20"/>
          <w:color w:val="auto"/>
        </w:rPr>
      </w:pPr>
    </w:p>
    <w:p>
      <w:pPr>
        <w:jc w:val="both"/>
        <w:ind w:hanging="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Karina Montilla Edmonds, Ph.D. </w:t>
      </w:r>
      <w:r>
        <w:rPr>
          <w:rFonts w:ascii="Times New Roman" w:cs="Times New Roman" w:eastAsia="Times New Roman" w:hAnsi="Times New Roman"/>
          <w:sz w:val="20"/>
          <w:szCs w:val="20"/>
          <w:color w:val="auto"/>
        </w:rPr>
        <w:t>has served as a member of our Board since October 2022. Dr. Edmonds currently serves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spacing w:after="0" w:line="202"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b w:val="1"/>
          <w:bCs w:val="1"/>
          <w:color w:val="auto"/>
        </w:rPr>
        <w:t xml:space="preserve">Brian Nelson </w:t>
      </w:r>
      <w:r>
        <w:rPr>
          <w:rFonts w:ascii="Times New Roman" w:cs="Times New Roman" w:eastAsia="Times New Roman" w:hAnsi="Times New Roman"/>
          <w:sz w:val="20"/>
          <w:szCs w:val="20"/>
          <w:color w:val="auto"/>
        </w:rPr>
        <w:t>has served as a member of our Board since October 2022. Prior to the Business Combination, Mr. Nelson served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board of directors of 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spacing w:after="0" w:line="205"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b w:val="1"/>
          <w:bCs w:val="1"/>
          <w:color w:val="auto"/>
        </w:rPr>
        <w:t xml:space="preserve">Jonathan Bellows </w:t>
      </w:r>
      <w:r>
        <w:rPr>
          <w:rFonts w:ascii="Times New Roman" w:cs="Times New Roman" w:eastAsia="Times New Roman" w:hAnsi="Times New Roman"/>
          <w:sz w:val="20"/>
          <w:szCs w:val="20"/>
          <w:color w:val="auto"/>
        </w:rPr>
        <w:t>has served as a member of our Board since October 2022. Mr. Bellows currently serves as President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KORE Power, which 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 - Johnson in 1998, where he earned his B.A. in History. Mr. Bellows is qualified to serve on our Board based on his energy storage industry expertise and operating and leadership experience.</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080"/>
          </w:cols>
          <w:pgMar w:left="1080" w:top="1089" w:right="1080" w:bottom="155" w:gutter="0" w:footer="0" w:header="0"/>
          <w:type w:val="continuous"/>
        </w:sectPr>
      </w:pPr>
    </w:p>
    <w:bookmarkStart w:id="69" w:name="page70"/>
    <w:bookmarkEnd w:id="69"/>
    <w:p>
      <w:pPr>
        <w:jc w:val="both"/>
        <w:ind w:hanging="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Luisa Ingargiola </w:t>
      </w:r>
      <w:r>
        <w:rPr>
          <w:rFonts w:ascii="Times New Roman" w:cs="Times New Roman" w:eastAsia="Times New Roman" w:hAnsi="Times New Roman"/>
          <w:sz w:val="20"/>
          <w:szCs w:val="20"/>
          <w:color w:val="auto"/>
        </w:rPr>
        <w:t>has served as a member of our Board since October 2022. Prior to the Business Combination, Ms. Ingargiola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served on the board of directors of Legacy Dragonfly from August 2021 to October 2022. Since February 2017, Ms. Ingargiola has served as Chief Financial Officer of Avalon GloboCare Corp. (NASDAQ: ALBT), a publicly listed bio-tech health care company. Prior to joining Avalon GloboCare Corp., Ms. Ingargiola served as the Chief Financial Officer and Co-Founder of MagneGas Corporation from 2007 to 2018. Ms. Ingargiola has also served as a director and Audit Committee Chair for various over-the-counter and Nasdaq companies. Ms. Ingargiola has served as a member of the board of directors and as Audit Committee Chair for Progress Acquisition Corporation from November 2020 to February 2023, as a member of the board of directors and as Audit Committee Chair for AgEagle Aerial Systems Inc. (NYSE American: UAVS) from May 2018 to November 2022, as the audit committee chair of Siyata Mobile (NASDAQ: SYTA) from December 2020 to December 2021, as a member of the board of directors, the Compensation Committee Chair and as audit committee chair for Electrameccanica Vehicles Corp. (Nasdaq: SOLO) since March 2018, as a member of the board and Audit Committee Chair for BioCorRx Inc. (OTC: BICX) since April 2018, and as a member of the board and Audit Committee Chair of Vision Marine Technologies, Inc. (NASDAQ: VMAR) since December 2020.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spacing w:after="0" w:line="247" w:lineRule="exact"/>
        <w:rPr>
          <w:sz w:val="20"/>
          <w:szCs w:val="20"/>
          <w:color w:val="auto"/>
        </w:rPr>
      </w:pPr>
    </w:p>
    <w:p>
      <w:pPr>
        <w:jc w:val="both"/>
        <w:ind w:hanging="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Perry Boyle </w:t>
      </w:r>
      <w:r>
        <w:rPr>
          <w:rFonts w:ascii="Times New Roman" w:cs="Times New Roman" w:eastAsia="Times New Roman" w:hAnsi="Times New Roman"/>
          <w:sz w:val="20"/>
          <w:szCs w:val="20"/>
          <w:color w:val="auto"/>
        </w:rPr>
        <w:t>has served as a member of our Board since October 2022. Prior to the Business Combination, he served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of directors of CNTQ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w:t>
      </w:r>
      <w:r>
        <w:rPr>
          <w:rFonts w:ascii="Times New Roman" w:cs="Times New Roman" w:eastAsia="Times New Roman" w:hAnsi="Times New Roman"/>
          <w:sz w:val="20"/>
          <w:szCs w:val="20"/>
          <w:b w:val="1"/>
          <w:bCs w:val="1"/>
          <w:color w:val="auto"/>
        </w:rPr>
        <w:t>S.A.C.</w:t>
      </w:r>
      <w:r>
        <w:rPr>
          <w:rFonts w:ascii="Times New Roman" w:cs="Times New Roman" w:eastAsia="Times New Roman" w:hAnsi="Times New Roman"/>
          <w:sz w:val="20"/>
          <w:szCs w:val="20"/>
          <w:color w:val="auto"/>
        </w:rPr>
        <w:t>”)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and a director of The US Friends of the International Institute for Strategic Studies (“</w:t>
      </w:r>
      <w:r>
        <w:rPr>
          <w:rFonts w:ascii="Times New Roman" w:cs="Times New Roman" w:eastAsia="Times New Roman" w:hAnsi="Times New Roman"/>
          <w:sz w:val="20"/>
          <w:szCs w:val="20"/>
          <w:b w:val="1"/>
          <w:bCs w:val="1"/>
          <w:color w:val="auto"/>
        </w:rPr>
        <w:t>IISS</w:t>
      </w:r>
      <w:r>
        <w:rPr>
          <w:rFonts w:ascii="Times New Roman" w:cs="Times New Roman" w:eastAsia="Times New Roman" w:hAnsi="Times New Roman"/>
          <w:sz w:val="20"/>
          <w:szCs w:val="20"/>
          <w:color w:val="auto"/>
        </w:rPr>
        <w: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Composition</w:t>
      </w:r>
    </w:p>
    <w:p>
      <w:pPr>
        <w:spacing w:after="0" w:line="243" w:lineRule="exact"/>
        <w:rPr>
          <w:sz w:val="20"/>
          <w:szCs w:val="20"/>
          <w:color w:val="auto"/>
        </w:rPr>
      </w:pPr>
    </w:p>
    <w:p>
      <w:pPr>
        <w:jc w:val="both"/>
        <w:ind w:hanging="9"/>
        <w:spacing w:after="0" w:line="236" w:lineRule="auto"/>
        <w:rPr>
          <w:sz w:val="20"/>
          <w:szCs w:val="20"/>
          <w:color w:val="auto"/>
        </w:rPr>
      </w:pPr>
      <w:r>
        <w:rPr>
          <w:rFonts w:ascii="Times New Roman" w:cs="Times New Roman" w:eastAsia="Times New Roman" w:hAnsi="Times New Roman"/>
          <w:sz w:val="20"/>
          <w:szCs w:val="20"/>
          <w:color w:val="auto"/>
        </w:rPr>
        <w:t>Our Board currently consists of three classes of a total of seven directors. Our directors each serve staggered three-year terms with one class being elected at each year’s annual meeting of stockholders, as follows:</w:t>
      </w:r>
    </w:p>
    <w:p>
      <w:pPr>
        <w:spacing w:after="0" w:line="244" w:lineRule="exact"/>
        <w:rPr>
          <w:sz w:val="20"/>
          <w:szCs w:val="20"/>
          <w:color w:val="auto"/>
        </w:rPr>
      </w:pPr>
    </w:p>
    <w:p>
      <w:pPr>
        <w:ind w:left="360" w:hanging="360"/>
        <w:spacing w:after="0" w:line="235" w:lineRule="auto"/>
        <w:tabs>
          <w:tab w:leader="none" w:pos="3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A, which consists of Rick Parod and Karina Edmonds, whose terms will expire at the 2026 annual meeting of stockholders;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B, which consists of Brian Nelson and Jonathan Bellows, whose terms will expire at the 2027 annual meeting of stockholders; and</w:t>
      </w:r>
    </w:p>
    <w:p>
      <w:pPr>
        <w:spacing w:after="0" w:line="82"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C, which consists of Denis Phares, Luisa Ingargiola and Perry Boyle, whose terms will expire at the 2025 annual meeting of stockholders.</w:t>
      </w:r>
    </w:p>
    <w:p>
      <w:pPr>
        <w:spacing w:after="0" w:line="246"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We have no formal policy regarding board diversity. Our priority in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Board oversees our business and monitors the performance of our management. In accordance with our corporate governance procedures, the Board does not involve itself in our day-to-day operations.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sectPr>
          <w:pgSz w:w="12240" w:h="15840" w:orient="portrait"/>
          <w:cols w:equalWidth="0" w:num="1">
            <w:col w:w="10080"/>
          </w:cols>
          <w:pgMar w:left="1080" w:top="1089" w:right="1080" w:bottom="155"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080"/>
          </w:cols>
          <w:pgMar w:left="1080" w:top="1089" w:right="1080" w:bottom="155"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Board Committees</w:t>
      </w:r>
    </w:p>
    <w:p>
      <w:pPr>
        <w:spacing w:after="0" w:line="243"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 xml:space="preserve">Our Board has three standing committees — an audit committee, a compensation committee, and a nominating and corporate governance committee. Copies of the charters for each committee are posted under the “Investors” tab on our website, which is located at </w:t>
      </w:r>
      <w:r>
        <w:rPr>
          <w:rFonts w:ascii="Times New Roman" w:cs="Times New Roman" w:eastAsia="Times New Roman" w:hAnsi="Times New Roman"/>
          <w:sz w:val="20"/>
          <w:szCs w:val="20"/>
          <w:i w:val="1"/>
          <w:iCs w:val="1"/>
          <w:u w:val="single" w:color="auto"/>
          <w:color w:val="auto"/>
        </w:rPr>
        <w:t>https://dragonflyenergy.com</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 Committee</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Board has formed an Audit Committee, which currently consists of Luisa Ingargiola, Rick Parod,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Ms. Ingargiola qualifies as an audit committee financial expert within the meaning of SEC regulations and the Nasdaq Marketplace Rules.</w:t>
      </w:r>
    </w:p>
    <w:p>
      <w:pPr>
        <w:spacing w:after="0" w:line="246"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The Board has formed a Compensation Committee which consists of Luisa Ingargiola, Brian Nelson, and Rick Parod, all of whom are independent (as that term is defined under the Nasdaq Marketplace Rules). Brian Nelson serves as the chair of the Compensation Committee. The Compensation Committee assists the Board in fulfilling its oversight responsibilities relating to (i) corporate governance practices and policies and (ii) compensation matters, including our directors and senior management’s compensation and the administration of our compensation plans. Our Board determined that each of the members of the compensation committee are a non-employee director, as defined in Rule 16b-3 promulgated under the Exchange Act and satisfies the independence requirements of Nasdaq.</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Nominating and Corporate Governance Committee</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Board has formed a Nominating and Corporate Governance Committee, which currently consists of Karina Montilla Edmonds, Brian Nelson and Jonathan Bellows, all of whom are independent (as that term is defined under the Nasdaq Marketplace Rules). Karina Montilla Edmonds serves as the chair of the Nominating and Corporate Governance Committee. The Nominating and Corporate Governance Committee assesses potential candidates to fill perceived needs on the Board for required, skills, expertise, independence and other factors.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Nomination of Directors</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Nominating and Corporate Governance Committee of the Board assesses potential candidates to fill perceived needs on the Board of Directors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12915 Old Virginia Road, Reno, Nevada 89521. Our Nominating and Corporate Governance Committee has discretion to decide which individuals to recommend for nomination as directors.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Leadership Structure and Role in Risk Oversight</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Dr. Phares, as our President, Chief Executive Officer and Chairman, has extensive knowledge of all aspects of Dragonfly and our business. Our Board has appointed Ms. Ingargiola as Lead Independent Director. We have no policy requiring the combination or separation of leadership roles and our governing documents do not mandate a particular structure. This has allowed, and will continue to allow, our Board the flexibility to establish the most appropriate structure for us at any given time.</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080"/>
          </w:cols>
          <w:pgMar w:left="1080" w:top="1079" w:right="1080" w:bottom="155" w:gutter="0" w:footer="0" w:header="0"/>
          <w:type w:val="continuous"/>
        </w:sectPr>
      </w:pPr>
    </w:p>
    <w:bookmarkStart w:id="71" w:name="page72"/>
    <w:bookmarkEnd w:id="71"/>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Our Board is primarily responsible for overseeing our risk management processes. The Board receives and reviews periodic reports from management, auditors, legal counsel, and others, as considered appropriate regarding our assessment of risks. The Board focuses on the most significant risks we face and our general risk management strategy, and also ensures that risks undertaken by us are consistent with the Board’s risk strategy. While the Board oversees our risk management, management is responsible for day-to-day risk management processes. We believe this division of responsibilities is the most effective approach for addressing the risks we face and that our Board leadership structure supports this approach.</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Family Relationships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family relationships among any of our directors or executive officers.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Ethics</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 w:cs="Times New Roman" w:eastAsia="Times New Roman" w:hAnsi="Times New Roman"/>
          <w:sz w:val="20"/>
          <w:szCs w:val="20"/>
          <w:i w:val="1"/>
          <w:iCs w:val="1"/>
          <w:u w:val="single" w:color="auto"/>
          <w:color w:val="auto"/>
        </w:rPr>
        <w:t>https://dragonflyenergy.com/.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arrangements and policies.</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We have adopted an insider trading policy that governs the purchase, sale, and/or other transactions of our securities by our directors, officers and employees. A copy of our insider trading policy is filed as Exhibit 19.1 to this Annual Report on Form 10-K for the fiscal year ended December 31, 2024. In addition, with regard to us trading in our own securities, it is our policy to comply with the federal securities laws and the applicable exchange listing requirements in all respects.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Section 16(a) of the Exchange Act requires our directors, executive officers and persons who own more than 10% of a registered class of our securities to file with the SEC initial reports of ownership and reports of changes in ownership of common stock and other equity securities of the Company. Directors, executive officers and greater than 10% stockholders are required by SEC regulation to furnish us with copies of all Section 16(a) reports they file. To our knowledge, based solely on the review of the copies of these forms furnished to us and representations that no other reports were required, we believe that all forms required to be filed under Section 16 of the Exchange Act for the year ended December 31, 2023 were filed timely, except for the following: we filed a Form 4 for Karina Edmonds on August 30, 2023 to report her purchases of common stock on October 25, 2022 and February 23, 2023.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4"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Our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The following table presents information regarding the total compensation awarded to, earned by, or paid to each person serving as our Chief Executive Officer during the fiscal year ended December 31, 2024, the two most highly-compensated executive officers (other than the Chief Executive Officer) who were serving as executive officers during the fiscal years ended December 31, 2024 and December 31, 2023, and up to two additional individuals for whom disclosure would have been provided but for the fact that such individuals were not serving as an executive officer as of December 31, 2024 for services rendered in all capacities to us for the fiscal year ended December 31, 2024. These individuals are our named executive officers (“</w:t>
      </w:r>
      <w:r>
        <w:rPr>
          <w:rFonts w:ascii="Times New Roman" w:cs="Times New Roman" w:eastAsia="Times New Roman" w:hAnsi="Times New Roman"/>
          <w:sz w:val="20"/>
          <w:szCs w:val="20"/>
          <w:b w:val="1"/>
          <w:bCs w:val="1"/>
          <w:color w:val="auto"/>
        </w:rPr>
        <w:t>NEOs</w:t>
      </w:r>
      <w:r>
        <w:rPr>
          <w:rFonts w:ascii="Times New Roman" w:cs="Times New Roman" w:eastAsia="Times New Roman" w:hAnsi="Times New Roman"/>
          <w:sz w:val="20"/>
          <w:szCs w:val="20"/>
          <w:color w:val="auto"/>
        </w:rPr>
        <w:t>”) for fiscal 2024.</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080"/>
          </w:cols>
          <w:pgMar w:left="1080" w:top="1089" w:right="1080" w:bottom="155"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9"/>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4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7"/>
        </w:trPr>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Dr. Denis Phares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622,000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5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622,000</w:t>
            </w:r>
          </w:p>
        </w:tc>
      </w:tr>
      <w:tr>
        <w:trPr>
          <w:trHeight w:val="209"/>
        </w:trPr>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Chief Executive</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Interim</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Chief Financial</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622,000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255,333</w:t>
            </w:r>
          </w:p>
        </w:tc>
        <w:tc>
          <w:tcPr>
            <w:tcW w:w="1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5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877,333</w:t>
            </w:r>
          </w:p>
        </w:tc>
      </w:tr>
      <w:tr>
        <w:trPr>
          <w:trHeight w:val="209"/>
        </w:trPr>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Wade Seaburg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340,000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5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340,000</w:t>
            </w:r>
          </w:p>
        </w:tc>
      </w:tr>
      <w:tr>
        <w:trPr>
          <w:trHeight w:val="209"/>
        </w:trPr>
        <w:tc>
          <w:tcPr>
            <w:tcW w:w="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Commercial</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5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340,000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81,666</w:t>
            </w:r>
          </w:p>
        </w:tc>
        <w:tc>
          <w:tcPr>
            <w:tcW w:w="1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5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421,666</w:t>
            </w:r>
          </w:p>
        </w:tc>
      </w:tr>
      <w:tr>
        <w:trPr>
          <w:trHeight w:val="208"/>
        </w:trPr>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Tyler Bourns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280,000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5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280,000</w:t>
            </w:r>
          </w:p>
        </w:tc>
      </w:tr>
      <w:tr>
        <w:trPr>
          <w:trHeight w:val="209"/>
        </w:trPr>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w w:val="97"/>
              </w:rPr>
              <w:t>Chief Marketing</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5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280,000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39,333</w:t>
            </w:r>
          </w:p>
        </w:tc>
        <w:tc>
          <w:tcPr>
            <w:tcW w:w="1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5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319,333</w:t>
            </w:r>
          </w:p>
        </w:tc>
      </w:tr>
      <w:tr>
        <w:trPr>
          <w:trHeight w:val="209"/>
        </w:trPr>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John Marchetti (6)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127,202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5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133,929</w:t>
            </w:r>
          </w:p>
        </w:tc>
      </w:tr>
      <w:tr>
        <w:trPr>
          <w:trHeight w:val="209"/>
        </w:trPr>
        <w:tc>
          <w:tcPr>
            <w:tcW w:w="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Former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Senior</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Vice  President,</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Operations,</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Former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Chief</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Financial</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5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227,692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107,667</w:t>
            </w:r>
          </w:p>
        </w:tc>
        <w:tc>
          <w:tcPr>
            <w:tcW w:w="1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5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510,359</w:t>
            </w:r>
          </w:p>
        </w:tc>
      </w:tr>
    </w:tbl>
    <w:p>
      <w:pPr>
        <w:spacing w:after="0" w:line="242" w:lineRule="exact"/>
        <w:rPr>
          <w:sz w:val="20"/>
          <w:szCs w:val="20"/>
          <w:color w:val="auto"/>
        </w:rPr>
      </w:pPr>
    </w:p>
    <w:p>
      <w:pPr>
        <w:ind w:left="360" w:hanging="360"/>
        <w:spacing w:after="0" w:line="235" w:lineRule="auto"/>
        <w:tabs>
          <w:tab w:leader="none" w:pos="3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discretionary bonuses awarded to each executive for performance during the fiscal year ended December 31, 2023.</w:t>
      </w:r>
    </w:p>
    <w:p>
      <w:pPr>
        <w:spacing w:after="0" w:line="80" w:lineRule="exact"/>
        <w:rPr>
          <w:rFonts w:ascii="Times New Roman" w:cs="Times New Roman" w:eastAsia="Times New Roman" w:hAnsi="Times New Roman"/>
          <w:sz w:val="16"/>
          <w:szCs w:val="16"/>
          <w:color w:val="auto"/>
        </w:rPr>
      </w:pPr>
    </w:p>
    <w:p>
      <w:pPr>
        <w:jc w:val="both"/>
        <w:ind w:left="360" w:hanging="360"/>
        <w:spacing w:after="0" w:line="238" w:lineRule="auto"/>
        <w:tabs>
          <w:tab w:leader="none" w:pos="3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reflect the grant date fair value of restricted stock awards granted to the NEOs for performance during the fiscal years ended December 31, 2024 and December 31, 2023 under the 2022 Plan (as defined below) and are accounted for in accordance with FASB ASC Topic 718. Please see the section titled “</w:t>
      </w: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 beginning on page F-11 of our Notes to Consolidated Financial Statements included elsewhere in the 2024 Annual Report for a discussion of the relevant assumptions used in calculating these amounts.</w:t>
      </w:r>
    </w:p>
    <w:p>
      <w:pPr>
        <w:spacing w:after="0" w:line="81" w:lineRule="exact"/>
        <w:rPr>
          <w:rFonts w:ascii="Times New Roman" w:cs="Times New Roman" w:eastAsia="Times New Roman" w:hAnsi="Times New Roman"/>
          <w:sz w:val="16"/>
          <w:szCs w:val="16"/>
          <w:color w:val="auto"/>
        </w:rPr>
      </w:pPr>
    </w:p>
    <w:p>
      <w:pPr>
        <w:jc w:val="both"/>
        <w:ind w:left="360" w:hanging="360"/>
        <w:spacing w:after="0" w:line="238" w:lineRule="auto"/>
        <w:tabs>
          <w:tab w:leader="none" w:pos="3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12, 2024, Dr. Phares received a contingent cash award in the amount of $510,666.67 for services performed for the year ended December 31, 2023, which will not be paid out to Dr. Phares until we have achieved a minimum cash balance of $30,000,000, subject to his continued employment on the date of payment.</w:t>
      </w:r>
    </w:p>
    <w:p>
      <w:pPr>
        <w:spacing w:after="0" w:line="79" w:lineRule="exact"/>
        <w:rPr>
          <w:rFonts w:ascii="Times New Roman" w:cs="Times New Roman" w:eastAsia="Times New Roman" w:hAnsi="Times New Roman"/>
          <w:sz w:val="16"/>
          <w:szCs w:val="16"/>
          <w:color w:val="auto"/>
        </w:rPr>
      </w:pPr>
    </w:p>
    <w:p>
      <w:pPr>
        <w:jc w:val="both"/>
        <w:ind w:left="360" w:hanging="360"/>
        <w:spacing w:after="0" w:line="237" w:lineRule="auto"/>
        <w:tabs>
          <w:tab w:leader="none" w:pos="3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12, 2024, Mr. Seaburg received a contingent cash award in the amount of $163,333.33 for services performed in December 31, 2023, which will not be paid out to Mr. Seaburg until we have achieved a minimum cash balance of $30,000,000, subject to his continued employment on the date of payment.</w:t>
      </w:r>
    </w:p>
    <w:p>
      <w:pPr>
        <w:spacing w:after="0" w:line="81" w:lineRule="exact"/>
        <w:rPr>
          <w:rFonts w:ascii="Times New Roman" w:cs="Times New Roman" w:eastAsia="Times New Roman" w:hAnsi="Times New Roman"/>
          <w:sz w:val="16"/>
          <w:szCs w:val="16"/>
          <w:color w:val="auto"/>
        </w:rPr>
      </w:pPr>
    </w:p>
    <w:p>
      <w:pPr>
        <w:jc w:val="both"/>
        <w:ind w:left="360" w:hanging="360"/>
        <w:spacing w:after="0" w:line="237" w:lineRule="auto"/>
        <w:tabs>
          <w:tab w:leader="none" w:pos="3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12, 2024, Mr. Bourns received a contingent cash award in the amount of $78,667.67 for services performed in December 31, 2023, which will not be paid out to Mr. Bourns until we have achieved a minimum cash balance of $30,000,000, subject to his continued employment on the date of payment.</w:t>
      </w:r>
    </w:p>
    <w:p>
      <w:pPr>
        <w:spacing w:after="0" w:line="81" w:lineRule="exact"/>
        <w:rPr>
          <w:rFonts w:ascii="Times New Roman" w:cs="Times New Roman" w:eastAsia="Times New Roman" w:hAnsi="Times New Roman"/>
          <w:sz w:val="16"/>
          <w:szCs w:val="16"/>
          <w:color w:val="auto"/>
        </w:rPr>
      </w:pPr>
    </w:p>
    <w:p>
      <w:pPr>
        <w:jc w:val="both"/>
        <w:ind w:left="360" w:hanging="360"/>
        <w:spacing w:after="0" w:line="237" w:lineRule="auto"/>
        <w:tabs>
          <w:tab w:leader="none" w:pos="3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Marchetti commenced employment as Legacy Dragonfly’s Chief Financial Officer on September 6, 2021. On August 20, 2023, upon mutual agreement between us and Mr. Marchetti, Mr. Marchetti resigned from his position as our Chief Financial Officer. Mr. Marchetti continued in the role of Senior Vice President, Operations until his employment was terminated on April 19, 2024. As a result, Mr. Marchetti’s 26,585 RSUs were forfeited.</w:t>
      </w:r>
    </w:p>
    <w:p>
      <w:pPr>
        <w:spacing w:after="0" w:line="81" w:lineRule="exact"/>
        <w:rPr>
          <w:rFonts w:ascii="Times New Roman" w:cs="Times New Roman" w:eastAsia="Times New Roman" w:hAnsi="Times New Roman"/>
          <w:sz w:val="16"/>
          <w:szCs w:val="16"/>
          <w:color w:val="auto"/>
        </w:rPr>
      </w:pPr>
    </w:p>
    <w:p>
      <w:pPr>
        <w:jc w:val="both"/>
        <w:ind w:left="360" w:hanging="360"/>
        <w:spacing w:after="0" w:line="237" w:lineRule="auto"/>
        <w:tabs>
          <w:tab w:leader="none" w:pos="3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12, 2024, Mr. Marchetti received a contingent cash award in the amount of $215,333.33 for services performed in December 31, 2023, which will not be paid out to Mr. Marchetti until we have achieved a minimum cash balance of $30,000,000, subject to his continued employment on the date of payment. As a result of the termination of Mr. Marchetti’s employment, his contingent cash award was forfeited.</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2022, the Compensation Committee engaged Compensia, Inc. as our independent compensation consultant. Compensia, Inc. viewed both executive and director compensation and did not provide us any other services. Compensia, Inc. reported directly to the Compensation Committee and provided guidance on trends in executive and non-employee director compensation, the development of specific executive compensation programs, the composition of our compensation peer group and other matters as directed by the Compensation Committee. Dragonfly Energy Holdings Corp. did not engage an independent compensation consultant for years ended December 31, 2023 or December 31, 2024.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Named Executive Officer Employment Agreements</w:t>
      </w:r>
    </w:p>
    <w:p>
      <w:pPr>
        <w:spacing w:after="0" w:line="244"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We have entered into employment agreements, dated as of October 11, 2022 with each of Dr. Phares and Mr. Marchetti. On November 7, 2022, we entered into an employment agreement with each of Mr. Seaburg and Mr. Bourns.</w:t>
      </w:r>
    </w:p>
    <w:p>
      <w:pPr>
        <w:spacing w:after="0" w:line="246"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9"/>
          <w:szCs w:val="19"/>
          <w:color w:val="auto"/>
        </w:rPr>
        <w:t>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Mr. Seaburg — $340,000; Mr. Bourns — $280,000) and to be</w:t>
      </w:r>
    </w:p>
    <w:p>
      <w:pPr>
        <w:sectPr>
          <w:pgSz w:w="12240" w:h="15840" w:orient="portrait"/>
          <w:cols w:equalWidth="0" w:num="1">
            <w:col w:w="10080"/>
          </w:cols>
          <w:pgMar w:left="1080" w:top="1080" w:right="1080" w:bottom="155" w:gutter="0" w:footer="0" w:header="0"/>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080"/>
          </w:cols>
          <w:pgMar w:left="1080" w:top="1080" w:right="1080" w:bottom="155" w:gutter="0" w:footer="0" w:header="0"/>
          <w:type w:val="continuous"/>
        </w:sectPr>
      </w:pPr>
    </w:p>
    <w:bookmarkStart w:id="73" w:name="page74"/>
    <w:bookmarkEnd w:id="73"/>
    <w:p>
      <w:pPr>
        <w:jc w:val="both"/>
        <w:spacing w:after="0"/>
        <w:rPr>
          <w:sz w:val="20"/>
          <w:szCs w:val="20"/>
          <w:color w:val="auto"/>
        </w:rPr>
      </w:pPr>
      <w:r>
        <w:rPr>
          <w:rFonts w:ascii="Times New Roman" w:cs="Times New Roman" w:eastAsia="Times New Roman" w:hAnsi="Times New Roman"/>
          <w:sz w:val="20"/>
          <w:szCs w:val="20"/>
          <w:color w:val="auto"/>
        </w:rPr>
        <w:t>eligible for an annual bonus of up to a specified percentage of the executive’s base salary (Dr. Phares — 100%; Mr. Marchetti — 63%; Mr. Seaburg – 92%; Mr. Bourns – 30%). The executive is generally eligible for an annual bonus only if he remains employed with us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Mr. Seaburg — $490,000; Mr. Bourns — $236,000),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247" w:lineRule="exact"/>
        <w:rPr>
          <w:sz w:val="20"/>
          <w:szCs w:val="20"/>
          <w:color w:val="auto"/>
        </w:rPr>
      </w:pPr>
    </w:p>
    <w:p>
      <w:pPr>
        <w:jc w:val="both"/>
        <w:ind w:hanging="9"/>
        <w:spacing w:after="0" w:line="241" w:lineRule="auto"/>
        <w:rPr>
          <w:sz w:val="20"/>
          <w:szCs w:val="20"/>
          <w:color w:val="auto"/>
        </w:rPr>
      </w:pPr>
      <w:r>
        <w:rPr>
          <w:rFonts w:ascii="Times New Roman" w:cs="Times New Roman" w:eastAsia="Times New Roman" w:hAnsi="Times New Roman"/>
          <w:sz w:val="20"/>
          <w:szCs w:val="20"/>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Mr. Seaburg, and Mr. Bourns), payable in installments over two years following the termination date, (ii) reimbursement of monthly COBRA premiums for the executive and his dependents for up to 18 months (in the case of Dr. Phares) or 12 months (in the case of Mr. Marchetti, Mr. Seaburg, and Mr. Bourns),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If, during the period commencing three months before a change in control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Mr. Seaburg and Mr. Bourns,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252"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In each case, the executive’s right to receive the severance benefits described above is subject to him providing a release of claims to us and his continued compliance with the restrictive covenants in favor of us in the agreement.</w:t>
      </w:r>
    </w:p>
    <w:p>
      <w:pPr>
        <w:spacing w:after="0" w:line="246"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On February 24, 2023, we entered into an amended and restated employment agreement with Mr. Marchetti to provide that Mr. Marchetti will receive a minimum annual bonus of $175,000 for the fiscal year ended December 31, 2023. All other terms of the amended and restated Agreement remain the same as the original agreement.</w:t>
      </w:r>
    </w:p>
    <w:p>
      <w:pPr>
        <w:spacing w:after="0" w:line="246"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On August 20, 2023, upon mutual agreement between us and Mr. Marchetti, Mr. Marchetti resigned from his position as our Chief Financial Officer and continued in the role of Senior Vice President, Operations. In connection with Mr. Marchetti’s resignation, on August 20, 2023, the Board appointed Dr. Phares to succeed Mr. Marchetti as our Interim Chief Financial Officer.</w:t>
      </w:r>
    </w:p>
    <w:p>
      <w:pPr>
        <w:spacing w:after="0" w:line="247"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Effective April 12, 2024, we entered into amendments to the employment agreements with Dr. Phares, Mr. Marchetti, Mr. Seaburg and Mr. Bourns to amend the terms of their annual equity compensation (the “</w:t>
      </w:r>
      <w:r>
        <w:rPr>
          <w:rFonts w:ascii="Times New Roman" w:cs="Times New Roman" w:eastAsia="Times New Roman" w:hAnsi="Times New Roman"/>
          <w:sz w:val="20"/>
          <w:szCs w:val="20"/>
          <w:b w:val="1"/>
          <w:bCs w:val="1"/>
          <w:color w:val="auto"/>
        </w:rPr>
        <w:t>Amended Employee Agreements</w:t>
      </w:r>
      <w:r>
        <w:rPr>
          <w:rFonts w:ascii="Times New Roman" w:cs="Times New Roman" w:eastAsia="Times New Roman" w:hAnsi="Times New Roman"/>
          <w:sz w:val="20"/>
          <w:szCs w:val="20"/>
          <w:color w:val="auto"/>
        </w:rPr>
        <w:t>”). The Amended Employee Agreements allow us to issue a combination of cash and equity awards on an annual basis up to a specified amount ($1,532,000 for Dr. Phares, $646,000 for Mr. Marchetti, $490,000 for Mr. Seaburg, and $236,000 for Mr. Bourns), subject to approval and such other terms and conditions imposed by the compensation committee of the board of directors.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April 19, 2024, Mr. Marchetti’s employment with us as our Senior Vice President, Operations, was terminated.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Year-End</w:t>
      </w:r>
    </w:p>
    <w:p>
      <w:pPr>
        <w:spacing w:after="0" w:line="245"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The following table provides information regarding outstanding options to acquire our common stock held by each of the NEOs as of December 31, 2024, including the vesting dates for the portions of these awards that had not vested as of that date. The NEO did not hold any other outstanding equity awards as of that date.</w:t>
      </w:r>
    </w:p>
    <w:p>
      <w:pPr>
        <w:sectPr>
          <w:pgSz w:w="12240" w:h="15840" w:orient="portrait"/>
          <w:cols w:equalWidth="0" w:num="1">
            <w:col w:w="10080"/>
          </w:cols>
          <w:pgMar w:left="1080" w:top="1089" w:right="1080" w:bottom="155"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080"/>
          </w:cols>
          <w:pgMar w:left="1080" w:top="1089" w:right="1080" w:bottom="155"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08"/>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8"/>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8"/>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Plan Awards: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8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8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2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8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09"/>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2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2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10"/>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420" w:type="dxa"/>
            <w:vAlign w:val="bottom"/>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8"/>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Denis Phares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63,046(1)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04/12/2034</w:t>
            </w:r>
          </w:p>
        </w:tc>
      </w:tr>
      <w:tr>
        <w:trPr>
          <w:trHeight w:val="208"/>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Wade Seaburg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20,165(1)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04/12/2034</w:t>
            </w:r>
          </w:p>
        </w:tc>
      </w:tr>
      <w:tr>
        <w:trPr>
          <w:trHeight w:val="209"/>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8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06/09/2030</w:t>
            </w:r>
          </w:p>
        </w:tc>
      </w:tr>
      <w:tr>
        <w:trPr>
          <w:trHeight w:val="209"/>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10/19/2030</w:t>
            </w:r>
          </w:p>
        </w:tc>
      </w:tr>
      <w:tr>
        <w:trPr>
          <w:trHeight w:val="209"/>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28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1,642(2)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08/04/2031</w:t>
            </w:r>
          </w:p>
        </w:tc>
      </w:tr>
      <w:tr>
        <w:trPr>
          <w:trHeight w:val="209"/>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28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903(3)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12/06/2031</w:t>
            </w:r>
          </w:p>
        </w:tc>
      </w:tr>
      <w:tr>
        <w:trPr>
          <w:trHeight w:val="209"/>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8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12/06/2031</w:t>
            </w:r>
          </w:p>
        </w:tc>
      </w:tr>
      <w:tr>
        <w:trPr>
          <w:trHeight w:val="209"/>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Tyler Bourns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28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1,353(2)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12/06/2031</w:t>
            </w:r>
          </w:p>
        </w:tc>
      </w:tr>
      <w:tr>
        <w:trPr>
          <w:trHeight w:val="209"/>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Tyler Bourns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9,712(1)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04/12/2034</w:t>
            </w:r>
          </w:p>
        </w:tc>
      </w:tr>
    </w:tbl>
    <w:p>
      <w:pPr>
        <w:spacing w:after="0" w:line="242" w:lineRule="exact"/>
        <w:rPr>
          <w:sz w:val="20"/>
          <w:szCs w:val="20"/>
          <w:color w:val="auto"/>
        </w:rPr>
      </w:pPr>
    </w:p>
    <w:p>
      <w:pPr>
        <w:ind w:left="360" w:hanging="360"/>
        <w:spacing w:after="0"/>
        <w:tabs>
          <w:tab w:leader="none" w:pos="3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Restricted stock units vest annually as to 1/3rd on April 12, 2025, with the remaining shares vesting in equal annual installments over a period of 2 years.</w:t>
      </w:r>
    </w:p>
    <w:p>
      <w:pPr>
        <w:spacing w:after="0" w:line="66" w:lineRule="exact"/>
        <w:rPr>
          <w:rFonts w:ascii="Times New Roman" w:cs="Times New Roman" w:eastAsia="Times New Roman" w:hAnsi="Times New Roman"/>
          <w:sz w:val="15"/>
          <w:szCs w:val="15"/>
          <w:color w:val="auto"/>
        </w:rPr>
      </w:pPr>
    </w:p>
    <w:p>
      <w:pPr>
        <w:ind w:left="360" w:hanging="360"/>
        <w:spacing w:after="0" w:line="219" w:lineRule="auto"/>
        <w:tabs>
          <w:tab w:leader="none" w:pos="3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options vest as to 1/4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6"/>
          <w:szCs w:val="16"/>
          <w:color w:val="auto"/>
        </w:rPr>
        <w:t xml:space="preserve"> on August 4, 2022, with the remaining shares vesting in equal monthly installments over a period of 36 months commencing on September 4, 2022.</w:t>
      </w:r>
    </w:p>
    <w:p>
      <w:pPr>
        <w:spacing w:after="0" w:line="63" w:lineRule="exact"/>
        <w:rPr>
          <w:rFonts w:ascii="Times New Roman" w:cs="Times New Roman" w:eastAsia="Times New Roman" w:hAnsi="Times New Roman"/>
          <w:sz w:val="16"/>
          <w:szCs w:val="16"/>
          <w:color w:val="auto"/>
        </w:rPr>
      </w:pPr>
    </w:p>
    <w:p>
      <w:pPr>
        <w:ind w:left="360" w:hanging="360"/>
        <w:spacing w:after="0" w:line="219" w:lineRule="auto"/>
        <w:tabs>
          <w:tab w:leader="none" w:pos="4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options vest as to 1/4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6"/>
          <w:szCs w:val="16"/>
          <w:color w:val="auto"/>
        </w:rPr>
        <w:t xml:space="preserve"> on December 6, 2021, with the remaining shares vesting in equal monthly installments over a period of 36 months commencing on January 6,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Grants</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For services performed during the year ended December 31, 2023, on April 12, 2024, Dr. Phares was granted 63,046 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Mr. Marchetti was granted 26,585 RSUs, Mr. Seaburg was granted 20,165 RSUs, and Mr. Bourns was granted 9,712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also approved the following cash awards to the above referenced employees: (i) $510,666.67 to Dr. Phares; (ii) $215,333.33 to Mr. Marchetti, (iii) $163,333.33 to Mr. Seaburg; and (iv) $78,667.67 to Mr. Bourns. Each of the approved cash awards will not be paid out to the employees until we have achieved a minimum cash balance of $30,000,000, and are subject to each employee’s continued employment on the date of payment.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 result of the termination of Mr. Marchetti’s employment, his 26,585 RSUs and cash award of $215,333.33 were forfeited.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Grants</w:t>
      </w:r>
    </w:p>
    <w:p>
      <w:pPr>
        <w:spacing w:after="0" w:line="243"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For services performed during the year ended December 31, 2022, on February 10, 2023, Dr. Phares was granted 22,697 RSUs, Mr. Marchetti was granted 9,571 RSUs, Mr. Seaburg was granted 7,260 RSUs and Mr. Bourns was granted 3,497 RSUs. Each grant vested in full on the date of grant.</w:t>
      </w:r>
    </w:p>
    <w:p>
      <w:pPr>
        <w:spacing w:after="0" w:line="243" w:lineRule="exact"/>
        <w:rPr>
          <w:sz w:val="20"/>
          <w:szCs w:val="20"/>
          <w:color w:val="auto"/>
        </w:rPr>
      </w:pPr>
    </w:p>
    <w:p>
      <w:pPr>
        <w:jc w:val="both"/>
        <w:ind w:hanging="9"/>
        <w:spacing w:after="0" w:line="236" w:lineRule="auto"/>
        <w:rPr>
          <w:sz w:val="20"/>
          <w:szCs w:val="20"/>
          <w:color w:val="auto"/>
        </w:rPr>
      </w:pPr>
      <w:r>
        <w:rPr>
          <w:rFonts w:ascii="Times New Roman" w:cs="Times New Roman" w:eastAsia="Times New Roman" w:hAnsi="Times New Roman"/>
          <w:sz w:val="20"/>
          <w:szCs w:val="20"/>
          <w:b w:val="1"/>
          <w:bCs w:val="1"/>
          <w:color w:val="auto"/>
        </w:rPr>
        <w:t>Policies and Practices Related to the Grant of Certain Equity Awards Close in Time to the Release of Material Nonpublic Information</w:t>
      </w:r>
    </w:p>
    <w:p>
      <w:pPr>
        <w:spacing w:after="0" w:line="244"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9"/>
          <w:szCs w:val="19"/>
          <w:color w:val="auto"/>
        </w:rPr>
        <w:t>We do not have any formal policy that requires us to grant, or avoid granting, stock options at particular times. We have in the past typically granted RSUs to our officers and directors and do not typically grant stock options but may do so in the future. The timing of any stock option grants in connection with new hires, promotions, or other non-routine grants is tied to the event giving rise to the award (such as an employee’s commencement of employment or promotion effective date). As a result, in all cases, the timing of grants of stock options occurs independent of the release of any material nonpublic information, and we do not time the disclosure of material nonpublic information for the purpose of affecting the value of executive compensation.</w:t>
      </w:r>
    </w:p>
    <w:p>
      <w:pPr>
        <w:spacing w:after="0" w:line="231"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No stock options were issued to executive officers in 2024 during any period beginning four business days before the filing of a periodic report or current report disclosing material non-public information and ending one business day after the filing or furnishing of such report with the SEC.</w:t>
      </w:r>
    </w:p>
    <w:p>
      <w:pPr>
        <w:sectPr>
          <w:pgSz w:w="12240" w:h="15840" w:orient="portrait"/>
          <w:cols w:equalWidth="0" w:num="1">
            <w:col w:w="10080"/>
          </w:cols>
          <w:pgMar w:left="1080" w:top="1080"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080"/>
          </w:cols>
          <w:pgMar w:left="1080" w:top="1080" w:right="1080" w:bottom="155"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197"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We have adopted a policy that provides for cash and equity compensation for members of our Board of directors who are not employed by us or any of our subsidiaries (our “</w:t>
      </w:r>
      <w:r>
        <w:rPr>
          <w:rFonts w:ascii="Times New Roman" w:cs="Times New Roman" w:eastAsia="Times New Roman" w:hAnsi="Times New Roman"/>
          <w:sz w:val="20"/>
          <w:szCs w:val="20"/>
          <w:b w:val="1"/>
          <w:bCs w:val="1"/>
          <w:color w:val="auto"/>
        </w:rPr>
        <w:t>Non-Employee Directors</w:t>
      </w:r>
      <w:r>
        <w:rPr>
          <w:rFonts w:ascii="Times New Roman" w:cs="Times New Roman" w:eastAsia="Times New Roman" w:hAnsi="Times New Roman"/>
          <w:sz w:val="20"/>
          <w:szCs w:val="20"/>
          <w:color w:val="auto"/>
        </w:rPr>
        <w:t>”). The policy provides that each Non-Employee Director is entitled to receive the following cash compensation for board service, as applicable:</w:t>
      </w:r>
    </w:p>
    <w:p>
      <w:pPr>
        <w:spacing w:after="0" w:line="190" w:lineRule="exact"/>
        <w:rPr>
          <w:sz w:val="20"/>
          <w:szCs w:val="20"/>
          <w:color w:val="auto"/>
        </w:rPr>
      </w:pPr>
    </w:p>
    <w:p>
      <w:pPr>
        <w:ind w:left="360" w:hanging="360"/>
        <w:spacing w:after="0"/>
        <w:tabs>
          <w:tab w:leader="none" w:pos="3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$58,800 annual retainer for service as a Board member;</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$20,000 additional annual retainer for service as Lead Independent Director; and</w:t>
      </w:r>
    </w:p>
    <w:p>
      <w:pPr>
        <w:spacing w:after="0" w:line="72"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99"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200"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Our Compensation Committee also has discretion under the director compensation policy to grant Non-Employee Directors equity-based awards under our Dragonfly Energy Holdings 2022 Equity Incentive Plan (“</w:t>
      </w:r>
      <w:r>
        <w:rPr>
          <w:rFonts w:ascii="Times New Roman" w:cs="Times New Roman" w:eastAsia="Times New Roman" w:hAnsi="Times New Roman"/>
          <w:sz w:val="20"/>
          <w:szCs w:val="20"/>
          <w:b w:val="1"/>
          <w:bCs w:val="1"/>
          <w:color w:val="auto"/>
        </w:rPr>
        <w:t>2022 Plan</w:t>
      </w:r>
      <w:r>
        <w:rPr>
          <w:rFonts w:ascii="Times New Roman" w:cs="Times New Roman" w:eastAsia="Times New Roman" w:hAnsi="Times New Roman"/>
          <w:sz w:val="20"/>
          <w:szCs w:val="20"/>
          <w:color w:val="auto"/>
        </w:rPr>
        <w:t>”) (or any successor equity compensation plan approved by our stockholders). It is currently expected that Non-Employee Directors will receive an award of options, RSUs and/or cash with a value of $300,000 upon their initial appointment to the Board and an award of options, RSUs and/or cash with a value of $100,000 on an annual basis thereafter. For each award, the Compensation Committee will determine at the time of grant the methodology for converting the foregoing dollar amounts to shares and the vesting schedule. The Compensation Committee may approve other grants of equity-based awards to Non-Employee Directors from time to time, on such terms as the Compensation Committee may determine and subject to the applicable provisions of our equity compensation plan then in effect.</w:t>
      </w:r>
    </w:p>
    <w:p>
      <w:pPr>
        <w:spacing w:after="0" w:line="203"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Board may change the terms of our director compensation policy from time to time.</w:t>
      </w:r>
    </w:p>
    <w:p>
      <w:pPr>
        <w:spacing w:after="0" w:line="197"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Effective on the October 7, 2022, we granted each of our Non-Employee Directors then serving of the Board (i.e. Jonathan Bellows, Perry Boyle, Karina Montilla Edmonds, Luisa Ingargiola, Brian Nelson, and Rick Parod) an award of 3,334 RSUs under the 2022 Plan that are eligible to vest on the first anniversary of the grant date, subject to the director’s continued service on the Board through the vesting date.</w:t>
      </w:r>
    </w:p>
    <w:p>
      <w:pPr>
        <w:spacing w:after="0" w:line="198"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On April 12, 2024, we granted each of our Non-Employee Directors then serving on the Board (i.e. Jonathan Bellows, Perry Boyle, Karina Montilla Edmonds, Luisa Ingargiola, Brian Nelson, and Rick Parod) an award of 24,692 RSUs units under the 2022 Plan that are eligible to vest in three equal annual installments, beginning on the first anniversary of the grant date, subject to the director’s continued service on the Board through each vesting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 Table — Fiscal 2024</w:t>
      </w:r>
    </w:p>
    <w:p>
      <w:pPr>
        <w:spacing w:after="0" w:line="197"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The following table sets forth certain information concerning compensation awarded to, earned by, or paid to our Non-Employee Directors for services on our board during the year ended December 31, 2024. Dr. Phares did not receive any additional compensation for his service on the Board during the year ended December 31,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Fees  Earned</w:t>
            </w: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3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w:t>
            </w:r>
          </w:p>
        </w:tc>
        <w:tc>
          <w:tcPr>
            <w:tcW w:w="19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09"/>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  Paid  in</w:t>
            </w: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0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30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($)(1)</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($)(2)</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31"/>
        </w:trPr>
        <w:tc>
          <w:tcPr>
            <w:tcW w:w="3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Jonathan Bellows ...................................................</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44,100</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100,000</w:t>
            </w:r>
          </w:p>
        </w:tc>
        <w:tc>
          <w:tcPr>
            <w:tcW w:w="1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144,100</w:t>
            </w: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Perry Boyle ............................................................</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44,100</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100,000</w:t>
            </w:r>
          </w:p>
        </w:tc>
        <w:tc>
          <w:tcPr>
            <w:tcW w:w="1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144,100</w:t>
            </w: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Karina Montilla Edmonds, Ph.D. ...........................</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51,600</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100,000</w:t>
            </w:r>
          </w:p>
        </w:tc>
        <w:tc>
          <w:tcPr>
            <w:tcW w:w="1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151,600</w:t>
            </w: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Luisa Ingargiola .....................................................</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74,100</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100,000</w:t>
            </w:r>
          </w:p>
        </w:tc>
        <w:tc>
          <w:tcPr>
            <w:tcW w:w="1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174,100</w:t>
            </w: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Brian Nelson ..........................................................</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55,350</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100,000</w:t>
            </w:r>
          </w:p>
        </w:tc>
        <w:tc>
          <w:tcPr>
            <w:tcW w:w="1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155,350</w:t>
            </w: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Rick Parod .............................................................</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44,100</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100,000</w:t>
            </w:r>
          </w:p>
        </w:tc>
        <w:tc>
          <w:tcPr>
            <w:tcW w:w="1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144,100</w:t>
            </w:r>
          </w:p>
        </w:tc>
      </w:tr>
    </w:tbl>
    <w:p>
      <w:pPr>
        <w:spacing w:after="0" w:line="200" w:lineRule="exact"/>
        <w:rPr>
          <w:sz w:val="20"/>
          <w:szCs w:val="20"/>
          <w:color w:val="auto"/>
        </w:rPr>
      </w:pP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080"/>
          </w:cols>
          <w:pgMar w:left="1080" w:top="1079" w:right="1080" w:bottom="155" w:gutter="0" w:footer="0" w:header="0"/>
          <w:type w:val="continuous"/>
        </w:sectPr>
      </w:pPr>
    </w:p>
    <w:bookmarkStart w:id="76" w:name="page77"/>
    <w:bookmarkEnd w:id="76"/>
    <w:p>
      <w:pPr>
        <w:jc w:val="both"/>
        <w:ind w:left="360" w:hanging="360"/>
        <w:spacing w:after="0" w:line="257" w:lineRule="auto"/>
        <w:tabs>
          <w:tab w:leader="none" w:pos="360" w:val="left"/>
        </w:tabs>
        <w:numPr>
          <w:ilvl w:val="0"/>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amount reported in this column reflects the grant date fair value of the stock option and/or RSUs granted to the Non-Employee Directors for services performed during the year ended December 31, 2023 under the 2022 Plan as described above and is accounted for in accordance with FASB ASC Topic</w:t>
      </w:r>
    </w:p>
    <w:p>
      <w:pPr>
        <w:ind w:left="36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718. Please see the section titled “</w:t>
      </w: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 in our Notes to Consolidated Financial Statements included in our Annual Report. As of</w:t>
      </w:r>
    </w:p>
    <w:p>
      <w:pPr>
        <w:spacing w:after="0" w:line="2" w:lineRule="exact"/>
        <w:rPr>
          <w:rFonts w:ascii="Times New Roman" w:cs="Times New Roman" w:eastAsia="Times New Roman" w:hAnsi="Times New Roman"/>
          <w:sz w:val="15"/>
          <w:szCs w:val="15"/>
          <w:b w:val="1"/>
          <w:bCs w:val="1"/>
          <w:color w:val="auto"/>
        </w:rPr>
      </w:pPr>
    </w:p>
    <w:p>
      <w:pPr>
        <w:ind w:left="36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March 31, 2025, each Non-Employee Director held 24,692 unvested RSUs.</w:t>
      </w:r>
    </w:p>
    <w:p>
      <w:pPr>
        <w:spacing w:after="0" w:line="78" w:lineRule="exact"/>
        <w:rPr>
          <w:rFonts w:ascii="Times New Roman" w:cs="Times New Roman" w:eastAsia="Times New Roman" w:hAnsi="Times New Roman"/>
          <w:sz w:val="15"/>
          <w:szCs w:val="15"/>
          <w:b w:val="1"/>
          <w:bCs w:val="1"/>
          <w:color w:val="auto"/>
        </w:rPr>
      </w:pPr>
    </w:p>
    <w:p>
      <w:pPr>
        <w:ind w:left="360" w:hanging="360"/>
        <w:spacing w:after="0" w:line="235" w:lineRule="auto"/>
        <w:tabs>
          <w:tab w:leader="none" w:pos="36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the following options remained outstanding: (i) Luisa Ingargiola held options exercisable for 10,836 shares of common stock; and (ii) Brian Nelson held options exercisable for 7,227 shares of common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3"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20"/>
          <w:szCs w:val="20"/>
          <w:color w:val="auto"/>
        </w:rPr>
        <w:t>The following table sets forth certain information as of March 31, 2025, with respect to the beneficial ownership of common stock by the following:</w:t>
      </w:r>
    </w:p>
    <w:p>
      <w:pPr>
        <w:spacing w:after="0" w:line="244" w:lineRule="exact"/>
        <w:rPr>
          <w:sz w:val="20"/>
          <w:szCs w:val="20"/>
          <w:color w:val="auto"/>
        </w:rPr>
      </w:pPr>
    </w:p>
    <w:p>
      <w:pPr>
        <w:ind w:left="1100" w:hanging="380"/>
        <w:spacing w:after="0" w:line="235" w:lineRule="auto"/>
        <w:tabs>
          <w:tab w:leader="none" w:pos="11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other person, or group of affiliated persons, known by us to beneficially own more than 5% of any class of our outstanding shares of common stock;</w:t>
      </w:r>
    </w:p>
    <w:p>
      <w:pPr>
        <w:spacing w:after="0" w:line="64" w:lineRule="exact"/>
        <w:rPr>
          <w:rFonts w:ascii="Times New Roman" w:cs="Times New Roman" w:eastAsia="Times New Roman" w:hAnsi="Times New Roman"/>
          <w:sz w:val="20"/>
          <w:szCs w:val="20"/>
          <w:color w:val="auto"/>
        </w:rPr>
      </w:pPr>
    </w:p>
    <w:p>
      <w:pPr>
        <w:ind w:left="1100" w:hanging="380"/>
        <w:spacing w:after="0"/>
        <w:tabs>
          <w:tab w:leader="none" w:pos="11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named executive officers;</w:t>
      </w:r>
    </w:p>
    <w:p>
      <w:pPr>
        <w:spacing w:after="0" w:line="61" w:lineRule="exact"/>
        <w:rPr>
          <w:rFonts w:ascii="Times New Roman" w:cs="Times New Roman" w:eastAsia="Times New Roman" w:hAnsi="Times New Roman"/>
          <w:sz w:val="20"/>
          <w:szCs w:val="20"/>
          <w:color w:val="auto"/>
        </w:rPr>
      </w:pPr>
    </w:p>
    <w:p>
      <w:pPr>
        <w:ind w:left="1100" w:hanging="380"/>
        <w:spacing w:after="0"/>
        <w:tabs>
          <w:tab w:leader="none" w:pos="11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current directors; and</w:t>
      </w:r>
    </w:p>
    <w:p>
      <w:pPr>
        <w:spacing w:after="0" w:line="61" w:lineRule="exact"/>
        <w:rPr>
          <w:rFonts w:ascii="Times New Roman" w:cs="Times New Roman" w:eastAsia="Times New Roman" w:hAnsi="Times New Roman"/>
          <w:sz w:val="20"/>
          <w:szCs w:val="20"/>
          <w:color w:val="auto"/>
        </w:rPr>
      </w:pPr>
    </w:p>
    <w:p>
      <w:pPr>
        <w:ind w:left="1100" w:hanging="380"/>
        <w:spacing w:after="0"/>
        <w:tabs>
          <w:tab w:leader="none" w:pos="11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our executive officers and directors as a group.</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Information relating to beneficial ownership of the voting securities by our principal stockholders and management is based upon each person’s information using “beneficial ownership” concepts under the SEC rules. Under these rules, a person is deemed to be a beneficial owner of a security if that person has or shares voting power, which includes the power to vote or direct the voting of the security, or investment power, which includes the power to vote or direct the voting of the security. For purposes of computing the number and percentage of shares beneficially owned by a security holder, any shares which such person has the right to acquire within 60 days of March 31, 2025 (“</w:t>
      </w:r>
      <w:r>
        <w:rPr>
          <w:rFonts w:ascii="Times New Roman" w:cs="Times New Roman" w:eastAsia="Times New Roman" w:hAnsi="Times New Roman"/>
          <w:sz w:val="20"/>
          <w:szCs w:val="20"/>
          <w:b w:val="1"/>
          <w:bCs w:val="1"/>
          <w:color w:val="auto"/>
        </w:rPr>
        <w:t>Presently Exercisable Securities</w:t>
      </w:r>
      <w:r>
        <w:rPr>
          <w:rFonts w:ascii="Times New Roman" w:cs="Times New Roman" w:eastAsia="Times New Roman" w:hAnsi="Times New Roman"/>
          <w:sz w:val="20"/>
          <w:szCs w:val="20"/>
          <w:color w:val="auto"/>
        </w:rPr>
        <w:t>”), are deemed to be outstanding, but those shares are not deemed to be outstanding for the purpose of computing the percentage ownership of any other security holder.</w:t>
      </w:r>
    </w:p>
    <w:p>
      <w:pPr>
        <w:spacing w:after="0" w:line="247"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table reflects 7,589,642 shares common stock outstanding as of March 27, 2025 plus any shares issuable upon exercise of Presently Exercisable Securities held by such person or entity.</w:t>
      </w:r>
    </w:p>
    <w:p>
      <w:pPr>
        <w:spacing w:after="0" w:line="24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Under the SEC rules, more than one person may be deemed to be a beneficial owner of the same securities and a person may be deemed to be a beneficial owner of securities as to which he or she may not have any pecuniary beneficial interest. Except as noted below, ownership consists of sole ownership, voting and investment rights, and the address for each stockholder listed is c/o 12915 Old Virginia Rd, Reno, Nevada 89521.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and</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30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09"/>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30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of Class</w:t>
            </w:r>
          </w:p>
        </w:tc>
      </w:tr>
      <w:tr>
        <w:trPr>
          <w:trHeight w:val="208"/>
        </w:trPr>
        <w:tc>
          <w:tcPr>
            <w:tcW w:w="6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Holders:</w:t>
            </w:r>
          </w:p>
        </w:tc>
        <w:tc>
          <w:tcPr>
            <w:tcW w:w="2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88"/>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w w:val="99"/>
              </w:rPr>
              <w:t>Dynavolt Technology (HK) Ltd.</w:t>
            </w:r>
            <w:r>
              <w:rPr>
                <w:rFonts w:ascii="Times New Roman" w:cs="Times New Roman" w:eastAsia="Times New Roman" w:hAnsi="Times New Roman"/>
                <w:sz w:val="24"/>
                <w:szCs w:val="24"/>
                <w:color w:val="auto"/>
                <w:w w:val="99"/>
                <w:vertAlign w:val="superscript"/>
              </w:rPr>
              <w:t>(1)</w:t>
            </w:r>
            <w:r>
              <w:rPr>
                <w:rFonts w:ascii="Times New Roman" w:cs="Times New Roman" w:eastAsia="Times New Roman" w:hAnsi="Times New Roman"/>
                <w:sz w:val="18"/>
                <w:szCs w:val="18"/>
                <w:color w:val="auto"/>
                <w:w w:val="99"/>
              </w:rPr>
              <w:t xml:space="preserve">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1,313,434</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362"/>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4"/>
        </w:trPr>
        <w:tc>
          <w:tcPr>
            <w:tcW w:w="6440" w:type="dxa"/>
            <w:vAlign w:val="bottom"/>
          </w:tcPr>
          <w:p>
            <w:pPr>
              <w:spacing w:after="0" w:line="213" w:lineRule="exact"/>
              <w:rPr>
                <w:sz w:val="20"/>
                <w:szCs w:val="20"/>
                <w:color w:val="auto"/>
              </w:rPr>
            </w:pPr>
            <w:r>
              <w:rPr>
                <w:rFonts w:ascii="Times New Roman" w:cs="Times New Roman" w:eastAsia="Times New Roman" w:hAnsi="Times New Roman"/>
                <w:sz w:val="18"/>
                <w:szCs w:val="18"/>
                <w:color w:val="auto"/>
                <w:w w:val="98"/>
              </w:rPr>
              <w:t>Dr. Denis Phares</w:t>
            </w:r>
            <w:r>
              <w:rPr>
                <w:rFonts w:ascii="Times New Roman" w:cs="Times New Roman" w:eastAsia="Times New Roman" w:hAnsi="Times New Roman"/>
                <w:sz w:val="24"/>
                <w:szCs w:val="24"/>
                <w:color w:val="auto"/>
                <w:w w:val="98"/>
                <w:vertAlign w:val="superscript"/>
              </w:rPr>
              <w:t>(2)(3)</w:t>
            </w:r>
            <w:r>
              <w:rPr>
                <w:rFonts w:ascii="Times New Roman" w:cs="Times New Roman" w:eastAsia="Times New Roman" w:hAnsi="Times New Roman"/>
                <w:sz w:val="18"/>
                <w:szCs w:val="18"/>
                <w:color w:val="auto"/>
                <w:w w:val="98"/>
              </w:rPr>
              <w:t xml:space="preserve">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1,802,303</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23.75%</w:t>
            </w:r>
          </w:p>
        </w:tc>
      </w:tr>
      <w:tr>
        <w:trPr>
          <w:trHeight w:val="209"/>
        </w:trPr>
        <w:tc>
          <w:tcPr>
            <w:tcW w:w="6440" w:type="dxa"/>
            <w:vAlign w:val="bottom"/>
          </w:tcPr>
          <w:p>
            <w:pPr>
              <w:spacing w:after="0" w:line="209" w:lineRule="exact"/>
              <w:rPr>
                <w:sz w:val="20"/>
                <w:szCs w:val="20"/>
                <w:color w:val="auto"/>
              </w:rPr>
            </w:pPr>
            <w:r>
              <w:rPr>
                <w:rFonts w:ascii="Times New Roman" w:cs="Times New Roman" w:eastAsia="Times New Roman" w:hAnsi="Times New Roman"/>
                <w:sz w:val="18"/>
                <w:szCs w:val="18"/>
                <w:color w:val="auto"/>
                <w:w w:val="99"/>
              </w:rPr>
              <w:t>Dr. Vickram Singh</w:t>
            </w:r>
            <w:r>
              <w:rPr>
                <w:rFonts w:ascii="Times New Roman" w:cs="Times New Roman" w:eastAsia="Times New Roman" w:hAnsi="Times New Roman"/>
                <w:sz w:val="24"/>
                <w:szCs w:val="24"/>
                <w:color w:val="auto"/>
                <w:w w:val="99"/>
                <w:vertAlign w:val="superscript"/>
              </w:rPr>
              <w:t>(4)</w:t>
            </w:r>
            <w:r>
              <w:rPr>
                <w:rFonts w:ascii="Times New Roman" w:cs="Times New Roman" w:eastAsia="Times New Roman" w:hAnsi="Times New Roman"/>
                <w:sz w:val="18"/>
                <w:szCs w:val="18"/>
                <w:color w:val="auto"/>
                <w:w w:val="99"/>
              </w:rPr>
              <w:t xml:space="preserve"> ............................................................................................................</w:t>
            </w:r>
          </w:p>
        </w:tc>
        <w:tc>
          <w:tcPr>
            <w:tcW w:w="17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20,110</w:t>
            </w:r>
          </w:p>
        </w:tc>
        <w:tc>
          <w:tcPr>
            <w:tcW w:w="18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09"/>
        </w:trPr>
        <w:tc>
          <w:tcPr>
            <w:tcW w:w="6440" w:type="dxa"/>
            <w:vAlign w:val="bottom"/>
          </w:tcPr>
          <w:p>
            <w:pPr>
              <w:spacing w:after="0" w:line="209" w:lineRule="exact"/>
              <w:rPr>
                <w:sz w:val="20"/>
                <w:szCs w:val="20"/>
                <w:color w:val="auto"/>
              </w:rPr>
            </w:pPr>
            <w:r>
              <w:rPr>
                <w:rFonts w:ascii="Times New Roman" w:cs="Times New Roman" w:eastAsia="Times New Roman" w:hAnsi="Times New Roman"/>
                <w:sz w:val="18"/>
                <w:szCs w:val="18"/>
                <w:color w:val="auto"/>
                <w:w w:val="99"/>
              </w:rPr>
              <w:t xml:space="preserve">John Marchetti </w:t>
            </w:r>
            <w:r>
              <w:rPr>
                <w:rFonts w:ascii="Times New Roman" w:cs="Times New Roman" w:eastAsia="Times New Roman" w:hAnsi="Times New Roman"/>
                <w:sz w:val="24"/>
                <w:szCs w:val="24"/>
                <w:color w:val="auto"/>
                <w:w w:val="99"/>
                <w:vertAlign w:val="superscript"/>
              </w:rPr>
              <w:t>(5)</w:t>
            </w:r>
            <w:r>
              <w:rPr>
                <w:rFonts w:ascii="Times New Roman" w:cs="Times New Roman" w:eastAsia="Times New Roman" w:hAnsi="Times New Roman"/>
                <w:sz w:val="18"/>
                <w:szCs w:val="18"/>
                <w:color w:val="auto"/>
                <w:w w:val="99"/>
              </w:rPr>
              <w:t xml:space="preserve"> .................................................................................................................</w:t>
            </w:r>
          </w:p>
        </w:tc>
        <w:tc>
          <w:tcPr>
            <w:tcW w:w="17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09"/>
        </w:trPr>
        <w:tc>
          <w:tcPr>
            <w:tcW w:w="6440" w:type="dxa"/>
            <w:vAlign w:val="bottom"/>
          </w:tcPr>
          <w:p>
            <w:pPr>
              <w:spacing w:after="0" w:line="209" w:lineRule="exact"/>
              <w:rPr>
                <w:sz w:val="20"/>
                <w:szCs w:val="20"/>
                <w:color w:val="auto"/>
              </w:rPr>
            </w:pPr>
            <w:r>
              <w:rPr>
                <w:rFonts w:ascii="Times New Roman" w:cs="Times New Roman" w:eastAsia="Times New Roman" w:hAnsi="Times New Roman"/>
                <w:sz w:val="18"/>
                <w:szCs w:val="18"/>
                <w:color w:val="auto"/>
                <w:w w:val="99"/>
              </w:rPr>
              <w:t>Wade Seaburg</w:t>
            </w:r>
            <w:r>
              <w:rPr>
                <w:rFonts w:ascii="Times New Roman" w:cs="Times New Roman" w:eastAsia="Times New Roman" w:hAnsi="Times New Roman"/>
                <w:sz w:val="24"/>
                <w:szCs w:val="24"/>
                <w:color w:val="auto"/>
                <w:w w:val="99"/>
                <w:vertAlign w:val="superscript"/>
              </w:rPr>
              <w:t>(6)</w:t>
            </w:r>
            <w:r>
              <w:rPr>
                <w:rFonts w:ascii="Times New Roman" w:cs="Times New Roman" w:eastAsia="Times New Roman" w:hAnsi="Times New Roman"/>
                <w:sz w:val="18"/>
                <w:szCs w:val="18"/>
                <w:color w:val="auto"/>
                <w:w w:val="99"/>
              </w:rPr>
              <w:t xml:space="preserve"> ...................................................................................................................</w:t>
            </w:r>
          </w:p>
        </w:tc>
        <w:tc>
          <w:tcPr>
            <w:tcW w:w="17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35,194</w:t>
            </w:r>
          </w:p>
        </w:tc>
        <w:tc>
          <w:tcPr>
            <w:tcW w:w="18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09"/>
        </w:trPr>
        <w:tc>
          <w:tcPr>
            <w:tcW w:w="6440" w:type="dxa"/>
            <w:vAlign w:val="bottom"/>
          </w:tcPr>
          <w:p>
            <w:pPr>
              <w:spacing w:after="0" w:line="209" w:lineRule="exact"/>
              <w:rPr>
                <w:sz w:val="20"/>
                <w:szCs w:val="20"/>
                <w:color w:val="auto"/>
              </w:rPr>
            </w:pPr>
            <w:r>
              <w:rPr>
                <w:rFonts w:ascii="Times New Roman" w:cs="Times New Roman" w:eastAsia="Times New Roman" w:hAnsi="Times New Roman"/>
                <w:sz w:val="18"/>
                <w:szCs w:val="18"/>
                <w:color w:val="auto"/>
                <w:w w:val="99"/>
              </w:rPr>
              <w:t>Tyler Bourns</w:t>
            </w:r>
            <w:r>
              <w:rPr>
                <w:rFonts w:ascii="Times New Roman" w:cs="Times New Roman" w:eastAsia="Times New Roman" w:hAnsi="Times New Roman"/>
                <w:sz w:val="24"/>
                <w:szCs w:val="24"/>
                <w:color w:val="auto"/>
                <w:w w:val="99"/>
                <w:vertAlign w:val="superscript"/>
              </w:rPr>
              <w:t>(7)</w:t>
            </w:r>
            <w:r>
              <w:rPr>
                <w:rFonts w:ascii="Times New Roman" w:cs="Times New Roman" w:eastAsia="Times New Roman" w:hAnsi="Times New Roman"/>
                <w:sz w:val="18"/>
                <w:szCs w:val="18"/>
                <w:color w:val="auto"/>
                <w:w w:val="99"/>
              </w:rPr>
              <w:t xml:space="preserve"> .....................................................................................................................</w:t>
            </w:r>
          </w:p>
        </w:tc>
        <w:tc>
          <w:tcPr>
            <w:tcW w:w="17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11,836</w:t>
            </w:r>
          </w:p>
        </w:tc>
        <w:tc>
          <w:tcPr>
            <w:tcW w:w="18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09"/>
        </w:trPr>
        <w:tc>
          <w:tcPr>
            <w:tcW w:w="6440" w:type="dxa"/>
            <w:vAlign w:val="bottom"/>
          </w:tcPr>
          <w:p>
            <w:pPr>
              <w:spacing w:after="0" w:line="209" w:lineRule="exact"/>
              <w:rPr>
                <w:sz w:val="20"/>
                <w:szCs w:val="20"/>
                <w:color w:val="auto"/>
              </w:rPr>
            </w:pPr>
            <w:r>
              <w:rPr>
                <w:rFonts w:ascii="Times New Roman" w:cs="Times New Roman" w:eastAsia="Times New Roman" w:hAnsi="Times New Roman"/>
                <w:sz w:val="18"/>
                <w:szCs w:val="18"/>
                <w:color w:val="auto"/>
                <w:w w:val="99"/>
              </w:rPr>
              <w:t>Luisa Ingargiola</w:t>
            </w:r>
            <w:r>
              <w:rPr>
                <w:rFonts w:ascii="Times New Roman" w:cs="Times New Roman" w:eastAsia="Times New Roman" w:hAnsi="Times New Roman"/>
                <w:sz w:val="24"/>
                <w:szCs w:val="24"/>
                <w:color w:val="auto"/>
                <w:w w:val="99"/>
                <w:vertAlign w:val="superscript"/>
              </w:rPr>
              <w:t>(8)</w:t>
            </w:r>
            <w:r>
              <w:rPr>
                <w:rFonts w:ascii="Times New Roman" w:cs="Times New Roman" w:eastAsia="Times New Roman" w:hAnsi="Times New Roman"/>
                <w:sz w:val="18"/>
                <w:szCs w:val="18"/>
                <w:color w:val="auto"/>
                <w:w w:val="99"/>
              </w:rPr>
              <w:t xml:space="preserve"> ................................................................................................................</w:t>
            </w:r>
          </w:p>
        </w:tc>
        <w:tc>
          <w:tcPr>
            <w:tcW w:w="17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22,401</w:t>
            </w:r>
          </w:p>
        </w:tc>
        <w:tc>
          <w:tcPr>
            <w:tcW w:w="18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09"/>
        </w:trPr>
        <w:tc>
          <w:tcPr>
            <w:tcW w:w="6440" w:type="dxa"/>
            <w:vAlign w:val="bottom"/>
          </w:tcPr>
          <w:p>
            <w:pPr>
              <w:spacing w:after="0" w:line="209" w:lineRule="exact"/>
              <w:rPr>
                <w:sz w:val="20"/>
                <w:szCs w:val="20"/>
                <w:color w:val="auto"/>
              </w:rPr>
            </w:pPr>
            <w:r>
              <w:rPr>
                <w:rFonts w:ascii="Times New Roman" w:cs="Times New Roman" w:eastAsia="Times New Roman" w:hAnsi="Times New Roman"/>
                <w:sz w:val="18"/>
                <w:szCs w:val="18"/>
                <w:color w:val="auto"/>
                <w:w w:val="99"/>
              </w:rPr>
              <w:t>Brian Nelson</w:t>
            </w:r>
            <w:r>
              <w:rPr>
                <w:rFonts w:ascii="Times New Roman" w:cs="Times New Roman" w:eastAsia="Times New Roman" w:hAnsi="Times New Roman"/>
                <w:sz w:val="24"/>
                <w:szCs w:val="24"/>
                <w:color w:val="auto"/>
                <w:w w:val="99"/>
                <w:vertAlign w:val="superscript"/>
              </w:rPr>
              <w:t>(9)</w:t>
            </w:r>
            <w:r>
              <w:rPr>
                <w:rFonts w:ascii="Times New Roman" w:cs="Times New Roman" w:eastAsia="Times New Roman" w:hAnsi="Times New Roman"/>
                <w:sz w:val="18"/>
                <w:szCs w:val="18"/>
                <w:color w:val="auto"/>
                <w:w w:val="99"/>
              </w:rPr>
              <w:t xml:space="preserve"> .....................................................................................................................</w:t>
            </w:r>
          </w:p>
        </w:tc>
        <w:tc>
          <w:tcPr>
            <w:tcW w:w="17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19,446</w:t>
            </w:r>
          </w:p>
        </w:tc>
        <w:tc>
          <w:tcPr>
            <w:tcW w:w="18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09"/>
        </w:trPr>
        <w:tc>
          <w:tcPr>
            <w:tcW w:w="6440" w:type="dxa"/>
            <w:vAlign w:val="bottom"/>
          </w:tcPr>
          <w:p>
            <w:pPr>
              <w:spacing w:after="0" w:line="209" w:lineRule="exact"/>
              <w:rPr>
                <w:sz w:val="20"/>
                <w:szCs w:val="20"/>
                <w:color w:val="auto"/>
              </w:rPr>
            </w:pPr>
            <w:r>
              <w:rPr>
                <w:rFonts w:ascii="Times New Roman" w:cs="Times New Roman" w:eastAsia="Times New Roman" w:hAnsi="Times New Roman"/>
                <w:sz w:val="18"/>
                <w:szCs w:val="18"/>
                <w:color w:val="auto"/>
                <w:w w:val="99"/>
              </w:rPr>
              <w:t>Perry Boyle</w:t>
            </w:r>
            <w:r>
              <w:rPr>
                <w:rFonts w:ascii="Times New Roman" w:cs="Times New Roman" w:eastAsia="Times New Roman" w:hAnsi="Times New Roman"/>
                <w:sz w:val="24"/>
                <w:szCs w:val="24"/>
                <w:color w:val="auto"/>
                <w:w w:val="99"/>
                <w:vertAlign w:val="superscript"/>
              </w:rPr>
              <w:t>(10)</w:t>
            </w:r>
            <w:r>
              <w:rPr>
                <w:rFonts w:ascii="Times New Roman" w:cs="Times New Roman" w:eastAsia="Times New Roman" w:hAnsi="Times New Roman"/>
                <w:sz w:val="18"/>
                <w:szCs w:val="18"/>
                <w:color w:val="auto"/>
                <w:w w:val="99"/>
              </w:rPr>
              <w:t xml:space="preserve"> .....................................................................................................................</w:t>
            </w:r>
          </w:p>
        </w:tc>
        <w:tc>
          <w:tcPr>
            <w:tcW w:w="17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13,722</w:t>
            </w:r>
          </w:p>
        </w:tc>
        <w:tc>
          <w:tcPr>
            <w:tcW w:w="18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08"/>
        </w:trPr>
        <w:tc>
          <w:tcPr>
            <w:tcW w:w="64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w w:val="99"/>
              </w:rPr>
              <w:t>Jonathan Bellows</w:t>
            </w:r>
            <w:r>
              <w:rPr>
                <w:rFonts w:ascii="Times New Roman" w:cs="Times New Roman" w:eastAsia="Times New Roman" w:hAnsi="Times New Roman"/>
                <w:sz w:val="24"/>
                <w:szCs w:val="24"/>
                <w:color w:val="auto"/>
                <w:w w:val="99"/>
                <w:vertAlign w:val="superscript"/>
              </w:rPr>
              <w:t>(11)</w:t>
            </w:r>
            <w:r>
              <w:rPr>
                <w:rFonts w:ascii="Times New Roman" w:cs="Times New Roman" w:eastAsia="Times New Roman" w:hAnsi="Times New Roman"/>
                <w:sz w:val="18"/>
                <w:szCs w:val="18"/>
                <w:color w:val="auto"/>
                <w:w w:val="99"/>
              </w:rPr>
              <w:t xml:space="preserve"> ............................................................................................................</w:t>
            </w:r>
          </w:p>
        </w:tc>
        <w:tc>
          <w:tcPr>
            <w:tcW w:w="17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11,565</w:t>
            </w:r>
          </w:p>
        </w:tc>
        <w:tc>
          <w:tcPr>
            <w:tcW w:w="18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09"/>
        </w:trPr>
        <w:tc>
          <w:tcPr>
            <w:tcW w:w="6440" w:type="dxa"/>
            <w:vAlign w:val="bottom"/>
          </w:tcPr>
          <w:p>
            <w:pPr>
              <w:spacing w:after="0" w:line="209" w:lineRule="exact"/>
              <w:rPr>
                <w:sz w:val="20"/>
                <w:szCs w:val="20"/>
                <w:color w:val="auto"/>
              </w:rPr>
            </w:pPr>
            <w:r>
              <w:rPr>
                <w:rFonts w:ascii="Times New Roman" w:cs="Times New Roman" w:eastAsia="Times New Roman" w:hAnsi="Times New Roman"/>
                <w:sz w:val="18"/>
                <w:szCs w:val="18"/>
                <w:color w:val="auto"/>
                <w:w w:val="99"/>
              </w:rPr>
              <w:t>Rick Parod</w:t>
            </w:r>
            <w:r>
              <w:rPr>
                <w:rFonts w:ascii="Times New Roman" w:cs="Times New Roman" w:eastAsia="Times New Roman" w:hAnsi="Times New Roman"/>
                <w:sz w:val="24"/>
                <w:szCs w:val="24"/>
                <w:color w:val="auto"/>
                <w:w w:val="99"/>
                <w:vertAlign w:val="superscript"/>
              </w:rPr>
              <w:t>(12)</w:t>
            </w:r>
            <w:r>
              <w:rPr>
                <w:rFonts w:ascii="Times New Roman" w:cs="Times New Roman" w:eastAsia="Times New Roman" w:hAnsi="Times New Roman"/>
                <w:sz w:val="18"/>
                <w:szCs w:val="18"/>
                <w:color w:val="auto"/>
                <w:w w:val="99"/>
              </w:rPr>
              <w:t xml:space="preserve"> .......................................................................................................................</w:t>
            </w:r>
          </w:p>
        </w:tc>
        <w:tc>
          <w:tcPr>
            <w:tcW w:w="17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11,565</w:t>
            </w:r>
          </w:p>
        </w:tc>
        <w:tc>
          <w:tcPr>
            <w:tcW w:w="18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64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w w:val="99"/>
              </w:rPr>
              <w:t>Karina Montilla Edmonds</w:t>
            </w:r>
            <w:r>
              <w:rPr>
                <w:rFonts w:ascii="Times New Roman" w:cs="Times New Roman" w:eastAsia="Times New Roman" w:hAnsi="Times New Roman"/>
                <w:sz w:val="24"/>
                <w:szCs w:val="24"/>
                <w:color w:val="auto"/>
                <w:w w:val="99"/>
                <w:vertAlign w:val="superscript"/>
              </w:rPr>
              <w:t>(13)</w:t>
            </w:r>
            <w:r>
              <w:rPr>
                <w:rFonts w:ascii="Times New Roman" w:cs="Times New Roman" w:eastAsia="Times New Roman" w:hAnsi="Times New Roman"/>
                <w:sz w:val="18"/>
                <w:szCs w:val="18"/>
                <w:color w:val="auto"/>
                <w:w w:val="99"/>
              </w:rPr>
              <w:t xml:space="preserve"> ...............................................................................................</w:t>
            </w:r>
          </w:p>
        </w:tc>
        <w:tc>
          <w:tcPr>
            <w:tcW w:w="17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11,599</w:t>
            </w:r>
          </w:p>
        </w:tc>
        <w:tc>
          <w:tcPr>
            <w:tcW w:w="18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197"/>
        </w:trPr>
        <w:tc>
          <w:tcPr>
            <w:tcW w:w="644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i w:val="1"/>
                <w:iCs w:val="1"/>
                <w:color w:val="auto"/>
                <w:w w:val="99"/>
              </w:rPr>
              <w:t xml:space="preserve">All Executive Officers and Directors as a group (10 persons): </w:t>
            </w:r>
            <w:r>
              <w:rPr>
                <w:rFonts w:ascii="Times New Roman" w:cs="Times New Roman" w:eastAsia="Times New Roman" w:hAnsi="Times New Roman"/>
                <w:sz w:val="18"/>
                <w:szCs w:val="18"/>
                <w:i w:val="1"/>
                <w:iCs w:val="1"/>
                <w:color w:val="auto"/>
                <w:w w:val="99"/>
              </w:rPr>
              <w:t>.........................................</w:t>
            </w:r>
          </w:p>
        </w:tc>
        <w:tc>
          <w:tcPr>
            <w:tcW w:w="170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1,959,741</w:t>
            </w:r>
          </w:p>
        </w:tc>
        <w:tc>
          <w:tcPr>
            <w:tcW w:w="194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18"/>
                <w:szCs w:val="18"/>
                <w:color w:val="auto"/>
              </w:rPr>
              <w:t>25.82%</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Less than one percent.</w:t>
      </w:r>
    </w:p>
    <w:p>
      <w:pPr>
        <w:sectPr>
          <w:pgSz w:w="12240" w:h="15840" w:orient="portrait"/>
          <w:cols w:equalWidth="0" w:num="1">
            <w:col w:w="10080"/>
          </w:cols>
          <w:pgMar w:left="1080" w:top="1088"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080"/>
          </w:cols>
          <w:pgMar w:left="1080" w:top="1088" w:right="1080" w:bottom="155" w:gutter="0" w:footer="0" w:header="0"/>
          <w:type w:val="continuous"/>
        </w:sectPr>
      </w:pPr>
    </w:p>
    <w:bookmarkStart w:id="77" w:name="page78"/>
    <w:bookmarkEnd w:id="77"/>
    <w:p>
      <w:pPr>
        <w:ind w:left="360" w:hanging="360"/>
        <w:spacing w:after="0"/>
        <w:tabs>
          <w:tab w:leader="none" w:pos="36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the Schedule 13D filed by Dynavolt Technology (HK) Ltd. (“</w:t>
      </w:r>
      <w:r>
        <w:rPr>
          <w:rFonts w:ascii="Times New Roman" w:cs="Times New Roman" w:eastAsia="Times New Roman" w:hAnsi="Times New Roman"/>
          <w:sz w:val="15"/>
          <w:szCs w:val="15"/>
          <w:b w:val="1"/>
          <w:bCs w:val="1"/>
          <w:color w:val="auto"/>
        </w:rPr>
        <w:t>Dynavolt</w:t>
      </w:r>
      <w:r>
        <w:rPr>
          <w:rFonts w:ascii="Times New Roman" w:cs="Times New Roman" w:eastAsia="Times New Roman" w:hAnsi="Times New Roman"/>
          <w:sz w:val="15"/>
          <w:szCs w:val="15"/>
          <w:color w:val="auto"/>
        </w:rPr>
        <w:t>”) on October 12, 2022. The business address of Dynavolt is Flat/Room</w:t>
      </w:r>
    </w:p>
    <w:p>
      <w:pPr>
        <w:spacing w:after="0" w:line="3" w:lineRule="exact"/>
        <w:rPr>
          <w:rFonts w:ascii="Times New Roman" w:cs="Times New Roman" w:eastAsia="Times New Roman" w:hAnsi="Times New Roman"/>
          <w:sz w:val="15"/>
          <w:szCs w:val="15"/>
          <w:color w:val="auto"/>
        </w:rPr>
      </w:pPr>
    </w:p>
    <w:p>
      <w:pPr>
        <w:ind w:left="360"/>
        <w:spacing w:after="0" w:line="23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02-03 26/F, Bea Tower Millennium City 5, 418 Kwun Tong Road, Kwun Tong, Hong Kong.</w:t>
      </w:r>
    </w:p>
    <w:p>
      <w:pPr>
        <w:spacing w:after="0" w:line="73" w:lineRule="exact"/>
        <w:rPr>
          <w:rFonts w:ascii="Times New Roman" w:cs="Times New Roman" w:eastAsia="Times New Roman" w:hAnsi="Times New Roman"/>
          <w:sz w:val="15"/>
          <w:szCs w:val="15"/>
          <w:color w:val="auto"/>
        </w:rPr>
      </w:pPr>
    </w:p>
    <w:p>
      <w:pPr>
        <w:ind w:left="360" w:hanging="360"/>
        <w:spacing w:after="0" w:line="231" w:lineRule="auto"/>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25,000,000 shares of common stock not yet payable as the earnout contingencies have not yet been met and will not be met within 60 days of March 27, 2025.</w:t>
      </w:r>
    </w:p>
    <w:p>
      <w:pPr>
        <w:spacing w:after="0" w:line="64"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135,323 shares held on behalf of the Phares 2021 GRAT dated July 9, 2021, of which Dr. Phares is the trustee.</w:t>
      </w:r>
    </w:p>
    <w:p>
      <w:pPr>
        <w:spacing w:after="0" w:line="72" w:lineRule="exact"/>
        <w:rPr>
          <w:rFonts w:ascii="Times New Roman" w:cs="Times New Roman" w:eastAsia="Times New Roman" w:hAnsi="Times New Roman"/>
          <w:sz w:val="16"/>
          <w:szCs w:val="16"/>
          <w:color w:val="auto"/>
        </w:rPr>
      </w:pPr>
    </w:p>
    <w:p>
      <w:pPr>
        <w:ind w:left="360" w:hanging="360"/>
        <w:spacing w:after="0" w:line="231" w:lineRule="auto"/>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6,493 shares of common stock issuable upon exercise of outstanding stock options and 11,112 of restricted stock units exercisable within 60 days of March 27, 2025.</w:t>
      </w:r>
    </w:p>
    <w:p>
      <w:pPr>
        <w:spacing w:after="0" w:line="73" w:lineRule="exact"/>
        <w:rPr>
          <w:rFonts w:ascii="Times New Roman" w:cs="Times New Roman" w:eastAsia="Times New Roman" w:hAnsi="Times New Roman"/>
          <w:sz w:val="16"/>
          <w:szCs w:val="16"/>
          <w:color w:val="auto"/>
        </w:rPr>
      </w:pPr>
    </w:p>
    <w:p>
      <w:pPr>
        <w:ind w:left="360" w:hanging="360"/>
        <w:spacing w:after="0" w:line="231" w:lineRule="auto"/>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19, 2024, Mr. Marchetti’s employment with us was terminated. As a result, his vested options were forfeited and his unvested options were terminated on such date.</w:t>
      </w:r>
    </w:p>
    <w:p>
      <w:pPr>
        <w:spacing w:after="0" w:line="74" w:lineRule="exact"/>
        <w:rPr>
          <w:rFonts w:ascii="Times New Roman" w:cs="Times New Roman" w:eastAsia="Times New Roman" w:hAnsi="Times New Roman"/>
          <w:sz w:val="16"/>
          <w:szCs w:val="16"/>
          <w:color w:val="auto"/>
        </w:rPr>
      </w:pPr>
    </w:p>
    <w:p>
      <w:pPr>
        <w:ind w:left="360" w:hanging="360"/>
        <w:spacing w:after="0" w:line="231" w:lineRule="auto"/>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14,220 shares of common stock issuable upon exercise of outstanding stock options and 6,722 of restricted stock units exercisable within 60 days of March 27, 2025.</w:t>
      </w:r>
    </w:p>
    <w:p>
      <w:pPr>
        <w:spacing w:after="0" w:line="73" w:lineRule="exact"/>
        <w:rPr>
          <w:rFonts w:ascii="Times New Roman" w:cs="Times New Roman" w:eastAsia="Times New Roman" w:hAnsi="Times New Roman"/>
          <w:sz w:val="16"/>
          <w:szCs w:val="16"/>
          <w:color w:val="auto"/>
        </w:rPr>
      </w:pPr>
    </w:p>
    <w:p>
      <w:pPr>
        <w:ind w:left="360" w:hanging="360"/>
        <w:spacing w:after="0" w:line="231" w:lineRule="auto"/>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5,175 shares of common stock issuable upon exercise of outstanding stock options and 3,237 of restricted stock units exercisable within 60 days of March 27, 2025.</w:t>
      </w:r>
    </w:p>
    <w:p>
      <w:pPr>
        <w:spacing w:after="0" w:line="74" w:lineRule="exact"/>
        <w:rPr>
          <w:rFonts w:ascii="Times New Roman" w:cs="Times New Roman" w:eastAsia="Times New Roman" w:hAnsi="Times New Roman"/>
          <w:sz w:val="16"/>
          <w:szCs w:val="16"/>
          <w:color w:val="auto"/>
        </w:rPr>
      </w:pPr>
    </w:p>
    <w:p>
      <w:pPr>
        <w:ind w:left="360" w:hanging="360"/>
        <w:spacing w:after="0" w:line="231" w:lineRule="auto"/>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10,836 shares of common stock issuable upon exercise of outstanding stock options and 8,231 of restricted stock units exercisable within 60 days of March 27, 2025.</w:t>
      </w:r>
    </w:p>
    <w:p>
      <w:pPr>
        <w:spacing w:after="0" w:line="73" w:lineRule="exact"/>
        <w:rPr>
          <w:rFonts w:ascii="Times New Roman" w:cs="Times New Roman" w:eastAsia="Times New Roman" w:hAnsi="Times New Roman"/>
          <w:sz w:val="16"/>
          <w:szCs w:val="16"/>
          <w:color w:val="auto"/>
        </w:rPr>
      </w:pPr>
    </w:p>
    <w:p>
      <w:pPr>
        <w:ind w:left="360" w:hanging="360"/>
        <w:spacing w:after="0" w:line="231" w:lineRule="auto"/>
        <w:tabs>
          <w:tab w:leader="none" w:pos="35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7,881 shares of common stock issuable upon exercise of outstanding stock options and 8,231 of restricted stock units exercisable within 60 days of March 27, 2025.</w:t>
      </w:r>
    </w:p>
    <w:p>
      <w:pPr>
        <w:spacing w:after="0" w:line="65"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8,231 shares of common stock issuable upon exercise of restricted stock units exercisable within 60 days of March 27, 2025.</w:t>
      </w:r>
    </w:p>
    <w:p>
      <w:pPr>
        <w:spacing w:after="0" w:line="63"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8,231 shares of common stock issuable upon exercise of restricted stock units exercisable within 60 days of March 27, 2025.</w:t>
      </w:r>
    </w:p>
    <w:p>
      <w:pPr>
        <w:spacing w:after="0" w:line="64"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8,231 shares of common stock issuable upon exercise of restricted stock units exercisable within 60 days of March 27, 2025.</w:t>
      </w:r>
    </w:p>
    <w:p>
      <w:pPr>
        <w:spacing w:after="0" w:line="63"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8,231 shares of common stock issuable upon exercise of restricted stock units exercisable within 60 days of March 27,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63" w:lineRule="exact"/>
        <w:rPr>
          <w:sz w:val="20"/>
          <w:szCs w:val="20"/>
          <w:color w:val="auto"/>
        </w:rPr>
      </w:pPr>
    </w:p>
    <w:p>
      <w:pPr>
        <w:jc w:val="both"/>
        <w:ind w:hanging="9"/>
        <w:spacing w:after="0" w:line="233" w:lineRule="auto"/>
        <w:rPr>
          <w:sz w:val="20"/>
          <w:szCs w:val="20"/>
          <w:color w:val="auto"/>
        </w:rPr>
      </w:pPr>
      <w:r>
        <w:rPr>
          <w:rFonts w:ascii="Times New Roman" w:cs="Times New Roman" w:eastAsia="Times New Roman" w:hAnsi="Times New Roman"/>
          <w:sz w:val="20"/>
          <w:szCs w:val="20"/>
          <w:color w:val="auto"/>
        </w:rPr>
        <w:t>In connection with our Business Combination, our Board and stockholders adopted the 2022 Plan, which provides for the grant of incentive stock options and non-qualified stock options to purchase shares of our common stock and other types of awards, as well as the Dragonfly Energy Holdings Corp. Employee Stock Purchase Plan (the “</w:t>
      </w:r>
      <w:r>
        <w:rPr>
          <w:rFonts w:ascii="Times New Roman" w:cs="Times New Roman" w:eastAsia="Times New Roman" w:hAnsi="Times New Roman"/>
          <w:sz w:val="20"/>
          <w:szCs w:val="20"/>
          <w:b w:val="1"/>
          <w:bCs w:val="1"/>
          <w:color w:val="auto"/>
        </w:rPr>
        <w:t>ESPP</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jc w:val="both"/>
        <w:ind w:hanging="9"/>
        <w:spacing w:after="0" w:line="233" w:lineRule="auto"/>
        <w:rPr>
          <w:sz w:val="20"/>
          <w:szCs w:val="20"/>
          <w:color w:val="auto"/>
        </w:rPr>
      </w:pPr>
      <w:r>
        <w:rPr>
          <w:rFonts w:ascii="Times New Roman" w:cs="Times New Roman" w:eastAsia="Times New Roman" w:hAnsi="Times New Roman"/>
          <w:sz w:val="20"/>
          <w:szCs w:val="20"/>
          <w:color w:val="auto"/>
        </w:rPr>
        <w:t>The general purpose of the 2022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2021 Plan, we seek to retain the services of such eligible persons and to provide incentives for such persons to exert maximum efforts for our success and the success of our subsidiaries.</w:t>
      </w:r>
    </w:p>
    <w:p>
      <w:pPr>
        <w:spacing w:after="0" w:line="167" w:lineRule="exact"/>
        <w:rPr>
          <w:sz w:val="20"/>
          <w:szCs w:val="20"/>
          <w:color w:val="auto"/>
        </w:rPr>
      </w:pPr>
    </w:p>
    <w:p>
      <w:pPr>
        <w:jc w:val="both"/>
        <w:ind w:hanging="9"/>
        <w:spacing w:after="0" w:line="233" w:lineRule="auto"/>
        <w:rPr>
          <w:sz w:val="20"/>
          <w:szCs w:val="20"/>
          <w:color w:val="auto"/>
        </w:rPr>
      </w:pPr>
      <w:r>
        <w:rPr>
          <w:rFonts w:ascii="Times New Roman" w:cs="Times New Roman" w:eastAsia="Times New Roman" w:hAnsi="Times New Roman"/>
          <w:sz w:val="20"/>
          <w:szCs w:val="20"/>
          <w:color w:val="auto"/>
        </w:rPr>
        <w:t>The general purpose of the ESPP is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65" w:lineRule="exact"/>
        <w:rPr>
          <w:sz w:val="20"/>
          <w:szCs w:val="20"/>
          <w:color w:val="auto"/>
        </w:rPr>
      </w:pPr>
    </w:p>
    <w:p>
      <w:pPr>
        <w:jc w:val="both"/>
        <w:ind w:hanging="9"/>
        <w:spacing w:after="0" w:line="233" w:lineRule="auto"/>
        <w:rPr>
          <w:sz w:val="20"/>
          <w:szCs w:val="20"/>
          <w:color w:val="auto"/>
        </w:rPr>
      </w:pPr>
      <w:r>
        <w:rPr>
          <w:rFonts w:ascii="Times New Roman" w:cs="Times New Roman" w:eastAsia="Times New Roman" w:hAnsi="Times New Roman"/>
          <w:sz w:val="20"/>
          <w:szCs w:val="20"/>
          <w:color w:val="auto"/>
        </w:rPr>
        <w:t>Also, in connection with the Business Combination, our Board and stockholders approved the adoption of the Dragonfly Energy Corp. 2019 Stock Incentive Plan (the “</w:t>
      </w:r>
      <w:r>
        <w:rPr>
          <w:rFonts w:ascii="Times New Roman" w:cs="Times New Roman" w:eastAsia="Times New Roman" w:hAnsi="Times New Roman"/>
          <w:sz w:val="20"/>
          <w:szCs w:val="20"/>
          <w:b w:val="1"/>
          <w:bCs w:val="1"/>
          <w:color w:val="auto"/>
        </w:rPr>
        <w:t>2019 Plan</w:t>
      </w:r>
      <w:r>
        <w:rPr>
          <w:rFonts w:ascii="Times New Roman" w:cs="Times New Roman" w:eastAsia="Times New Roman" w:hAnsi="Times New Roman"/>
          <w:sz w:val="20"/>
          <w:szCs w:val="20"/>
          <w:color w:val="auto"/>
        </w:rPr>
        <w:t>”) and the Dragonfly Energy Corp. 2021 Stock Incentive Plan (the “</w:t>
      </w:r>
      <w:r>
        <w:rPr>
          <w:rFonts w:ascii="Times New Roman" w:cs="Times New Roman" w:eastAsia="Times New Roman" w:hAnsi="Times New Roman"/>
          <w:sz w:val="20"/>
          <w:szCs w:val="20"/>
          <w:b w:val="1"/>
          <w:bCs w:val="1"/>
          <w:color w:val="auto"/>
        </w:rPr>
        <w:t>2021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in connection with the consummation of the Business Combination.</w:t>
      </w:r>
    </w:p>
    <w:p>
      <w:pPr>
        <w:spacing w:after="0" w:line="164" w:lineRule="exact"/>
        <w:rPr>
          <w:sz w:val="20"/>
          <w:szCs w:val="20"/>
          <w:color w:val="auto"/>
        </w:rPr>
      </w:pPr>
    </w:p>
    <w:p>
      <w:pPr>
        <w:jc w:val="both"/>
        <w:ind w:hanging="9"/>
        <w:spacing w:after="0" w:line="231" w:lineRule="auto"/>
        <w:rPr>
          <w:sz w:val="20"/>
          <w:szCs w:val="20"/>
          <w:color w:val="auto"/>
        </w:rPr>
      </w:pPr>
      <w:r>
        <w:rPr>
          <w:rFonts w:ascii="Times New Roman" w:cs="Times New Roman" w:eastAsia="Times New Roman" w:hAnsi="Times New Roman"/>
          <w:sz w:val="20"/>
          <w:szCs w:val="20"/>
          <w:color w:val="auto"/>
        </w:rPr>
        <w:t>The following table summarizes the number of shares of our common stock authorized for issuance under our equity compensation plans as of 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02"/>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03"/>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remaining</w:t>
            </w:r>
          </w:p>
        </w:tc>
      </w:tr>
      <w:tr>
        <w:trPr>
          <w:trHeight w:val="203"/>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available for future</w:t>
            </w:r>
          </w:p>
        </w:tc>
      </w:tr>
      <w:tr>
        <w:trPr>
          <w:trHeight w:val="203"/>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issuances under</w:t>
            </w:r>
          </w:p>
        </w:tc>
      </w:tr>
      <w:tr>
        <w:trPr>
          <w:trHeight w:val="203"/>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3"/>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03"/>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issued upon</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30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plans under equity</w:t>
            </w:r>
          </w:p>
        </w:tc>
      </w:tr>
      <w:tr>
        <w:trPr>
          <w:trHeight w:val="203"/>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exercise of</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30"/>
              <w:spacing w:after="0" w:line="203"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30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03"/>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8"/>
              </w:rPr>
              <w:t>outstanding</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98"/>
              </w:rPr>
              <w:t>outstanding</w:t>
            </w:r>
          </w:p>
        </w:tc>
        <w:tc>
          <w:tcPr>
            <w:tcW w:w="30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02"/>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300" w:type="dxa"/>
            <w:vAlign w:val="bottom"/>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securities reflected</w:t>
            </w:r>
          </w:p>
        </w:tc>
      </w:tr>
      <w:tr>
        <w:trPr>
          <w:trHeight w:val="203"/>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and rights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99"/>
              </w:rPr>
              <w:t>and rights</w:t>
            </w:r>
          </w:p>
        </w:tc>
        <w:tc>
          <w:tcPr>
            <w:tcW w:w="30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in column (a)</w:t>
            </w:r>
          </w:p>
        </w:tc>
      </w:tr>
      <w:tr>
        <w:trPr>
          <w:trHeight w:val="203"/>
        </w:trPr>
        <w:tc>
          <w:tcPr>
            <w:tcW w:w="46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Plan Category</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(a)</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300" w:type="dxa"/>
            <w:vAlign w:val="bottom"/>
          </w:tcPr>
          <w:p>
            <w:pPr>
              <w:spacing w:after="0"/>
              <w:rPr>
                <w:sz w:val="17"/>
                <w:szCs w:val="17"/>
                <w:color w:val="auto"/>
              </w:rPr>
            </w:pPr>
          </w:p>
        </w:tc>
        <w:tc>
          <w:tcPr>
            <w:tcW w:w="152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(c)(2)</w:t>
            </w:r>
          </w:p>
        </w:tc>
      </w:tr>
      <w:tr>
        <w:trPr>
          <w:trHeight w:val="282"/>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8"/>
              </w:rPr>
              <w:t xml:space="preserve">Equity compensation plans approved by security holders </w:t>
            </w:r>
            <w:r>
              <w:rPr>
                <w:rFonts w:ascii="Times New Roman" w:cs="Times New Roman" w:eastAsia="Times New Roman" w:hAnsi="Times New Roman"/>
                <w:sz w:val="24"/>
                <w:szCs w:val="24"/>
                <w:i w:val="1"/>
                <w:iCs w:val="1"/>
                <w:color w:val="auto"/>
                <w:w w:val="98"/>
                <w:vertAlign w:val="superscript"/>
              </w:rPr>
              <w:t>(1)</w:t>
            </w:r>
            <w:r>
              <w:rPr>
                <w:rFonts w:ascii="Times New Roman" w:cs="Times New Roman" w:eastAsia="Times New Roman" w:hAnsi="Times New Roman"/>
                <w:sz w:val="18"/>
                <w:szCs w:val="18"/>
                <w:i w:val="1"/>
                <w:iCs w:val="1"/>
                <w:color w:val="auto"/>
                <w:w w:val="98"/>
              </w:rPr>
              <w:t xml:space="preserve"> </w:t>
            </w:r>
            <w:r>
              <w:rPr>
                <w:rFonts w:ascii="Times New Roman" w:cs="Times New Roman" w:eastAsia="Times New Roman" w:hAnsi="Times New Roman"/>
                <w:sz w:val="18"/>
                <w:szCs w:val="18"/>
                <w:color w:val="auto"/>
                <w:w w:val="98"/>
              </w:rPr>
              <w:t>.......</w:t>
            </w:r>
          </w:p>
        </w:tc>
        <w:tc>
          <w:tcPr>
            <w:tcW w:w="17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514,672</w:t>
            </w:r>
          </w:p>
        </w:tc>
        <w:tc>
          <w:tcPr>
            <w:tcW w:w="4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8.52</w:t>
            </w:r>
          </w:p>
        </w:tc>
        <w:tc>
          <w:tcPr>
            <w:tcW w:w="18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850,738</w:t>
            </w:r>
          </w:p>
        </w:tc>
      </w:tr>
      <w:tr>
        <w:trPr>
          <w:trHeight w:val="327"/>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 xml:space="preserve">Equity compensation plans not approved by security holders </w:t>
            </w:r>
            <w:r>
              <w:rPr>
                <w:rFonts w:ascii="Times New Roman" w:cs="Times New Roman" w:eastAsia="Times New Roman" w:hAnsi="Times New Roman"/>
                <w:sz w:val="18"/>
                <w:szCs w:val="18"/>
                <w:color w:val="auto"/>
                <w:w w:val="99"/>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207"/>
        </w:trPr>
        <w:tc>
          <w:tcPr>
            <w:tcW w:w="46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Total </w:t>
            </w:r>
            <w:r>
              <w:rPr>
                <w:rFonts w:ascii="Times New Roman" w:cs="Times New Roman" w:eastAsia="Times New Roman" w:hAnsi="Times New Roman"/>
                <w:sz w:val="18"/>
                <w:szCs w:val="18"/>
                <w:color w:val="auto"/>
              </w:rPr>
              <w:t>............................................................................................</w:t>
            </w:r>
          </w:p>
        </w:tc>
        <w:tc>
          <w:tcPr>
            <w:tcW w:w="17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514,672</w:t>
            </w:r>
          </w:p>
        </w:tc>
        <w:tc>
          <w:tcPr>
            <w:tcW w:w="4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8.52</w:t>
            </w:r>
          </w:p>
        </w:tc>
        <w:tc>
          <w:tcPr>
            <w:tcW w:w="18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850,738</w:t>
            </w: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84" w:right="1080" w:bottom="155"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080"/>
          </w:cols>
          <w:pgMar w:left="1080" w:top="1084" w:right="1080" w:bottom="155" w:gutter="0" w:footer="0" w:header="0"/>
          <w:type w:val="continuous"/>
        </w:sectPr>
      </w:pPr>
    </w:p>
    <w:bookmarkStart w:id="78" w:name="page79"/>
    <w:bookmarkEnd w:id="78"/>
    <w:p>
      <w:pPr>
        <w:ind w:left="220" w:hanging="220"/>
        <w:spacing w:after="0"/>
        <w:tabs>
          <w:tab w:leader="none" w:pos="2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row include securities under the 2022 Plan, 2021 Plan and 2019 Plan.</w:t>
      </w:r>
    </w:p>
    <w:p>
      <w:pPr>
        <w:spacing w:after="0" w:line="80" w:lineRule="exact"/>
        <w:rPr>
          <w:rFonts w:ascii="Times New Roman" w:cs="Times New Roman" w:eastAsia="Times New Roman" w:hAnsi="Times New Roman"/>
          <w:sz w:val="16"/>
          <w:szCs w:val="16"/>
          <w:color w:val="auto"/>
        </w:rPr>
      </w:pPr>
    </w:p>
    <w:p>
      <w:pPr>
        <w:jc w:val="both"/>
        <w:spacing w:after="0" w:line="239" w:lineRule="auto"/>
        <w:tabs>
          <w:tab w:leader="none" w:pos="22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“evergreen” provision in the 2022 Plan, an additional 288,286 shares were automatically made available for issuance on the first trading day of 2025, which represents an amount equal 4% of the number of shares outstanding on December 31, 2024. In accordance with the “evergreen” provision in the ESPP, an additional 72,071 shares were automatically made available for issuance on the first trading day of 2025, which represents an amount equal to 1% of the number of shares of common stock issued and outstanding on December 31, 2024. The shares made available pursuant to the “evergreen” provisions are excluded from this calculation.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Transactions</w:t>
      </w:r>
    </w:p>
    <w:p>
      <w:pPr>
        <w:spacing w:after="0" w:line="244"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Other than compensation arrangements for our Named Executive Officers and directors, which are described in the section entitled “</w:t>
      </w:r>
      <w:r>
        <w:rPr>
          <w:rFonts w:ascii="Times New Roman" w:cs="Times New Roman" w:eastAsia="Times New Roman" w:hAnsi="Times New Roman"/>
          <w:sz w:val="20"/>
          <w:szCs w:val="20"/>
          <w:i w:val="1"/>
          <w:iCs w:val="1"/>
          <w:color w:val="auto"/>
        </w:rPr>
        <w:t>Executive Compensation</w:t>
      </w:r>
      <w:r>
        <w:rPr>
          <w:rFonts w:ascii="Times New Roman" w:cs="Times New Roman" w:eastAsia="Times New Roman" w:hAnsi="Times New Roman"/>
          <w:sz w:val="20"/>
          <w:szCs w:val="20"/>
          <w:color w:val="auto"/>
        </w:rPr>
        <w:t>,” we have had the following transactions or series of similar transactions, since January 1, 2022, to which we were a party or will be a party, in which:</w:t>
      </w:r>
    </w:p>
    <w:p>
      <w:pPr>
        <w:spacing w:after="0" w:line="236" w:lineRule="exact"/>
        <w:rPr>
          <w:sz w:val="20"/>
          <w:szCs w:val="20"/>
          <w:color w:val="auto"/>
        </w:rPr>
      </w:pPr>
    </w:p>
    <w:p>
      <w:pPr>
        <w:ind w:left="360" w:hanging="360"/>
        <w:spacing w:after="0"/>
        <w:tabs>
          <w:tab w:leader="none" w:pos="3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involved exceeded or will exceed $120,000; and</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our directors, executive officers or holders of more than 5% of our capital stock, or any member of the immediate family of the foregoing persons, had or will have a direct or indirect material interest.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Agreements with Directors and Officers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Separation Agreements</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April 26, 2023, we entered into a separation and release of claims agreement with Nicole Harvey, our former Chief Legal Officer. As consideration for Ms. Harvey’s execution of the agreement, we agreed to pay the employee payments equivalent to $720,000 for wages and benefits divided into 24 monthly payments commencing on June 1, 2023, and all outstanding equity-based compensation awards to become fully vested. Ms. Harvey had three (3) months from the termination date to exercise the outstanding options. The three (3) month period ended on July 26, 2023 in which the options were not exercised and the options were forfeited as a result.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Promissory Notes with Brian Nelson</w:t>
      </w:r>
    </w:p>
    <w:p>
      <w:pPr>
        <w:spacing w:after="0" w:line="243"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9"/>
          <w:szCs w:val="19"/>
          <w:color w:val="auto"/>
        </w:rPr>
        <w:t>On March 5, 2023, we issued the unsecured promissory note (the “</w:t>
      </w:r>
      <w:r>
        <w:rPr>
          <w:rFonts w:ascii="Times New Roman" w:cs="Times New Roman" w:eastAsia="Times New Roman" w:hAnsi="Times New Roman"/>
          <w:sz w:val="19"/>
          <w:szCs w:val="19"/>
          <w:b w:val="1"/>
          <w:bCs w:val="1"/>
          <w:color w:val="auto"/>
        </w:rPr>
        <w:t>March 2023 Note</w:t>
      </w:r>
      <w:r>
        <w:rPr>
          <w:rFonts w:ascii="Times New Roman" w:cs="Times New Roman" w:eastAsia="Times New Roman" w:hAnsi="Times New Roman"/>
          <w:sz w:val="19"/>
          <w:szCs w:val="19"/>
          <w:color w:val="auto"/>
        </w:rPr>
        <w:t>”) in the principal amount of $1.0 million to Brian Nelson, one of our directors, in a private placement in exchange for cash in an equal amount. The March 2023 Note became due and payable in full on April 1, 2023. We were also obligated to pay a loan fee of $100,000 to Mr. Nelson on April 4, 2023. We paid the principal amount and the loan fee in full on April 1, 2023 and April 4, 2023, respectively.</w:t>
      </w:r>
    </w:p>
    <w:p>
      <w:pPr>
        <w:spacing w:after="0" w:line="231"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January 30, 2024, we issued an unsecured convertible promissory note (the “</w:t>
      </w:r>
      <w:r>
        <w:rPr>
          <w:rFonts w:ascii="Times New Roman" w:cs="Times New Roman" w:eastAsia="Times New Roman" w:hAnsi="Times New Roman"/>
          <w:sz w:val="20"/>
          <w:szCs w:val="20"/>
          <w:b w:val="1"/>
          <w:bCs w:val="1"/>
          <w:color w:val="auto"/>
        </w:rPr>
        <w:t>January Note</w:t>
      </w:r>
      <w:r>
        <w:rPr>
          <w:rFonts w:ascii="Times New Roman" w:cs="Times New Roman" w:eastAsia="Times New Roman" w:hAnsi="Times New Roman"/>
          <w:sz w:val="20"/>
          <w:szCs w:val="20"/>
          <w:color w:val="auto"/>
        </w:rPr>
        <w:t>”) in the principal amount of $1.0 million (the “</w:t>
      </w:r>
      <w:r>
        <w:rPr>
          <w:rFonts w:ascii="Times New Roman" w:cs="Times New Roman" w:eastAsia="Times New Roman" w:hAnsi="Times New Roman"/>
          <w:sz w:val="20"/>
          <w:szCs w:val="20"/>
          <w:b w:val="1"/>
          <w:bCs w:val="1"/>
          <w:color w:val="auto"/>
        </w:rPr>
        <w:t>January Principal Amount</w:t>
      </w:r>
      <w:r>
        <w:rPr>
          <w:rFonts w:ascii="Times New Roman" w:cs="Times New Roman" w:eastAsia="Times New Roman" w:hAnsi="Times New Roman"/>
          <w:sz w:val="20"/>
          <w:szCs w:val="20"/>
          <w:color w:val="auto"/>
        </w:rPr>
        <w:t>”) to Brian Nelson, one of our directors, in a private placement in exchange for cash in an equal amount. The January Note became due and payable in full on February 2, 2024. We were also obligated to pay $50,000 (the “</w:t>
      </w:r>
      <w:r>
        <w:rPr>
          <w:rFonts w:ascii="Times New Roman" w:cs="Times New Roman" w:eastAsia="Times New Roman" w:hAnsi="Times New Roman"/>
          <w:sz w:val="20"/>
          <w:szCs w:val="20"/>
          <w:b w:val="1"/>
          <w:bCs w:val="1"/>
          <w:color w:val="auto"/>
        </w:rPr>
        <w:t>January Loan Fee</w:t>
      </w:r>
      <w:r>
        <w:rPr>
          <w:rFonts w:ascii="Times New Roman" w:cs="Times New Roman" w:eastAsia="Times New Roman" w:hAnsi="Times New Roman"/>
          <w:sz w:val="20"/>
          <w:szCs w:val="20"/>
          <w:color w:val="auto"/>
        </w:rPr>
        <w:t>”) to Mr. Nelson on February 2, 2024. We paid the January Principal Amount and the January Loan Fee in full on February 2, 2024.</w:t>
      </w:r>
    </w:p>
    <w:p>
      <w:pPr>
        <w:spacing w:after="0" w:line="247"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9"/>
          <w:szCs w:val="19"/>
          <w:color w:val="auto"/>
        </w:rPr>
        <w:t>On February 27, 2024 we issued a convertible promissory (the “</w:t>
      </w:r>
      <w:r>
        <w:rPr>
          <w:rFonts w:ascii="Times New Roman" w:cs="Times New Roman" w:eastAsia="Times New Roman" w:hAnsi="Times New Roman"/>
          <w:sz w:val="19"/>
          <w:szCs w:val="19"/>
          <w:b w:val="1"/>
          <w:bCs w:val="1"/>
          <w:color w:val="auto"/>
        </w:rPr>
        <w:t>February Note</w:t>
      </w:r>
      <w:r>
        <w:rPr>
          <w:rFonts w:ascii="Times New Roman" w:cs="Times New Roman" w:eastAsia="Times New Roman" w:hAnsi="Times New Roman"/>
          <w:sz w:val="19"/>
          <w:szCs w:val="19"/>
          <w:color w:val="auto"/>
        </w:rPr>
        <w:t>”) in the amount of $1.7 million (the “</w:t>
      </w:r>
      <w:r>
        <w:rPr>
          <w:rFonts w:ascii="Times New Roman" w:cs="Times New Roman" w:eastAsia="Times New Roman" w:hAnsi="Times New Roman"/>
          <w:sz w:val="19"/>
          <w:szCs w:val="19"/>
          <w:b w:val="1"/>
          <w:bCs w:val="1"/>
          <w:color w:val="auto"/>
        </w:rPr>
        <w:t>February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Principal Amount</w:t>
      </w:r>
      <w:r>
        <w:rPr>
          <w:rFonts w:ascii="Times New Roman" w:cs="Times New Roman" w:eastAsia="Times New Roman" w:hAnsi="Times New Roman"/>
          <w:sz w:val="19"/>
          <w:szCs w:val="19"/>
          <w:color w:val="auto"/>
        </w:rPr>
        <w:t>”) to Mr. Nelson, in a private placement in exchange for cash in an equal amount. The February Note became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due and payable in full on March 1, 2024. We were also obligated to pay a $85,000 loan fee (the “</w:t>
      </w:r>
      <w:r>
        <w:rPr>
          <w:rFonts w:ascii="Times New Roman" w:cs="Times New Roman" w:eastAsia="Times New Roman" w:hAnsi="Times New Roman"/>
          <w:sz w:val="19"/>
          <w:szCs w:val="19"/>
          <w:b w:val="1"/>
          <w:bCs w:val="1"/>
          <w:color w:val="auto"/>
        </w:rPr>
        <w:t>February Loan Fee</w:t>
      </w:r>
      <w:r>
        <w:rPr>
          <w:rFonts w:ascii="Times New Roman" w:cs="Times New Roman" w:eastAsia="Times New Roman" w:hAnsi="Times New Roman"/>
          <w:sz w:val="19"/>
          <w:szCs w:val="19"/>
          <w:color w:val="auto"/>
        </w:rPr>
        <w:t>”) to Mr. Nelson on March 1, 2024. We paid the February Principal Amount and the February Loan Fee on March 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Person Transactions Policy</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Our Board adopted a written Related Person Transactions Policy on October 7, 2022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ectPr>
          <w:pgSz w:w="12240" w:h="15840" w:orient="portrait"/>
          <w:cols w:equalWidth="0" w:num="1">
            <w:col w:w="10080"/>
          </w:cols>
          <w:pgMar w:left="1080" w:top="1080"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080"/>
          </w:cols>
          <w:pgMar w:left="1080" w:top="1080" w:right="1080" w:bottom="155" w:gutter="0" w:footer="0" w:header="0"/>
          <w:type w:val="continuous"/>
        </w:sectPr>
      </w:pPr>
    </w:p>
    <w:bookmarkStart w:id="79" w:name="page80"/>
    <w:bookmarkEnd w:id="79"/>
    <w:p>
      <w:pPr>
        <w:jc w:val="both"/>
        <w:ind w:hanging="9"/>
        <w:spacing w:after="0" w:line="254" w:lineRule="auto"/>
        <w:rPr>
          <w:sz w:val="20"/>
          <w:szCs w:val="20"/>
          <w:color w:val="auto"/>
        </w:rPr>
      </w:pPr>
      <w:r>
        <w:rPr>
          <w:rFonts w:ascii="Times New Roman" w:cs="Times New Roman" w:eastAsia="Times New Roman" w:hAnsi="Times New Roman"/>
          <w:sz w:val="19"/>
          <w:szCs w:val="19"/>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w:t>
      </w:r>
    </w:p>
    <w:p>
      <w:pPr>
        <w:spacing w:after="0" w:line="3" w:lineRule="exact"/>
        <w:rPr>
          <w:sz w:val="20"/>
          <w:szCs w:val="20"/>
          <w:color w:val="auto"/>
        </w:rPr>
      </w:pPr>
    </w:p>
    <w:p>
      <w:pPr>
        <w:jc w:val="both"/>
        <w:ind w:firstLine="10"/>
        <w:spacing w:after="0" w:line="238" w:lineRule="auto"/>
        <w:tabs>
          <w:tab w:leader="none" w:pos="267"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237" w:lineRule="exact"/>
        <w:rPr>
          <w:sz w:val="20"/>
          <w:szCs w:val="20"/>
          <w:color w:val="auto"/>
        </w:rPr>
      </w:pPr>
    </w:p>
    <w:p>
      <w:pPr>
        <w:ind w:left="360" w:hanging="360"/>
        <w:spacing w:after="0"/>
        <w:tabs>
          <w:tab w:leader="none" w:pos="3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nature of the related person’s interest in the transaction;</w:t>
      </w:r>
    </w:p>
    <w:p>
      <w:pPr>
        <w:spacing w:after="0" w:line="7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a director’s independence in the event the related person is a director, immediate family member of a director or an entity with which a director is affiliated;</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the transaction;</w:t>
      </w:r>
    </w:p>
    <w:p>
      <w:pPr>
        <w:spacing w:after="0" w:line="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other sources for comparable services or products; and</w:t>
      </w:r>
    </w:p>
    <w:p>
      <w:pPr>
        <w:spacing w:after="0" w:line="6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available to or from, as the case may be, unrelated third parties.</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of the transactions entered into since the adoption of the Policy have been approved or ratified by our Audit Committee.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Our common stock is listed on Nasdaq.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245"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Our Board of Directors has determined that Rick Parod, Perry Boyle, Jonathan Bellows, Karina Montilla Edmonds, Brian Nelson, and Luisa Ingargiola are an “independent directors” as such term is defined under the applicable rules of Nasdaq.</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We have established an Audit Committee, a Compensation Committee and a Nominating and Corporate Governance Committee. Our Board of Directors has determined that Ms. Ingargiola is an “audit committee financial expert,” as defined under the applicable rules of the SEC, and that all members of the Audit Committee are “independent” within the meaning of the applicable Nasdaq rule and the independence standards of Rule 10A-3 of the Exchange Act. Each of the members of the Audit Committee meets the requirements for financial literacy under the applicable rules and regulations of the SEC and Nasdaq.</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080"/>
          </w:cols>
          <w:pgMar w:left="1080" w:top="1089" w:right="1080" w:bottom="155"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Fees</w:t>
      </w:r>
    </w:p>
    <w:p>
      <w:pPr>
        <w:spacing w:after="0" w:line="244"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On November 15, 2023, Marcum LLP (“</w:t>
      </w:r>
      <w:r>
        <w:rPr>
          <w:rFonts w:ascii="Times New Roman" w:cs="Times New Roman" w:eastAsia="Times New Roman" w:hAnsi="Times New Roman"/>
          <w:sz w:val="20"/>
          <w:szCs w:val="20"/>
          <w:b w:val="1"/>
          <w:bCs w:val="1"/>
          <w:color w:val="auto"/>
        </w:rPr>
        <w:t>Marcum</w:t>
      </w:r>
      <w:r>
        <w:rPr>
          <w:rFonts w:ascii="Times New Roman" w:cs="Times New Roman" w:eastAsia="Times New Roman" w:hAnsi="Times New Roman"/>
          <w:sz w:val="20"/>
          <w:szCs w:val="20"/>
          <w:color w:val="auto"/>
        </w:rPr>
        <w:t>”) was appointed as our independent registered public accounting firm. The aggregate fees billed, or reasonably expected to be billed, to us by Marcum for professional services rendered during the twelve months ended December 31, 2024, and 2023, are set forth in the table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Twelve months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Twelve months</w:t>
            </w:r>
          </w:p>
        </w:tc>
      </w:tr>
      <w:tr>
        <w:trPr>
          <w:trHeight w:val="209"/>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0"/>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Audit fees (1) .......................................................................................................................</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605,440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468,517</w:t>
            </w: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Tax fees (3)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Fees ............................................................................................................................</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605,440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468,517</w:t>
            </w:r>
          </w:p>
        </w:tc>
      </w:tr>
      <w:tr>
        <w:trPr>
          <w:trHeight w:val="20"/>
        </w:trPr>
        <w:tc>
          <w:tcPr>
            <w:tcW w:w="6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left="380" w:hanging="380"/>
        <w:spacing w:after="0" w:line="237" w:lineRule="auto"/>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incurred for professional services rendered for the audit of financial statements, for reviews of our interim consolidated financial statements included in our quarterly reports on Form 10-Q, and for services that are normally provided in connection with statutory or regulatory filings or engagements.</w:t>
      </w:r>
    </w:p>
    <w:p>
      <w:pPr>
        <w:spacing w:after="0" w:line="80" w:lineRule="exact"/>
        <w:rPr>
          <w:rFonts w:ascii="Times New Roman" w:cs="Times New Roman" w:eastAsia="Times New Roman" w:hAnsi="Times New Roman"/>
          <w:sz w:val="16"/>
          <w:szCs w:val="16"/>
          <w:color w:val="auto"/>
        </w:rPr>
      </w:pPr>
    </w:p>
    <w:p>
      <w:pPr>
        <w:ind w:left="380" w:hanging="380"/>
        <w:spacing w:after="0" w:line="235" w:lineRule="auto"/>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consist of fees billed for professional services that are reasonably related to the performance of the audit or review of our financial statements but are not reported under “Audit fees.”</w:t>
      </w:r>
    </w:p>
    <w:p>
      <w:pPr>
        <w:spacing w:after="0" w:line="72" w:lineRule="exact"/>
        <w:rPr>
          <w:rFonts w:ascii="Times New Roman" w:cs="Times New Roman" w:eastAsia="Times New Roman" w:hAnsi="Times New Roman"/>
          <w:sz w:val="16"/>
          <w:szCs w:val="16"/>
          <w:color w:val="auto"/>
        </w:rPr>
      </w:pPr>
    </w:p>
    <w:p>
      <w:pPr>
        <w:ind w:left="380" w:hanging="380"/>
        <w:spacing w:after="0"/>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 of fees billed for professional services relating to tax compliance, tax planning, and tax advice.</w:t>
      </w:r>
    </w:p>
    <w:p>
      <w:pPr>
        <w:spacing w:after="0" w:line="70" w:lineRule="exact"/>
        <w:rPr>
          <w:rFonts w:ascii="Times New Roman" w:cs="Times New Roman" w:eastAsia="Times New Roman" w:hAnsi="Times New Roman"/>
          <w:sz w:val="16"/>
          <w:szCs w:val="16"/>
          <w:color w:val="auto"/>
        </w:rPr>
      </w:pPr>
    </w:p>
    <w:p>
      <w:pPr>
        <w:ind w:left="380" w:hanging="380"/>
        <w:spacing w:after="0"/>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consist of fees billed for services not associated with audit or tax.</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Practices and Procedures</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Our Audit Committee has established a policy governing our use of the services of our independent registered public accounting firm. The purpose of the Audit Committee is to assist the Board of Directors in fulfilling its responsibilities as it relates to our financial accounting, reporting and controls. The Audit Committee’s principal functions are to assist the Board of Directors in its oversight of:</w:t>
      </w:r>
    </w:p>
    <w:p>
      <w:pPr>
        <w:spacing w:after="0" w:line="245" w:lineRule="exact"/>
        <w:rPr>
          <w:sz w:val="20"/>
          <w:szCs w:val="20"/>
          <w:color w:val="auto"/>
        </w:rPr>
      </w:pPr>
    </w:p>
    <w:p>
      <w:pPr>
        <w:ind w:left="360" w:hanging="360"/>
        <w:spacing w:after="0" w:line="235" w:lineRule="auto"/>
        <w:tabs>
          <w:tab w:leader="none" w:pos="3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integrity of our accounting and financial reporting processes and the audits of our financial statements by our independent auditors (the “</w:t>
      </w:r>
      <w:r>
        <w:rPr>
          <w:rFonts w:ascii="Times New Roman" w:cs="Times New Roman" w:eastAsia="Times New Roman" w:hAnsi="Times New Roman"/>
          <w:sz w:val="20"/>
          <w:szCs w:val="20"/>
          <w:b w:val="1"/>
          <w:bCs w:val="1"/>
          <w:color w:val="auto"/>
        </w:rPr>
        <w:t>Independent Auditors</w:t>
      </w:r>
      <w:r>
        <w:rPr>
          <w:rFonts w:ascii="Times New Roman" w:cs="Times New Roman" w:eastAsia="Times New Roman" w:hAnsi="Times New Roman"/>
          <w:sz w:val="20"/>
          <w:szCs w:val="20"/>
          <w:color w:val="auto"/>
        </w:rPr>
        <w:t>”);</w:t>
      </w:r>
    </w:p>
    <w:p>
      <w:pPr>
        <w:spacing w:after="0" w:line="82"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periodic reviews of the adequacy of the accounting and financial reporting processes and systems of internal control that are conducted by the Independent Auditors and our senior management;</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independence and performance of the Independent Auditors; and</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with legal and regulatory requirements.</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In accordance with applicable laws, rules and regulations, our Audit Committee charter and pre-approval policies established by the Audit Committee require that the Audit Committee review in advance and pre-approve all audit and permitted non-audit fees for services provided to us by our independent registered public accounting firm. The services performed by, and the fees to be paid to, the Independent Auditors were preapproved by the Audit Committee.</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080"/>
          </w:cols>
          <w:pgMar w:left="1080" w:top="1079" w:right="1080" w:bottom="155" w:gutter="0" w:footer="0" w:header="0"/>
          <w:type w:val="continuous"/>
        </w:sectPr>
      </w:pPr>
    </w:p>
    <w:bookmarkStart w:id="81" w:name="page82"/>
    <w:bookmarkEnd w:id="81"/>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The following documents are filed as part of this report:</w:t>
      </w:r>
    </w:p>
    <w:p>
      <w:pPr>
        <w:spacing w:after="0" w:line="234" w:lineRule="exact"/>
        <w:rPr>
          <w:sz w:val="20"/>
          <w:szCs w:val="20"/>
          <w:color w:val="auto"/>
        </w:rPr>
      </w:pPr>
    </w:p>
    <w:p>
      <w:pPr>
        <w:ind w:left="360" w:hanging="360"/>
        <w:spacing w:after="0"/>
        <w:tabs>
          <w:tab w:leader="none" w:pos="360" w:val="left"/>
        </w:tabs>
        <w:numPr>
          <w:ilvl w:val="0"/>
          <w:numId w:val="6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Financial Statements</w:t>
      </w:r>
    </w:p>
    <w:p>
      <w:pPr>
        <w:spacing w:after="0" w:line="244"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The list of consolidated financial statements set forth in the accompanying Index to the Consolidated Financial Statements at page F-1 of this Annual Report on Form 10-K is incorporated herein by reference. Such consolidated financial statements are filed as part of this Annual Report on Form 10-K.</w:t>
      </w:r>
    </w:p>
    <w:p>
      <w:pPr>
        <w:spacing w:after="0" w:line="236" w:lineRule="exact"/>
        <w:rPr>
          <w:sz w:val="20"/>
          <w:szCs w:val="20"/>
          <w:color w:val="auto"/>
        </w:rPr>
      </w:pPr>
    </w:p>
    <w:p>
      <w:pPr>
        <w:ind w:left="360" w:hanging="360"/>
        <w:spacing w:after="0"/>
        <w:tabs>
          <w:tab w:leader="none" w:pos="360" w:val="left"/>
        </w:tabs>
        <w:numPr>
          <w:ilvl w:val="0"/>
          <w:numId w:val="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Financial Statement Schedules</w:t>
      </w:r>
    </w:p>
    <w:p>
      <w:pPr>
        <w:spacing w:after="0" w:line="243" w:lineRule="exact"/>
        <w:rPr>
          <w:sz w:val="20"/>
          <w:szCs w:val="20"/>
          <w:color w:val="auto"/>
        </w:rPr>
      </w:pPr>
    </w:p>
    <w:p>
      <w:pPr>
        <w:ind w:hanging="9"/>
        <w:spacing w:after="0" w:line="236" w:lineRule="auto"/>
        <w:rPr>
          <w:sz w:val="20"/>
          <w:szCs w:val="20"/>
          <w:color w:val="auto"/>
        </w:rPr>
      </w:pPr>
      <w:r>
        <w:rPr>
          <w:rFonts w:ascii="Times New Roman" w:cs="Times New Roman" w:eastAsia="Times New Roman" w:hAnsi="Times New Roman"/>
          <w:sz w:val="20"/>
          <w:szCs w:val="20"/>
          <w:color w:val="auto"/>
        </w:rPr>
        <w:t>All schedules have been omitted because the required information is either not required, not applicable or because the information required is included in the consolidated financial statements or notes thereto.</w:t>
      </w:r>
    </w:p>
    <w:p>
      <w:pPr>
        <w:spacing w:after="0" w:line="234" w:lineRule="exact"/>
        <w:rPr>
          <w:sz w:val="20"/>
          <w:szCs w:val="20"/>
          <w:color w:val="auto"/>
        </w:rPr>
      </w:pPr>
    </w:p>
    <w:p>
      <w:pPr>
        <w:ind w:left="360" w:hanging="360"/>
        <w:spacing w:after="0"/>
        <w:tabs>
          <w:tab w:leader="none" w:pos="360" w:val="left"/>
        </w:tabs>
        <w:numPr>
          <w:ilvl w:val="0"/>
          <w:numId w:val="6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r>
      <w:tr>
        <w:trPr>
          <w:trHeight w:val="230"/>
        </w:trPr>
        <w:tc>
          <w:tcPr>
            <w:tcW w:w="94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Filing</w:t>
            </w:r>
          </w:p>
        </w:tc>
      </w:tr>
      <w:tr>
        <w:trPr>
          <w:trHeight w:val="233"/>
        </w:trPr>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b w:val="1"/>
                <w:bCs w:val="1"/>
                <w:color w:val="auto"/>
              </w:rPr>
              <w:t>No .</w:t>
            </w:r>
          </w:p>
        </w:tc>
        <w:tc>
          <w:tcPr>
            <w:tcW w:w="40" w:type="dxa"/>
            <w:vAlign w:val="bottom"/>
          </w:tcPr>
          <w:p>
            <w:pPr>
              <w:spacing w:after="0"/>
              <w:rPr>
                <w:sz w:val="20"/>
                <w:szCs w:val="20"/>
                <w:color w:val="auto"/>
              </w:rPr>
            </w:pPr>
          </w:p>
        </w:tc>
        <w:tc>
          <w:tcPr>
            <w:tcW w:w="57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60" w:type="dxa"/>
            <w:vAlign w:val="bottom"/>
          </w:tcPr>
          <w:p>
            <w:pPr>
              <w:spacing w:after="0"/>
              <w:rPr>
                <w:sz w:val="20"/>
                <w:szCs w:val="20"/>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Form</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60" w:type="dxa"/>
            <w:vAlign w:val="bottom"/>
          </w:tcPr>
          <w:p>
            <w:pPr>
              <w:spacing w:after="0"/>
              <w:rPr>
                <w:sz w:val="20"/>
                <w:szCs w:val="20"/>
                <w:color w:val="auto"/>
              </w:rPr>
            </w:pPr>
          </w:p>
        </w:tc>
        <w:tc>
          <w:tcPr>
            <w:tcW w:w="10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Date</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and Plan of Merger, dated as of May 15, 2022, by and</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S-4</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07/22/2022</w:t>
            </w: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among Dragonfly Energy Holdings Corp. (f/k/a Chardan NexTech</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Acquisition 2 Corp.), Bronco Merger Sub, Inc. and Dragonfly Energy</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3"/>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 (included as Annex A to the proxy statement/prospectus).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to Agreement and Plan of Merger, dated as of July 12,</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S-4</w:t>
            </w:r>
          </w:p>
        </w:tc>
        <w:tc>
          <w:tcPr>
            <w:tcW w:w="160" w:type="dxa"/>
            <w:vAlign w:val="bottom"/>
          </w:tcPr>
          <w:p>
            <w:pPr>
              <w:spacing w:after="0"/>
              <w:rPr>
                <w:sz w:val="20"/>
                <w:szCs w:val="20"/>
                <w:color w:val="auto"/>
              </w:rPr>
            </w:pPr>
          </w:p>
        </w:tc>
        <w:tc>
          <w:tcPr>
            <w:tcW w:w="9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w w:val="93"/>
              </w:rPr>
              <w:t>2.1(a)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07/22/2022</w:t>
            </w: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2022, by and among Dragonfly Energy Holdings Corp. (f/k/a Chardan</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NexTech Acquisition 2 Corp.), Bronco Merger Sub, Inc. and Dragonfly</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3"/>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Energy Corp.</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Plan of Conversion.</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03/31/2023</w:t>
            </w: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Articles of Incorporation of Dragonfly Energy Holdings Corp.</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03/31/2023</w:t>
            </w: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 of Amendment to the Articles of Incorporation of Dragonfly</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11/29/2023</w:t>
            </w:r>
          </w:p>
        </w:tc>
      </w:tr>
      <w:tr>
        <w:trPr>
          <w:trHeight w:val="233"/>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Energy Holdings Corp., dated November 29, 2023.</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 of Amendment to the Articles of Incorporation of Dragonfly</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11/22/2024</w:t>
            </w: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Energy Holdings Corp., as filed with the Secretary of State of the State</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 Nevada, dated November 19, 2024.</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Bylaws of Dragonfly Energy Holdings Corp.</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3.2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03/31/2023</w:t>
            </w: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3.5</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 of Designation of the Powers, Preferences and Relative,</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02/27/2025</w:t>
            </w: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Participating, Optional and Other Restrictions of Series A Convertible</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Preferred Stock of Dragonfly Energy Holdings Corp.</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Specimen Common Stock Certificate of Dragonfly Energy Holdings</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10/11/2022</w:t>
            </w: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$10 Warrant of Dragonfly Energy Holdings Corp.</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10/11/2022</w:t>
            </w: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Penny Warrant of Dragonfly Energy Holdings Corp.</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10/11/2022</w:t>
            </w:r>
          </w:p>
        </w:tc>
      </w:tr>
      <w:tr>
        <w:trPr>
          <w:trHeight w:val="23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Agreement, dated as of October 19, 2022, between Dragonfly</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10/21/2022</w:t>
            </w: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Energy Holdings Corp. and American Stock Transfer &amp; Trust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LLC.</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Specimen Warrant Certificate of Dragonfly Energy Holdings Corp.</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04/17/2023</w:t>
            </w:r>
          </w:p>
        </w:tc>
      </w:tr>
      <w:tr>
        <w:trPr>
          <w:trHeight w:val="23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Promissory Note of the Company, dated March 5, 2023.</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03/09/2023</w:t>
            </w: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4.7</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June 2023 Warrant.</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06/21/2023</w:t>
            </w: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4.8</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Underwriters’ Warrant.</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06/14/2023</w:t>
            </w: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4.9</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December 2023 Lender Penny Warrant.</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12/29/2023</w:t>
            </w:r>
          </w:p>
        </w:tc>
      </w:tr>
      <w:tr>
        <w:trPr>
          <w:trHeight w:val="23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4.10</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January Note.</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03/04/2024</w:t>
            </w: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4.11</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February Note.</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03/04/2024</w:t>
            </w: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4.12</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May 2024 Penny Warrant.</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05/14/2024</w:t>
            </w: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4.13</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June 2024 Penny Warrant.</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06/28/2024</w:t>
            </w:r>
          </w:p>
        </w:tc>
      </w:tr>
      <w:tr>
        <w:trPr>
          <w:trHeight w:val="23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4.14</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September 2024 Penny Warrant.</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10/07/2024</w:t>
            </w:r>
          </w:p>
        </w:tc>
      </w:tr>
    </w:tbl>
    <w:p>
      <w:pPr>
        <w:spacing w:after="0" w:line="200" w:lineRule="exact"/>
        <w:rPr>
          <w:sz w:val="20"/>
          <w:szCs w:val="20"/>
          <w:color w:val="auto"/>
        </w:rPr>
      </w:pPr>
    </w:p>
    <w:p>
      <w:pPr>
        <w:sectPr>
          <w:pgSz w:w="12240" w:h="15840" w:orient="portrait"/>
          <w:cols w:equalWidth="0" w:num="1">
            <w:col w:w="10080"/>
          </w:cols>
          <w:pgMar w:left="1080" w:top="1079" w:right="1080" w:bottom="155"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080"/>
          </w:cols>
          <w:pgMar w:left="1080" w:top="1079" w:right="1080" w:bottom="155" w:gutter="0" w:footer="0" w:header="0"/>
          <w:type w:val="continuous"/>
        </w:sectPr>
      </w:pPr>
    </w:p>
    <w:bookmarkStart w:id="82" w:name="page83"/>
    <w:bookmarkEnd w:id="82"/>
    <w:p>
      <w:pPr>
        <w:spacing w:after="0" w:line="2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Exhibit</w:t>
      </w:r>
    </w:p>
    <w:p>
      <w:pPr>
        <w:spacing w:after="0" w:line="2" w:lineRule="exact"/>
        <w:rPr>
          <w:sz w:val="20"/>
          <w:szCs w:val="20"/>
          <w:color w:val="auto"/>
        </w:rPr>
      </w:pPr>
    </w:p>
    <w:p>
      <w:pPr>
        <w:ind w:left="300"/>
        <w:spacing w:after="0"/>
        <w:tabs>
          <w:tab w:leader="none" w:pos="3360" w:val="left"/>
        </w:tabs>
        <w:rPr>
          <w:sz w:val="20"/>
          <w:szCs w:val="20"/>
          <w:color w:val="auto"/>
        </w:rPr>
      </w:pPr>
      <w:r>
        <w:rPr>
          <w:rFonts w:ascii="Times New Roman" w:cs="Times New Roman" w:eastAsia="Times New Roman" w:hAnsi="Times New Roman"/>
          <w:sz w:val="20"/>
          <w:szCs w:val="20"/>
          <w:b w:val="1"/>
          <w:bCs w:val="1"/>
          <w:color w:val="auto"/>
        </w:rPr>
        <w:t>No .</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7620</wp:posOffset>
                </wp:positionV>
                <wp:extent cx="59436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6pt" to="46.8pt,0.6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626110</wp:posOffset>
                </wp:positionH>
                <wp:positionV relativeFrom="paragraph">
                  <wp:posOffset>7620</wp:posOffset>
                </wp:positionV>
                <wp:extent cx="367157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157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3pt,0.6pt" to="338.4pt,0.6pt" o:allowincell="f" strokecolor="#000000" strokeweight="0.9599pt"/>
            </w:pict>
          </mc:Fallback>
        </mc:AlternateContent>
      </w: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20"/>
          <w:szCs w:val="20"/>
          <w:color w:val="auto"/>
        </w:rPr>
        <w:t>Form of December 2024 Penny Warrant.</w:t>
      </w:r>
    </w:p>
    <w:p>
      <w:pPr>
        <w:spacing w:after="0" w:line="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4.16</w:t>
      </w:r>
      <w:r>
        <w:rPr>
          <w:sz w:val="20"/>
          <w:szCs w:val="20"/>
          <w:color w:val="auto"/>
        </w:rPr>
        <w:tab/>
      </w:r>
      <w:r>
        <w:rPr>
          <w:rFonts w:ascii="Times New Roman" w:cs="Times New Roman" w:eastAsia="Times New Roman" w:hAnsi="Times New Roman"/>
          <w:sz w:val="20"/>
          <w:szCs w:val="20"/>
          <w:color w:val="auto"/>
        </w:rPr>
        <w:t>Form of Private Placement Warrant.</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20"/>
          <w:szCs w:val="20"/>
          <w:color w:val="auto"/>
        </w:rPr>
        <w:t>Form of February 2025 Penny Warrant.</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4.18*</w:t>
      </w:r>
      <w:r>
        <w:rPr>
          <w:sz w:val="20"/>
          <w:szCs w:val="20"/>
          <w:color w:val="auto"/>
        </w:rPr>
        <w:tab/>
      </w:r>
      <w:r>
        <w:rPr>
          <w:rFonts w:ascii="Times New Roman" w:cs="Times New Roman" w:eastAsia="Times New Roman" w:hAnsi="Times New Roman"/>
          <w:sz w:val="20"/>
          <w:szCs w:val="20"/>
          <w:color w:val="auto"/>
        </w:rPr>
        <w:t>Description of Securities.</w:t>
      </w:r>
    </w:p>
    <w:p>
      <w:pPr>
        <w:spacing w:after="0" w:line="11" w:lineRule="exact"/>
        <w:rPr>
          <w:sz w:val="20"/>
          <w:szCs w:val="20"/>
          <w:color w:val="auto"/>
        </w:rPr>
      </w:pPr>
    </w:p>
    <w:p>
      <w:pPr>
        <w:ind w:left="980" w:right="120" w:hanging="986"/>
        <w:spacing w:after="0" w:line="239" w:lineRule="auto"/>
        <w:tabs>
          <w:tab w:leader="none" w:pos="96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Sponsor Support Agreement, dated as of May 15, 2022, by and among Chardan NexTech Investments 2 LLC, Dragonfly Energy Corp. and Chardan NexTech Investments 2 LLC (included as Annex E to the proxy statement/prospectus).</w:t>
      </w:r>
    </w:p>
    <w:p>
      <w:pPr>
        <w:spacing w:after="0" w:line="12" w:lineRule="exact"/>
        <w:rPr>
          <w:sz w:val="20"/>
          <w:szCs w:val="20"/>
          <w:color w:val="auto"/>
        </w:rPr>
      </w:pPr>
    </w:p>
    <w:p>
      <w:pPr>
        <w:ind w:left="980" w:right="60" w:hanging="986"/>
        <w:spacing w:after="0" w:line="239" w:lineRule="auto"/>
        <w:tabs>
          <w:tab w:leader="none" w:pos="96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Commitment Letter, dated as of May 15, 2022, by and among Dragonfly Energy Holdings Corp. (f/k/a Chardan NexTech Acquisition 2 Corp.), Dragonfly Energy Corp., CCM Investments 5 LLC and EICF Agent LLC (included as Annex J to the proxy statement/prospectus).</w:t>
      </w:r>
    </w:p>
    <w:p>
      <w:pPr>
        <w:spacing w:after="0" w:line="12" w:lineRule="exact"/>
        <w:rPr>
          <w:sz w:val="20"/>
          <w:szCs w:val="20"/>
          <w:color w:val="auto"/>
        </w:rPr>
      </w:pPr>
    </w:p>
    <w:p>
      <w:pPr>
        <w:ind w:left="980" w:right="140" w:hanging="986"/>
        <w:spacing w:after="0" w:line="239" w:lineRule="auto"/>
        <w:tabs>
          <w:tab w:leader="none" w:pos="96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Equity Facility Letter Agreement, dated as of May 15, 2022, by and among Dragonfly Energy Corp., Dragonfly Energy Holdings Corp. (f/k/a Chardan NexTech Acquisition 2 Corp.) and CCM Investments 5 LLC (included as Annex K to the proxy statement/prospectus).</w:t>
      </w:r>
    </w:p>
    <w:p>
      <w:pPr>
        <w:spacing w:after="0" w:line="12" w:lineRule="exact"/>
        <w:rPr>
          <w:sz w:val="20"/>
          <w:szCs w:val="20"/>
          <w:color w:val="auto"/>
        </w:rPr>
      </w:pPr>
    </w:p>
    <w:p>
      <w:pPr>
        <w:ind w:left="980" w:right="60" w:hanging="986"/>
        <w:spacing w:after="0" w:line="239" w:lineRule="auto"/>
        <w:tabs>
          <w:tab w:leader="none" w:pos="96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Subscription Agreement, dated as of May 15, 2022, between Dragonfly Energy Holdings Corp. (f/k/a Chardan NexTech Acquisition 2 Corp.) and Chardan NexTech Investments 2 LLC (included as Annex F to the proxy statement/prospectus).</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Dragonfly Energy Holdings Corp. 2022 Equity Incentive Plan.</w:t>
      </w:r>
    </w:p>
    <w:p>
      <w:pPr>
        <w:spacing w:after="0" w:line="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Dragonfly Energy Holdings Corp. Employee Stock Purchase Plan.</w:t>
      </w:r>
    </w:p>
    <w:p>
      <w:pPr>
        <w:spacing w:after="0" w:line="11" w:lineRule="exact"/>
        <w:rPr>
          <w:sz w:val="20"/>
          <w:szCs w:val="20"/>
          <w:color w:val="auto"/>
        </w:rPr>
      </w:pPr>
    </w:p>
    <w:p>
      <w:pPr>
        <w:ind w:left="980" w:hanging="986"/>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Multi-tenant Industrial Triple Net Lease, dated as of March 1, 2021, between Dragonfly Energy Corp. and Icon Reno Property Owner Pool 3 Nevada, LLC.</w:t>
      </w:r>
    </w:p>
    <w:p>
      <w:pPr>
        <w:spacing w:after="0" w:line="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color w:val="auto"/>
        </w:rPr>
        <w:t>Lease, dated as of February 8, 2022, between Dragonfly Energy Corp.</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and Prologis, L.P.</w:t>
      </w:r>
    </w:p>
    <w:p>
      <w:pPr>
        <w:spacing w:after="0" w:line="12" w:lineRule="exact"/>
        <w:rPr>
          <w:sz w:val="20"/>
          <w:szCs w:val="20"/>
          <w:color w:val="auto"/>
        </w:rPr>
      </w:pPr>
    </w:p>
    <w:p>
      <w:pPr>
        <w:ind w:left="980" w:right="160" w:hanging="986"/>
        <w:spacing w:after="0" w:line="235" w:lineRule="auto"/>
        <w:tabs>
          <w:tab w:leader="none" w:pos="96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Purchase Agreement, dated as of October 7, 2022, between Dragonfly Energy Holdings Corp. and Chardan Capital Markets LLC.</w:t>
      </w:r>
    </w:p>
    <w:p>
      <w:pPr>
        <w:spacing w:after="0" w:line="14" w:lineRule="exact"/>
        <w:rPr>
          <w:sz w:val="20"/>
          <w:szCs w:val="20"/>
          <w:color w:val="auto"/>
        </w:rPr>
      </w:pPr>
    </w:p>
    <w:p>
      <w:pPr>
        <w:jc w:val="right"/>
        <w:ind w:right="160"/>
        <w:spacing w:after="0" w:line="235" w:lineRule="auto"/>
        <w:rPr>
          <w:sz w:val="20"/>
          <w:szCs w:val="20"/>
          <w:color w:val="auto"/>
        </w:rPr>
      </w:pPr>
      <w:r>
        <w:rPr>
          <w:rFonts w:ascii="Times New Roman" w:cs="Times New Roman" w:eastAsia="Times New Roman" w:hAnsi="Times New Roman"/>
          <w:sz w:val="20"/>
          <w:szCs w:val="20"/>
          <w:color w:val="auto"/>
        </w:rPr>
        <w:t>10.10       Registration Rights Agreement, dated as of October 7, 2022, between Dragonfly Energy Holdings Corp. and Chardan Capital Markets LLC.</w:t>
      </w:r>
    </w:p>
    <w:p>
      <w:pPr>
        <w:spacing w:after="0" w:line="13" w:lineRule="exact"/>
        <w:rPr>
          <w:sz w:val="20"/>
          <w:szCs w:val="20"/>
          <w:color w:val="auto"/>
        </w:rPr>
      </w:pPr>
    </w:p>
    <w:p>
      <w:pPr>
        <w:ind w:left="980" w:right="20" w:hanging="986"/>
        <w:spacing w:after="0" w:line="238" w:lineRule="auto"/>
        <w:tabs>
          <w:tab w:leader="none" w:pos="96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Term Loan Agreement, dated as of October 7, 2022, by and among the Dragonfly Energy Holdings Corp., Dragonfly Energy Corp., the lenders from time to time party thereto and Alter Domus (US) LLC.</w:t>
      </w:r>
    </w:p>
    <w:p>
      <w:pPr>
        <w:spacing w:after="0" w:line="12" w:lineRule="exact"/>
        <w:rPr>
          <w:sz w:val="20"/>
          <w:szCs w:val="20"/>
          <w:color w:val="auto"/>
        </w:rPr>
      </w:pPr>
    </w:p>
    <w:p>
      <w:pPr>
        <w:jc w:val="right"/>
        <w:ind w:right="700"/>
        <w:spacing w:after="0" w:line="235" w:lineRule="auto"/>
        <w:rPr>
          <w:sz w:val="20"/>
          <w:szCs w:val="20"/>
          <w:color w:val="auto"/>
        </w:rPr>
      </w:pPr>
      <w:r>
        <w:rPr>
          <w:rFonts w:ascii="Times New Roman" w:cs="Times New Roman" w:eastAsia="Times New Roman" w:hAnsi="Times New Roman"/>
          <w:sz w:val="20"/>
          <w:szCs w:val="20"/>
          <w:color w:val="auto"/>
        </w:rPr>
        <w:t>10.12       Pledge Agreement, dated as of October 7, 2022, by and among Dragonfly Energy Holdings Corp. and Alter Domus (US) LLC.</w:t>
      </w:r>
    </w:p>
    <w:p>
      <w:pPr>
        <w:spacing w:after="0" w:line="13" w:lineRule="exact"/>
        <w:rPr>
          <w:sz w:val="20"/>
          <w:szCs w:val="20"/>
          <w:color w:val="auto"/>
        </w:rPr>
      </w:pPr>
    </w:p>
    <w:p>
      <w:pPr>
        <w:ind w:left="980" w:right="160" w:hanging="986"/>
        <w:spacing w:after="0" w:line="236" w:lineRule="auto"/>
        <w:tabs>
          <w:tab w:leader="none" w:pos="96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Employment Agreement, dated as of January 1, 2022, by and between Dragonfly Energy Corp. and Denis Phares.</w:t>
      </w:r>
    </w:p>
    <w:p>
      <w:pPr>
        <w:spacing w:after="0" w:line="12" w:lineRule="exact"/>
        <w:rPr>
          <w:sz w:val="20"/>
          <w:szCs w:val="20"/>
          <w:color w:val="auto"/>
        </w:rPr>
      </w:pPr>
    </w:p>
    <w:p>
      <w:pPr>
        <w:ind w:left="980" w:right="120" w:hanging="986"/>
        <w:spacing w:after="0" w:line="235" w:lineRule="auto"/>
        <w:tabs>
          <w:tab w:leader="none" w:pos="96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Amendment to Employment Agreement, dated as of May 15, 2022, by and between Dragonfly Energy Corp. and Denis Phares.</w:t>
      </w:r>
    </w:p>
    <w:p>
      <w:pPr>
        <w:spacing w:after="0" w:line="13" w:lineRule="exact"/>
        <w:rPr>
          <w:sz w:val="20"/>
          <w:szCs w:val="20"/>
          <w:color w:val="auto"/>
        </w:rPr>
      </w:pPr>
    </w:p>
    <w:p>
      <w:pPr>
        <w:ind w:left="980" w:right="100" w:hanging="986"/>
        <w:spacing w:after="0" w:line="236" w:lineRule="auto"/>
        <w:tabs>
          <w:tab w:leader="none" w:pos="96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Employment Agreement, dated as of August 17, 2021, by and between Dragonfly Energy Corp. and John Marchetti.</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Dragonfly Energy Corp. 2019 Stock Incentive Plan.</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Dragonfly Energy Corp. 2021 Stock Incentive Plan.</w:t>
      </w:r>
    </w:p>
    <w:p>
      <w:pPr>
        <w:spacing w:after="0" w:line="11" w:lineRule="exact"/>
        <w:rPr>
          <w:sz w:val="20"/>
          <w:szCs w:val="20"/>
          <w:color w:val="auto"/>
        </w:rPr>
      </w:pPr>
    </w:p>
    <w:p>
      <w:pPr>
        <w:ind w:left="980" w:right="120" w:hanging="986"/>
        <w:spacing w:after="0" w:line="238" w:lineRule="auto"/>
        <w:tabs>
          <w:tab w:leader="none" w:pos="96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Amended and Restated Registration Rights Agreement, dated as of October 7, 2022, by and among Dragonfly Energy Holdings Corp. and each of the stockholders thereto.</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10.19*++</w:t>
        <w:tab/>
        <w:t>Revised Director Compensation Policy.</w:t>
      </w:r>
    </w:p>
    <w:p>
      <w:pPr>
        <w:spacing w:after="0" w:line="11" w:lineRule="exact"/>
        <w:rPr>
          <w:sz w:val="20"/>
          <w:szCs w:val="20"/>
          <w:color w:val="auto"/>
        </w:rPr>
      </w:pPr>
    </w:p>
    <w:p>
      <w:pPr>
        <w:ind w:left="980" w:right="40" w:hanging="986"/>
        <w:spacing w:after="0" w:line="236" w:lineRule="auto"/>
        <w:tabs>
          <w:tab w:leader="none" w:pos="96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Employment Agreement, dated as of October 11, 2022, by and between Dragonfly Energy Holdings Corp. and Denis Phares.</w:t>
      </w:r>
    </w:p>
    <w:p>
      <w:pPr>
        <w:spacing w:after="0" w:line="12" w:lineRule="exact"/>
        <w:rPr>
          <w:sz w:val="20"/>
          <w:szCs w:val="20"/>
          <w:color w:val="auto"/>
        </w:rPr>
      </w:pPr>
    </w:p>
    <w:p>
      <w:pPr>
        <w:ind w:left="980" w:right="40" w:hanging="986"/>
        <w:spacing w:after="0" w:line="235" w:lineRule="auto"/>
        <w:tabs>
          <w:tab w:leader="none" w:pos="96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Employment Agreement, dated as of October 11, 2022, by and between Dragonfly Energy Holdings Corp. and John Marchetti.</w:t>
      </w:r>
    </w:p>
    <w:p>
      <w:pPr>
        <w:spacing w:after="0" w:line="13" w:lineRule="exact"/>
        <w:rPr>
          <w:sz w:val="20"/>
          <w:szCs w:val="20"/>
          <w:color w:val="auto"/>
        </w:rPr>
      </w:pPr>
    </w:p>
    <w:p>
      <w:pPr>
        <w:jc w:val="both"/>
        <w:ind w:left="980" w:right="160" w:hanging="986"/>
        <w:spacing w:after="0" w:line="238" w:lineRule="auto"/>
        <w:tabs>
          <w:tab w:leader="none" w:pos="96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First Amended and Restated Employment Agreement, dated February 24, 2023, by and between Dragonfly Energy Holdings Corp. and John Marchetti.</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bl>
      <w:tblPr>
        <w:tblLayout w:type="fixed"/>
        <w:tblInd w:w="0" w:type="dxa"/>
        <w:tblCellMar>
          <w:top w:w="0" w:type="dxa"/>
          <w:left w:w="0" w:type="dxa"/>
          <w:bottom w:w="0" w:type="dxa"/>
          <w:right w:w="0" w:type="dxa"/>
        </w:tblCellMar>
      </w:tblPr>
      <w:tr>
        <w:trPr>
          <w:trHeight w:val="232"/>
        </w:trPr>
        <w:tc>
          <w:tcPr>
            <w:tcW w:w="9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Filing</w:t>
            </w:r>
          </w:p>
        </w:tc>
      </w:tr>
      <w:tr>
        <w:trPr>
          <w:trHeight w:val="233"/>
        </w:trPr>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Form</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220"/>
        </w:trPr>
        <w:tc>
          <w:tcPr>
            <w:tcW w:w="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8-K</w:t>
            </w:r>
          </w:p>
        </w:tc>
        <w:tc>
          <w:tcPr>
            <w:tcW w:w="160" w:type="dxa"/>
            <w:vAlign w:val="bottom"/>
          </w:tcPr>
          <w:p>
            <w:pPr>
              <w:spacing w:after="0"/>
              <w:rPr>
                <w:sz w:val="19"/>
                <w:szCs w:val="19"/>
                <w:color w:val="auto"/>
              </w:rPr>
            </w:pPr>
          </w:p>
        </w:tc>
        <w:tc>
          <w:tcPr>
            <w:tcW w:w="920" w:type="dxa"/>
            <w:vAlign w:val="bottom"/>
          </w:tcPr>
          <w:p>
            <w:pPr>
              <w:jc w:val="right"/>
              <w:ind w:right="580"/>
              <w:spacing w:after="0" w:line="220" w:lineRule="exact"/>
              <w:rPr>
                <w:sz w:val="20"/>
                <w:szCs w:val="20"/>
                <w:color w:val="auto"/>
              </w:rPr>
            </w:pPr>
            <w:r>
              <w:rPr>
                <w:rFonts w:ascii="Times New Roman" w:cs="Times New Roman" w:eastAsia="Times New Roman" w:hAnsi="Times New Roman"/>
                <w:sz w:val="20"/>
                <w:szCs w:val="20"/>
                <w:color w:val="auto"/>
                <w:w w:val="87"/>
              </w:rPr>
              <w:t>4.1</w:t>
            </w:r>
          </w:p>
        </w:tc>
        <w:tc>
          <w:tcPr>
            <w:tcW w:w="16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96"/>
              </w:rPr>
              <w:t>01/03/2025</w:t>
            </w:r>
          </w:p>
        </w:tc>
      </w:tr>
      <w:tr>
        <w:trPr>
          <w:trHeight w:val="223"/>
        </w:trPr>
        <w:tc>
          <w:tcPr>
            <w:tcW w:w="9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line="223" w:lineRule="exact"/>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ind w:left="160"/>
              <w:spacing w:after="0" w:line="223" w:lineRule="exact"/>
              <w:rPr>
                <w:sz w:val="20"/>
                <w:szCs w:val="20"/>
                <w:color w:val="auto"/>
              </w:rPr>
            </w:pPr>
            <w:r>
              <w:rPr>
                <w:rFonts w:ascii="Times New Roman" w:cs="Times New Roman" w:eastAsia="Times New Roman" w:hAnsi="Times New Roman"/>
                <w:sz w:val="20"/>
                <w:szCs w:val="20"/>
                <w:color w:val="auto"/>
              </w:rPr>
              <w:t>02/27/2025</w:t>
            </w: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4.2</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02/27/2025</w:t>
            </w:r>
          </w:p>
        </w:tc>
      </w:tr>
      <w:tr>
        <w:trPr>
          <w:trHeight w:val="4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S-4</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10.4</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07/22/2022</w:t>
            </w:r>
          </w:p>
        </w:tc>
      </w:tr>
      <w:tr>
        <w:trPr>
          <w:trHeight w:val="92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S-4</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10.5</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07/22/2022</w:t>
            </w:r>
          </w:p>
        </w:tc>
      </w:tr>
      <w:tr>
        <w:trPr>
          <w:trHeight w:val="92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S-4</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10.6</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07/22/2022</w:t>
            </w:r>
          </w:p>
        </w:tc>
      </w:tr>
      <w:tr>
        <w:trPr>
          <w:trHeight w:val="92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S-4</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10.7</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07/22/2022</w:t>
            </w:r>
          </w:p>
        </w:tc>
      </w:tr>
      <w:tr>
        <w:trPr>
          <w:trHeight w:val="92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10.5</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10/11/2022</w:t>
            </w:r>
          </w:p>
        </w:tc>
      </w:tr>
      <w:tr>
        <w:trPr>
          <w:trHeight w:val="23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10.6</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10/11/2022</w:t>
            </w: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S-4</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07/22/2022</w:t>
            </w:r>
          </w:p>
        </w:tc>
      </w:tr>
      <w:tr>
        <w:trPr>
          <w:trHeight w:val="69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S-4</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10.12</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07/22/2022</w:t>
            </w:r>
          </w:p>
        </w:tc>
      </w:tr>
      <w:tr>
        <w:trPr>
          <w:trHeight w:val="4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10.10</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10/11/2022</w:t>
            </w:r>
          </w:p>
        </w:tc>
      </w:tr>
      <w:tr>
        <w:trPr>
          <w:trHeight w:val="4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10/11/2022</w:t>
            </w:r>
          </w:p>
        </w:tc>
      </w:tr>
      <w:tr>
        <w:trPr>
          <w:trHeight w:val="46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10.12</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10/11/2022</w:t>
            </w:r>
          </w:p>
        </w:tc>
      </w:tr>
      <w:tr>
        <w:trPr>
          <w:trHeight w:val="69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10.13</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10/11/2022</w:t>
            </w:r>
          </w:p>
        </w:tc>
      </w:tr>
      <w:tr>
        <w:trPr>
          <w:trHeight w:val="46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10.14</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10/11/2022</w:t>
            </w:r>
          </w:p>
        </w:tc>
      </w:tr>
      <w:tr>
        <w:trPr>
          <w:trHeight w:val="4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10.15</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10/11/2022</w:t>
            </w:r>
          </w:p>
        </w:tc>
      </w:tr>
      <w:tr>
        <w:trPr>
          <w:trHeight w:val="46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10.18</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10/11/2022</w:t>
            </w:r>
          </w:p>
        </w:tc>
      </w:tr>
      <w:tr>
        <w:trPr>
          <w:trHeight w:val="4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10.19</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10/11/2022</w:t>
            </w: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10.20</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10/11/2022</w:t>
            </w: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10.21</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10/11/2022</w:t>
            </w:r>
          </w:p>
        </w:tc>
      </w:tr>
      <w:tr>
        <w:trPr>
          <w:trHeight w:val="92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10.23</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11/4/2022</w:t>
            </w:r>
          </w:p>
        </w:tc>
      </w:tr>
      <w:tr>
        <w:trPr>
          <w:trHeight w:val="4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10.24</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11/4/2022</w:t>
            </w:r>
          </w:p>
        </w:tc>
      </w:tr>
      <w:tr>
        <w:trPr>
          <w:trHeight w:val="4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03/02/2023</w:t>
            </w:r>
          </w:p>
        </w:tc>
      </w:tr>
    </w:tbl>
    <w:p>
      <w:pPr>
        <w:spacing w:after="0" w:line="664" w:lineRule="exact"/>
        <w:rPr>
          <w:sz w:val="20"/>
          <w:szCs w:val="20"/>
          <w:color w:val="auto"/>
        </w:rPr>
      </w:pPr>
    </w:p>
    <w:p>
      <w:pPr>
        <w:sectPr>
          <w:pgSz w:w="12240" w:h="15840" w:orient="portrait"/>
          <w:cols w:equalWidth="0" w:num="2">
            <w:col w:w="6760" w:space="160"/>
            <w:col w:w="3160"/>
          </w:cols>
          <w:pgMar w:left="1080" w:top="1079" w:right="1080" w:bottom="155"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080"/>
          </w:cols>
          <w:pgMar w:left="1080" w:top="1079" w:right="1080" w:bottom="155" w:gutter="0" w:footer="0" w:header="0"/>
          <w:type w:val="continuous"/>
        </w:sectPr>
      </w:pPr>
    </w:p>
    <w:bookmarkStart w:id="83" w:name="page84"/>
    <w:bookmarkEnd w:id="83"/>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w:t>
      </w:r>
    </w:p>
    <w:p>
      <w:pPr>
        <w:spacing w:after="0" w:line="2" w:lineRule="exact"/>
        <w:rPr>
          <w:sz w:val="20"/>
          <w:szCs w:val="20"/>
          <w:color w:val="auto"/>
        </w:rPr>
      </w:pPr>
    </w:p>
    <w:p>
      <w:pPr>
        <w:ind w:left="140"/>
        <w:spacing w:after="0"/>
        <w:tabs>
          <w:tab w:leader="none" w:pos="3200" w:val="left"/>
        </w:tabs>
        <w:rPr>
          <w:sz w:val="20"/>
          <w:szCs w:val="20"/>
          <w:color w:val="auto"/>
        </w:rPr>
      </w:pPr>
      <w:r>
        <w:rPr>
          <w:rFonts w:ascii="Times New Roman" w:cs="Times New Roman" w:eastAsia="Times New Roman" w:hAnsi="Times New Roman"/>
          <w:sz w:val="20"/>
          <w:szCs w:val="20"/>
          <w:b w:val="1"/>
          <w:bCs w:val="1"/>
          <w:color w:val="auto"/>
        </w:rPr>
        <w:t>No .</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-101600</wp:posOffset>
                </wp:positionH>
                <wp:positionV relativeFrom="paragraph">
                  <wp:posOffset>7620</wp:posOffset>
                </wp:positionV>
                <wp:extent cx="59436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0.6pt" to="38.8pt,0.6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524510</wp:posOffset>
                </wp:positionH>
                <wp:positionV relativeFrom="paragraph">
                  <wp:posOffset>7620</wp:posOffset>
                </wp:positionV>
                <wp:extent cx="367157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157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pt,0.6pt" to="330.4pt,0.6pt" o:allowincell="f" strokecolor="#000000" strokeweight="0.9599pt"/>
            </w:pict>
          </mc:Fallback>
        </mc:AlternateContent>
      </w:r>
    </w:p>
    <w:p>
      <w:pPr>
        <w:ind w:left="820" w:right="320" w:hanging="986"/>
        <w:spacing w:after="0" w:line="238" w:lineRule="auto"/>
        <w:tabs>
          <w:tab w:leader="none" w:pos="80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Asset Purchase Agreement, dated April 22, 2022, by and among Dragonfly Energy Corp., Thomason Jones Company, LLC, William Thomason and Richard Jones.</w:t>
      </w:r>
    </w:p>
    <w:p>
      <w:pPr>
        <w:spacing w:after="0" w:line="12" w:lineRule="exact"/>
        <w:rPr>
          <w:sz w:val="20"/>
          <w:szCs w:val="20"/>
          <w:color w:val="auto"/>
        </w:rPr>
      </w:pPr>
    </w:p>
    <w:p>
      <w:pPr>
        <w:ind w:left="820" w:right="220" w:hanging="986"/>
        <w:spacing w:after="0" w:line="238" w:lineRule="auto"/>
        <w:tabs>
          <w:tab w:leader="none" w:pos="80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Manufacturing Supply Agreement, dated November 19, 2021, by and between Dragonfly Energy Holdings Corp. and Keystone RV Company.</w:t>
      </w:r>
    </w:p>
    <w:p>
      <w:pPr>
        <w:spacing w:after="0" w:line="12" w:lineRule="exact"/>
        <w:rPr>
          <w:sz w:val="20"/>
          <w:szCs w:val="20"/>
          <w:color w:val="auto"/>
        </w:rPr>
      </w:pPr>
    </w:p>
    <w:p>
      <w:pPr>
        <w:ind w:left="820" w:right="400" w:hanging="986"/>
        <w:spacing w:after="0" w:line="235" w:lineRule="auto"/>
        <w:tabs>
          <w:tab w:leader="none" w:pos="80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color w:val="auto"/>
        </w:rPr>
        <w:t>Asset Purchase Agreement, dated January 1, 2022, by and between Dragonfly Energy Holdings Corp. and Bourns Productions, Inc.</w:t>
      </w:r>
    </w:p>
    <w:p>
      <w:pPr>
        <w:spacing w:after="0" w:line="13" w:lineRule="exact"/>
        <w:rPr>
          <w:sz w:val="20"/>
          <w:szCs w:val="20"/>
          <w:color w:val="auto"/>
        </w:rPr>
      </w:pPr>
    </w:p>
    <w:p>
      <w:pPr>
        <w:ind w:left="820" w:right="40" w:hanging="986"/>
        <w:spacing w:after="0" w:line="236" w:lineRule="auto"/>
        <w:tabs>
          <w:tab w:leader="none" w:pos="80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auto"/>
        </w:rPr>
        <w:t>Assignment and Assumption Agreement, dated January 1, 2022, by and between Dragonfly Energy Corp. and Bourns Productions, Inc.</w:t>
      </w:r>
    </w:p>
    <w:p>
      <w:pPr>
        <w:spacing w:after="0" w:line="12" w:lineRule="exact"/>
        <w:rPr>
          <w:sz w:val="20"/>
          <w:szCs w:val="20"/>
          <w:color w:val="auto"/>
        </w:rPr>
      </w:pPr>
    </w:p>
    <w:p>
      <w:pPr>
        <w:ind w:left="820" w:right="60" w:hanging="986"/>
        <w:spacing w:after="0" w:line="237" w:lineRule="auto"/>
        <w:tabs>
          <w:tab w:leader="none" w:pos="80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color w:val="auto"/>
        </w:rPr>
        <w:t>Assignment and Assumption of Lease Agreement, dated January 1, 2022, by and among Dragonfly Energy Corp., Bourns Productions, Inc. and Los Angeles &amp; Steel Co.</w:t>
      </w:r>
    </w:p>
    <w:p>
      <w:pPr>
        <w:spacing w:after="0" w:line="15" w:lineRule="exact"/>
        <w:rPr>
          <w:sz w:val="20"/>
          <w:szCs w:val="20"/>
          <w:color w:val="auto"/>
        </w:rPr>
      </w:pPr>
    </w:p>
    <w:p>
      <w:pPr>
        <w:ind w:left="820" w:right="100" w:hanging="986"/>
        <w:spacing w:after="0" w:line="235" w:lineRule="auto"/>
        <w:tabs>
          <w:tab w:leader="none" w:pos="80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color w:val="auto"/>
        </w:rPr>
        <w:t>Research and Development Lab Lease, dated April 25, 2019, by and between Dragonfly Energy Corp. and BRE RS Greg Park Owner LLC.</w:t>
      </w:r>
    </w:p>
    <w:p>
      <w:pPr>
        <w:spacing w:after="0" w:line="13" w:lineRule="exact"/>
        <w:rPr>
          <w:sz w:val="20"/>
          <w:szCs w:val="20"/>
          <w:color w:val="auto"/>
        </w:rPr>
      </w:pPr>
    </w:p>
    <w:p>
      <w:pPr>
        <w:ind w:left="820" w:right="180" w:hanging="986"/>
        <w:spacing w:after="0" w:line="238" w:lineRule="auto"/>
        <w:tabs>
          <w:tab w:leader="none" w:pos="80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color w:val="auto"/>
        </w:rPr>
        <w:t>Amendment No. 1 to Research and Lab Lease, dated March 12, 2020, by and between Dragonfly Energy Corp. and DRE RS Greg Park Owner LLC.</w:t>
      </w:r>
    </w:p>
    <w:p>
      <w:pPr>
        <w:spacing w:after="0" w:line="12" w:lineRule="exact"/>
        <w:rPr>
          <w:sz w:val="20"/>
          <w:szCs w:val="20"/>
          <w:color w:val="auto"/>
        </w:rPr>
      </w:pPr>
    </w:p>
    <w:p>
      <w:pPr>
        <w:ind w:left="820" w:right="120" w:hanging="986"/>
        <w:spacing w:after="0" w:line="237" w:lineRule="auto"/>
        <w:tabs>
          <w:tab w:leader="none" w:pos="80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color w:val="auto"/>
        </w:rPr>
        <w:t>Amendment No. 2 to Research and Lab Lease, dated July 27, 2020, by and between Dragonfly Energy Corp. and DRE RS Greg Park Owner LLC.</w:t>
      </w:r>
    </w:p>
    <w:p>
      <w:pPr>
        <w:spacing w:after="0" w:line="15" w:lineRule="exact"/>
        <w:rPr>
          <w:sz w:val="20"/>
          <w:szCs w:val="20"/>
          <w:color w:val="auto"/>
        </w:rPr>
      </w:pPr>
    </w:p>
    <w:p>
      <w:pPr>
        <w:ind w:left="820" w:right="120" w:hanging="986"/>
        <w:spacing w:after="0" w:line="237" w:lineRule="auto"/>
        <w:tabs>
          <w:tab w:leader="none" w:pos="80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color w:val="auto"/>
        </w:rPr>
        <w:t>Amendment No. 3 to Research and Lab Lease, dated August 26, 2020, by and between Dragonfly Energy Corp. and DRE RS Greg Park Owner LLC.</w:t>
      </w:r>
    </w:p>
    <w:p>
      <w:pPr>
        <w:spacing w:after="0" w:line="13" w:lineRule="exact"/>
        <w:rPr>
          <w:sz w:val="20"/>
          <w:szCs w:val="20"/>
          <w:color w:val="auto"/>
        </w:rPr>
      </w:pPr>
    </w:p>
    <w:p>
      <w:pPr>
        <w:ind w:left="820" w:right="100" w:hanging="986"/>
        <w:spacing w:after="0" w:line="238" w:lineRule="auto"/>
        <w:tabs>
          <w:tab w:leader="none" w:pos="80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color w:val="auto"/>
        </w:rPr>
        <w:t>Amendment No. 4 to Research and Lab Lease, dated December 16, 2020, by and between Dragonfly Energy Corp. and BRS RS Greg Park Owner LLC.</w:t>
      </w:r>
    </w:p>
    <w:p>
      <w:pPr>
        <w:spacing w:after="0" w:line="12" w:lineRule="exact"/>
        <w:rPr>
          <w:sz w:val="20"/>
          <w:szCs w:val="20"/>
          <w:color w:val="auto"/>
        </w:rPr>
      </w:pPr>
    </w:p>
    <w:p>
      <w:pPr>
        <w:ind w:left="820" w:hanging="986"/>
        <w:spacing w:after="0" w:line="238" w:lineRule="auto"/>
        <w:tabs>
          <w:tab w:leader="none" w:pos="80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color w:val="auto"/>
        </w:rPr>
        <w:t>Amendment No. 5 to Research and Lab Lease, dated January 28, 2022, by and between Dragonfly Energy Corp. and BRS RS Greg Park Owner LLC.</w:t>
      </w:r>
    </w:p>
    <w:p>
      <w:pPr>
        <w:spacing w:after="0" w:line="12" w:lineRule="exact"/>
        <w:rPr>
          <w:sz w:val="20"/>
          <w:szCs w:val="20"/>
          <w:color w:val="auto"/>
        </w:rPr>
      </w:pPr>
    </w:p>
    <w:p>
      <w:pPr>
        <w:ind w:left="820" w:hanging="986"/>
        <w:spacing w:after="0" w:line="239" w:lineRule="auto"/>
        <w:tabs>
          <w:tab w:leader="none" w:pos="80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color w:val="auto"/>
        </w:rPr>
        <w:t>Limited Waiver, dated as of March 29, 2023, to the Term Loan, Guarantee and Security Agreement, dated as of October 7, 2022, by and among Dragonfly Energy Holdings Corp., Dragonfly Energy Corp., the lenders from time to time party thereto and Alter Domus (US) LLC.</w:t>
      </w:r>
    </w:p>
    <w:p>
      <w:pPr>
        <w:spacing w:after="0" w:line="12" w:lineRule="exact"/>
        <w:rPr>
          <w:sz w:val="20"/>
          <w:szCs w:val="20"/>
          <w:color w:val="auto"/>
        </w:rPr>
      </w:pPr>
    </w:p>
    <w:p>
      <w:pPr>
        <w:ind w:left="820" w:hanging="986"/>
        <w:spacing w:after="0" w:line="239" w:lineRule="auto"/>
        <w:tabs>
          <w:tab w:leader="none" w:pos="800" w:val="left"/>
        </w:tabs>
        <w:rPr>
          <w:sz w:val="20"/>
          <w:szCs w:val="20"/>
          <w:color w:val="auto"/>
        </w:rPr>
      </w:pPr>
      <w:r>
        <w:rPr>
          <w:rFonts w:ascii="Times New Roman" w:cs="Times New Roman" w:eastAsia="Times New Roman" w:hAnsi="Times New Roman"/>
          <w:sz w:val="20"/>
          <w:szCs w:val="20"/>
          <w:color w:val="auto"/>
        </w:rPr>
        <w:t>10.35</w:t>
      </w:r>
      <w:r>
        <w:rPr>
          <w:sz w:val="20"/>
          <w:szCs w:val="20"/>
          <w:color w:val="auto"/>
        </w:rPr>
        <w:tab/>
      </w:r>
      <w:r>
        <w:rPr>
          <w:rFonts w:ascii="Times New Roman" w:cs="Times New Roman" w:eastAsia="Times New Roman" w:hAnsi="Times New Roman"/>
          <w:sz w:val="20"/>
          <w:szCs w:val="20"/>
          <w:color w:val="auto"/>
        </w:rPr>
        <w:t>Limited Waiver, dated as of December 29, 2023, to the Term Loan, Guarantee and Security Agreement, dated as of October 7, 2022, by and among Dragonfly Energy Holdings Corp., Dragonfly Energy Corp., the lenders from time to time party thereto and Alter Domus (US) LLC.</w:t>
      </w:r>
    </w:p>
    <w:p>
      <w:pPr>
        <w:spacing w:after="0" w:line="12" w:lineRule="exact"/>
        <w:rPr>
          <w:sz w:val="20"/>
          <w:szCs w:val="20"/>
          <w:color w:val="auto"/>
        </w:rPr>
      </w:pPr>
    </w:p>
    <w:p>
      <w:pPr>
        <w:ind w:left="820" w:right="660" w:hanging="986"/>
        <w:spacing w:after="0" w:line="254" w:lineRule="auto"/>
        <w:tabs>
          <w:tab w:leader="none" w:pos="800" w:val="left"/>
        </w:tabs>
        <w:rPr>
          <w:sz w:val="20"/>
          <w:szCs w:val="20"/>
          <w:color w:val="auto"/>
        </w:rPr>
      </w:pPr>
      <w:r>
        <w:rPr>
          <w:rFonts w:ascii="Times New Roman" w:cs="Times New Roman" w:eastAsia="Times New Roman" w:hAnsi="Times New Roman"/>
          <w:sz w:val="20"/>
          <w:szCs w:val="20"/>
          <w:color w:val="auto"/>
        </w:rPr>
        <w:t>10.36++</w:t>
      </w:r>
      <w:r>
        <w:rPr>
          <w:sz w:val="20"/>
          <w:szCs w:val="20"/>
          <w:color w:val="auto"/>
        </w:rPr>
        <w:tab/>
      </w:r>
      <w:r>
        <w:rPr>
          <w:rFonts w:ascii="Times New Roman" w:cs="Times New Roman" w:eastAsia="Times New Roman" w:hAnsi="Times New Roman"/>
          <w:sz w:val="19"/>
          <w:szCs w:val="19"/>
          <w:color w:val="auto"/>
        </w:rPr>
        <w:t>Employment Agreement, dated as of November 7, 2022, by and between Dragonfly Energy Holdings Corp. and Wade Seaburg.</w:t>
      </w:r>
    </w:p>
    <w:p>
      <w:pPr>
        <w:spacing w:after="0" w:line="1" w:lineRule="exact"/>
        <w:rPr>
          <w:sz w:val="20"/>
          <w:szCs w:val="20"/>
          <w:color w:val="auto"/>
        </w:rPr>
      </w:pPr>
    </w:p>
    <w:p>
      <w:pPr>
        <w:ind w:left="820" w:right="660" w:hanging="986"/>
        <w:spacing w:after="0" w:line="255" w:lineRule="auto"/>
        <w:tabs>
          <w:tab w:leader="none" w:pos="800" w:val="left"/>
        </w:tabs>
        <w:rPr>
          <w:sz w:val="20"/>
          <w:szCs w:val="20"/>
          <w:color w:val="auto"/>
        </w:rPr>
      </w:pPr>
      <w:r>
        <w:rPr>
          <w:rFonts w:ascii="Times New Roman" w:cs="Times New Roman" w:eastAsia="Times New Roman" w:hAnsi="Times New Roman"/>
          <w:sz w:val="20"/>
          <w:szCs w:val="20"/>
          <w:color w:val="auto"/>
        </w:rPr>
        <w:t>10.37++</w:t>
      </w:r>
      <w:r>
        <w:rPr>
          <w:sz w:val="20"/>
          <w:szCs w:val="20"/>
          <w:color w:val="auto"/>
        </w:rPr>
        <w:tab/>
      </w:r>
      <w:r>
        <w:rPr>
          <w:rFonts w:ascii="Times New Roman" w:cs="Times New Roman" w:eastAsia="Times New Roman" w:hAnsi="Times New Roman"/>
          <w:sz w:val="19"/>
          <w:szCs w:val="19"/>
          <w:color w:val="auto"/>
        </w:rPr>
        <w:t>Employment Agreement, dated as of November 7, 2022, by and between Dragonfly Energy Holdings Corp. and Tyler Bourns.</w:t>
      </w:r>
    </w:p>
    <w:p>
      <w:pPr>
        <w:ind w:left="820" w:right="40" w:hanging="986"/>
        <w:spacing w:after="0" w:line="235" w:lineRule="auto"/>
        <w:tabs>
          <w:tab w:leader="none" w:pos="800" w:val="left"/>
        </w:tabs>
        <w:rPr>
          <w:sz w:val="20"/>
          <w:szCs w:val="20"/>
          <w:color w:val="auto"/>
        </w:rPr>
      </w:pPr>
      <w:r>
        <w:rPr>
          <w:rFonts w:ascii="Times New Roman" w:cs="Times New Roman" w:eastAsia="Times New Roman" w:hAnsi="Times New Roman"/>
          <w:sz w:val="20"/>
          <w:szCs w:val="20"/>
          <w:color w:val="auto"/>
        </w:rPr>
        <w:t>10.38</w:t>
      </w:r>
      <w:r>
        <w:rPr>
          <w:sz w:val="20"/>
          <w:szCs w:val="20"/>
          <w:color w:val="auto"/>
        </w:rPr>
        <w:tab/>
      </w:r>
      <w:r>
        <w:rPr>
          <w:rFonts w:ascii="Times New Roman" w:cs="Times New Roman" w:eastAsia="Times New Roman" w:hAnsi="Times New Roman"/>
          <w:sz w:val="20"/>
          <w:szCs w:val="20"/>
          <w:color w:val="auto"/>
        </w:rPr>
        <w:t>Fernley Lease, dated April 12, 2024, by and between Dragonfly Energy Corp., Cottonmill Properties, LLC, and Marlene Thier.</w:t>
      </w:r>
    </w:p>
    <w:p>
      <w:pPr>
        <w:spacing w:after="0" w:line="13" w:lineRule="exact"/>
        <w:rPr>
          <w:sz w:val="20"/>
          <w:szCs w:val="20"/>
          <w:color w:val="auto"/>
        </w:rPr>
      </w:pPr>
    </w:p>
    <w:p>
      <w:pPr>
        <w:ind w:left="820" w:right="60" w:hanging="986"/>
        <w:spacing w:after="0" w:line="238" w:lineRule="auto"/>
        <w:tabs>
          <w:tab w:leader="none" w:pos="800" w:val="left"/>
        </w:tabs>
        <w:rPr>
          <w:sz w:val="20"/>
          <w:szCs w:val="20"/>
          <w:color w:val="auto"/>
        </w:rPr>
      </w:pPr>
      <w:r>
        <w:rPr>
          <w:rFonts w:ascii="Times New Roman" w:cs="Times New Roman" w:eastAsia="Times New Roman" w:hAnsi="Times New Roman"/>
          <w:sz w:val="20"/>
          <w:szCs w:val="20"/>
          <w:color w:val="auto"/>
        </w:rPr>
        <w:t>10.39++</w:t>
      </w:r>
      <w:r>
        <w:rPr>
          <w:sz w:val="20"/>
          <w:szCs w:val="20"/>
          <w:color w:val="auto"/>
        </w:rPr>
        <w:tab/>
      </w:r>
      <w:r>
        <w:rPr>
          <w:rFonts w:ascii="Times New Roman" w:cs="Times New Roman" w:eastAsia="Times New Roman" w:hAnsi="Times New Roman"/>
          <w:sz w:val="20"/>
          <w:szCs w:val="20"/>
          <w:color w:val="auto"/>
        </w:rPr>
        <w:t>Amendment No. 1 to Employment Agreement, effective as of April 12, 2024, by and between Dragonfly Energy Holdings Corp. and Denis Phares.</w:t>
      </w:r>
    </w:p>
    <w:p>
      <w:pPr>
        <w:spacing w:after="0" w:line="12" w:lineRule="exact"/>
        <w:rPr>
          <w:sz w:val="20"/>
          <w:szCs w:val="20"/>
          <w:color w:val="auto"/>
        </w:rPr>
      </w:pPr>
    </w:p>
    <w:p>
      <w:pPr>
        <w:ind w:left="820" w:right="60" w:hanging="986"/>
        <w:spacing w:after="0" w:line="238" w:lineRule="auto"/>
        <w:tabs>
          <w:tab w:leader="none" w:pos="800" w:val="left"/>
        </w:tabs>
        <w:rPr>
          <w:sz w:val="20"/>
          <w:szCs w:val="20"/>
          <w:color w:val="auto"/>
        </w:rPr>
      </w:pPr>
      <w:r>
        <w:rPr>
          <w:rFonts w:ascii="Times New Roman" w:cs="Times New Roman" w:eastAsia="Times New Roman" w:hAnsi="Times New Roman"/>
          <w:sz w:val="20"/>
          <w:szCs w:val="20"/>
          <w:color w:val="auto"/>
        </w:rPr>
        <w:t>10.40++</w:t>
      </w:r>
      <w:r>
        <w:rPr>
          <w:sz w:val="20"/>
          <w:szCs w:val="20"/>
          <w:color w:val="auto"/>
        </w:rPr>
        <w:tab/>
      </w:r>
      <w:r>
        <w:rPr>
          <w:rFonts w:ascii="Times New Roman" w:cs="Times New Roman" w:eastAsia="Times New Roman" w:hAnsi="Times New Roman"/>
          <w:sz w:val="20"/>
          <w:szCs w:val="20"/>
          <w:color w:val="auto"/>
        </w:rPr>
        <w:t>Amendment No. 1 to Employment Agreement, effective as of April 12, 2024, by and between Dragonfly Energy Holdings Corp. and Wade Seaburg.</w:t>
      </w:r>
    </w:p>
    <w:p>
      <w:pPr>
        <w:spacing w:after="0" w:line="12" w:lineRule="exact"/>
        <w:rPr>
          <w:sz w:val="20"/>
          <w:szCs w:val="20"/>
          <w:color w:val="auto"/>
        </w:rPr>
      </w:pPr>
    </w:p>
    <w:p>
      <w:pPr>
        <w:ind w:left="820" w:right="60" w:hanging="986"/>
        <w:spacing w:after="0" w:line="237" w:lineRule="auto"/>
        <w:tabs>
          <w:tab w:leader="none" w:pos="800" w:val="left"/>
        </w:tabs>
        <w:rPr>
          <w:sz w:val="20"/>
          <w:szCs w:val="20"/>
          <w:color w:val="auto"/>
        </w:rPr>
      </w:pPr>
      <w:r>
        <w:rPr>
          <w:rFonts w:ascii="Times New Roman" w:cs="Times New Roman" w:eastAsia="Times New Roman" w:hAnsi="Times New Roman"/>
          <w:sz w:val="20"/>
          <w:szCs w:val="20"/>
          <w:color w:val="auto"/>
        </w:rPr>
        <w:t>10.41++</w:t>
      </w:r>
      <w:r>
        <w:rPr>
          <w:sz w:val="20"/>
          <w:szCs w:val="20"/>
          <w:color w:val="auto"/>
        </w:rPr>
        <w:tab/>
      </w:r>
      <w:r>
        <w:rPr>
          <w:rFonts w:ascii="Times New Roman" w:cs="Times New Roman" w:eastAsia="Times New Roman" w:hAnsi="Times New Roman"/>
          <w:sz w:val="20"/>
          <w:szCs w:val="20"/>
          <w:color w:val="auto"/>
        </w:rPr>
        <w:t>Amendment No. 1 to Employment Agreement, effective as of April 12, 2024, by and between Dragonfly Energy Holdings Corp. and Tyler Bourns.</w:t>
      </w:r>
    </w:p>
    <w:p>
      <w:pPr>
        <w:spacing w:after="0" w:line="15" w:lineRule="exact"/>
        <w:rPr>
          <w:sz w:val="20"/>
          <w:szCs w:val="20"/>
          <w:color w:val="auto"/>
        </w:rPr>
      </w:pPr>
    </w:p>
    <w:p>
      <w:pPr>
        <w:ind w:left="820" w:hanging="986"/>
        <w:spacing w:after="0" w:line="235" w:lineRule="auto"/>
        <w:tabs>
          <w:tab w:leader="none" w:pos="800" w:val="left"/>
        </w:tabs>
        <w:rPr>
          <w:sz w:val="20"/>
          <w:szCs w:val="20"/>
          <w:color w:val="auto"/>
        </w:rPr>
      </w:pPr>
      <w:r>
        <w:rPr>
          <w:rFonts w:ascii="Times New Roman" w:cs="Times New Roman" w:eastAsia="Times New Roman" w:hAnsi="Times New Roman"/>
          <w:sz w:val="20"/>
          <w:szCs w:val="20"/>
          <w:color w:val="auto"/>
        </w:rPr>
        <w:t>10.42</w:t>
      </w:r>
      <w:r>
        <w:rPr>
          <w:sz w:val="20"/>
          <w:szCs w:val="20"/>
          <w:color w:val="auto"/>
        </w:rPr>
        <w:tab/>
      </w:r>
      <w:r>
        <w:rPr>
          <w:rFonts w:ascii="Times New Roman" w:cs="Times New Roman" w:eastAsia="Times New Roman" w:hAnsi="Times New Roman"/>
          <w:sz w:val="20"/>
          <w:szCs w:val="20"/>
          <w:color w:val="auto"/>
        </w:rPr>
        <w:t>Limited Waiver, dated as of May 13, 2024, to the Term Loan, Guarantee and Security Agreement, dated as of October 7, 2022, by and</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7620</wp:posOffset>
                </wp:positionV>
                <wp:extent cx="201168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168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0.6pt" to="158.05pt,0.6pt" o:allowincell="f" strokecolor="#000000" strokeweight="0.9599pt"/>
            </w:pict>
          </mc:Fallback>
        </mc:AlternateContent>
      </w:r>
    </w:p>
    <w:p>
      <w:pPr>
        <w:spacing w:after="0" w:line="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b w:val="1"/>
          <w:bCs w:val="1"/>
          <w:color w:val="auto"/>
        </w:rPr>
        <w:t>Filing</w:t>
      </w:r>
    </w:p>
    <w:p>
      <w:pPr>
        <w:spacing w:after="0" w:line="2" w:lineRule="exact"/>
        <w:rPr>
          <w:sz w:val="20"/>
          <w:szCs w:val="20"/>
          <w:color w:val="auto"/>
        </w:rPr>
      </w:pPr>
    </w:p>
    <w:p>
      <w:pPr>
        <w:ind w:left="220"/>
        <w:spacing w:after="0"/>
        <w:tabs>
          <w:tab w:leader="none" w:pos="1200" w:val="left"/>
          <w:tab w:leader="none" w:pos="2440" w:val="left"/>
        </w:tabs>
        <w:rPr>
          <w:sz w:val="20"/>
          <w:szCs w:val="20"/>
          <w:color w:val="auto"/>
        </w:rPr>
      </w:pPr>
      <w:r>
        <w:rPr>
          <w:rFonts w:ascii="Times New Roman" w:cs="Times New Roman" w:eastAsia="Times New Roman" w:hAnsi="Times New Roman"/>
          <w:sz w:val="20"/>
          <w:szCs w:val="20"/>
          <w:b w:val="1"/>
          <w:bCs w:val="1"/>
          <w:color w:val="auto"/>
        </w:rPr>
        <w:t>Form</w:t>
      </w:r>
      <w:r>
        <w:rPr>
          <w:sz w:val="20"/>
          <w:szCs w:val="20"/>
          <w:color w:val="auto"/>
        </w:rPr>
        <w:tab/>
      </w:r>
      <w:r>
        <w:rPr>
          <w:rFonts w:ascii="Times New Roman" w:cs="Times New Roman" w:eastAsia="Times New Roman" w:hAnsi="Times New Roman"/>
          <w:sz w:val="20"/>
          <w:szCs w:val="20"/>
          <w:b w:val="1"/>
          <w:bCs w:val="1"/>
          <w:color w:val="auto"/>
        </w:rPr>
        <w:t>Exhibit</w:t>
      </w:r>
      <w:r>
        <w:rPr>
          <w:sz w:val="20"/>
          <w:szCs w:val="20"/>
          <w:color w:val="auto"/>
        </w:rPr>
        <w:tab/>
      </w: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7620</wp:posOffset>
                </wp:positionV>
                <wp:extent cx="59372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0.6pt" to="46.4pt,0.6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680720</wp:posOffset>
                </wp:positionH>
                <wp:positionV relativeFrom="paragraph">
                  <wp:posOffset>7620</wp:posOffset>
                </wp:positionV>
                <wp:extent cx="59436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6pt,0.6pt" to="100.4pt,0.6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1366520</wp:posOffset>
                </wp:positionH>
                <wp:positionV relativeFrom="paragraph">
                  <wp:posOffset>7620</wp:posOffset>
                </wp:positionV>
                <wp:extent cx="64071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6pt,0.6pt" to="158.05pt,0.6pt" o:allowincell="f" strokecolor="#000000" strokeweight="0.9599pt"/>
            </w:pict>
          </mc:Fallback>
        </mc:AlternateContent>
      </w:r>
    </w:p>
    <w:p>
      <w:pPr>
        <w:spacing w:after="0"/>
        <w:tabs>
          <w:tab w:leader="none" w:pos="1060" w:val="left"/>
          <w:tab w:leader="none" w:pos="21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19"/>
          <w:szCs w:val="19"/>
          <w:color w:val="auto"/>
        </w:rPr>
        <w:t>04/17/2023</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10.29</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04/17/2023</w:t>
            </w:r>
          </w:p>
        </w:tc>
      </w:tr>
      <w:tr>
        <w:trPr>
          <w:trHeight w:val="696"/>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10.30</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04/17/2023</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10.31</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04/17/2023</w:t>
            </w:r>
          </w:p>
        </w:tc>
      </w:tr>
      <w:tr>
        <w:trPr>
          <w:trHeight w:val="464"/>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10.32</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04/17/2023</w:t>
            </w:r>
          </w:p>
        </w:tc>
      </w:tr>
      <w:tr>
        <w:trPr>
          <w:trHeight w:val="696"/>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10.33</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04/17/2023</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10.34</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04/17/2023</w:t>
            </w:r>
          </w:p>
        </w:tc>
      </w:tr>
      <w:tr>
        <w:trPr>
          <w:trHeight w:val="696"/>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10.35</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04/17/2023</w:t>
            </w:r>
          </w:p>
        </w:tc>
      </w:tr>
      <w:tr>
        <w:trPr>
          <w:trHeight w:val="696"/>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10.36</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04/17/2023</w:t>
            </w:r>
          </w:p>
        </w:tc>
      </w:tr>
      <w:tr>
        <w:trPr>
          <w:trHeight w:val="695"/>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10.37</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04/17/2023</w:t>
            </w:r>
          </w:p>
        </w:tc>
      </w:tr>
      <w:tr>
        <w:trPr>
          <w:trHeight w:val="696"/>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10.38</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04/17/2023</w:t>
            </w:r>
          </w:p>
        </w:tc>
      </w:tr>
      <w:tr>
        <w:trPr>
          <w:trHeight w:val="696"/>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03/29/2023</w:t>
            </w:r>
          </w:p>
        </w:tc>
      </w:tr>
      <w:tr>
        <w:trPr>
          <w:trHeight w:val="92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12/29/2023</w:t>
            </w:r>
          </w:p>
        </w:tc>
      </w:tr>
      <w:tr>
        <w:trPr>
          <w:trHeight w:val="92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10.42</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04/16/2024</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10.43</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04/16/2024</w:t>
            </w:r>
          </w:p>
        </w:tc>
      </w:tr>
      <w:tr>
        <w:trPr>
          <w:trHeight w:val="464"/>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10.44</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04/16/2024</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10.45</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04/16/2024</w:t>
            </w:r>
          </w:p>
        </w:tc>
      </w:tr>
      <w:tr>
        <w:trPr>
          <w:trHeight w:val="696"/>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10.46</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04/16/2024</w:t>
            </w:r>
          </w:p>
        </w:tc>
      </w:tr>
      <w:tr>
        <w:trPr>
          <w:trHeight w:val="696"/>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10.47</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04/16/2024</w:t>
            </w:r>
          </w:p>
        </w:tc>
      </w:tr>
      <w:tr>
        <w:trPr>
          <w:trHeight w:val="696"/>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10-Q</w:t>
            </w:r>
          </w:p>
        </w:tc>
        <w:tc>
          <w:tcPr>
            <w:tcW w:w="11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05/14/2024</w:t>
            </w:r>
          </w:p>
        </w:tc>
      </w:tr>
    </w:tbl>
    <w:p>
      <w:pPr>
        <w:spacing w:after="0" w:line="430" w:lineRule="exact"/>
        <w:rPr>
          <w:sz w:val="20"/>
          <w:szCs w:val="20"/>
          <w:color w:val="auto"/>
        </w:rPr>
      </w:pPr>
    </w:p>
    <w:p>
      <w:pPr>
        <w:sectPr>
          <w:pgSz w:w="12240" w:h="15840" w:orient="portrait"/>
          <w:cols w:equalWidth="0" w:num="2">
            <w:col w:w="6600" w:space="160"/>
            <w:col w:w="3060"/>
          </w:cols>
          <w:pgMar w:left="1240" w:top="1079" w:right="1180" w:bottom="155" w:gutter="0" w:footer="0" w:header="0"/>
        </w:sectPr>
      </w:pPr>
    </w:p>
    <w:p>
      <w:pPr>
        <w:spacing w:after="0" w:line="1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820"/>
          </w:cols>
          <w:pgMar w:left="1240" w:top="1079" w:right="1180" w:bottom="155" w:gutter="0" w:footer="0" w:header="0"/>
          <w:type w:val="continuous"/>
        </w:sectPr>
      </w:pPr>
    </w:p>
    <w:bookmarkStart w:id="84" w:name="page85"/>
    <w:bookmarkEnd w:id="84"/>
    <w:p>
      <w:pPr>
        <w:spacing w:after="0" w:line="2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Exhibit</w:t>
      </w:r>
    </w:p>
    <w:p>
      <w:pPr>
        <w:spacing w:after="0" w:line="2" w:lineRule="exact"/>
        <w:rPr>
          <w:sz w:val="20"/>
          <w:szCs w:val="20"/>
          <w:color w:val="auto"/>
        </w:rPr>
      </w:pPr>
    </w:p>
    <w:p>
      <w:pPr>
        <w:ind w:left="300"/>
        <w:spacing w:after="0"/>
        <w:tabs>
          <w:tab w:leader="none" w:pos="3360" w:val="left"/>
        </w:tabs>
        <w:rPr>
          <w:sz w:val="20"/>
          <w:szCs w:val="20"/>
          <w:color w:val="auto"/>
        </w:rPr>
      </w:pPr>
      <w:r>
        <w:rPr>
          <w:rFonts w:ascii="Times New Roman" w:cs="Times New Roman" w:eastAsia="Times New Roman" w:hAnsi="Times New Roman"/>
          <w:sz w:val="20"/>
          <w:szCs w:val="20"/>
          <w:b w:val="1"/>
          <w:bCs w:val="1"/>
          <w:color w:val="auto"/>
        </w:rPr>
        <w:t>No .</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7620</wp:posOffset>
                </wp:positionV>
                <wp:extent cx="59436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6pt" to="46.8pt,0.6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626110</wp:posOffset>
                </wp:positionH>
                <wp:positionV relativeFrom="paragraph">
                  <wp:posOffset>7620</wp:posOffset>
                </wp:positionV>
                <wp:extent cx="367157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157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3pt,0.6pt" to="338.4pt,0.6pt" o:allowincell="f" strokecolor="#000000" strokeweight="0.9599pt"/>
            </w:pict>
          </mc:Fallback>
        </mc:AlternateContent>
      </w:r>
    </w:p>
    <w:p>
      <w:pPr>
        <w:ind w:left="980" w:right="60"/>
        <w:spacing w:after="0" w:line="255" w:lineRule="auto"/>
        <w:rPr>
          <w:sz w:val="20"/>
          <w:szCs w:val="20"/>
          <w:color w:val="auto"/>
        </w:rPr>
      </w:pPr>
      <w:r>
        <w:rPr>
          <w:rFonts w:ascii="Times New Roman" w:cs="Times New Roman" w:eastAsia="Times New Roman" w:hAnsi="Times New Roman"/>
          <w:sz w:val="19"/>
          <w:szCs w:val="19"/>
          <w:color w:val="auto"/>
        </w:rPr>
        <w:t>among Dragonfly Energy Holdings Corp., Dragonfly Energy Corp., the lenders from time to time party thereto and Alter Domus (US) LLC.</w:t>
      </w:r>
    </w:p>
    <w:p>
      <w:pPr>
        <w:ind w:left="980" w:right="160" w:hanging="986"/>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auto"/>
        </w:rPr>
        <w:t>10.43</w:t>
      </w:r>
      <w:r>
        <w:rPr>
          <w:sz w:val="20"/>
          <w:szCs w:val="20"/>
          <w:color w:val="auto"/>
        </w:rPr>
        <w:tab/>
      </w:r>
      <w:r>
        <w:rPr>
          <w:rFonts w:ascii="Times New Roman" w:cs="Times New Roman" w:eastAsia="Times New Roman" w:hAnsi="Times New Roman"/>
          <w:sz w:val="20"/>
          <w:szCs w:val="20"/>
          <w:color w:val="auto"/>
        </w:rPr>
        <w:t>Amended and Restated ChEF Purchase Agreement, by and between Chardan Capital Markets LLC and Dragonfly Energy Holdings Corp., dated May 20, 2024.</w:t>
      </w:r>
    </w:p>
    <w:p>
      <w:pPr>
        <w:spacing w:after="0" w:line="15" w:lineRule="exact"/>
        <w:rPr>
          <w:sz w:val="20"/>
          <w:szCs w:val="20"/>
          <w:color w:val="auto"/>
        </w:rPr>
      </w:pPr>
    </w:p>
    <w:p>
      <w:pPr>
        <w:ind w:left="980" w:right="20" w:hanging="986"/>
        <w:spacing w:after="0" w:line="238" w:lineRule="auto"/>
        <w:tabs>
          <w:tab w:leader="none" w:pos="960" w:val="left"/>
        </w:tabs>
        <w:rPr>
          <w:sz w:val="20"/>
          <w:szCs w:val="20"/>
          <w:color w:val="auto"/>
        </w:rPr>
      </w:pPr>
      <w:r>
        <w:rPr>
          <w:rFonts w:ascii="Times New Roman" w:cs="Times New Roman" w:eastAsia="Times New Roman" w:hAnsi="Times New Roman"/>
          <w:sz w:val="20"/>
          <w:szCs w:val="20"/>
          <w:color w:val="auto"/>
        </w:rPr>
        <w:t>10.44</w:t>
      </w:r>
      <w:r>
        <w:rPr>
          <w:sz w:val="20"/>
          <w:szCs w:val="20"/>
          <w:color w:val="auto"/>
        </w:rPr>
        <w:tab/>
      </w:r>
      <w:r>
        <w:rPr>
          <w:rFonts w:ascii="Times New Roman" w:cs="Times New Roman" w:eastAsia="Times New Roman" w:hAnsi="Times New Roman"/>
          <w:sz w:val="20"/>
          <w:szCs w:val="20"/>
          <w:color w:val="auto"/>
        </w:rPr>
        <w:t>Limited Waiver and First Amendment to Term Loan, Guarantee and Security Agreement, dated as of June 28, 2024, by and among Dragonfly Energy Holdings Corp., Dragonfly Energy Corp., the lenders from time to time party thereto and Alter Domus (US) LLC.</w:t>
      </w:r>
    </w:p>
    <w:p>
      <w:pPr>
        <w:spacing w:after="0" w:line="15" w:lineRule="exact"/>
        <w:rPr>
          <w:sz w:val="20"/>
          <w:szCs w:val="20"/>
          <w:color w:val="auto"/>
        </w:rPr>
      </w:pPr>
    </w:p>
    <w:p>
      <w:pPr>
        <w:ind w:left="980" w:hanging="986"/>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auto"/>
        </w:rPr>
        <w:t>10.45#</w:t>
      </w:r>
      <w:r>
        <w:rPr>
          <w:sz w:val="20"/>
          <w:szCs w:val="20"/>
          <w:color w:val="auto"/>
        </w:rPr>
        <w:tab/>
      </w:r>
      <w:r>
        <w:rPr>
          <w:rFonts w:ascii="Times New Roman" w:cs="Times New Roman" w:eastAsia="Times New Roman" w:hAnsi="Times New Roman"/>
          <w:sz w:val="20"/>
          <w:szCs w:val="20"/>
          <w:color w:val="auto"/>
        </w:rPr>
        <w:t>Trademark License Agreement, by and among Dragonfly Energy Corp., Battle Born Battery Products, LLC, and Stryten Energy LLC, dated as of July 29, 2024.</w:t>
      </w:r>
    </w:p>
    <w:p>
      <w:pPr>
        <w:spacing w:after="0" w:line="13" w:lineRule="exact"/>
        <w:rPr>
          <w:sz w:val="20"/>
          <w:szCs w:val="20"/>
          <w:color w:val="auto"/>
        </w:rPr>
      </w:pPr>
    </w:p>
    <w:p>
      <w:pPr>
        <w:ind w:left="980" w:right="100" w:hanging="986"/>
        <w:spacing w:after="0" w:line="238" w:lineRule="auto"/>
        <w:tabs>
          <w:tab w:leader="none" w:pos="960" w:val="left"/>
        </w:tabs>
        <w:rPr>
          <w:sz w:val="20"/>
          <w:szCs w:val="20"/>
          <w:color w:val="auto"/>
        </w:rPr>
      </w:pPr>
      <w:r>
        <w:rPr>
          <w:rFonts w:ascii="Times New Roman" w:cs="Times New Roman" w:eastAsia="Times New Roman" w:hAnsi="Times New Roman"/>
          <w:sz w:val="20"/>
          <w:szCs w:val="20"/>
          <w:color w:val="auto"/>
        </w:rPr>
        <w:t>10.46#</w:t>
      </w:r>
      <w:r>
        <w:rPr>
          <w:sz w:val="20"/>
          <w:szCs w:val="20"/>
          <w:color w:val="auto"/>
        </w:rPr>
        <w:tab/>
      </w:r>
      <w:r>
        <w:rPr>
          <w:rFonts w:ascii="Times New Roman" w:cs="Times New Roman" w:eastAsia="Times New Roman" w:hAnsi="Times New Roman"/>
          <w:sz w:val="20"/>
          <w:szCs w:val="20"/>
          <w:color w:val="auto"/>
        </w:rPr>
        <w:t>Trademark Transfer and License-Back Agreement, by and between Dragonfly Energy Corp. and Battle Born Battery Products, LLC, dated as of July 29, 2024.</w:t>
      </w:r>
    </w:p>
    <w:p>
      <w:pPr>
        <w:spacing w:after="0" w:line="12" w:lineRule="exact"/>
        <w:rPr>
          <w:sz w:val="20"/>
          <w:szCs w:val="20"/>
          <w:color w:val="auto"/>
        </w:rPr>
      </w:pPr>
    </w:p>
    <w:p>
      <w:pPr>
        <w:ind w:left="980" w:right="60" w:hanging="986"/>
        <w:spacing w:after="0" w:line="239" w:lineRule="auto"/>
        <w:tabs>
          <w:tab w:leader="none" w:pos="960" w:val="left"/>
        </w:tabs>
        <w:rPr>
          <w:sz w:val="20"/>
          <w:szCs w:val="20"/>
          <w:color w:val="auto"/>
        </w:rPr>
      </w:pPr>
      <w:r>
        <w:rPr>
          <w:rFonts w:ascii="Times New Roman" w:cs="Times New Roman" w:eastAsia="Times New Roman" w:hAnsi="Times New Roman"/>
          <w:sz w:val="20"/>
          <w:szCs w:val="20"/>
          <w:color w:val="auto"/>
        </w:rPr>
        <w:t>10.47#</w:t>
      </w:r>
      <w:r>
        <w:rPr>
          <w:sz w:val="20"/>
          <w:szCs w:val="20"/>
          <w:color w:val="auto"/>
        </w:rPr>
        <w:tab/>
      </w:r>
      <w:r>
        <w:rPr>
          <w:rFonts w:ascii="Times New Roman" w:cs="Times New Roman" w:eastAsia="Times New Roman" w:hAnsi="Times New Roman"/>
          <w:sz w:val="20"/>
          <w:szCs w:val="20"/>
          <w:color w:val="auto"/>
        </w:rPr>
        <w:t>Limited Waiver, Consent and Second Amendment to Term Loan, Guarantee and Security Agreement, dated as of July 29, 2024, by and among Dragonfly Energy Corp., Dragonfly Energy Holdings Corp., Battle Born Battery Products, LLC, the lenders from time-to-time party thereto and Alter Domus (US) LLC.</w:t>
      </w:r>
    </w:p>
    <w:p>
      <w:pPr>
        <w:spacing w:after="0" w:line="14" w:lineRule="exact"/>
        <w:rPr>
          <w:sz w:val="20"/>
          <w:szCs w:val="20"/>
          <w:color w:val="auto"/>
        </w:rPr>
      </w:pPr>
    </w:p>
    <w:p>
      <w:pPr>
        <w:ind w:left="980" w:right="480" w:hanging="986"/>
        <w:spacing w:after="0" w:line="238" w:lineRule="auto"/>
        <w:tabs>
          <w:tab w:leader="none" w:pos="960" w:val="left"/>
        </w:tabs>
        <w:rPr>
          <w:sz w:val="20"/>
          <w:szCs w:val="20"/>
          <w:color w:val="auto"/>
        </w:rPr>
      </w:pPr>
      <w:r>
        <w:rPr>
          <w:rFonts w:ascii="Times New Roman" w:cs="Times New Roman" w:eastAsia="Times New Roman" w:hAnsi="Times New Roman"/>
          <w:sz w:val="20"/>
          <w:szCs w:val="20"/>
          <w:color w:val="auto"/>
        </w:rPr>
        <w:t>10.48</w:t>
      </w:r>
      <w:r>
        <w:rPr>
          <w:sz w:val="20"/>
          <w:szCs w:val="20"/>
          <w:color w:val="auto"/>
        </w:rPr>
        <w:tab/>
      </w:r>
      <w:r>
        <w:rPr>
          <w:rFonts w:ascii="Times New Roman" w:cs="Times New Roman" w:eastAsia="Times New Roman" w:hAnsi="Times New Roman"/>
          <w:sz w:val="20"/>
          <w:szCs w:val="20"/>
          <w:color w:val="auto"/>
        </w:rPr>
        <w:t>Joinder Agreement, by Battle Born Battery Products, LLC and acknowledged by Dragonfly Energy Corp., and Dragonfly Energy Holdings Corp., dated as of July 29, 2024.</w:t>
      </w:r>
    </w:p>
    <w:p>
      <w:pPr>
        <w:spacing w:after="0" w:line="12" w:lineRule="exact"/>
        <w:rPr>
          <w:sz w:val="20"/>
          <w:szCs w:val="20"/>
          <w:color w:val="auto"/>
        </w:rPr>
      </w:pPr>
    </w:p>
    <w:p>
      <w:pPr>
        <w:ind w:left="980" w:right="20" w:hanging="986"/>
        <w:spacing w:after="0" w:line="239" w:lineRule="auto"/>
        <w:tabs>
          <w:tab w:leader="none" w:pos="960" w:val="left"/>
        </w:tabs>
        <w:rPr>
          <w:sz w:val="20"/>
          <w:szCs w:val="20"/>
          <w:color w:val="auto"/>
        </w:rPr>
      </w:pPr>
      <w:r>
        <w:rPr>
          <w:rFonts w:ascii="Times New Roman" w:cs="Times New Roman" w:eastAsia="Times New Roman" w:hAnsi="Times New Roman"/>
          <w:sz w:val="20"/>
          <w:szCs w:val="20"/>
          <w:color w:val="auto"/>
        </w:rPr>
        <w:t>10.49</w:t>
      </w:r>
      <w:r>
        <w:rPr>
          <w:sz w:val="20"/>
          <w:szCs w:val="20"/>
          <w:color w:val="auto"/>
        </w:rPr>
        <w:tab/>
      </w:r>
      <w:r>
        <w:rPr>
          <w:rFonts w:ascii="Times New Roman" w:cs="Times New Roman" w:eastAsia="Times New Roman" w:hAnsi="Times New Roman"/>
          <w:sz w:val="20"/>
          <w:szCs w:val="20"/>
          <w:color w:val="auto"/>
        </w:rPr>
        <w:t>Limited Waiver and Third Amendment to Term Loan, Guarantee and Security Agreement, dated as of September 30, 2024, by and among Dragonfly Energy Holdings Corp., Dragonfly Energy Corp., the lenders from time to time party thereto and Alter Domus (US) LLC.</w:t>
      </w:r>
    </w:p>
    <w:p>
      <w:pPr>
        <w:spacing w:after="0" w:line="12" w:lineRule="exact"/>
        <w:rPr>
          <w:sz w:val="20"/>
          <w:szCs w:val="20"/>
          <w:color w:val="auto"/>
        </w:rPr>
      </w:pPr>
    </w:p>
    <w:p>
      <w:pPr>
        <w:ind w:left="980" w:right="20" w:hanging="986"/>
        <w:spacing w:after="0" w:line="239" w:lineRule="auto"/>
        <w:tabs>
          <w:tab w:leader="none" w:pos="960" w:val="left"/>
        </w:tabs>
        <w:rPr>
          <w:sz w:val="20"/>
          <w:szCs w:val="20"/>
          <w:color w:val="auto"/>
        </w:rPr>
      </w:pPr>
      <w:r>
        <w:rPr>
          <w:rFonts w:ascii="Times New Roman" w:cs="Times New Roman" w:eastAsia="Times New Roman" w:hAnsi="Times New Roman"/>
          <w:sz w:val="20"/>
          <w:szCs w:val="20"/>
          <w:color w:val="auto"/>
        </w:rPr>
        <w:t>10.50</w:t>
      </w:r>
      <w:r>
        <w:rPr>
          <w:sz w:val="20"/>
          <w:szCs w:val="20"/>
          <w:color w:val="auto"/>
        </w:rPr>
        <w:tab/>
      </w:r>
      <w:r>
        <w:rPr>
          <w:rFonts w:ascii="Times New Roman" w:cs="Times New Roman" w:eastAsia="Times New Roman" w:hAnsi="Times New Roman"/>
          <w:sz w:val="20"/>
          <w:szCs w:val="20"/>
          <w:color w:val="auto"/>
        </w:rPr>
        <w:t>Limited Waiver and Fourth Amendment to Term Loan, Guarantee and Security Agreement, dated as of December 31, 2024, by and among Dragonfly Energy Holdings Corp., Dragonfly Energy Corp., Battle Born Battery Products, LLC, the lenders from time to time party thereto and Alter Domus (US) LLC.</w:t>
      </w:r>
    </w:p>
    <w:p>
      <w:pPr>
        <w:spacing w:after="0" w:line="14" w:lineRule="exact"/>
        <w:rPr>
          <w:sz w:val="20"/>
          <w:szCs w:val="20"/>
          <w:color w:val="auto"/>
        </w:rPr>
      </w:pPr>
    </w:p>
    <w:p>
      <w:pPr>
        <w:ind w:left="980" w:right="60" w:hanging="986"/>
        <w:spacing w:after="0" w:line="238" w:lineRule="auto"/>
        <w:tabs>
          <w:tab w:leader="none" w:pos="960" w:val="left"/>
        </w:tabs>
        <w:rPr>
          <w:sz w:val="20"/>
          <w:szCs w:val="20"/>
          <w:color w:val="auto"/>
        </w:rPr>
      </w:pPr>
      <w:r>
        <w:rPr>
          <w:rFonts w:ascii="Times New Roman" w:cs="Times New Roman" w:eastAsia="Times New Roman" w:hAnsi="Times New Roman"/>
          <w:sz w:val="20"/>
          <w:szCs w:val="20"/>
          <w:color w:val="auto"/>
        </w:rPr>
        <w:t>10.51</w:t>
      </w:r>
      <w:r>
        <w:rPr>
          <w:sz w:val="20"/>
          <w:szCs w:val="20"/>
          <w:color w:val="auto"/>
        </w:rPr>
        <w:tab/>
      </w:r>
      <w:r>
        <w:rPr>
          <w:rFonts w:ascii="Times New Roman" w:cs="Times New Roman" w:eastAsia="Times New Roman" w:hAnsi="Times New Roman"/>
          <w:sz w:val="20"/>
          <w:szCs w:val="20"/>
          <w:color w:val="auto"/>
        </w:rPr>
        <w:t>Support Agreement, dated as of December 31, 2024, by and among Dragonfly Energy Holdings Corp. and the shareholder identified on the signature pages thereto.</w:t>
      </w:r>
    </w:p>
    <w:p>
      <w:pPr>
        <w:spacing w:after="0" w:line="12" w:lineRule="exact"/>
        <w:rPr>
          <w:sz w:val="20"/>
          <w:szCs w:val="20"/>
          <w:color w:val="auto"/>
        </w:rPr>
      </w:pPr>
    </w:p>
    <w:p>
      <w:pPr>
        <w:ind w:left="980" w:right="20" w:hanging="986"/>
        <w:spacing w:after="0" w:line="235" w:lineRule="auto"/>
        <w:tabs>
          <w:tab w:leader="none" w:pos="960" w:val="left"/>
        </w:tabs>
        <w:rPr>
          <w:sz w:val="20"/>
          <w:szCs w:val="20"/>
          <w:color w:val="auto"/>
        </w:rPr>
      </w:pPr>
      <w:r>
        <w:rPr>
          <w:rFonts w:ascii="Times New Roman" w:cs="Times New Roman" w:eastAsia="Times New Roman" w:hAnsi="Times New Roman"/>
          <w:sz w:val="20"/>
          <w:szCs w:val="20"/>
          <w:color w:val="auto"/>
        </w:rPr>
        <w:t>10.52++</w:t>
      </w:r>
      <w:r>
        <w:rPr>
          <w:sz w:val="20"/>
          <w:szCs w:val="20"/>
          <w:color w:val="auto"/>
        </w:rPr>
        <w:tab/>
      </w:r>
      <w:r>
        <w:rPr>
          <w:rFonts w:ascii="Times New Roman" w:cs="Times New Roman" w:eastAsia="Times New Roman" w:hAnsi="Times New Roman"/>
          <w:sz w:val="20"/>
          <w:szCs w:val="20"/>
          <w:color w:val="auto"/>
        </w:rPr>
        <w:t>Employment Agreement by and between Vickram Singh and Dragonfly Energy Holdings Corp, dated February 1, 2025.</w:t>
      </w:r>
    </w:p>
    <w:p>
      <w:pPr>
        <w:spacing w:after="0" w:line="14" w:lineRule="exact"/>
        <w:rPr>
          <w:sz w:val="20"/>
          <w:szCs w:val="20"/>
          <w:color w:val="auto"/>
        </w:rPr>
      </w:pPr>
    </w:p>
    <w:p>
      <w:pPr>
        <w:jc w:val="both"/>
        <w:ind w:left="980" w:right="180" w:hanging="986"/>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auto"/>
        </w:rPr>
        <w:t>10.53#</w:t>
      </w:r>
      <w:r>
        <w:rPr>
          <w:sz w:val="20"/>
          <w:szCs w:val="20"/>
          <w:color w:val="auto"/>
        </w:rPr>
        <w:tab/>
      </w:r>
      <w:r>
        <w:rPr>
          <w:rFonts w:ascii="Times New Roman" w:cs="Times New Roman" w:eastAsia="Times New Roman" w:hAnsi="Times New Roman"/>
          <w:sz w:val="20"/>
          <w:szCs w:val="20"/>
          <w:color w:val="auto"/>
        </w:rPr>
        <w:t>Form of Securities Purchase Agreement, dated February 26, 2025, by and between Dragonfly Energy Holdings Corp. and the investor listed on the Schedule of Buyers thereto.</w:t>
      </w:r>
    </w:p>
    <w:p>
      <w:pPr>
        <w:spacing w:after="0" w:line="13" w:lineRule="exact"/>
        <w:rPr>
          <w:sz w:val="20"/>
          <w:szCs w:val="20"/>
          <w:color w:val="auto"/>
        </w:rPr>
      </w:pPr>
    </w:p>
    <w:p>
      <w:pPr>
        <w:jc w:val="both"/>
        <w:ind w:left="980" w:right="180" w:hanging="986"/>
        <w:spacing w:after="0" w:line="238" w:lineRule="auto"/>
        <w:tabs>
          <w:tab w:leader="none" w:pos="960" w:val="left"/>
        </w:tabs>
        <w:rPr>
          <w:sz w:val="20"/>
          <w:szCs w:val="20"/>
          <w:color w:val="auto"/>
        </w:rPr>
      </w:pPr>
      <w:r>
        <w:rPr>
          <w:rFonts w:ascii="Times New Roman" w:cs="Times New Roman" w:eastAsia="Times New Roman" w:hAnsi="Times New Roman"/>
          <w:sz w:val="20"/>
          <w:szCs w:val="20"/>
          <w:color w:val="auto"/>
        </w:rPr>
        <w:t>10.54</w:t>
      </w:r>
      <w:r>
        <w:rPr>
          <w:sz w:val="20"/>
          <w:szCs w:val="20"/>
          <w:color w:val="auto"/>
        </w:rPr>
        <w:tab/>
      </w:r>
      <w:r>
        <w:rPr>
          <w:rFonts w:ascii="Times New Roman" w:cs="Times New Roman" w:eastAsia="Times New Roman" w:hAnsi="Times New Roman"/>
          <w:sz w:val="20"/>
          <w:szCs w:val="20"/>
          <w:color w:val="auto"/>
        </w:rPr>
        <w:t>Form of Registration Rights Agreement, dated February 26, 2025, by and between Dragonfly Energy Holdings Corp. and the investor listed on the Schedule of Buyers thereto.</w:t>
      </w:r>
    </w:p>
    <w:p>
      <w:pPr>
        <w:spacing w:after="0" w:line="12" w:lineRule="exact"/>
        <w:rPr>
          <w:sz w:val="20"/>
          <w:szCs w:val="20"/>
          <w:color w:val="auto"/>
        </w:rPr>
      </w:pPr>
    </w:p>
    <w:p>
      <w:pPr>
        <w:ind w:left="980" w:right="620" w:hanging="986"/>
        <w:spacing w:after="0" w:line="238" w:lineRule="auto"/>
        <w:tabs>
          <w:tab w:leader="none" w:pos="960" w:val="left"/>
        </w:tabs>
        <w:rPr>
          <w:sz w:val="20"/>
          <w:szCs w:val="20"/>
          <w:color w:val="auto"/>
        </w:rPr>
      </w:pPr>
      <w:r>
        <w:rPr>
          <w:rFonts w:ascii="Times New Roman" w:cs="Times New Roman" w:eastAsia="Times New Roman" w:hAnsi="Times New Roman"/>
          <w:sz w:val="20"/>
          <w:szCs w:val="20"/>
          <w:color w:val="auto"/>
        </w:rPr>
        <w:t>10.55</w:t>
      </w:r>
      <w:r>
        <w:rPr>
          <w:sz w:val="20"/>
          <w:szCs w:val="20"/>
          <w:color w:val="auto"/>
        </w:rPr>
        <w:tab/>
      </w:r>
      <w:r>
        <w:rPr>
          <w:rFonts w:ascii="Times New Roman" w:cs="Times New Roman" w:eastAsia="Times New Roman" w:hAnsi="Times New Roman"/>
          <w:sz w:val="20"/>
          <w:szCs w:val="20"/>
          <w:color w:val="auto"/>
        </w:rPr>
        <w:t>Support Agreement, dated February 26, 2025, by and between Dragonfly Energy Holdings Corp. and the stockholder signatory thereto.</w:t>
      </w:r>
    </w:p>
    <w:p>
      <w:pPr>
        <w:spacing w:after="0" w:line="12" w:lineRule="exact"/>
        <w:rPr>
          <w:sz w:val="20"/>
          <w:szCs w:val="20"/>
          <w:color w:val="auto"/>
        </w:rPr>
      </w:pPr>
    </w:p>
    <w:p>
      <w:pPr>
        <w:ind w:left="980" w:right="20" w:hanging="986"/>
        <w:spacing w:after="0" w:line="239" w:lineRule="auto"/>
        <w:tabs>
          <w:tab w:leader="none" w:pos="960" w:val="left"/>
        </w:tabs>
        <w:rPr>
          <w:sz w:val="20"/>
          <w:szCs w:val="20"/>
          <w:color w:val="auto"/>
        </w:rPr>
      </w:pPr>
      <w:r>
        <w:rPr>
          <w:rFonts w:ascii="Times New Roman" w:cs="Times New Roman" w:eastAsia="Times New Roman" w:hAnsi="Times New Roman"/>
          <w:sz w:val="20"/>
          <w:szCs w:val="20"/>
          <w:color w:val="auto"/>
        </w:rPr>
        <w:t>10.56#</w:t>
      </w:r>
      <w:r>
        <w:rPr>
          <w:sz w:val="20"/>
          <w:szCs w:val="20"/>
          <w:color w:val="auto"/>
        </w:rPr>
        <w:tab/>
      </w:r>
      <w:r>
        <w:rPr>
          <w:rFonts w:ascii="Times New Roman" w:cs="Times New Roman" w:eastAsia="Times New Roman" w:hAnsi="Times New Roman"/>
          <w:sz w:val="20"/>
          <w:szCs w:val="20"/>
          <w:color w:val="auto"/>
        </w:rPr>
        <w:t>Fifth Amendment to Term Loan, Guarantee and Security Agreement, dated as of February 26, 2025, by and among Dragonfly Energy Holdings Corp., Dragonfly Energy Corp., Battle Born Battery Products, LLC, the lenders from time to time party thereto and Alter Domus (US) LLC.</w:t>
      </w:r>
    </w:p>
    <w:p>
      <w:pPr>
        <w:spacing w:after="0" w:line="15" w:lineRule="exact"/>
        <w:rPr>
          <w:sz w:val="20"/>
          <w:szCs w:val="20"/>
          <w:color w:val="auto"/>
        </w:rPr>
      </w:pPr>
    </w:p>
    <w:p>
      <w:pPr>
        <w:ind w:left="980" w:right="240" w:hanging="986"/>
        <w:spacing w:after="0" w:line="235" w:lineRule="auto"/>
        <w:tabs>
          <w:tab w:leader="none" w:pos="96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20"/>
          <w:szCs w:val="20"/>
          <w:color w:val="auto"/>
        </w:rPr>
        <w:t>Letter dated March 24, 2025 from Marcum LLP to the Securities and Exchange Commission.</w:t>
      </w:r>
    </w:p>
    <w:p>
      <w:pPr>
        <w:spacing w:after="0" w:line="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20"/>
          <w:szCs w:val="20"/>
          <w:color w:val="auto"/>
        </w:rPr>
        <w:t>Insider Trading Policy.</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color w:val="auto"/>
        </w:rPr>
        <w:t>List of Subsidiaries.</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bl>
      <w:tblPr>
        <w:tblLayout w:type="fixed"/>
        <w:tblInd w:w="0" w:type="dxa"/>
        <w:tblCellMar>
          <w:top w:w="0" w:type="dxa"/>
          <w:left w:w="0" w:type="dxa"/>
          <w:bottom w:w="0" w:type="dxa"/>
          <w:right w:w="0" w:type="dxa"/>
        </w:tblCellMar>
      </w:tblPr>
      <w:tr>
        <w:trPr>
          <w:trHeight w:val="232"/>
        </w:trPr>
        <w:tc>
          <w:tcPr>
            <w:tcW w:w="9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Filing</w:t>
            </w:r>
          </w:p>
        </w:tc>
      </w:tr>
      <w:tr>
        <w:trPr>
          <w:trHeight w:val="233"/>
        </w:trPr>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Form</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60" w:type="dxa"/>
            <w:vAlign w:val="bottom"/>
          </w:tcPr>
          <w:p>
            <w:pPr>
              <w:spacing w:after="0"/>
              <w:rPr>
                <w:sz w:val="20"/>
                <w:szCs w:val="20"/>
                <w:color w:val="auto"/>
              </w:rPr>
            </w:pPr>
          </w:p>
        </w:tc>
        <w:tc>
          <w:tcPr>
            <w:tcW w:w="10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Date</w:t>
            </w:r>
          </w:p>
        </w:tc>
      </w:tr>
      <w:tr>
        <w:trPr>
          <w:trHeight w:val="67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05/20/2024</w:t>
            </w:r>
          </w:p>
        </w:tc>
      </w:tr>
      <w:tr>
        <w:trPr>
          <w:trHeight w:val="69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07/01/2024</w:t>
            </w:r>
          </w:p>
        </w:tc>
      </w:tr>
      <w:tr>
        <w:trPr>
          <w:trHeight w:val="92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8-K/A</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08/01/2024</w:t>
            </w:r>
          </w:p>
        </w:tc>
      </w:tr>
      <w:tr>
        <w:trPr>
          <w:trHeight w:val="69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8-K/A</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08/01/2024</w:t>
            </w:r>
          </w:p>
        </w:tc>
      </w:tr>
      <w:tr>
        <w:trPr>
          <w:trHeight w:val="69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8-K/A</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08/01/2024</w:t>
            </w:r>
          </w:p>
        </w:tc>
      </w:tr>
      <w:tr>
        <w:trPr>
          <w:trHeight w:val="115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8-K/A</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08/01/2024</w:t>
            </w:r>
          </w:p>
        </w:tc>
      </w:tr>
      <w:tr>
        <w:trPr>
          <w:trHeight w:val="69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10/07/2024</w:t>
            </w:r>
          </w:p>
        </w:tc>
      </w:tr>
      <w:tr>
        <w:trPr>
          <w:trHeight w:val="92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01/03/2025</w:t>
            </w:r>
          </w:p>
        </w:tc>
      </w:tr>
      <w:tr>
        <w:trPr>
          <w:trHeight w:val="115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01/03/2025</w:t>
            </w:r>
          </w:p>
        </w:tc>
      </w:tr>
      <w:tr>
        <w:trPr>
          <w:trHeight w:val="69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02/05/2025</w:t>
            </w:r>
          </w:p>
        </w:tc>
      </w:tr>
      <w:tr>
        <w:trPr>
          <w:trHeight w:val="4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02/27/2025</w:t>
            </w:r>
          </w:p>
        </w:tc>
      </w:tr>
      <w:tr>
        <w:trPr>
          <w:trHeight w:val="69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02/27/2025</w:t>
            </w:r>
          </w:p>
        </w:tc>
      </w:tr>
      <w:tr>
        <w:trPr>
          <w:trHeight w:val="69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02/27/2025</w:t>
            </w:r>
          </w:p>
        </w:tc>
      </w:tr>
      <w:tr>
        <w:trPr>
          <w:trHeight w:val="69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10.4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02/27/2025</w:t>
            </w:r>
          </w:p>
        </w:tc>
      </w:tr>
      <w:tr>
        <w:trPr>
          <w:trHeight w:val="11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16.1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03/24/2025</w:t>
            </w:r>
          </w:p>
        </w:tc>
      </w:tr>
    </w:tbl>
    <w:p>
      <w:pPr>
        <w:spacing w:after="0" w:line="895" w:lineRule="exact"/>
        <w:rPr>
          <w:sz w:val="20"/>
          <w:szCs w:val="20"/>
          <w:color w:val="auto"/>
        </w:rPr>
      </w:pPr>
    </w:p>
    <w:p>
      <w:pPr>
        <w:sectPr>
          <w:pgSz w:w="12240" w:h="15840" w:orient="portrait"/>
          <w:cols w:equalWidth="0" w:num="2">
            <w:col w:w="6760" w:space="160"/>
            <w:col w:w="3160"/>
          </w:cols>
          <w:pgMar w:left="1080" w:top="1079" w:right="1080" w:bottom="155"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080"/>
          </w:cols>
          <w:pgMar w:left="1080" w:top="1079" w:right="1080" w:bottom="155" w:gutter="0" w:footer="0" w:header="0"/>
          <w:type w:val="continuous"/>
        </w:sectPr>
      </w:pPr>
    </w:p>
    <w:bookmarkStart w:id="85" w:name="page86"/>
    <w:bookmarkEnd w:id="85"/>
    <w:tbl>
      <w:tblPr>
        <w:tblLayout w:type="fixed"/>
        <w:tblInd w:w="16" w:type="dxa"/>
        <w:tblCellMar>
          <w:top w:w="0" w:type="dxa"/>
          <w:left w:w="0" w:type="dxa"/>
          <w:bottom w:w="0" w:type="dxa"/>
          <w:right w:w="0" w:type="dxa"/>
        </w:tblCellMar>
      </w:tblP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r>
      <w:tr>
        <w:trPr>
          <w:trHeight w:val="230"/>
        </w:trPr>
        <w:tc>
          <w:tcPr>
            <w:tcW w:w="94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Filing</w:t>
            </w:r>
          </w:p>
        </w:tc>
      </w:tr>
      <w:tr>
        <w:trPr>
          <w:trHeight w:val="233"/>
        </w:trPr>
        <w:tc>
          <w:tcPr>
            <w:tcW w:w="94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No .</w:t>
            </w:r>
          </w:p>
        </w:tc>
        <w:tc>
          <w:tcPr>
            <w:tcW w:w="40" w:type="dxa"/>
            <w:vAlign w:val="bottom"/>
          </w:tcPr>
          <w:p>
            <w:pPr>
              <w:spacing w:after="0"/>
              <w:rPr>
                <w:sz w:val="20"/>
                <w:szCs w:val="20"/>
                <w:color w:val="auto"/>
              </w:rPr>
            </w:pPr>
          </w:p>
        </w:tc>
        <w:tc>
          <w:tcPr>
            <w:tcW w:w="5940" w:type="dxa"/>
            <w:vAlign w:val="bottom"/>
            <w:gridSpan w:val="2"/>
          </w:tcPr>
          <w:p>
            <w:pPr>
              <w:ind w:left="240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92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Form</w:t>
            </w:r>
          </w:p>
        </w:tc>
        <w:tc>
          <w:tcPr>
            <w:tcW w:w="16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220"/>
        </w:trPr>
        <w:tc>
          <w:tcPr>
            <w:tcW w:w="94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23.1*</w:t>
            </w:r>
          </w:p>
        </w:tc>
        <w:tc>
          <w:tcPr>
            <w:tcW w:w="40" w:type="dxa"/>
            <w:vAlign w:val="bottom"/>
          </w:tcPr>
          <w:p>
            <w:pPr>
              <w:spacing w:after="0"/>
              <w:rPr>
                <w:sz w:val="19"/>
                <w:szCs w:val="19"/>
                <w:color w:val="auto"/>
              </w:rPr>
            </w:pPr>
          </w:p>
        </w:tc>
        <w:tc>
          <w:tcPr>
            <w:tcW w:w="578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Consent of CBIZ CPAs P.C.</w:t>
            </w:r>
          </w:p>
        </w:tc>
        <w:tc>
          <w:tcPr>
            <w:tcW w:w="1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23"/>
        </w:trPr>
        <w:tc>
          <w:tcPr>
            <w:tcW w:w="9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31.1*</w:t>
            </w:r>
          </w:p>
        </w:tc>
        <w:tc>
          <w:tcPr>
            <w:tcW w:w="40" w:type="dxa"/>
            <w:vAlign w:val="bottom"/>
          </w:tcPr>
          <w:p>
            <w:pPr>
              <w:spacing w:after="0"/>
              <w:rPr>
                <w:sz w:val="19"/>
                <w:szCs w:val="19"/>
                <w:color w:val="auto"/>
              </w:rPr>
            </w:pPr>
          </w:p>
        </w:tc>
        <w:tc>
          <w:tcPr>
            <w:tcW w:w="59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Certification of Principal Executive Officer Required Under Rule 13a-</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14(a) and 15d-14(a) of the Securities Exchange Act of 1934, as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Required Under Rule 13a-</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3"/>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14(a) and 15d-14(a) of the Securities Exchange Act of 1934, as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Chief Executive Officer Required Under Rule 13a-</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14(b) of the Securities Exchange Act of 1934, as amended, and 18</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3"/>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U.S.C. §1350.</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Dragonfly Energy Holdings Corp. Compensation Recovery Policy.</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97.1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04/16/2024</w:t>
            </w: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document).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34" w:lineRule="exact"/>
        <w:rPr>
          <w:sz w:val="20"/>
          <w:szCs w:val="20"/>
          <w:color w:val="auto"/>
        </w:rPr>
      </w:pPr>
    </w:p>
    <w:p>
      <w:pPr>
        <w:ind w:left="136" w:hanging="120"/>
        <w:spacing w:after="0"/>
        <w:tabs>
          <w:tab w:leader="none" w:pos="136"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71" w:lineRule="exact"/>
        <w:rPr>
          <w:rFonts w:ascii="Times New Roman" w:cs="Times New Roman" w:eastAsia="Times New Roman" w:hAnsi="Times New Roman"/>
          <w:sz w:val="16"/>
          <w:szCs w:val="16"/>
          <w:color w:val="auto"/>
        </w:rPr>
      </w:pPr>
    </w:p>
    <w:p>
      <w:pPr>
        <w:ind w:left="216" w:hanging="200"/>
        <w:spacing w:after="0"/>
        <w:tabs>
          <w:tab w:leader="none" w:pos="216" w:val="left"/>
        </w:tabs>
        <w:numPr>
          <w:ilvl w:val="2"/>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80" w:lineRule="exact"/>
        <w:rPr>
          <w:rFonts w:ascii="Times New Roman" w:cs="Times New Roman" w:eastAsia="Times New Roman" w:hAnsi="Times New Roman"/>
          <w:sz w:val="16"/>
          <w:szCs w:val="16"/>
          <w:color w:val="auto"/>
        </w:rPr>
      </w:pPr>
    </w:p>
    <w:p>
      <w:pPr>
        <w:ind w:left="316" w:hanging="316"/>
        <w:spacing w:after="0" w:line="234" w:lineRule="auto"/>
        <w:tabs>
          <w:tab w:leader="none" w:pos="10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schedules and exhibits to the agreement have been omitted pursuant to Item 601(b)(2) of Regulation S-K. A copy of any omitted schedule and/or exhibit will be furnished to the Securities and Exchange Commission upon request.</w:t>
      </w:r>
    </w:p>
    <w:p>
      <w:pPr>
        <w:spacing w:after="0" w:line="73" w:lineRule="exact"/>
        <w:rPr>
          <w:rFonts w:ascii="Times New Roman" w:cs="Times New Roman" w:eastAsia="Times New Roman" w:hAnsi="Times New Roman"/>
          <w:sz w:val="16"/>
          <w:szCs w:val="16"/>
          <w:color w:val="auto"/>
        </w:rPr>
      </w:pPr>
    </w:p>
    <w:p>
      <w:pPr>
        <w:ind w:left="236" w:hanging="230"/>
        <w:spacing w:after="0"/>
        <w:tabs>
          <w:tab w:leader="none" w:pos="236"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w:t>
      </w:r>
    </w:p>
    <w:p>
      <w:pPr>
        <w:spacing w:after="0" w:line="233" w:lineRule="exact"/>
        <w:rPr>
          <w:sz w:val="20"/>
          <w:szCs w:val="20"/>
          <w:color w:val="auto"/>
        </w:rPr>
      </w:pPr>
    </w:p>
    <w:p>
      <w:pPr>
        <w:ind w:left="16"/>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4" w:lineRule="exact"/>
        <w:rPr>
          <w:sz w:val="20"/>
          <w:szCs w:val="20"/>
          <w:color w:val="auto"/>
        </w:rPr>
      </w:pPr>
    </w:p>
    <w:p>
      <w:pPr>
        <w:ind w:left="736"/>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096"/>
          </w:cols>
          <w:pgMar w:left="1064"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096"/>
          </w:cols>
          <w:pgMar w:left="1064" w:top="1079" w:right="1080" w:bottom="155"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ind w:firstLine="360"/>
        <w:spacing w:after="0" w:line="236"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the registrant has duly caused this Annual Report to be signed on its behalf by the undersigned, thereunto duly authorized, in Reno, Nevada, on the 31st day of March, 2025.</w:t>
      </w:r>
    </w:p>
    <w:p>
      <w:pPr>
        <w:spacing w:after="0" w:line="23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3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i w:val="1"/>
          <w:iCs w:val="1"/>
          <w:color w:val="auto"/>
        </w:rPr>
        <w:t>/s/ Denis Phares</w: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Denis Phares</w: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Chief Executive Officer, Interim Chief Financial Officer</w: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and President</w:t>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(Principal Executive Officer and Principal Financial and</w: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Accounting Officer)</w:t>
      </w:r>
    </w:p>
    <w:p>
      <w:pPr>
        <w:spacing w:after="0" w:line="243" w:lineRule="exact"/>
        <w:rPr>
          <w:sz w:val="20"/>
          <w:szCs w:val="20"/>
          <w:color w:val="auto"/>
        </w:rPr>
      </w:pPr>
    </w:p>
    <w:p>
      <w:pPr>
        <w:ind w:firstLine="360"/>
        <w:spacing w:after="0" w:line="236"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this Annual Report has been signed by the following persons in the capacities and on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6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20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200" w:type="dxa"/>
            <w:vAlign w:val="bottom"/>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462"/>
        </w:trPr>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Interim Chief Financial Officer,</w:t>
            </w:r>
          </w:p>
        </w:tc>
        <w:tc>
          <w:tcPr>
            <w:tcW w:w="2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2025</w:t>
            </w:r>
          </w:p>
        </w:tc>
      </w:tr>
      <w:tr>
        <w:trPr>
          <w:trHeight w:val="233"/>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Denis Phares</w:t>
            </w:r>
          </w:p>
        </w:tc>
        <w:tc>
          <w:tcPr>
            <w:tcW w:w="2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President and Chairman</w:t>
            </w: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Denis Phares</w:t>
            </w:r>
          </w:p>
        </w:tc>
        <w:tc>
          <w:tcPr>
            <w:tcW w:w="2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 and Principal Financial and</w:t>
            </w: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32"/>
        </w:trPr>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Accounting Officer)</w:t>
            </w: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6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Jonathan Bellows</w:t>
            </w:r>
          </w:p>
        </w:tc>
        <w:tc>
          <w:tcPr>
            <w:tcW w:w="20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2025</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Jonathan Bellows</w:t>
            </w:r>
          </w:p>
        </w:tc>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6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Perry Boyle</w:t>
            </w:r>
          </w:p>
        </w:tc>
        <w:tc>
          <w:tcPr>
            <w:tcW w:w="20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2025</w:t>
            </w:r>
          </w:p>
        </w:tc>
      </w:tr>
      <w:tr>
        <w:trPr>
          <w:trHeight w:val="231"/>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Perry Boyle</w:t>
            </w:r>
          </w:p>
        </w:tc>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6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Karina Montilla Edmonds</w:t>
            </w:r>
          </w:p>
        </w:tc>
        <w:tc>
          <w:tcPr>
            <w:tcW w:w="20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2025</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Karina Montilla Edmonds</w:t>
            </w:r>
          </w:p>
        </w:tc>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6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Luisa Ingargiola</w:t>
            </w:r>
          </w:p>
        </w:tc>
        <w:tc>
          <w:tcPr>
            <w:tcW w:w="20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2025</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Luisa Ingargiola</w:t>
            </w:r>
          </w:p>
        </w:tc>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6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Brian Nelson</w:t>
            </w:r>
          </w:p>
        </w:tc>
        <w:tc>
          <w:tcPr>
            <w:tcW w:w="20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2025</w:t>
            </w: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Brian Nelson</w:t>
            </w:r>
          </w:p>
        </w:tc>
        <w:tc>
          <w:tcPr>
            <w:tcW w:w="2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6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Rick Parod</w:t>
            </w:r>
          </w:p>
        </w:tc>
        <w:tc>
          <w:tcPr>
            <w:tcW w:w="20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2025</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Rick Parod</w:t>
            </w:r>
          </w:p>
        </w:tc>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080"/>
          </w:cols>
          <w:pgMar w:left="1080" w:top="1079" w:right="1080" w:bottom="155"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9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Supplemental Data</w:t>
            </w:r>
          </w:p>
        </w:tc>
        <w:tc>
          <w:tcPr>
            <w:tcW w:w="500" w:type="dxa"/>
            <w:vAlign w:val="bottom"/>
          </w:tcPr>
          <w:p>
            <w:pPr>
              <w:spacing w:after="0"/>
              <w:rPr>
                <w:sz w:val="19"/>
                <w:szCs w:val="19"/>
                <w:color w:val="auto"/>
              </w:rPr>
            </w:pPr>
          </w:p>
        </w:tc>
      </w:tr>
      <w:tr>
        <w:trPr>
          <w:trHeight w:val="463"/>
        </w:trPr>
        <w:tc>
          <w:tcPr>
            <w:tcW w:w="9580" w:type="dxa"/>
            <w:vAlign w:val="bottom"/>
          </w:tcPr>
          <w:p>
            <w:pPr>
              <w:ind w:left="3040"/>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tc>
        <w:tc>
          <w:tcPr>
            <w:tcW w:w="500" w:type="dxa"/>
            <w:vAlign w:val="bottom"/>
          </w:tcPr>
          <w:p>
            <w:pPr>
              <w:spacing w:after="0"/>
              <w:rPr>
                <w:sz w:val="24"/>
                <w:szCs w:val="24"/>
                <w:color w:val="auto"/>
              </w:rPr>
            </w:pPr>
          </w:p>
        </w:tc>
      </w:tr>
      <w:tr>
        <w:trPr>
          <w:trHeight w:val="233"/>
        </w:trPr>
        <w:tc>
          <w:tcPr>
            <w:tcW w:w="9580" w:type="dxa"/>
            <w:vAlign w:val="bottom"/>
          </w:tcPr>
          <w:p>
            <w:pPr>
              <w:ind w:left="242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500" w:type="dxa"/>
            <w:vAlign w:val="bottom"/>
          </w:tcPr>
          <w:p>
            <w:pPr>
              <w:spacing w:after="0"/>
              <w:rPr>
                <w:sz w:val="20"/>
                <w:szCs w:val="20"/>
                <w:color w:val="auto"/>
              </w:rPr>
            </w:pPr>
          </w:p>
        </w:tc>
      </w:tr>
      <w:tr>
        <w:trPr>
          <w:trHeight w:val="463"/>
        </w:trPr>
        <w:tc>
          <w:tcPr>
            <w:tcW w:w="95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688) .............................................................</w:t>
            </w:r>
          </w:p>
        </w:tc>
        <w:tc>
          <w:tcPr>
            <w:tcW w:w="5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3"/>
              </w:rPr>
              <w:t>F-2</w:t>
            </w:r>
          </w:p>
        </w:tc>
      </w:tr>
      <w:tr>
        <w:trPr>
          <w:trHeight w:val="292"/>
        </w:trPr>
        <w:tc>
          <w:tcPr>
            <w:tcW w:w="95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2024 and 2023 ...................................................................................</w:t>
            </w:r>
          </w:p>
        </w:tc>
        <w:tc>
          <w:tcPr>
            <w:tcW w:w="5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3"/>
              </w:rPr>
              <w:t>F-3</w:t>
            </w:r>
          </w:p>
        </w:tc>
      </w:tr>
      <w:tr>
        <w:trPr>
          <w:trHeight w:val="293"/>
        </w:trPr>
        <w:tc>
          <w:tcPr>
            <w:tcW w:w="95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2024 and 2023 ............................................</w:t>
            </w:r>
          </w:p>
        </w:tc>
        <w:tc>
          <w:tcPr>
            <w:tcW w:w="5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3"/>
              </w:rPr>
              <w:t>F-4</w:t>
            </w:r>
          </w:p>
        </w:tc>
      </w:tr>
      <w:tr>
        <w:trPr>
          <w:trHeight w:val="292"/>
        </w:trPr>
        <w:tc>
          <w:tcPr>
            <w:tcW w:w="95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Stockholders’ Equity for the years ended December 31, 2024 and 2023 .........</w:t>
            </w:r>
          </w:p>
        </w:tc>
        <w:tc>
          <w:tcPr>
            <w:tcW w:w="5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3"/>
              </w:rPr>
              <w:t>F-5</w:t>
            </w:r>
          </w:p>
        </w:tc>
      </w:tr>
      <w:tr>
        <w:trPr>
          <w:trHeight w:val="292"/>
        </w:trPr>
        <w:tc>
          <w:tcPr>
            <w:tcW w:w="9580" w:type="dxa"/>
            <w:vAlign w:val="bottom"/>
          </w:tcPr>
          <w:p>
            <w:pPr>
              <w:spacing w:after="0"/>
              <w:rPr>
                <w:sz w:val="20"/>
                <w:szCs w:val="20"/>
                <w:color w:val="auto"/>
              </w:rPr>
            </w:pPr>
            <w:r>
              <w:rPr>
                <w:rFonts w:ascii="Times New Roman" w:cs="Times New Roman" w:eastAsia="Times New Roman" w:hAnsi="Times New Roman"/>
                <w:sz w:val="20"/>
                <w:szCs w:val="20"/>
                <w:color w:val="auto"/>
              </w:rPr>
              <w:t>Statements of Cash Flows for the years ended December 31, 2024 and 2023 .................................................................</w:t>
            </w:r>
          </w:p>
        </w:tc>
        <w:tc>
          <w:tcPr>
            <w:tcW w:w="5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3"/>
              </w:rPr>
              <w:t>F-6</w:t>
            </w:r>
          </w:p>
        </w:tc>
      </w:tr>
      <w:tr>
        <w:trPr>
          <w:trHeight w:val="292"/>
        </w:trPr>
        <w:tc>
          <w:tcPr>
            <w:tcW w:w="958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 ....................................................................................................................</w:t>
            </w:r>
          </w:p>
        </w:tc>
        <w:tc>
          <w:tcPr>
            <w:tcW w:w="5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3"/>
              </w:rPr>
              <w:t>F-8</w:t>
            </w:r>
          </w:p>
        </w:tc>
      </w:tr>
    </w:tbl>
    <w:p>
      <w:pPr>
        <w:spacing w:after="0" w:line="200" w:lineRule="exact"/>
        <w:rPr>
          <w:sz w:val="20"/>
          <w:szCs w:val="20"/>
          <w:color w:val="auto"/>
        </w:rPr>
      </w:pP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080"/>
          </w:cols>
          <w:pgMar w:left="1080" w:top="1079" w:right="1080" w:bottom="155"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Dragonfly Energy Holdings Corp.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have audited the accompanying consolidated balance sheets of Dragonfly Energy Holdings Corp. (the “Company”) as of December 31, 2024 and 2023, the related consolidated statements of operations, stockholders’ equity and cash flows for each of the two years in the period ended December 31, 2024, and the related notes (collectively referred to as the “financial statements”). In our opinion, based on our audits,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Explanatory Paragraph – Going Concern</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also included evaluating the accounting principles used and significant estimates made by management, as well as evaluating the overall presentation of the financial statements. We believe that our audit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provide a reasonable basis for our opinion.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Marcum LLP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Marcum </w:t>
      </w:r>
      <w:r>
        <w:rPr>
          <w:rFonts w:ascii="Times New Roman" w:cs="Times New Roman" w:eastAsia="Times New Roman" w:hAnsi="Times New Roman"/>
          <w:sz w:val="15"/>
          <w:szCs w:val="15"/>
          <w:color w:val="auto"/>
        </w:rPr>
        <w:t>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2025</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080"/>
          </w:cols>
          <w:pgMar w:left="1080" w:top="1079" w:right="1080" w:bottom="155" w:gutter="0" w:footer="0" w:header="0"/>
          <w:type w:val="continuous"/>
        </w:sectPr>
      </w:pPr>
    </w:p>
    <w:bookmarkStart w:id="89" w:name="page90"/>
    <w:bookmarkEnd w:id="89"/>
    <w:p>
      <w:pPr>
        <w:jc w:val="center"/>
        <w:ind w:left="1120" w:right="2200"/>
        <w:spacing w:after="0" w:line="233" w:lineRule="auto"/>
        <w:rPr>
          <w:sz w:val="20"/>
          <w:szCs w:val="20"/>
          <w:color w:val="auto"/>
        </w:rPr>
      </w:pPr>
      <w:r>
        <w:rPr>
          <w:rFonts w:ascii="Times New Roman" w:cs="Times New Roman" w:eastAsia="Times New Roman" w:hAnsi="Times New Roman"/>
          <w:sz w:val="20"/>
          <w:szCs w:val="20"/>
          <w:b w:val="1"/>
          <w:bCs w:val="1"/>
          <w:color w:val="auto"/>
        </w:rPr>
        <w:t>DRAGONFLY ENERGY HOLDINGS CORP. CONSOLIDATED BALANCE SHEETS (IN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96"/>
              </w:rPr>
              <w:t>Cash and cash equivalents ...................................................................................................</w:t>
            </w:r>
          </w:p>
        </w:tc>
        <w:tc>
          <w:tcPr>
            <w:tcW w:w="1420" w:type="dxa"/>
            <w:vAlign w:val="bottom"/>
            <w:gridSpan w:val="3"/>
          </w:tcPr>
          <w:p>
            <w:pPr>
              <w:jc w:val="right"/>
              <w:ind w:right="8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4,849</w:t>
            </w:r>
          </w:p>
        </w:tc>
        <w:tc>
          <w:tcPr>
            <w:tcW w:w="3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12,713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Accounts receivable, net of allowance for credit losses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2,416</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Inventory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21,716</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38,778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Prepaid expenses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806</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Prepaid inventory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1,362</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1,381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Prepaid income tax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307</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Assets held for sale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644</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Other current assets .............................................................................................................</w:t>
            </w: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825</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Total Current Assets ........................................................................................................</w:t>
            </w: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32,925</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55,920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Property and Equipment</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Machinery and equipment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16,778</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16,714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Office furniture and equipment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355</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Leasehold improvements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9,103</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Vehicle .................................................................................................................................</w:t>
            </w: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gridSpan w:val="2"/>
          </w:tcPr>
          <w:p>
            <w:pPr>
              <w:jc w:val="right"/>
              <w:ind w:right="110"/>
              <w:spacing w:after="0" w:line="201" w:lineRule="exact"/>
              <w:rPr>
                <w:sz w:val="20"/>
                <w:szCs w:val="20"/>
                <w:color w:val="auto"/>
              </w:rPr>
            </w:pPr>
            <w:r>
              <w:rPr>
                <w:rFonts w:ascii="Times New Roman" w:cs="Times New Roman" w:eastAsia="Times New Roman" w:hAnsi="Times New Roman"/>
                <w:sz w:val="18"/>
                <w:szCs w:val="18"/>
                <w:color w:val="auto"/>
              </w:rPr>
              <w:t>Total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26,269</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18,793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Less accumulated depreciation and amortization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gridSpan w:val="2"/>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(4,162)</w:t>
            </w:r>
          </w:p>
        </w:tc>
        <w:tc>
          <w:tcPr>
            <w:tcW w:w="340" w:type="dxa"/>
            <w:vAlign w:val="bottom"/>
          </w:tcPr>
          <w:p>
            <w:pPr>
              <w:spacing w:after="0"/>
              <w:rPr>
                <w:sz w:val="17"/>
                <w:szCs w:val="17"/>
                <w:color w:val="auto"/>
              </w:rPr>
            </w:pPr>
          </w:p>
        </w:tc>
        <w:tc>
          <w:tcPr>
            <w:tcW w:w="12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03"/>
        </w:trPr>
        <w:tc>
          <w:tcPr>
            <w:tcW w:w="6640" w:type="dxa"/>
            <w:vAlign w:val="bottom"/>
            <w:gridSpan w:val="2"/>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Property and Equipment, Net ...........................................................................................</w:t>
            </w:r>
          </w:p>
        </w:tc>
        <w:tc>
          <w:tcPr>
            <w:tcW w:w="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22,107</w:t>
            </w:r>
          </w:p>
        </w:tc>
        <w:tc>
          <w:tcPr>
            <w:tcW w:w="3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Operating lease right of use asset, net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19,737</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Other assets ..........................................................................................................................</w:t>
            </w: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445</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6"/>
              </w:rPr>
              <w:t xml:space="preserve">Total Assets </w:t>
            </w:r>
            <w:r>
              <w:rPr>
                <w:rFonts w:ascii="Times New Roman" w:cs="Times New Roman" w:eastAsia="Times New Roman" w:hAnsi="Times New Roman"/>
                <w:sz w:val="18"/>
                <w:szCs w:val="18"/>
                <w:color w:val="auto"/>
                <w:w w:val="96"/>
              </w:rPr>
              <w:t>........................................................................................................................</w:t>
            </w:r>
          </w:p>
        </w:tc>
        <w:tc>
          <w:tcPr>
            <w:tcW w:w="1420" w:type="dxa"/>
            <w:vAlign w:val="bottom"/>
            <w:gridSpan w:val="3"/>
          </w:tcPr>
          <w:p>
            <w:pPr>
              <w:jc w:val="right"/>
              <w:ind w:right="8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75,214</w:t>
            </w:r>
          </w:p>
        </w:tc>
        <w:tc>
          <w:tcPr>
            <w:tcW w:w="300" w:type="dxa"/>
            <w:vAlign w:val="bottom"/>
          </w:tcPr>
          <w:p>
            <w:pPr>
              <w:spacing w:after="0"/>
              <w:rPr>
                <w:sz w:val="17"/>
                <w:szCs w:val="17"/>
                <w:color w:val="auto"/>
              </w:rPr>
            </w:pPr>
          </w:p>
        </w:tc>
        <w:tc>
          <w:tcPr>
            <w:tcW w:w="340" w:type="dxa"/>
            <w:vAlign w:val="bottom"/>
          </w:tcPr>
          <w:p>
            <w:pPr>
              <w:jc w:val="right"/>
              <w:ind w:right="15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75,204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1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w w:val="96"/>
              </w:rPr>
              <w:t>Accounts payable .................................................................................................................</w:t>
            </w:r>
          </w:p>
        </w:tc>
        <w:tc>
          <w:tcPr>
            <w:tcW w:w="14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3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Accrued payroll and other liabilities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4,129</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7,107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Accrued tariffs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1,915</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Accrued settlement, current portion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750</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Customer deposits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317</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Deferred revenue, current portion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Uncertain tax position liability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Notes payable, current portion, net of debt issuance costs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19,683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Operating lease liability, current portion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2,926</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Financing lease liability, current portion .............................................................................</w:t>
            </w: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21,855</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Long-Term Liabilities</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Deferred revenue, net of current portion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3,583</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Warrant liabilities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5,133</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Accrued expenses-long term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Accrued settlement, net of current portion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1,750</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Notes payable, non current portion, net of debt issuance costs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29,646</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Operating lease liability, net of current portion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22,588</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Financing lease liability, net of current portion ...................................................................</w:t>
            </w: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gridSpan w:val="2"/>
          </w:tcPr>
          <w:p>
            <w:pPr>
              <w:jc w:val="right"/>
              <w:ind w:right="110"/>
              <w:spacing w:after="0" w:line="201" w:lineRule="exact"/>
              <w:rPr>
                <w:sz w:val="20"/>
                <w:szCs w:val="20"/>
                <w:color w:val="auto"/>
              </w:rPr>
            </w:pPr>
            <w:r>
              <w:rPr>
                <w:rFonts w:ascii="Times New Roman" w:cs="Times New Roman" w:eastAsia="Times New Roman" w:hAnsi="Times New Roman"/>
                <w:sz w:val="18"/>
                <w:szCs w:val="18"/>
                <w:color w:val="auto"/>
              </w:rPr>
              <w:t>Total Long-Term Liabilities ............................................................................................</w:t>
            </w: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62,763</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6,915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Total Liabilities </w:t>
            </w: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84,618</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Commitments and Contingencies (See Note 5)</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4"/>
          </w:tcPr>
          <w:p>
            <w:pPr>
              <w:spacing w:after="0" w:line="203" w:lineRule="exact"/>
              <w:rPr>
                <w:sz w:val="20"/>
                <w:szCs w:val="20"/>
                <w:color w:val="auto"/>
              </w:rPr>
            </w:pPr>
            <w:r>
              <w:rPr>
                <w:rFonts w:ascii="Times New Roman" w:cs="Times New Roman" w:eastAsia="Times New Roman" w:hAnsi="Times New Roman"/>
                <w:sz w:val="18"/>
                <w:szCs w:val="18"/>
                <w:color w:val="auto"/>
              </w:rPr>
              <w:t>Preferred stock, 5,000,000 shares at $0.0001 par value, authorized, no shares issued and</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outstanding as of December 31, 2024 and 2023, respectively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Common stock, 250,000,000 shares at $0.0001 par value, authorized, 7,232,650</w:t>
            </w:r>
          </w:p>
        </w:tc>
        <w:tc>
          <w:tcPr>
            <w:tcW w:w="1420" w:type="dxa"/>
            <w:vAlign w:val="bottom"/>
            <w:gridSpan w:val="3"/>
          </w:tcPr>
          <w:p>
            <w:pPr>
              <w:jc w:val="right"/>
              <w:ind w:right="1160"/>
              <w:spacing w:after="0" w:line="203" w:lineRule="exact"/>
              <w:rPr>
                <w:sz w:val="20"/>
                <w:szCs w:val="20"/>
                <w:color w:val="auto"/>
              </w:rPr>
            </w:pPr>
            <w:r>
              <w:rPr>
                <w:rFonts w:ascii="Times New Roman" w:cs="Times New Roman" w:eastAsia="Times New Roman" w:hAnsi="Times New Roman"/>
                <w:sz w:val="18"/>
                <w:szCs w:val="18"/>
                <w:color w:val="auto"/>
                <w:w w:val="92"/>
              </w:rPr>
              <w:t>and</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4"/>
          </w:tcPr>
          <w:p>
            <w:pPr>
              <w:spacing w:after="0" w:line="203" w:lineRule="exact"/>
              <w:rPr>
                <w:sz w:val="20"/>
                <w:szCs w:val="20"/>
                <w:color w:val="auto"/>
              </w:rPr>
            </w:pPr>
            <w:r>
              <w:rPr>
                <w:rFonts w:ascii="Times New Roman" w:cs="Times New Roman" w:eastAsia="Times New Roman" w:hAnsi="Times New Roman"/>
                <w:sz w:val="18"/>
                <w:szCs w:val="18"/>
                <w:color w:val="auto"/>
              </w:rPr>
              <w:t>6,695,587 shares issued and outstanding as of December 31, 2024 and 2023, respectively</w:t>
            </w: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Additional paid in capital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72,749</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69,450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Accumulated deficit .............................................................................................................</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gridSpan w:val="2"/>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w w:val="97"/>
              </w:rPr>
              <w:t>(82,154)</w:t>
            </w:r>
          </w:p>
        </w:tc>
        <w:tc>
          <w:tcPr>
            <w:tcW w:w="340" w:type="dxa"/>
            <w:vAlign w:val="bottom"/>
          </w:tcPr>
          <w:p>
            <w:pPr>
              <w:spacing w:after="0"/>
              <w:rPr>
                <w:sz w:val="17"/>
                <w:szCs w:val="17"/>
                <w:color w:val="auto"/>
              </w:rPr>
            </w:pPr>
          </w:p>
        </w:tc>
        <w:tc>
          <w:tcPr>
            <w:tcW w:w="12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(41,539)</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 xml:space="preserve">Total Stockholders’ (Deficit) Equity </w:t>
            </w: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gridSpan w:val="2"/>
          </w:tcPr>
          <w:p>
            <w:pPr>
              <w:jc w:val="right"/>
              <w:ind w:right="240"/>
              <w:spacing w:after="0" w:line="201" w:lineRule="exact"/>
              <w:rPr>
                <w:sz w:val="20"/>
                <w:szCs w:val="20"/>
                <w:color w:val="auto"/>
              </w:rPr>
            </w:pPr>
            <w:r>
              <w:rPr>
                <w:rFonts w:ascii="Times New Roman" w:cs="Times New Roman" w:eastAsia="Times New Roman" w:hAnsi="Times New Roman"/>
                <w:sz w:val="18"/>
                <w:szCs w:val="18"/>
                <w:color w:val="auto"/>
              </w:rPr>
              <w:t>(9,404)</w:t>
            </w:r>
          </w:p>
        </w:tc>
        <w:tc>
          <w:tcPr>
            <w:tcW w:w="34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27,912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95"/>
              </w:rPr>
              <w:t xml:space="preserve">Total Liabilities and Stockholders’ (Deficit) Equity </w:t>
            </w:r>
            <w:r>
              <w:rPr>
                <w:rFonts w:ascii="Times New Roman" w:cs="Times New Roman" w:eastAsia="Times New Roman" w:hAnsi="Times New Roman"/>
                <w:sz w:val="18"/>
                <w:szCs w:val="18"/>
                <w:color w:val="auto"/>
                <w:w w:val="95"/>
              </w:rPr>
              <w:t>.......................................................</w:t>
            </w:r>
          </w:p>
        </w:tc>
        <w:tc>
          <w:tcPr>
            <w:tcW w:w="1420" w:type="dxa"/>
            <w:vAlign w:val="bottom"/>
            <w:gridSpan w:val="3"/>
          </w:tcPr>
          <w:p>
            <w:pPr>
              <w:jc w:val="right"/>
              <w:ind w:right="8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75,214</w:t>
            </w:r>
          </w:p>
        </w:tc>
        <w:tc>
          <w:tcPr>
            <w:tcW w:w="300" w:type="dxa"/>
            <w:vAlign w:val="bottom"/>
          </w:tcPr>
          <w:p>
            <w:pPr>
              <w:spacing w:after="0"/>
              <w:rPr>
                <w:sz w:val="18"/>
                <w:szCs w:val="18"/>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10040"/>
          </w:cols>
          <w:pgMar w:left="1080" w:top="1085" w:right="1120" w:bottom="155"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040"/>
          </w:cols>
          <w:pgMar w:left="1080" w:top="1085" w:right="1120" w:bottom="155" w:gutter="0" w:footer="0" w:header="0"/>
          <w:type w:val="continuous"/>
        </w:sectPr>
      </w:pPr>
    </w:p>
    <w:bookmarkStart w:id="90" w:name="page91"/>
    <w:bookmarkEnd w:id="90"/>
    <w:p>
      <w:pPr>
        <w:jc w:val="center"/>
        <w:ind w:left="1120" w:right="2200"/>
        <w:spacing w:after="0" w:line="239" w:lineRule="auto"/>
        <w:rPr>
          <w:sz w:val="20"/>
          <w:szCs w:val="20"/>
          <w:color w:val="auto"/>
        </w:rPr>
      </w:pPr>
      <w:r>
        <w:rPr>
          <w:rFonts w:ascii="Times New Roman" w:cs="Times New Roman" w:eastAsia="Times New Roman" w:hAnsi="Times New Roman"/>
          <w:sz w:val="20"/>
          <w:szCs w:val="20"/>
          <w:b w:val="1"/>
          <w:bCs w:val="1"/>
          <w:color w:val="auto"/>
        </w:rPr>
        <w:t>DRAGONFLY ENERGY HOLDINGS CORP. CONSOLIDATED STATEMENTS OF OPERATIONS YEARS ENDED DECEMBER 31, 2024 AND 2023 (IN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8"/>
                <w:szCs w:val="18"/>
                <w:color w:val="auto"/>
              </w:rPr>
            </w:pPr>
          </w:p>
        </w:tc>
      </w:tr>
      <w:tr>
        <w:trPr>
          <w:trHeight w:val="41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50,645</w:t>
            </w:r>
          </w:p>
        </w:tc>
        <w:tc>
          <w:tcPr>
            <w:tcW w:w="30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60" w:type="dxa"/>
            <w:vAlign w:val="bottom"/>
          </w:tcPr>
          <w:p>
            <w:pPr>
              <w:spacing w:after="0"/>
              <w:rPr>
                <w:sz w:val="24"/>
                <w:szCs w:val="24"/>
                <w:color w:val="auto"/>
              </w:rPr>
            </w:pPr>
          </w:p>
        </w:tc>
      </w:tr>
      <w:tr>
        <w:trPr>
          <w:trHeight w:val="4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48,946</w:t>
            </w:r>
          </w:p>
        </w:tc>
        <w:tc>
          <w:tcPr>
            <w:tcW w:w="60" w:type="dxa"/>
            <w:vAlign w:val="bottom"/>
          </w:tcPr>
          <w:p>
            <w:pPr>
              <w:spacing w:after="0"/>
              <w:rPr>
                <w:sz w:val="24"/>
                <w:szCs w:val="24"/>
                <w:color w:val="auto"/>
              </w:rPr>
            </w:pPr>
          </w:p>
        </w:tc>
      </w:tr>
      <w:tr>
        <w:trPr>
          <w:trHeight w:val="41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60" w:type="dxa"/>
            <w:vAlign w:val="bottom"/>
          </w:tcPr>
          <w:p>
            <w:pPr>
              <w:spacing w:after="0"/>
              <w:rPr>
                <w:sz w:val="24"/>
                <w:szCs w:val="24"/>
                <w:color w:val="auto"/>
              </w:rPr>
            </w:pPr>
          </w:p>
        </w:tc>
      </w:tr>
      <w:tr>
        <w:trPr>
          <w:trHeight w:val="41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60" w:type="dxa"/>
            <w:vAlign w:val="bottom"/>
          </w:tcPr>
          <w:p>
            <w:pPr>
              <w:spacing w:after="0"/>
              <w:rPr>
                <w:sz w:val="18"/>
                <w:szCs w:val="18"/>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26,389</w:t>
            </w:r>
          </w:p>
        </w:tc>
        <w:tc>
          <w:tcPr>
            <w:tcW w:w="60" w:type="dxa"/>
            <w:vAlign w:val="bottom"/>
          </w:tcPr>
          <w:p>
            <w:pPr>
              <w:spacing w:after="0"/>
              <w:rPr>
                <w:sz w:val="18"/>
                <w:szCs w:val="18"/>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 ..........................................................................................................</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60" w:type="dxa"/>
            <w:vAlign w:val="bottom"/>
          </w:tcPr>
          <w:p>
            <w:pPr>
              <w:spacing w:after="0"/>
              <w:rPr>
                <w:sz w:val="18"/>
                <w:szCs w:val="18"/>
                <w:color w:val="auto"/>
              </w:rPr>
            </w:pPr>
          </w:p>
        </w:tc>
      </w:tr>
      <w:tr>
        <w:trPr>
          <w:trHeight w:val="417"/>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37,385</w:t>
            </w:r>
          </w:p>
        </w:tc>
        <w:tc>
          <w:tcPr>
            <w:tcW w:w="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42,875</w:t>
            </w:r>
          </w:p>
        </w:tc>
        <w:tc>
          <w:tcPr>
            <w:tcW w:w="60" w:type="dxa"/>
            <w:vAlign w:val="bottom"/>
          </w:tcPr>
          <w:p>
            <w:pPr>
              <w:spacing w:after="0"/>
              <w:rPr>
                <w:sz w:val="24"/>
                <w:szCs w:val="24"/>
                <w:color w:val="auto"/>
              </w:rPr>
            </w:pPr>
          </w:p>
        </w:tc>
      </w:tr>
      <w:tr>
        <w:trPr>
          <w:trHeight w:val="417"/>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(25,759)</w:t>
            </w:r>
          </w:p>
        </w:tc>
        <w:tc>
          <w:tcPr>
            <w:tcW w:w="34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(27,429)</w:t>
            </w:r>
          </w:p>
        </w:tc>
      </w:tr>
      <w:tr>
        <w:trPr>
          <w:trHeight w:val="41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 ............................................................................................................</w:t>
            </w:r>
          </w:p>
        </w:tc>
        <w:tc>
          <w:tcPr>
            <w:tcW w:w="3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(21,504)</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(16,015)</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w:t>
            </w:r>
          </w:p>
        </w:tc>
        <w:tc>
          <w:tcPr>
            <w:tcW w:w="3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liability ..................................................................</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60" w:type="dxa"/>
            <w:vAlign w:val="bottom"/>
          </w:tcPr>
          <w:p>
            <w:pPr>
              <w:spacing w:after="0"/>
              <w:rPr>
                <w:sz w:val="18"/>
                <w:szCs w:val="18"/>
                <w:color w:val="auto"/>
              </w:rPr>
            </w:pPr>
          </w:p>
        </w:tc>
      </w:tr>
      <w:tr>
        <w:trPr>
          <w:trHeight w:val="209"/>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Total Other (Expense) Income </w:t>
            </w: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(14,856)</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6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7"/>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Net Loss Before Taxes </w:t>
            </w: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(40,615)</w:t>
            </w:r>
          </w:p>
        </w:tc>
        <w:tc>
          <w:tcPr>
            <w:tcW w:w="34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(13,843)</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Income Tax Expense (Benefit) </w:t>
            </w: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(40,615)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(13,817)</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Share- Basic &amp; Diluted .........................................................................................</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&amp; Diluted ....................................................</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6,866,826</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5,865,165</w:t>
            </w:r>
          </w:p>
        </w:tc>
        <w:tc>
          <w:tcPr>
            <w:tcW w:w="60" w:type="dxa"/>
            <w:vAlign w:val="bottom"/>
          </w:tcPr>
          <w:p>
            <w:pPr>
              <w:spacing w:after="0"/>
              <w:rPr>
                <w:sz w:val="24"/>
                <w:szCs w:val="24"/>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10040"/>
          </w:cols>
          <w:pgMar w:left="1080" w:top="1089" w:right="11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040"/>
          </w:cols>
          <w:pgMar w:left="1080" w:top="1089" w:right="1120" w:bottom="155" w:gutter="0" w:footer="0" w:header="0"/>
          <w:type w:val="continuous"/>
        </w:sectPr>
      </w:pPr>
    </w:p>
    <w:bookmarkStart w:id="91" w:name="page92"/>
    <w:bookmarkEnd w:id="91"/>
    <w:p>
      <w:pPr>
        <w:jc w:val="center"/>
        <w:ind w:left="1120" w:right="1500"/>
        <w:spacing w:after="0"/>
        <w:rPr>
          <w:sz w:val="20"/>
          <w:szCs w:val="20"/>
          <w:color w:val="auto"/>
        </w:rPr>
      </w:pPr>
      <w:r>
        <w:rPr>
          <w:rFonts w:ascii="Times New Roman" w:cs="Times New Roman" w:eastAsia="Times New Roman" w:hAnsi="Times New Roman"/>
          <w:sz w:val="20"/>
          <w:szCs w:val="20"/>
          <w:b w:val="1"/>
          <w:bCs w:val="1"/>
          <w:color w:val="auto"/>
        </w:rPr>
        <w:t>DRAGONFLY ENERGY HOLDINGS CORP. CONSOLIDATED STATEMENTS OF SHAREHOLDERS’ EQUITY (DEFICIT) YEARS ENDED DECEMBER 31, 2024 AND 2023 (IN THOUSANDS, EXCEPT SHARE DATA)</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Additional</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3220" w:type="dxa"/>
            <w:vAlign w:val="bottom"/>
          </w:tcPr>
          <w:p>
            <w:pPr>
              <w:spacing w:after="0"/>
              <w:rPr>
                <w:sz w:val="18"/>
                <w:szCs w:val="18"/>
                <w:color w:val="auto"/>
              </w:rPr>
            </w:pPr>
          </w:p>
        </w:tc>
        <w:tc>
          <w:tcPr>
            <w:tcW w:w="234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Paid-In</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gridSpan w:val="2"/>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Capital</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(Deficit)</w:t>
            </w:r>
          </w:p>
        </w:tc>
        <w:tc>
          <w:tcPr>
            <w:tcW w:w="320" w:type="dxa"/>
            <w:vAlign w:val="bottom"/>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8"/>
                <w:szCs w:val="18"/>
                <w:color w:val="auto"/>
              </w:rPr>
            </w:pPr>
          </w:p>
        </w:tc>
      </w:tr>
      <w:tr>
        <w:trPr>
          <w:trHeight w:val="416"/>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 January 1, 2023 </w:t>
            </w: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4,811,078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38,465</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(27,722)</w:t>
            </w:r>
          </w:p>
        </w:tc>
        <w:tc>
          <w:tcPr>
            <w:tcW w:w="2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60" w:type="dxa"/>
            <w:vAlign w:val="bottom"/>
          </w:tcPr>
          <w:p>
            <w:pPr>
              <w:spacing w:after="0"/>
              <w:rPr>
                <w:sz w:val="24"/>
                <w:szCs w:val="24"/>
                <w:color w:val="auto"/>
              </w:rPr>
            </w:pPr>
          </w:p>
        </w:tc>
      </w:tr>
      <w:tr>
        <w:trPr>
          <w:trHeight w:val="41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Net loss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(13,817)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(13,817)</w:t>
            </w: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in public offering</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(ATM), net of costs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in public offering,</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net of costs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1,267,223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public warrants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investor warrants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Pr>
          <w:p>
            <w:pPr>
              <w:spacing w:after="0"/>
              <w:rPr>
                <w:sz w:val="18"/>
                <w:szCs w:val="18"/>
                <w:color w:val="auto"/>
              </w:rPr>
            </w:pPr>
          </w:p>
        </w:tc>
      </w:tr>
      <w:tr>
        <w:trPr>
          <w:trHeight w:val="20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of liability classified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warrants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341,036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vested restricted stock</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units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 ...................</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60" w:type="dxa"/>
            <w:vAlign w:val="bottom"/>
          </w:tcPr>
          <w:p>
            <w:pPr>
              <w:spacing w:after="0"/>
              <w:rPr>
                <w:sz w:val="18"/>
                <w:szCs w:val="18"/>
                <w:color w:val="auto"/>
              </w:rPr>
            </w:pPr>
          </w:p>
        </w:tc>
      </w:tr>
      <w:tr>
        <w:trPr>
          <w:trHeight w:val="417"/>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 December 31, 2023 </w:t>
            </w: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6,695,587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(41,539)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60" w:type="dxa"/>
            <w:vAlign w:val="bottom"/>
          </w:tcPr>
          <w:p>
            <w:pPr>
              <w:spacing w:after="0"/>
              <w:rPr>
                <w:sz w:val="24"/>
                <w:szCs w:val="24"/>
                <w:color w:val="auto"/>
              </w:rPr>
            </w:pPr>
          </w:p>
        </w:tc>
      </w:tr>
      <w:tr>
        <w:trPr>
          <w:trHeight w:val="41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Net loss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(40,615)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(40,615)</w:t>
            </w:r>
          </w:p>
        </w:tc>
      </w:tr>
      <w:tr>
        <w:trPr>
          <w:trHeight w:val="20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Adjustment due to the rounding impact</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from the reverse stock split in lieu of</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issuing fractional shares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in public offering</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(ATM), net of costs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350,423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under ESPP......................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Share cancellation ....................................</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vested restricted stock</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units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 ...................</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60" w:type="dxa"/>
            <w:vAlign w:val="bottom"/>
          </w:tcPr>
          <w:p>
            <w:pPr>
              <w:spacing w:after="0"/>
              <w:rPr>
                <w:sz w:val="18"/>
                <w:szCs w:val="18"/>
                <w:color w:val="auto"/>
              </w:rPr>
            </w:pPr>
          </w:p>
        </w:tc>
      </w:tr>
      <w:tr>
        <w:trPr>
          <w:trHeight w:val="420"/>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 December 31, 2024 </w:t>
            </w: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7,232,650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72,749</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(82154)</w:t>
            </w:r>
          </w:p>
        </w:tc>
        <w:tc>
          <w:tcPr>
            <w:tcW w:w="2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(9,404)</w:t>
            </w:r>
          </w:p>
        </w:tc>
      </w:tr>
      <w:tr>
        <w:trPr>
          <w:trHeight w:val="20"/>
        </w:trPr>
        <w:tc>
          <w:tcPr>
            <w:tcW w:w="3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10040"/>
          </w:cols>
          <w:pgMar w:left="1080" w:top="1089" w:right="11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040"/>
          </w:cols>
          <w:pgMar w:left="1080" w:top="1089" w:right="1120" w:bottom="155" w:gutter="0" w:footer="0" w:header="0"/>
          <w:type w:val="continuous"/>
        </w:sectPr>
      </w:pPr>
    </w:p>
    <w:bookmarkStart w:id="92" w:name="page93"/>
    <w:bookmarkEnd w:id="9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YEARS ENDED DECEMBER 31, 2024 AND 2023</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8"/>
                <w:szCs w:val="18"/>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(Loss) ............................................................................................................................</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(40,615)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(13,817)</w:t>
            </w:r>
          </w:p>
        </w:tc>
      </w:tr>
      <w:tr>
        <w:trPr>
          <w:trHeight w:val="207"/>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Stock based compensation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Amortization of debt discount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Change in fair market value of warrant liability ..............................................................</w:t>
            </w:r>
          </w:p>
        </w:tc>
        <w:tc>
          <w:tcPr>
            <w:tcW w:w="9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(6,684)</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(29,582)</w:t>
            </w: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Non-cash interest expense (paid-in kind)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Provision for credit losses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Depreciation and amortization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Amortization of right of use of assets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Loss on disposal of property and equipment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Loss on impairment of assets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8"/>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Write-off of prepaid inventory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Changes in Assets and Liabilities ........................................................................................</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Accounts receivable .............................................................................................................</w:t>
            </w:r>
          </w:p>
        </w:tc>
        <w:tc>
          <w:tcPr>
            <w:tcW w:w="9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(780)</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Inventories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Prepaid expenses ..................................................................................................................</w:t>
            </w:r>
          </w:p>
        </w:tc>
        <w:tc>
          <w:tcPr>
            <w:tcW w:w="9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Prepaid inventory .................................................................................................................</w:t>
            </w:r>
          </w:p>
        </w:tc>
        <w:tc>
          <w:tcPr>
            <w:tcW w:w="9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Other current assets .............................................................................................................</w:t>
            </w:r>
          </w:p>
        </w:tc>
        <w:tc>
          <w:tcPr>
            <w:tcW w:w="9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(707)</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Other assets ..........................................................................................................................</w:t>
            </w:r>
          </w:p>
        </w:tc>
        <w:tc>
          <w:tcPr>
            <w:tcW w:w="9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(445)</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Income taxes payable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Accounts payable and accrued expenses .............................................................................</w:t>
            </w:r>
          </w:p>
        </w:tc>
        <w:tc>
          <w:tcPr>
            <w:tcW w:w="9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(5,365)</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Accrued tariffs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Accrued settlement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Deferred revenue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8"/>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Uncertain tax position liability ............................................................................................</w:t>
            </w:r>
          </w:p>
        </w:tc>
        <w:tc>
          <w:tcPr>
            <w:tcW w:w="9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Customer deposits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Total Adjustments ........................................................................................................</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(3,889)</w:t>
            </w:r>
          </w:p>
        </w:tc>
      </w:tr>
      <w:tr>
        <w:trPr>
          <w:trHeight w:val="20"/>
        </w:trPr>
        <w:tc>
          <w:tcPr>
            <w:tcW w:w="6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Net Cash Used in Operating Activities ........................................................................</w:t>
            </w:r>
          </w:p>
        </w:tc>
        <w:tc>
          <w:tcPr>
            <w:tcW w:w="9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(7,182)</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(17,706)</w:t>
            </w:r>
          </w:p>
        </w:tc>
      </w:tr>
      <w:tr>
        <w:trPr>
          <w:trHeight w:val="417"/>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Proceeds from sale of property and equipment ................................................................</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Purchase of property and equipment ....................................................................................</w:t>
            </w:r>
          </w:p>
        </w:tc>
        <w:tc>
          <w:tcPr>
            <w:tcW w:w="9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(2,737)</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(6,885)</w:t>
            </w:r>
          </w:p>
        </w:tc>
      </w:tr>
      <w:tr>
        <w:trPr>
          <w:trHeight w:val="20"/>
        </w:trPr>
        <w:tc>
          <w:tcPr>
            <w:tcW w:w="6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Net Cash Used in Investing Activities .........................................................................</w:t>
            </w:r>
          </w:p>
        </w:tc>
        <w:tc>
          <w:tcPr>
            <w:tcW w:w="9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(2,729)</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(6,885)</w:t>
            </w:r>
          </w:p>
        </w:tc>
      </w:tr>
      <w:tr>
        <w:trPr>
          <w:trHeight w:val="21"/>
        </w:trPr>
        <w:tc>
          <w:tcPr>
            <w:tcW w:w="66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10040"/>
          </w:cols>
          <w:pgMar w:left="1080" w:top="1079" w:right="11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040"/>
          </w:cols>
          <w:pgMar w:left="1080" w:top="1079" w:right="1120" w:bottom="155" w:gutter="0" w:footer="0" w:header="0"/>
          <w:type w:val="continuous"/>
        </w:sectPr>
      </w:pPr>
    </w:p>
    <w:bookmarkStart w:id="93" w:name="page94"/>
    <w:bookmarkEnd w:id="93"/>
    <w:p>
      <w:pPr>
        <w:jc w:val="center"/>
        <w:ind w:left="1120" w:right="1920"/>
        <w:spacing w:after="0"/>
        <w:rPr>
          <w:sz w:val="20"/>
          <w:szCs w:val="20"/>
          <w:color w:val="auto"/>
        </w:rPr>
      </w:pPr>
      <w:r>
        <w:rPr>
          <w:rFonts w:ascii="Times New Roman" w:cs="Times New Roman" w:eastAsia="Times New Roman" w:hAnsi="Times New Roman"/>
          <w:sz w:val="20"/>
          <w:szCs w:val="20"/>
          <w:b w:val="1"/>
          <w:bCs w:val="1"/>
          <w:color w:val="auto"/>
        </w:rPr>
        <w:t>DRAGONFLY ENERGY HOLDINGS CORP. CONSOLIDATED STATEMENTS OF CASH FLOWS (CONTINUED) YEARS ENDED DECEMBER 31, 2024 AND 2023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(continued from previous page)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public offering .............................................................................................</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public offering (ATM), net ..........................................................................</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note payable, related party ...........................................................................</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note payable, related party ............................................................................</w:t>
            </w:r>
          </w:p>
        </w:tc>
        <w:tc>
          <w:tcPr>
            <w:tcW w:w="3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(2,700)</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note payable ..................................................................................................</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exercise of public warrants ..........................................................................</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exercise of options .......................................................................................</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exercise of investor warrants .......................................................................</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Net Cash Provided by Financing Activities .................................................................</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6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Net Decrease in cash and cash equivalents ..........................................................................</w:t>
            </w:r>
          </w:p>
        </w:tc>
        <w:tc>
          <w:tcPr>
            <w:tcW w:w="320" w:type="dxa"/>
            <w:vAlign w:val="bottom"/>
          </w:tcPr>
          <w:p>
            <w:pPr>
              <w:spacing w:after="0"/>
              <w:rPr>
                <w:sz w:val="24"/>
                <w:szCs w:val="24"/>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(7,864)</w:t>
            </w:r>
          </w:p>
        </w:tc>
        <w:tc>
          <w:tcPr>
            <w:tcW w:w="34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10"/>
        </w:trPr>
        <w:tc>
          <w:tcPr>
            <w:tcW w:w="6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Beginning Cash and cash equivalents - beginning of year ...................................................</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Ending Cash and cash equivalents - end of year ..................................................................</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6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Cash paid for income taxes ..............................................................................................</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Cash paid for interest .......................................................................................................</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6,288</w:t>
            </w:r>
          </w:p>
        </w:tc>
        <w:tc>
          <w:tcPr>
            <w:tcW w:w="3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 ........</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18,653</w:t>
            </w:r>
          </w:p>
        </w:tc>
        <w:tc>
          <w:tcPr>
            <w:tcW w:w="3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Recognition of leasehold improvements obtained in exchange for operating lease</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liability .............................................................................................................................</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6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Recognition of warrant liability - Investor Warrants .......................................................</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13,762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6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Recognition of warrant liability - Penny Warrants ..........................................................</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7,354</w:t>
            </w:r>
          </w:p>
        </w:tc>
        <w:tc>
          <w:tcPr>
            <w:tcW w:w="3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6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Settlement of accrued liability for employee stock purchase plan ...................................</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6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Reclassification of assets held for sale .............................................................................</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644</w:t>
            </w:r>
          </w:p>
        </w:tc>
        <w:tc>
          <w:tcPr>
            <w:tcW w:w="3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6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Non-cash impact of cash exercise of liability classified warrants ....................................</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6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Cashless exercise of liability classified warrants .............................................................</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340" w:type="dxa"/>
            <w:vAlign w:val="bottom"/>
          </w:tcPr>
          <w:p>
            <w:pPr>
              <w:jc w:val="right"/>
              <w:ind w:right="15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12,629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10040"/>
          </w:cols>
          <w:pgMar w:left="1080" w:top="1089" w:right="11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040"/>
          </w:cols>
          <w:pgMar w:left="1080" w:top="1089" w:right="1120" w:bottom="155"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NATURE OF BUSINESS</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Dragonfly Energy Holdings Corp.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spacing w:after="0" w:line="244"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On March 31, 2023, the Company changed its state of incorporation from the State of Delaware to the State of Nevada (the “Reincorporation”) pursuant to a plan of conversion dated March 30, 2023 (the “Plan of Conversion”). Pursuant to the Plan of Conversion, the issued and outstanding shares of common stock of the Company were automatically converted into common stock of the reincorporated company at the effective time of the Reincorporation.</w:t>
      </w:r>
    </w:p>
    <w:p>
      <w:pPr>
        <w:spacing w:after="0" w:line="247" w:lineRule="exact"/>
        <w:rPr>
          <w:sz w:val="20"/>
          <w:szCs w:val="20"/>
          <w:color w:val="auto"/>
        </w:rPr>
      </w:pPr>
    </w:p>
    <w:p>
      <w:pPr>
        <w:jc w:val="both"/>
        <w:ind w:hanging="9"/>
        <w:spacing w:after="0" w:line="256" w:lineRule="auto"/>
        <w:rPr>
          <w:sz w:val="20"/>
          <w:szCs w:val="20"/>
          <w:color w:val="auto"/>
        </w:rPr>
      </w:pPr>
      <w:r>
        <w:rPr>
          <w:rFonts w:ascii="Times New Roman" w:cs="Times New Roman" w:eastAsia="Times New Roman" w:hAnsi="Times New Roman"/>
          <w:sz w:val="19"/>
          <w:szCs w:val="19"/>
          <w:color w:val="auto"/>
        </w:rPr>
        <w:t>On November 29, 2023, the Company filed an amendment to the articles of incorporation with the State of Nevada, to increase the number of authorized shares of it common stock to 250,000,000 shares. The par value remained at $0.0001 per share.</w:t>
      </w:r>
    </w:p>
    <w:p>
      <w:pPr>
        <w:spacing w:after="0" w:line="230"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November 12, 2024, the Company’s Board of Directors approved the implementation of a 1-for-9 reverse stock split of the Company’s common stock, par value $0.0001 per share (“Common Stock”) and a corresponding proportional reduction in the number of common stock shares issued and outstanding. The reverse stock split was effected upon market open on November 22, 2024, (the “Effective Date”), and shares of Common Stock began trading on a split-adjusted basis as of market open on November 22, 2024.</w:t>
      </w:r>
    </w:p>
    <w:p>
      <w:pPr>
        <w:spacing w:after="0" w:line="246"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All shares of Common Stock, stock option awards and per share amounts contained in the Consolidated Financial Statements and Notes have been retroactively adjusted to reflect the 1-for-9 reverse stock split.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Basis of presentation</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accompanying consolidated financial statements and related notes have been prepared pursuant to the rules and regulations of the Securities and Exchange Commission (“SEC”) and in accordance with generally accepted accounting principles generally accepted in the United States of America (“U.S. GAAP”) and present the consolidated financial statements of the Company and its wholly owned subsidiary.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Principles of consolidation</w:t>
      </w:r>
    </w:p>
    <w:p>
      <w:pPr>
        <w:spacing w:after="0" w:line="244"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The accompanying consolidated financial statements and related notes have been prepared in accordance with “U.S. GAAP” and present the consolidated financial statements of the Company and its wholly owned subsidiary. All significant intercompany transactions and balances are eliminated in consolidation.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Going Concern</w:t>
      </w:r>
    </w:p>
    <w:p>
      <w:pPr>
        <w:spacing w:after="0" w:line="243"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For the years ended December 31, 2024 and 2023, the Company incurred losses from operations and had negative cash flow from operations. As of December 31, 2024, the Company had $4,849 in cash and cash equivalents and a working capital of $11,070. The Company’s ability to achieve profitability and positive cash flow depends on its ability to increase revenue, contain its expenses and maintain compliance with the financial covenants in its outstanding indebtedness agreements.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080"/>
          </w:cols>
          <w:pgMar w:left="1080" w:top="1079" w:right="1080" w:bottom="155"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Going Concern (Continued)</w:t>
      </w:r>
    </w:p>
    <w:p>
      <w:pPr>
        <w:spacing w:after="0" w:line="244"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9"/>
          <w:szCs w:val="19"/>
          <w:color w:val="auto"/>
        </w:rPr>
        <w:t xml:space="preserve">In connection with the Company’s senior secured term loan facility in an aggregate principal amount of $75,000 (as amended, the “Term Loan”), the Company is obligated to comply with certain financial covenants, which include maintaining a maximum senior leverage ratio, minimum liquidity, a springing fixed charge coverage ratio, and maximum capital expenditures </w:t>
      </w:r>
      <w:r>
        <w:rPr>
          <w:rFonts w:ascii="Times New Roman" w:cs="Times New Roman" w:eastAsia="Times New Roman" w:hAnsi="Times New Roman"/>
          <w:sz w:val="19"/>
          <w:szCs w:val="19"/>
          <w:b w:val="1"/>
          <w:bCs w:val="1"/>
          <w:color w:val="auto"/>
        </w:rPr>
        <w:t>(See Note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6). </w:t>
      </w:r>
      <w:r>
        <w:rPr>
          <w:rFonts w:ascii="Times New Roman" w:cs="Times New Roman" w:eastAsia="Times New Roman" w:hAnsi="Times New Roman"/>
          <w:sz w:val="19"/>
          <w:szCs w:val="19"/>
          <w:color w:val="auto"/>
        </w:rPr>
        <w:t>On March 31, 2024, April 29, 2024, May 30, 2024, June 28, 2024, July 31, 2024, August 31, 2024, September 30, 2024,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October 31, 2024, November 30, 2024 and December 31, 2024 the Company obtained waivers from the Term Loan administrative agent and lenders of its failures to satisfy the liquidity requirement under the Term Loan for the quarters ended March 31, 2024, June 30, 2024, September 30, 2024, and December 31, 2024 and the fiscal months ended April 30, 2024, May 31, 2024, July 31, 2024, August 31, 2024, October 31, 2024 and November 30, 2024, as applicable.</w:t>
      </w:r>
    </w:p>
    <w:p>
      <w:pPr>
        <w:spacing w:after="0" w:line="230"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February 2025, subsequent to the current year ended December 31, 2024, the Company entered into a Securities Purchase agreement (“Purchase Agreement”). The Purchase Agreement calls for the Company to authorize a new series of convertible preferred stock of the Company designated as the Series A Convertible Preferred Stock, which shall be convertible into shares of the Company’s common stock, and sell to each Buyer an aggregate number of shares of Series A Preferred Stock and 20 warrants, to each buyer, that are convertible to common stock.</w:t>
      </w:r>
    </w:p>
    <w:p>
      <w:pPr>
        <w:spacing w:after="0" w:line="247"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Total expected proceeds amount to $8,000 which the Company will use for working capital, general corporate purposes and mandatory payments on the Term Loan if more than $8,000 is raised. In addition, investors received warrants to purchase up to 4,000 shares of Series A preferred stock at $10,000 per share, potentially providing up to $40 million in future capital. We received $3,500 less $300 in costs on February 27, 2025 and expect to receive the remaining $4,500, minus costs, in early May 2025.</w:t>
      </w:r>
    </w:p>
    <w:p>
      <w:pPr>
        <w:spacing w:after="0" w:line="246"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In addition to the Purchase Agreement, the Term Loan was amended to (i) extend the maturity date by one (1) year to October 2027, (ii) defer all principal and interest payments to April 2026 and (iii) remove any applicable financial covenants (except for a financial covenant requiring the Company to maintain cash and cash equivalents equal to or greater than $2,500) for the next one and a half years.</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As presented above, strategic initiatives were executed in order to alleviate the substantial doubt, such as the Company’s ability to raise funds through the Purchase Agreement, the maturity extension of the Term Loan (which reclassifies the loan as long-term on the financial statements for the year ending December 31, 2024), and the absence of any covenants, other than a $2,500 minimum cash requirement, for at least one year from the financial statement issuance date. While these initiatives were enough support to move our debt to a long term classification,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Cash and Cash Equivalents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considers all short-term debt securities purchased with a maturity of three months or less to be cash equivalents.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and 2023, the Company held no Cash Equivalents.</w:t>
      </w:r>
    </w:p>
    <w:p>
      <w:pPr>
        <w:spacing w:after="0" w:line="243"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From time to time the Company has amounts on deposit with financial institutions that exceed federally insured limits. The Company has not experienced any significant losses in such accounts.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Accounts Receivable</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Company’s trade receivables are recorded when billed and represent claims against third parties that will be settled in cash. Generally, payment is due from customers within 30- 90 days of the invoice date and the contracts do not have significant financing components. Trade accounts receivables are recorded gross and are net of any applicable allowance. The allowance for credit losses as of December 31, 2024 and 2023 were not material.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080"/>
          </w:cols>
          <w:pgMar w:left="1080" w:top="1079" w:right="1080" w:bottom="155"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Inventory</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 xml:space="preserve">Inventories </w:t>
      </w:r>
      <w:r>
        <w:rPr>
          <w:rFonts w:ascii="Times New Roman" w:cs="Times New Roman" w:eastAsia="Times New Roman" w:hAnsi="Times New Roman"/>
          <w:sz w:val="20"/>
          <w:szCs w:val="20"/>
          <w:b w:val="1"/>
          <w:bCs w:val="1"/>
          <w:color w:val="auto"/>
        </w:rPr>
        <w:t>(Note 4),</w:t>
      </w:r>
      <w:r>
        <w:rPr>
          <w:rFonts w:ascii="Times New Roman" w:cs="Times New Roman" w:eastAsia="Times New Roman" w:hAnsi="Times New Roman"/>
          <w:sz w:val="20"/>
          <w:szCs w:val="20"/>
          <w:color w:val="auto"/>
        </w:rPr>
        <w:t xml:space="preserve"> which consist of raw materials and finished goods, are stated at the lower of cost (first in, first out) or net realizable value, net of reserves for obsolete inventory. The Company continually analyzes its slow moving and excess inventories. Based on historical and projected sales volumes and anticipated selling prices, the Company established reserves. Inventory that is in excess of current and projected use is reduced by an allowance to a level that approximates its estimate of future demand. Products that are determined to be obsolete are written down to net realizable value.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Assets Held for Sale</w:t>
      </w:r>
    </w:p>
    <w:p>
      <w:pPr>
        <w:spacing w:after="0" w:line="244" w:lineRule="exact"/>
        <w:rPr>
          <w:sz w:val="20"/>
          <w:szCs w:val="20"/>
          <w:color w:val="auto"/>
        </w:rPr>
      </w:pPr>
    </w:p>
    <w:p>
      <w:pPr>
        <w:jc w:val="both"/>
        <w:ind w:hanging="9"/>
        <w:spacing w:after="0" w:line="254" w:lineRule="auto"/>
        <w:rPr>
          <w:sz w:val="20"/>
          <w:szCs w:val="20"/>
          <w:color w:val="auto"/>
        </w:rPr>
      </w:pPr>
      <w:r>
        <w:rPr>
          <w:rFonts w:ascii="Times New Roman" w:cs="Times New Roman" w:eastAsia="Times New Roman" w:hAnsi="Times New Roman"/>
          <w:sz w:val="19"/>
          <w:szCs w:val="19"/>
          <w:color w:val="auto"/>
        </w:rPr>
        <w:t>Assets held for sale are valued at the lower of the carrying amount or the net realizable value estimated at December 31, 2024. Impairment to carrying amounts are recognized to non-operating expenses. The Assets held for sale, or the disposal group, consists of two research and development pieces of equipment that were not in use yet. Due to the nature of the disposal group being long-lived assets, the disposal group qualifies for the held for sale classification, as defined in ASC 360. Due to the Company shifting its focus from research and development efforts to product development, these assets would be put into service at an undeterminable time in the future and therefore, a search for a potential buyer was conducted. We have already invoiced the prospective buyer within the first three months of 2025 and plan to ship the equipment after payment is received.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Property and Equipment</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years ended December 31, 2024 and 2023 was $1,372 and $1,237, respectively.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various classes of property and equipment and estimated useful lives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Office furniture and equipment</w:t>
            </w:r>
          </w:p>
        </w:tc>
        <w:tc>
          <w:tcPr>
            <w:tcW w:w="4920" w:type="dxa"/>
            <w:vAlign w:val="bottom"/>
          </w:tcPr>
          <w:p>
            <w:pPr>
              <w:jc w:val="center"/>
              <w:ind w:left="700"/>
              <w:spacing w:after="0"/>
              <w:rPr>
                <w:sz w:val="20"/>
                <w:szCs w:val="20"/>
                <w:color w:val="auto"/>
              </w:rPr>
            </w:pPr>
            <w:r>
              <w:rPr>
                <w:rFonts w:ascii="Times New Roman" w:cs="Times New Roman" w:eastAsia="Times New Roman" w:hAnsi="Times New Roman"/>
                <w:sz w:val="20"/>
                <w:szCs w:val="20"/>
                <w:color w:val="auto"/>
                <w:w w:val="99"/>
              </w:rPr>
              <w:t>3 to 7 years</w:t>
            </w:r>
          </w:p>
        </w:tc>
      </w:tr>
      <w:tr>
        <w:trPr>
          <w:trHeight w:val="233"/>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Vehicles</w:t>
            </w:r>
          </w:p>
        </w:tc>
        <w:tc>
          <w:tcPr>
            <w:tcW w:w="4920" w:type="dxa"/>
            <w:vAlign w:val="bottom"/>
          </w:tcPr>
          <w:p>
            <w:pPr>
              <w:jc w:val="center"/>
              <w:ind w:left="700"/>
              <w:spacing w:after="0"/>
              <w:rPr>
                <w:sz w:val="20"/>
                <w:szCs w:val="20"/>
                <w:color w:val="auto"/>
              </w:rPr>
            </w:pPr>
            <w:r>
              <w:rPr>
                <w:rFonts w:ascii="Times New Roman" w:cs="Times New Roman" w:eastAsia="Times New Roman" w:hAnsi="Times New Roman"/>
                <w:sz w:val="20"/>
                <w:szCs w:val="20"/>
                <w:color w:val="auto"/>
                <w:w w:val="97"/>
              </w:rPr>
              <w:t>5 years</w:t>
            </w:r>
          </w:p>
        </w:tc>
      </w:tr>
      <w:tr>
        <w:trPr>
          <w:trHeight w:val="232"/>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Machinery and equipment</w:t>
            </w:r>
          </w:p>
        </w:tc>
        <w:tc>
          <w:tcPr>
            <w:tcW w:w="4920" w:type="dxa"/>
            <w:vAlign w:val="bottom"/>
          </w:tcPr>
          <w:p>
            <w:pPr>
              <w:jc w:val="center"/>
              <w:ind w:left="700"/>
              <w:spacing w:after="0"/>
              <w:rPr>
                <w:sz w:val="20"/>
                <w:szCs w:val="20"/>
                <w:color w:val="auto"/>
              </w:rPr>
            </w:pPr>
            <w:r>
              <w:rPr>
                <w:rFonts w:ascii="Times New Roman" w:cs="Times New Roman" w:eastAsia="Times New Roman" w:hAnsi="Times New Roman"/>
                <w:sz w:val="20"/>
                <w:szCs w:val="20"/>
                <w:color w:val="auto"/>
                <w:w w:val="99"/>
              </w:rPr>
              <w:t>3 to 7 years</w:t>
            </w:r>
          </w:p>
        </w:tc>
      </w:tr>
      <w:tr>
        <w:trPr>
          <w:trHeight w:val="232"/>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920" w:type="dxa"/>
            <w:vAlign w:val="bottom"/>
          </w:tcPr>
          <w:p>
            <w:pPr>
              <w:jc w:val="center"/>
              <w:ind w:left="700"/>
              <w:spacing w:after="0"/>
              <w:rPr>
                <w:sz w:val="20"/>
                <w:szCs w:val="20"/>
                <w:color w:val="auto"/>
              </w:rPr>
            </w:pPr>
            <w:r>
              <w:rPr>
                <w:rFonts w:ascii="Times New Roman" w:cs="Times New Roman" w:eastAsia="Times New Roman" w:hAnsi="Times New Roman"/>
                <w:sz w:val="20"/>
                <w:szCs w:val="20"/>
                <w:color w:val="auto"/>
                <w:w w:val="99"/>
              </w:rPr>
              <w:t>Shorter of Useful Life of Remaining Term of Lease</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Use of Estimates</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going concern, right of use asset, warrant liability, equity based compensation, income taxes, leases and license arrangement.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Impairment of Long-Lived Assets</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For the year ended December 31, 2024, the Company recorded an $873 impairment, in connection to the Assets Held for Sale, on the Consolidated Statement of Operations. There were no impairments for the year ended December 31, 2023.</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10080"/>
          </w:cols>
          <w:pgMar w:left="1080" w:top="1079" w:right="1080" w:bottom="157"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Warrants</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qualify for equity classification are measured at fair value upon issuance and are not subsequently remeasured unless they are required to be reclassified.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Commitments and Contingencies</w:t>
      </w:r>
    </w:p>
    <w:p>
      <w:pPr>
        <w:spacing w:after="0" w:line="244"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Revenue Recognition</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247"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9"/>
          <w:szCs w:val="19"/>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231"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Company recognizes revenue from right-to-access license agreements upon the transfer of control to the customer. Upfront fees are deferred and recognized over the estimated period of benefit. Royalties are recognized as revenue when the customer’s underlying sales occur. The transaction price and timing of revenue recognition are adjusted as necessary to reflect changes in expectations.</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December 31, 2024 and 2023, the contract liability related to the Company’s customer deposits were approximately $317 and $201, respectively.</w:t>
      </w:r>
    </w:p>
    <w:p>
      <w:pPr>
        <w:spacing w:after="0" w:line="247"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The Company recognized $201 of the contract liability as of December 31, 2023 during the year ended December 31, 2024. During the year ended December 31, 2023, the Company recognized $230 of the contract liability that was recorded as a January 1, 2023 beginning balance.</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080"/>
          </w:cols>
          <w:pgMar w:left="1080" w:top="1079" w:right="1080" w:bottom="157"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 (CONTINUED)</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On July 29, 2024, Dragonfly Energy Corp. (“Legacy Dragonfly”), a wholly-owned subsidiary of the Company, and Battle Born Battery Products, LLC (“Battle Born LLC”), a wholly-owned subsidiary of Legacy Dragonfly, entered into a License Agreement (the “License Agreement”) with Stryten Energy LLC (“Stryten”) (</w:t>
      </w:r>
      <w:r>
        <w:rPr>
          <w:rFonts w:ascii="Times New Roman" w:cs="Times New Roman" w:eastAsia="Times New Roman" w:hAnsi="Times New Roman"/>
          <w:sz w:val="19"/>
          <w:szCs w:val="19"/>
          <w:b w:val="1"/>
          <w:bCs w:val="1"/>
          <w:color w:val="auto"/>
        </w:rPr>
        <w:t>Note 8</w:t>
      </w:r>
      <w:r>
        <w:rPr>
          <w:rFonts w:ascii="Times New Roman" w:cs="Times New Roman" w:eastAsia="Times New Roman" w:hAnsi="Times New Roman"/>
          <w:sz w:val="19"/>
          <w:szCs w:val="19"/>
          <w:color w:val="auto"/>
        </w:rPr>
        <w:t>). The $5,000 initial licensing fee is being recognized as revenue on a straight-line basis over five years. The Company has recorded $417 in revenue related to the license agreement for the year ended December 31, 2024. As of December 31, 2024 and 2023, the contract liability related to the Company’s deferred revenue were approximately $4,583 and $0, respectively. As of December 31, 2024, the Company had $1,000 in short term deferred revenue and $3,583 in long-term deferred revenue related to the license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Disaggregation of 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 our disaggregated revenues by distribution channel:</w:t>
      </w:r>
    </w:p>
    <w:p>
      <w:pPr>
        <w:spacing w:after="0" w:line="233"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20"/>
                <w:szCs w:val="20"/>
                <w:color w:val="auto"/>
              </w:rPr>
              <w:t>December 31,</w:t>
            </w:r>
          </w:p>
        </w:tc>
      </w:tr>
      <w:tr>
        <w:trPr>
          <w:trHeight w:val="232"/>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Sales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2024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2023</w:t>
            </w:r>
          </w:p>
        </w:tc>
      </w:tr>
      <w:tr>
        <w:trPr>
          <w:trHeight w:val="229"/>
        </w:trPr>
        <w:tc>
          <w:tcPr>
            <w:tcW w:w="46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Direct to customer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22,616</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36,875</w:t>
            </w:r>
          </w:p>
        </w:tc>
      </w:tr>
      <w:tr>
        <w:trPr>
          <w:trHeight w:val="233"/>
        </w:trPr>
        <w:tc>
          <w:tcPr>
            <w:tcW w:w="46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Original equipment manufacture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27,517</w:t>
            </w:r>
          </w:p>
        </w:tc>
      </w:tr>
      <w:tr>
        <w:trPr>
          <w:trHeight w:val="233"/>
        </w:trPr>
        <w:tc>
          <w:tcPr>
            <w:tcW w:w="46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License fee revenue .....................................................</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5"/>
        </w:trPr>
        <w:tc>
          <w:tcPr>
            <w:tcW w:w="46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Total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50,645</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64,392</w:t>
            </w: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Shipping and Handling</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$2,530 and $3,466 for the years ended December 31, 2024 and 2023,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Product Warranty</w:t>
      </w:r>
    </w:p>
    <w:p>
      <w:pPr>
        <w:spacing w:after="0" w:line="243"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9"/>
          <w:szCs w:val="19"/>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our warranty liability include the number of units sold, historical and anticipated rates of warranty claims, and cost per claim. The Company periodically assesses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at December 31, 2024 and 2023 to be $514 and $307, respectively.</w:t>
      </w:r>
    </w:p>
    <w:p>
      <w:pPr>
        <w:spacing w:after="0" w:line="220"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20"/>
                <w:szCs w:val="20"/>
                <w:color w:val="auto"/>
              </w:rPr>
              <w:t>December 31,</w:t>
            </w:r>
          </w:p>
        </w:tc>
      </w:tr>
      <w:tr>
        <w:trPr>
          <w:trHeight w:val="232"/>
        </w:trPr>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2024</w:t>
            </w: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Pr>
          <w:p>
            <w:pPr>
              <w:spacing w:after="0"/>
              <w:rPr>
                <w:sz w:val="20"/>
                <w:szCs w:val="20"/>
                <w:color w:val="auto"/>
              </w:rPr>
            </w:pPr>
          </w:p>
        </w:tc>
      </w:tr>
      <w:tr>
        <w:trPr>
          <w:trHeight w:val="229"/>
        </w:trPr>
        <w:tc>
          <w:tcPr>
            <w:tcW w:w="46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Beginning warranty obligation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180" w:type="dxa"/>
            <w:vAlign w:val="bottom"/>
          </w:tcPr>
          <w:p>
            <w:pPr>
              <w:spacing w:after="0"/>
              <w:rPr>
                <w:sz w:val="19"/>
                <w:szCs w:val="19"/>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center"/>
              <w:ind w:left="460"/>
              <w:spacing w:after="0"/>
              <w:rPr>
                <w:sz w:val="20"/>
                <w:szCs w:val="20"/>
                <w:color w:val="auto"/>
              </w:rPr>
            </w:pPr>
            <w:r>
              <w:rPr>
                <w:rFonts w:ascii="Times New Roman" w:cs="Times New Roman" w:eastAsia="Times New Roman" w:hAnsi="Times New Roman"/>
                <w:sz w:val="20"/>
                <w:szCs w:val="20"/>
                <w:color w:val="auto"/>
                <w:w w:val="99"/>
              </w:rPr>
              <w:t>328</w:t>
            </w:r>
          </w:p>
        </w:tc>
        <w:tc>
          <w:tcPr>
            <w:tcW w:w="80" w:type="dxa"/>
            <w:vAlign w:val="bottom"/>
          </w:tcPr>
          <w:p>
            <w:pPr>
              <w:spacing w:after="0"/>
              <w:rPr>
                <w:sz w:val="19"/>
                <w:szCs w:val="19"/>
                <w:color w:val="auto"/>
              </w:rPr>
            </w:pPr>
          </w:p>
        </w:tc>
      </w:tr>
      <w:tr>
        <w:trPr>
          <w:trHeight w:val="232"/>
        </w:trPr>
        <w:tc>
          <w:tcPr>
            <w:tcW w:w="46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Provision of warranty expense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center"/>
              <w:ind w:left="460"/>
              <w:spacing w:after="0"/>
              <w:rPr>
                <w:sz w:val="20"/>
                <w:szCs w:val="20"/>
                <w:color w:val="auto"/>
              </w:rPr>
            </w:pPr>
            <w:r>
              <w:rPr>
                <w:rFonts w:ascii="Times New Roman" w:cs="Times New Roman" w:eastAsia="Times New Roman" w:hAnsi="Times New Roman"/>
                <w:sz w:val="20"/>
                <w:szCs w:val="20"/>
                <w:color w:val="auto"/>
                <w:w w:val="99"/>
              </w:rPr>
              <w:t>397</w:t>
            </w:r>
          </w:p>
        </w:tc>
        <w:tc>
          <w:tcPr>
            <w:tcW w:w="80" w:type="dxa"/>
            <w:vAlign w:val="bottom"/>
          </w:tcPr>
          <w:p>
            <w:pPr>
              <w:spacing w:after="0"/>
              <w:rPr>
                <w:sz w:val="20"/>
                <w:szCs w:val="20"/>
                <w:color w:val="auto"/>
              </w:rPr>
            </w:pPr>
          </w:p>
        </w:tc>
      </w:tr>
      <w:tr>
        <w:trPr>
          <w:trHeight w:val="234"/>
        </w:trPr>
        <w:tc>
          <w:tcPr>
            <w:tcW w:w="46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Settlement of warranty claims .........................................</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(334)</w:t>
            </w:r>
          </w:p>
        </w:tc>
        <w:tc>
          <w:tcPr>
            <w:tcW w:w="220" w:type="dxa"/>
            <w:vAlign w:val="bottom"/>
          </w:tcPr>
          <w:p>
            <w:pPr>
              <w:spacing w:after="0"/>
              <w:rPr>
                <w:sz w:val="20"/>
                <w:szCs w:val="20"/>
                <w:color w:val="auto"/>
              </w:rPr>
            </w:pPr>
          </w:p>
        </w:tc>
        <w:tc>
          <w:tcPr>
            <w:tcW w:w="940" w:type="dxa"/>
            <w:vAlign w:val="bottom"/>
            <w:gridSpan w:val="2"/>
          </w:tcPr>
          <w:p>
            <w:pPr>
              <w:jc w:val="center"/>
              <w:ind w:left="400"/>
              <w:spacing w:after="0"/>
              <w:rPr>
                <w:sz w:val="20"/>
                <w:szCs w:val="20"/>
                <w:color w:val="auto"/>
              </w:rPr>
            </w:pPr>
            <w:r>
              <w:rPr>
                <w:rFonts w:ascii="Times New Roman" w:cs="Times New Roman" w:eastAsia="Times New Roman" w:hAnsi="Times New Roman"/>
                <w:sz w:val="20"/>
                <w:szCs w:val="20"/>
                <w:color w:val="auto"/>
              </w:rPr>
              <w:t>(418)</w:t>
            </w:r>
          </w:p>
        </w:tc>
      </w:tr>
      <w:tr>
        <w:trPr>
          <w:trHeight w:val="235"/>
        </w:trPr>
        <w:tc>
          <w:tcPr>
            <w:tcW w:w="46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Ending warranty obligation ..........................................</w:t>
            </w:r>
          </w:p>
        </w:tc>
        <w:tc>
          <w:tcPr>
            <w:tcW w:w="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tcPr>
          <w:p>
            <w:pPr>
              <w:jc w:val="center"/>
              <w:ind w:left="460"/>
              <w:spacing w:after="0"/>
              <w:rPr>
                <w:sz w:val="20"/>
                <w:szCs w:val="20"/>
                <w:color w:val="auto"/>
              </w:rPr>
            </w:pPr>
            <w:r>
              <w:rPr>
                <w:rFonts w:ascii="Times New Roman" w:cs="Times New Roman" w:eastAsia="Times New Roman" w:hAnsi="Times New Roman"/>
                <w:sz w:val="20"/>
                <w:szCs w:val="20"/>
                <w:color w:val="auto"/>
                <w:w w:val="99"/>
              </w:rPr>
              <w:t>307</w:t>
            </w:r>
          </w:p>
        </w:tc>
        <w:tc>
          <w:tcPr>
            <w:tcW w:w="8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Concentrations</w:t>
      </w:r>
    </w:p>
    <w:p>
      <w:pPr>
        <w:spacing w:after="0" w:line="243" w:lineRule="exact"/>
        <w:rPr>
          <w:sz w:val="20"/>
          <w:szCs w:val="20"/>
          <w:color w:val="auto"/>
        </w:rPr>
      </w:pPr>
    </w:p>
    <w:p>
      <w:pPr>
        <w:jc w:val="both"/>
        <w:ind w:hanging="9"/>
        <w:spacing w:after="0" w:line="256" w:lineRule="auto"/>
        <w:rPr>
          <w:sz w:val="20"/>
          <w:szCs w:val="20"/>
          <w:color w:val="auto"/>
        </w:rPr>
      </w:pPr>
      <w:r>
        <w:rPr>
          <w:rFonts w:ascii="Times New Roman" w:cs="Times New Roman" w:eastAsia="Times New Roman" w:hAnsi="Times New Roman"/>
          <w:sz w:val="19"/>
          <w:szCs w:val="19"/>
          <w:color w:val="auto"/>
        </w:rPr>
        <w:t>As of December 31, 2024, receivables from Customer A and Customer B comprised approximately 21% and 15%, respectively, of accounts receivable. As of December 31, 2023, receivables from Customer C and D comprised approximately 28% and 10%, respectively, of accounts receivable. There are no other significant accounts receivable concentration.</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10080"/>
          </w:cols>
          <w:pgMar w:left="1080" w:top="1079" w:right="1080" w:bottom="157"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 (CONTINUED)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Sales from Customer A comprised approximately 14% of the Company’s total revenue for the year ended December 31, 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Sales from Customer B comprised approximately 16% of the Company’s total revenue for the year ended December 31, 2023.</w:t>
      </w:r>
    </w:p>
    <w:p>
      <w:pPr>
        <w:spacing w:after="0" w:line="245"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As of December 31, 2024, payables to Vendor A, Vendor B, and Vendor C comprised approximately 33%, 12%, and 11%, respectively, of accounts payables. As of December 31, 2023, payables to Vendor A comprised approximately 65% of accounts payables.</w:t>
      </w:r>
    </w:p>
    <w:p>
      <w:pPr>
        <w:spacing w:after="0" w:line="243"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For the year ended December 31, 2024, Vendor A accounted for approximately 11% of the Company’s total purchases. For the year ended December 31, 2023, Vendor B accounted for approximately 14% of the Company’s total purchases.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Deferred Financing Costs</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Research and Development</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Advertising</w:t>
      </w:r>
    </w:p>
    <w:p>
      <w:pPr>
        <w:spacing w:after="0" w:line="243" w:lineRule="exact"/>
        <w:rPr>
          <w:sz w:val="20"/>
          <w:szCs w:val="20"/>
          <w:color w:val="auto"/>
        </w:rPr>
      </w:pPr>
    </w:p>
    <w:p>
      <w:pPr>
        <w:jc w:val="both"/>
        <w:ind w:hanging="9"/>
        <w:spacing w:after="0" w:line="236" w:lineRule="auto"/>
        <w:rPr>
          <w:sz w:val="20"/>
          <w:szCs w:val="20"/>
          <w:color w:val="auto"/>
        </w:rPr>
      </w:pPr>
      <w:r>
        <w:rPr>
          <w:rFonts w:ascii="Times New Roman" w:cs="Times New Roman" w:eastAsia="Times New Roman" w:hAnsi="Times New Roman"/>
          <w:sz w:val="20"/>
          <w:szCs w:val="20"/>
          <w:color w:val="auto"/>
        </w:rPr>
        <w:t>The Company expenses advertising costs as they are incurred and are included in selling and marketing expenses. Advertising expenses amounted to $2,257 and $2,167 for the years ended December 31, 2024 and 2023,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Stock-Based Compensation</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The Company accounts for stock based compensation arrangements with employees and non-employee consultants using a fair value method which requires the recognition of compensation expense for costs related to all stock based payments, including stock options (</w:t>
      </w:r>
      <w:r>
        <w:rPr>
          <w:rFonts w:ascii="Times New Roman" w:cs="Times New Roman" w:eastAsia="Times New Roman" w:hAnsi="Times New Roman"/>
          <w:sz w:val="20"/>
          <w:szCs w:val="20"/>
          <w:b w:val="1"/>
          <w:bCs w:val="1"/>
          <w:color w:val="auto"/>
        </w:rPr>
        <w:t>Note 12</w:t>
      </w:r>
      <w:r>
        <w:rPr>
          <w:rFonts w:ascii="Times New Roman" w:cs="Times New Roman" w:eastAsia="Times New Roman" w:hAnsi="Times New Roman"/>
          <w:sz w:val="20"/>
          <w:szCs w:val="20"/>
          <w:color w:val="auto"/>
        </w:rPr>
        <w:t>). The fair value method requires the Company to estimate the fair value of stock 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080"/>
          </w:cols>
          <w:pgMar w:left="1080" w:top="1079" w:right="1080" w:bottom="157"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 (CONTINUED)</w:t>
      </w:r>
    </w:p>
    <w:p>
      <w:pPr>
        <w:spacing w:after="0" w:line="243" w:lineRule="exact"/>
        <w:rPr>
          <w:sz w:val="20"/>
          <w:szCs w:val="20"/>
          <w:color w:val="auto"/>
        </w:rPr>
      </w:pPr>
    </w:p>
    <w:p>
      <w:pPr>
        <w:jc w:val="both"/>
        <w:ind w:hanging="9"/>
        <w:spacing w:after="0" w:line="241" w:lineRule="auto"/>
        <w:rPr>
          <w:sz w:val="20"/>
          <w:szCs w:val="20"/>
          <w:color w:val="auto"/>
        </w:rPr>
      </w:pPr>
      <w:r>
        <w:rPr>
          <w:rFonts w:ascii="Times New Roman" w:cs="Times New Roman" w:eastAsia="Times New Roman" w:hAnsi="Times New Roman"/>
          <w:sz w:val="20"/>
          <w:szCs w:val="20"/>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Income Taxes</w:t>
      </w:r>
    </w:p>
    <w:p>
      <w:pPr>
        <w:spacing w:after="0" w:line="243"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Deferred income tax assets and liabilities (</w:t>
      </w:r>
      <w:r>
        <w:rPr>
          <w:rFonts w:ascii="Times New Roman" w:cs="Times New Roman" w:eastAsia="Times New Roman" w:hAnsi="Times New Roman"/>
          <w:sz w:val="20"/>
          <w:szCs w:val="20"/>
          <w:b w:val="1"/>
          <w:bCs w:val="1"/>
          <w:color w:val="auto"/>
        </w:rPr>
        <w:t>Note 14</w:t>
      </w:r>
      <w:r>
        <w:rPr>
          <w:rFonts w:ascii="Times New Roman" w:cs="Times New Roman" w:eastAsia="Times New Roman" w:hAnsi="Times New Roman"/>
          <w:sz w:val="20"/>
          <w:szCs w:val="20"/>
          <w:color w:val="auto"/>
        </w:rPr>
        <w:t>)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243"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The Company recognizes a tax benefit for an uncertain tax position only if it is more likely than not that the tax position will be sustained on examination by taxing authorities, based on the technical merits of the position. The Company had a liability of $55 and $91 as of December 31, 2024 and 2023, of uncertain tax positions.</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Company’s accounting policy is to include penalties and interest related to income taxes if any, in selling, general and administrative expenses. The Company regularly assesses the need to record a valuation allowance against net deferred tax assets if, based upon the available evidence, it is more likely than not that some or all of the deferred tax assets will not be realized.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Net Loss per Common Share</w:t>
      </w:r>
    </w:p>
    <w:p>
      <w:pPr>
        <w:spacing w:after="0" w:line="244"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Basic net loss per share is calculated by dividing net loss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246"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The weighted-average number of common shares included in the computation of diluted net loss gives effect to all potentially dilutive common equivalent shares, including outstanding stock options and warrants.</w:t>
      </w:r>
    </w:p>
    <w:p>
      <w:pPr>
        <w:spacing w:after="0" w:line="246"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246"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The following table sets forth the number of potential shares of common stock that have been excluded from diluted net loss per share because their effect was anti-dilutive: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20"/>
                <w:szCs w:val="20"/>
                <w:color w:val="auto"/>
                <w:w w:val="99"/>
              </w:rPr>
              <w:t>December 31,</w:t>
            </w:r>
          </w:p>
        </w:tc>
        <w:tc>
          <w:tcPr>
            <w:tcW w:w="900" w:type="dxa"/>
            <w:vAlign w:val="bottom"/>
            <w:tcBorders>
              <w:bottom w:val="single" w:sz="8" w:color="auto"/>
            </w:tcBorders>
          </w:tcPr>
          <w:p>
            <w:pPr>
              <w:spacing w:after="0"/>
              <w:rPr>
                <w:sz w:val="20"/>
                <w:szCs w:val="20"/>
                <w:color w:val="auto"/>
              </w:rPr>
            </w:pPr>
          </w:p>
        </w:tc>
      </w:tr>
      <w:tr>
        <w:trPr>
          <w:trHeight w:val="232"/>
        </w:trPr>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w w:val="99"/>
              </w:rPr>
              <w:t>2023</w:t>
            </w: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Warrants .................................................................................</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3,926,151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2,723,397</w:t>
            </w: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Restricted stock units .............................................................</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334,751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5,224</w:t>
            </w: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Options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168,809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262,720</w:t>
            </w:r>
          </w:p>
        </w:tc>
      </w:tr>
      <w:tr>
        <w:trPr>
          <w:trHeight w:val="235"/>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number of common shares-basic ..............</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4,429,711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2,991,341</w:t>
            </w: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080"/>
          </w:cols>
          <w:pgMar w:left="1080" w:top="1079" w:right="1080" w:bottom="157"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Leases</w:t>
      </w:r>
    </w:p>
    <w:p>
      <w:pPr>
        <w:spacing w:after="0" w:line="244"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9"/>
          <w:szCs w:val="19"/>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Segment Reporting</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Operating segments are identified (</w:t>
      </w:r>
      <w:r>
        <w:rPr>
          <w:rFonts w:ascii="Times New Roman" w:cs="Times New Roman" w:eastAsia="Times New Roman" w:hAnsi="Times New Roman"/>
          <w:sz w:val="20"/>
          <w:szCs w:val="20"/>
          <w:b w:val="1"/>
          <w:bCs w:val="1"/>
          <w:color w:val="auto"/>
        </w:rPr>
        <w:t>Note 15</w:t>
      </w:r>
      <w:r>
        <w:rPr>
          <w:rFonts w:ascii="Times New Roman" w:cs="Times New Roman" w:eastAsia="Times New Roman" w:hAnsi="Times New Roman"/>
          <w:sz w:val="20"/>
          <w:szCs w:val="20"/>
          <w:color w:val="auto"/>
        </w:rPr>
        <w:t>) as components of an enterprise for which separate discrete financial information is available for evaluation by the Company’s Chief Executive Officer to make decisions with respect to resource allocation and assessment of performance. Previously, the Company recognized one operating segment. Historically, the Company reported a single operating and reportable segment, as management evaluated the business on a consolidated basis. During the fourth quarter of the current year, the Company reassessed its internal reporting structure and how management monitors operations and makes decisions. As a result of this reassessment, the Company determined that it now manages its business through two distinct operating segments. This change was driven by the development of the Company’s operations and internal decision-making processes, including the introduction of separate performance metrics and discrete financial information for each segment.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Recently adopted accounting pronouncements:</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In November 2023, the Financial Accounting Standards Board (“FASB”) issued Accounting Standards Update (“ASU”) No. 2023-07, Segment Reporting (Topic 280), Improvements to Reportable Segment Disclosures (“ASU 2023-07”) which will require companies to disclose significant segment expenses that are regularly provided to the chief operating decision maker (“CODM”). The pronouncement is effective for annual filings for the year ended December 31, 2024. The adoption of ASU 2023-07 will necessitate substantial changes to the notes to the financial statements, specifically in the area of segment disclosures. For a company that operates as a single-segment entity and previously did not need to comply with ASC 280 Segment Reporting (“ASC 280”), the changes include:</w:t>
      </w:r>
    </w:p>
    <w:p>
      <w:pPr>
        <w:spacing w:after="0" w:line="246" w:lineRule="exact"/>
        <w:rPr>
          <w:sz w:val="20"/>
          <w:szCs w:val="20"/>
          <w:color w:val="auto"/>
        </w:rPr>
      </w:pPr>
    </w:p>
    <w:p>
      <w:pPr>
        <w:ind w:left="360" w:hanging="360"/>
        <w:spacing w:after="0" w:line="235" w:lineRule="auto"/>
        <w:tabs>
          <w:tab w:leader="none" w:pos="3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Single reportable segment entities are required to provide the new disclosures and all disclosures currently required under ASC 280</w:t>
      </w:r>
    </w:p>
    <w:p>
      <w:pPr>
        <w:spacing w:after="0" w:line="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of the title and position of the CODM</w:t>
      </w:r>
    </w:p>
    <w:p>
      <w:pPr>
        <w:spacing w:after="0" w:line="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of significant segment expenses and “other segment items” for reach reportable segment</w:t>
      </w:r>
    </w:p>
    <w:p>
      <w:pPr>
        <w:spacing w:after="0" w:line="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of reportable segment profit or loss and assets in annual and interim periods</w:t>
      </w:r>
    </w:p>
    <w:p>
      <w:pPr>
        <w:spacing w:after="0" w:line="1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of segment profitability measures used by the CODM provided such measures comply with the use of non-GAAP financial measures</w:t>
      </w:r>
    </w:p>
    <w:p>
      <w:pPr>
        <w:spacing w:after="0" w:line="246"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Company evaluated the impact of ASU 2023-07 on its financial reporting and the adoption did not have a material impact on its results of operations, financial position or cash flows. The Company implemented updates to its reporting processes (</w:t>
      </w:r>
      <w:r>
        <w:rPr>
          <w:rFonts w:ascii="Times New Roman" w:cs="Times New Roman" w:eastAsia="Times New Roman" w:hAnsi="Times New Roman"/>
          <w:sz w:val="20"/>
          <w:szCs w:val="20"/>
          <w:b w:val="1"/>
          <w:bCs w:val="1"/>
          <w:color w:val="auto"/>
        </w:rPr>
        <w:t>Note 15</w:t>
      </w:r>
      <w:r>
        <w:rPr>
          <w:rFonts w:ascii="Times New Roman" w:cs="Times New Roman" w:eastAsia="Times New Roman" w:hAnsi="Times New Roman"/>
          <w:sz w:val="20"/>
          <w:szCs w:val="20"/>
          <w:color w:val="auto"/>
        </w:rPr>
        <w:t>) to ensure compliance with the new standard, which required additional data collection related to significant segment expenses.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Recently issued accounting pronouncements</w:t>
      </w:r>
      <w:r>
        <w:rPr>
          <w:rFonts w:ascii="Times New Roman" w:cs="Times New Roman" w:eastAsia="Times New Roman" w:hAnsi="Times New Roman"/>
          <w:sz w:val="20"/>
          <w:szCs w:val="20"/>
          <w:i w:val="1"/>
          <w:iCs w:val="1"/>
          <w:color w:val="auto"/>
        </w:rPr>
        <w:t>:</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10080"/>
          </w:cols>
          <w:pgMar w:left="1080" w:top="1079" w:right="1080" w:bottom="157"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 (CONTINUED)</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 xml:space="preserve">In November 2024, the FASB issued ASU 2024-03, Income Statement - Reporting Comprehensive Income - Expense Disaggregation Disclosures (Subtopic 220-40): Disaggregation of Income Statement Expenses, which requires a public entity to disclose additional information about specific expense categories in the notes to the financial statements on an annual and interim basis. It is effective for fiscal years beginning after December 15, 2026, and interim periods within fiscal years beginning after December 15, 2027. In January 2025, the FASB issued ASU </w:t>
      </w:r>
      <w:r>
        <w:rPr>
          <w:rFonts w:ascii="Times New Roman" w:cs="Times New Roman" w:eastAsia="Times New Roman" w:hAnsi="Times New Roman"/>
          <w:sz w:val="20"/>
          <w:szCs w:val="20"/>
          <w:b w:val="1"/>
          <w:bCs w:val="1"/>
          <w:color w:val="auto"/>
        </w:rPr>
        <w:t>2025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01</w:t>
      </w:r>
      <w:r>
        <w:rPr>
          <w:rFonts w:ascii="Times New Roman" w:cs="Times New Roman" w:eastAsia="Times New Roman" w:hAnsi="Times New Roman"/>
          <w:sz w:val="20"/>
          <w:szCs w:val="20"/>
          <w:color w:val="auto"/>
        </w:rPr>
        <w:t xml:space="preserve"> to clarify that all public entities, including non-calendar year-end entities, should adopt the disclosure requirements of ASU 2024-03. The Company is currently evaluating the impact.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FAIR VALUE MEASUREMENTS</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249"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237" w:lineRule="exact"/>
        <w:rPr>
          <w:sz w:val="20"/>
          <w:szCs w:val="20"/>
          <w:color w:val="auto"/>
        </w:rPr>
      </w:pPr>
    </w:p>
    <w:p>
      <w:pPr>
        <w:ind w:left="360" w:hanging="360"/>
        <w:spacing w:after="0"/>
        <w:tabs>
          <w:tab w:leader="none" w:pos="3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inputs are quoted prices (unadjusted) in active markets for identical assets or liabilities.</w:t>
      </w:r>
    </w:p>
    <w:p>
      <w:pPr>
        <w:spacing w:after="0" w:line="1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inputs are inputs other than quoted prices included within Level 1 that are observable for a similar asset or liability, either directly or indirectly.</w:t>
      </w:r>
    </w:p>
    <w:p>
      <w:pPr>
        <w:spacing w:after="0" w:line="14"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inputs are unobservable inputs that reflect the Company’s own assumptions about the inputs that market participants would use in pricing the asset or liability.</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47"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The following table presents assets and liabilities that were measured at fair value in the Consolidated Balance Sheets on a recurring basis as of December 31,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Carrying</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3"/>
        </w:trPr>
        <w:tc>
          <w:tcPr>
            <w:tcW w:w="8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Amount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Fair Value</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(Level 1)</w:t>
            </w:r>
          </w:p>
        </w:tc>
        <w:tc>
          <w:tcPr>
            <w:tcW w:w="1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(Level 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(Level 3)</w:t>
            </w:r>
          </w:p>
        </w:tc>
      </w:tr>
      <w:tr>
        <w:trPr>
          <w:trHeight w:val="232"/>
        </w:trPr>
        <w:tc>
          <w:tcPr>
            <w:tcW w:w="8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20"/>
                <w:szCs w:val="20"/>
                <w:color w:val="auto"/>
              </w:rPr>
              <w:t>As of December 31, 2024</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10"/>
        </w:trPr>
        <w:tc>
          <w:tcPr>
            <w:tcW w:w="306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auto"/>
              </w:rPr>
              <w:t>Liabilities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2"/>
        </w:trPr>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Warrant liability- Term Loan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3,883</w:t>
            </w:r>
          </w:p>
        </w:tc>
        <w:tc>
          <w:tcPr>
            <w:tcW w:w="122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3,883</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Warrant liability- June Public</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4"/>
        </w:trPr>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Offering ..........................................</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liabilities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5,133</w:t>
            </w:r>
          </w:p>
        </w:tc>
        <w:tc>
          <w:tcPr>
            <w:tcW w:w="122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5,133</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Due to Black Scholes calculation being utilized on all fair value measurement of warrant liabilities as of December 31, 2024, the fair value warrant liabilities were transferred from Level 3 to Level 2. This is due to the observable inputs (such as the Company’s stock price and comparable company volatility calculations) included in the Black Scholes calculation, which makes the fair value measurement of the warrant liabilities more closely aligned with Level 2.</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10080"/>
          </w:cols>
          <w:pgMar w:left="1080" w:top="1079" w:right="1080" w:bottom="157"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FAIR VALUE MEASUREMENTS (CONTINUED)</w:t>
      </w:r>
    </w:p>
    <w:p>
      <w:pPr>
        <w:spacing w:after="0" w:line="243" w:lineRule="exact"/>
        <w:rPr>
          <w:sz w:val="20"/>
          <w:szCs w:val="20"/>
          <w:color w:val="auto"/>
        </w:rPr>
      </w:pPr>
    </w:p>
    <w:p>
      <w:pPr>
        <w:ind w:hanging="9"/>
        <w:spacing w:after="0" w:line="236" w:lineRule="auto"/>
        <w:rPr>
          <w:sz w:val="20"/>
          <w:szCs w:val="20"/>
          <w:color w:val="auto"/>
        </w:rPr>
      </w:pPr>
      <w:r>
        <w:rPr>
          <w:rFonts w:ascii="Times New Roman" w:cs="Times New Roman" w:eastAsia="Times New Roman" w:hAnsi="Times New Roman"/>
          <w:sz w:val="20"/>
          <w:szCs w:val="20"/>
          <w:color w:val="auto"/>
        </w:rPr>
        <w:t>The following table presents assets and liabilities that were measured at fair value in the Consolidated Balance Sheets on a recurring basis as of December 31,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Carrying</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8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Amount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Fair Value</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(Level 1)</w:t>
            </w:r>
          </w:p>
        </w:tc>
        <w:tc>
          <w:tcPr>
            <w:tcW w:w="1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(Level 2)</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(Level 3)</w:t>
            </w:r>
          </w:p>
        </w:tc>
      </w:tr>
      <w:tr>
        <w:trPr>
          <w:trHeight w:val="232"/>
        </w:trPr>
        <w:tc>
          <w:tcPr>
            <w:tcW w:w="8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20"/>
                <w:szCs w:val="20"/>
                <w:color w:val="auto"/>
              </w:rPr>
              <w:t>As of December 31, 2023</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09"/>
        </w:trPr>
        <w:tc>
          <w:tcPr>
            <w:tcW w:w="3060" w:type="dxa"/>
            <w:vAlign w:val="bottom"/>
            <w:gridSpan w:val="3"/>
          </w:tcPr>
          <w:p>
            <w:pPr>
              <w:spacing w:after="0" w:line="208" w:lineRule="exact"/>
              <w:rPr>
                <w:sz w:val="20"/>
                <w:szCs w:val="20"/>
                <w:color w:val="auto"/>
              </w:rPr>
            </w:pPr>
            <w:r>
              <w:rPr>
                <w:rFonts w:ascii="Times New Roman" w:cs="Times New Roman" w:eastAsia="Times New Roman" w:hAnsi="Times New Roman"/>
                <w:sz w:val="20"/>
                <w:szCs w:val="20"/>
                <w:color w:val="auto"/>
              </w:rPr>
              <w:t>Liabilities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Warrant liability- Term Loan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w:t>
            </w:r>
          </w:p>
        </w:tc>
        <w:tc>
          <w:tcPr>
            <w:tcW w:w="122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w:t>
            </w:r>
          </w:p>
        </w:tc>
      </w:tr>
      <w:tr>
        <w:trPr>
          <w:trHeight w:val="232"/>
        </w:trPr>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Warrant liability- June Public</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32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Offering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3,434</w:t>
            </w:r>
          </w:p>
        </w:tc>
      </w:tr>
      <w:tr>
        <w:trPr>
          <w:trHeight w:val="232"/>
        </w:trPr>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Warrant liability- Private placement</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4"/>
        </w:trPr>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warrants ..........................................</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liabilities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4,463</w:t>
            </w:r>
          </w:p>
        </w:tc>
        <w:tc>
          <w:tcPr>
            <w:tcW w:w="122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4,448</w:t>
            </w:r>
          </w:p>
        </w:tc>
      </w:tr>
      <w:tr>
        <w:trPr>
          <w:trHeight w:val="20"/>
        </w:trPr>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hanging="9"/>
        <w:spacing w:after="0" w:line="235" w:lineRule="auto"/>
        <w:rPr>
          <w:sz w:val="20"/>
          <w:szCs w:val="20"/>
          <w:color w:val="auto"/>
        </w:rPr>
      </w:pPr>
      <w:r>
        <w:rPr>
          <w:rFonts w:ascii="Times New Roman" w:cs="Times New Roman" w:eastAsia="Times New Roman" w:hAnsi="Times New Roman"/>
          <w:sz w:val="20"/>
          <w:szCs w:val="20"/>
          <w:color w:val="auto"/>
        </w:rPr>
        <w:t>The carrying amounts of accounts receivable and accounts payable are considered level 1 and approximate fair value as of December 31, 2024 and 2023 because of the relatively short maturity of these instruments.</w:t>
      </w:r>
    </w:p>
    <w:p>
      <w:pPr>
        <w:spacing w:after="0" w:line="244" w:lineRule="exact"/>
        <w:rPr>
          <w:sz w:val="20"/>
          <w:szCs w:val="20"/>
          <w:color w:val="auto"/>
        </w:rPr>
      </w:pPr>
    </w:p>
    <w:p>
      <w:pPr>
        <w:ind w:hanging="9"/>
        <w:spacing w:after="0" w:line="236" w:lineRule="auto"/>
        <w:rPr>
          <w:sz w:val="20"/>
          <w:szCs w:val="20"/>
          <w:color w:val="auto"/>
        </w:rPr>
      </w:pPr>
      <w:r>
        <w:rPr>
          <w:rFonts w:ascii="Times New Roman" w:cs="Times New Roman" w:eastAsia="Times New Roman" w:hAnsi="Times New Roman"/>
          <w:sz w:val="20"/>
          <w:szCs w:val="20"/>
          <w:color w:val="auto"/>
        </w:rPr>
        <w:t>The carrying value of the term loan as of December 31, 2024 and 2023 approximates fair value as the interest rate does not differ significantly from the current market rates available to the Company for similar debt and is considered level 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Level 3 Roll forward</w:t>
      </w:r>
    </w:p>
    <w:p>
      <w:pPr>
        <w:spacing w:after="0" w:line="244" w:lineRule="exact"/>
        <w:rPr>
          <w:sz w:val="20"/>
          <w:szCs w:val="20"/>
          <w:color w:val="auto"/>
        </w:rPr>
      </w:pPr>
    </w:p>
    <w:p>
      <w:pPr>
        <w:ind w:hanging="9"/>
        <w:spacing w:after="0" w:line="235" w:lineRule="auto"/>
        <w:rPr>
          <w:sz w:val="20"/>
          <w:szCs w:val="20"/>
          <w:color w:val="auto"/>
        </w:rPr>
      </w:pPr>
      <w:r>
        <w:rPr>
          <w:rFonts w:ascii="Times New Roman" w:cs="Times New Roman" w:eastAsia="Times New Roman" w:hAnsi="Times New Roman"/>
          <w:sz w:val="20"/>
          <w:szCs w:val="20"/>
          <w:color w:val="auto"/>
        </w:rPr>
        <w:t>Fair value measurements categorized within Level 3 are sensitive to changes in assumptions or methodology used to determine fair value, and such changes could result in a significant increase or decrease in the fair value.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changes for Level 3 items measured at fair value on recurring basis using significant unobservable inputs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color w:val="auto"/>
                <w:w w:val="97"/>
              </w:rPr>
              <w:t>Warrant</w:t>
            </w:r>
          </w:p>
        </w:tc>
        <w:tc>
          <w:tcPr>
            <w:tcW w:w="12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rPr>
              <w:t>Warrant</w:t>
            </w:r>
          </w:p>
        </w:tc>
      </w:tr>
      <w:tr>
        <w:trPr>
          <w:trHeight w:val="232"/>
        </w:trPr>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color w:val="auto"/>
              </w:rPr>
              <w:t>Liability –</w:t>
            </w:r>
          </w:p>
        </w:tc>
        <w:tc>
          <w:tcPr>
            <w:tcW w:w="12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9"/>
              </w:rPr>
              <w:t>liability- June</w:t>
            </w:r>
          </w:p>
        </w:tc>
      </w:tr>
      <w:tr>
        <w:trPr>
          <w:trHeight w:val="234"/>
        </w:trPr>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color w:val="auto"/>
                <w:w w:val="98"/>
              </w:rPr>
              <w:t>Term Loan</w:t>
            </w:r>
          </w:p>
        </w:tc>
        <w:tc>
          <w:tcPr>
            <w:tcW w:w="146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color w:val="auto"/>
                <w:w w:val="99"/>
              </w:rPr>
              <w:t>Public Offering</w:t>
            </w: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Fair value as of January 1, 2024 </w:t>
            </w:r>
            <w:r>
              <w:rPr>
                <w:rFonts w:ascii="Times New Roman" w:cs="Times New Roman" w:eastAsia="Times New Roman" w:hAnsi="Times New Roman"/>
                <w:sz w:val="20"/>
                <w:szCs w:val="20"/>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3,434</w:t>
            </w:r>
          </w:p>
        </w:tc>
        <w:tc>
          <w:tcPr>
            <w:tcW w:w="80" w:type="dxa"/>
            <w:vAlign w:val="bottom"/>
          </w:tcPr>
          <w:p>
            <w:pPr>
              <w:spacing w:after="0"/>
              <w:rPr>
                <w:sz w:val="19"/>
                <w:szCs w:val="19"/>
                <w:color w:val="auto"/>
              </w:rPr>
            </w:pP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Warrants Issued ......................................................................</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r>
      <w:tr>
        <w:trPr>
          <w:trHeight w:val="238"/>
        </w:trPr>
        <w:tc>
          <w:tcPr>
            <w:tcW w:w="5000" w:type="dxa"/>
            <w:vAlign w:val="bottom"/>
            <w:gridSpan w:val="2"/>
          </w:tcPr>
          <w:p>
            <w:pPr>
              <w:spacing w:after="0" w:line="238" w:lineRule="exact"/>
              <w:rPr>
                <w:sz w:val="20"/>
                <w:szCs w:val="20"/>
                <w:color w:val="auto"/>
              </w:rPr>
            </w:pPr>
            <w:r>
              <w:rPr>
                <w:rFonts w:ascii="Times New Roman" w:cs="Times New Roman" w:eastAsia="Times New Roman" w:hAnsi="Times New Roman"/>
                <w:sz w:val="20"/>
                <w:szCs w:val="20"/>
                <w:color w:val="auto"/>
              </w:rPr>
              <w:t>Change in fair value, gain included in net loss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t>
            </w:r>
          </w:p>
        </w:tc>
        <w:tc>
          <w:tcPr>
            <w:tcW w:w="16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(4,484)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(2,184)</w:t>
            </w:r>
          </w:p>
        </w:tc>
      </w:tr>
      <w:tr>
        <w:trPr>
          <w:trHeight w:val="228"/>
        </w:trPr>
        <w:tc>
          <w:tcPr>
            <w:tcW w:w="500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Transfers from Level 3 to Level 2</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w:t>
            </w:r>
          </w:p>
        </w:tc>
        <w:tc>
          <w:tcPr>
            <w:tcW w:w="160" w:type="dxa"/>
            <w:vAlign w:val="bottom"/>
          </w:tcPr>
          <w:p>
            <w:pPr>
              <w:spacing w:after="0"/>
              <w:rPr>
                <w:sz w:val="19"/>
                <w:szCs w:val="19"/>
                <w:color w:val="auto"/>
              </w:rPr>
            </w:pPr>
          </w:p>
        </w:tc>
        <w:tc>
          <w:tcPr>
            <w:tcW w:w="1420" w:type="dxa"/>
            <w:vAlign w:val="bottom"/>
            <w:gridSpan w:val="2"/>
          </w:tcPr>
          <w:p>
            <w:pPr>
              <w:jc w:val="right"/>
              <w:ind w:right="140"/>
              <w:spacing w:after="0" w:line="226" w:lineRule="exact"/>
              <w:rPr>
                <w:sz w:val="20"/>
                <w:szCs w:val="20"/>
                <w:color w:val="auto"/>
              </w:rPr>
            </w:pPr>
            <w:r>
              <w:rPr>
                <w:rFonts w:ascii="Times New Roman" w:cs="Times New Roman" w:eastAsia="Times New Roman" w:hAnsi="Times New Roman"/>
                <w:sz w:val="20"/>
                <w:szCs w:val="20"/>
                <w:color w:val="auto"/>
              </w:rPr>
              <w:t>(3,883)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(1,250)</w:t>
            </w: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Fair value as of December 31, 2024 </w:t>
            </w:r>
            <w:r>
              <w:rPr>
                <w:rFonts w:ascii="Times New Roman" w:cs="Times New Roman" w:eastAsia="Times New Roman" w:hAnsi="Times New Roman"/>
                <w:sz w:val="20"/>
                <w:szCs w:val="20"/>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9"/>
        </w:trPr>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color w:val="auto"/>
                <w:w w:val="97"/>
              </w:rPr>
              <w:t>Warrant</w:t>
            </w:r>
          </w:p>
        </w:tc>
        <w:tc>
          <w:tcPr>
            <w:tcW w:w="12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rPr>
              <w:t>Warrant</w:t>
            </w:r>
          </w:p>
        </w:tc>
      </w:tr>
      <w:tr>
        <w:trPr>
          <w:trHeight w:val="232"/>
        </w:trPr>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color w:val="auto"/>
              </w:rPr>
              <w:t>Liability –</w:t>
            </w:r>
          </w:p>
        </w:tc>
        <w:tc>
          <w:tcPr>
            <w:tcW w:w="12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9"/>
              </w:rPr>
              <w:t>liability- June</w:t>
            </w:r>
          </w:p>
        </w:tc>
      </w:tr>
      <w:tr>
        <w:trPr>
          <w:trHeight w:val="234"/>
        </w:trPr>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color w:val="auto"/>
                <w:w w:val="98"/>
              </w:rPr>
              <w:t>Term Loan</w:t>
            </w:r>
          </w:p>
        </w:tc>
        <w:tc>
          <w:tcPr>
            <w:tcW w:w="146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color w:val="auto"/>
                <w:w w:val="99"/>
              </w:rPr>
              <w:t>Public Offering</w:t>
            </w: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Fair value as of January 1, 2023 </w:t>
            </w:r>
            <w:r>
              <w:rPr>
                <w:rFonts w:ascii="Times New Roman" w:cs="Times New Roman" w:eastAsia="Times New Roman" w:hAnsi="Times New Roman"/>
                <w:sz w:val="20"/>
                <w:szCs w:val="20"/>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30,841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Warrants Issued ......................................................................</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13,762</w:t>
            </w:r>
          </w:p>
        </w:tc>
        <w:tc>
          <w:tcPr>
            <w:tcW w:w="80" w:type="dxa"/>
            <w:vAlign w:val="bottom"/>
          </w:tcPr>
          <w:p>
            <w:pPr>
              <w:spacing w:after="0"/>
              <w:rPr>
                <w:sz w:val="20"/>
                <w:szCs w:val="20"/>
                <w:color w:val="auto"/>
              </w:rPr>
            </w:pP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exercises ...................................................................</w:t>
            </w:r>
          </w:p>
        </w:tc>
        <w:tc>
          <w:tcPr>
            <w:tcW w:w="16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(11,284)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(617)</w:t>
            </w:r>
          </w:p>
        </w:tc>
      </w:tr>
      <w:tr>
        <w:trPr>
          <w:trHeight w:val="235"/>
        </w:trPr>
        <w:tc>
          <w:tcPr>
            <w:tcW w:w="5000" w:type="dxa"/>
            <w:vAlign w:val="bottom"/>
            <w:gridSpan w:val="2"/>
          </w:tcPr>
          <w:p>
            <w:pPr>
              <w:spacing w:after="0" w:line="235" w:lineRule="exact"/>
              <w:rPr>
                <w:sz w:val="20"/>
                <w:szCs w:val="20"/>
                <w:color w:val="auto"/>
              </w:rPr>
            </w:pPr>
            <w:r>
              <w:rPr>
                <w:rFonts w:ascii="Times New Roman" w:cs="Times New Roman" w:eastAsia="Times New Roman" w:hAnsi="Times New Roman"/>
                <w:sz w:val="20"/>
                <w:szCs w:val="20"/>
                <w:color w:val="auto"/>
              </w:rPr>
              <w:t>Change in fair value, gain included in net loss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t>
            </w:r>
          </w:p>
        </w:tc>
        <w:tc>
          <w:tcPr>
            <w:tcW w:w="16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(19,241)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(9,711)</w:t>
            </w:r>
          </w:p>
        </w:tc>
      </w:tr>
      <w:tr>
        <w:trPr>
          <w:trHeight w:val="233"/>
        </w:trPr>
        <w:tc>
          <w:tcPr>
            <w:tcW w:w="500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 xml:space="preserve">Fair value as of December 31, 2023 </w:t>
            </w:r>
            <w:r>
              <w:rPr>
                <w:rFonts w:ascii="Times New Roman" w:cs="Times New Roman" w:eastAsia="Times New Roman" w:hAnsi="Times New Roman"/>
                <w:sz w:val="20"/>
                <w:szCs w:val="20"/>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1,014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3,434</w:t>
            </w:r>
          </w:p>
        </w:tc>
        <w:tc>
          <w:tcPr>
            <w:tcW w:w="8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6" w:lineRule="exact"/>
        <w:rPr>
          <w:sz w:val="20"/>
          <w:szCs w:val="20"/>
          <w:color w:val="auto"/>
        </w:rPr>
      </w:pPr>
    </w:p>
    <w:p>
      <w:pPr>
        <w:ind w:left="400" w:hanging="216"/>
        <w:spacing w:after="0"/>
        <w:tabs>
          <w:tab w:leader="none" w:pos="400" w:val="left"/>
        </w:tabs>
        <w:numPr>
          <w:ilvl w:val="0"/>
          <w:numId w:val="6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i w:val="1"/>
          <w:iCs w:val="1"/>
          <w:color w:val="auto"/>
        </w:rPr>
        <w:t>Changes in fair value of warrant liabilities are disclosed separately in the Consolidated Statements of Operations.</w:t>
      </w:r>
    </w:p>
    <w:p>
      <w:pPr>
        <w:spacing w:after="0" w:line="16" w:lineRule="exact"/>
        <w:rPr>
          <w:rFonts w:ascii="Times New Roman" w:cs="Times New Roman" w:eastAsia="Times New Roman" w:hAnsi="Times New Roman"/>
          <w:sz w:val="20"/>
          <w:szCs w:val="20"/>
          <w:color w:val="auto"/>
          <w:vertAlign w:val="superscript"/>
        </w:rPr>
      </w:pPr>
    </w:p>
    <w:p>
      <w:pPr>
        <w:jc w:val="both"/>
        <w:ind w:left="400" w:hanging="216"/>
        <w:spacing w:after="0" w:line="217" w:lineRule="auto"/>
        <w:tabs>
          <w:tab w:leader="none" w:pos="400" w:val="left"/>
        </w:tabs>
        <w:numPr>
          <w:ilvl w:val="0"/>
          <w:numId w:val="6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i w:val="1"/>
          <w:iCs w:val="1"/>
          <w:color w:val="auto"/>
        </w:rPr>
        <w:t>Transfers of warrant liability fair market value reclassified from Level 3 to Level 2 due to utilizing Black Scholes calculation for fair value measurement across all warrant liabilities, which includes observable inputs (such as company stock price and comparable company volatility calculations) and more closely aligns with Level 2.</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0080"/>
          </w:cols>
          <w:pgMar w:left="1080" w:top="1079" w:right="1080" w:bottom="157"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4 - INVENTORY</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64"/>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Inventory consists of the following:</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64"/>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December 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December 31,</w:t>
            </w:r>
          </w:p>
        </w:tc>
      </w:tr>
      <w:tr>
        <w:trPr>
          <w:trHeight w:val="233"/>
        </w:trPr>
        <w:tc>
          <w:tcPr>
            <w:tcW w:w="4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2024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Raw material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18,776</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31,604</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Finished goods .......................................................................</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7,174</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Total inventory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21,716</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38,778</w:t>
            </w:r>
          </w:p>
        </w:tc>
      </w:tr>
      <w:tr>
        <w:trPr>
          <w:trHeight w:val="20"/>
        </w:trPr>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COMMITMENTS AND CONTINGENCIES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Leases</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The Company has leases related to the main office, warehouse space, research and development lab, engineering office, and sales office, all located in Reno, Nevada. The leases require annual escalating monthly payments ranging from $111 to $309.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A certificate of substantial completion has been issued and the lease commencement date was March 25, 2024. The Company began paying monthly rent under the lease on July 24, 2024.</w:t>
      </w:r>
    </w:p>
    <w:p>
      <w:pPr>
        <w:spacing w:after="0" w:line="246" w:lineRule="exact"/>
        <w:rPr>
          <w:sz w:val="20"/>
          <w:szCs w:val="20"/>
          <w:color w:val="auto"/>
        </w:rPr>
      </w:pPr>
    </w:p>
    <w:p>
      <w:pPr>
        <w:jc w:val="both"/>
        <w:ind w:hanging="9"/>
        <w:spacing w:after="0" w:line="241" w:lineRule="auto"/>
        <w:rPr>
          <w:sz w:val="20"/>
          <w:szCs w:val="20"/>
          <w:color w:val="auto"/>
        </w:rPr>
      </w:pPr>
      <w:r>
        <w:rPr>
          <w:rFonts w:ascii="Times New Roman" w:cs="Times New Roman" w:eastAsia="Times New Roman" w:hAnsi="Times New Roman"/>
          <w:sz w:val="20"/>
          <w:szCs w:val="20"/>
          <w:color w:val="auto"/>
        </w:rPr>
        <w:t>On April 12, 2024 the Company entered into a lease agreement, pursuant to which the Company agreed to lease an approximately 64,000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effective date of the lease is April 1, 2024 (the “Lease Commencement Date”). However, the initial term of the Fernley Lease Agreement (the “Term”) is for a period of sixty (60) months, effective June 1, 2024 (the “Rent Commencement Date”). The base rent for the Premises, payable monthly, is $45 for the first ten months, starting June 1, 2024, and is subject to a three percent (3.0%) increase on the anniversary of the Lease Commencement Date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$50.</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0080"/>
          </w:cols>
          <w:pgMar w:left="1080" w:top="1079" w:right="1080" w:bottom="157"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COMMITMENTS AND CONTINGENCIES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breakout of the operating leases as of:</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9"/>
              </w:rPr>
              <w:t>December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8"/>
              </w:rPr>
              <w:t>December 31,</w:t>
            </w:r>
          </w:p>
        </w:tc>
      </w:tr>
      <w:tr>
        <w:trPr>
          <w:trHeight w:val="233"/>
        </w:trPr>
        <w:tc>
          <w:tcPr>
            <w:tcW w:w="4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160" w:type="dxa"/>
            <w:vAlign w:val="bottom"/>
          </w:tcPr>
          <w:p>
            <w:pPr>
              <w:spacing w:after="0"/>
              <w:rPr>
                <w:sz w:val="20"/>
                <w:szCs w:val="20"/>
                <w:color w:val="auto"/>
              </w:rPr>
            </w:pPr>
          </w:p>
        </w:tc>
      </w:tr>
      <w:tr>
        <w:trPr>
          <w:trHeight w:val="232"/>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19,737</w:t>
            </w:r>
          </w:p>
        </w:tc>
        <w:tc>
          <w:tcPr>
            <w:tcW w:w="2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3,315</w:t>
            </w:r>
          </w:p>
        </w:tc>
        <w:tc>
          <w:tcPr>
            <w:tcW w:w="160" w:type="dxa"/>
            <w:vAlign w:val="bottom"/>
          </w:tcPr>
          <w:p>
            <w:pPr>
              <w:spacing w:after="0"/>
              <w:rPr>
                <w:sz w:val="20"/>
                <w:szCs w:val="20"/>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Short-term operating lease liabilities ....................................</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1,288</w:t>
            </w:r>
          </w:p>
        </w:tc>
        <w:tc>
          <w:tcPr>
            <w:tcW w:w="160" w:type="dxa"/>
            <w:vAlign w:val="bottom"/>
          </w:tcPr>
          <w:p>
            <w:pPr>
              <w:spacing w:after="0"/>
              <w:rPr>
                <w:sz w:val="20"/>
                <w:szCs w:val="20"/>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Long-term operating lease liabilities .....................................</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22,588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2,234</w:t>
            </w:r>
          </w:p>
        </w:tc>
        <w:tc>
          <w:tcPr>
            <w:tcW w:w="160" w:type="dxa"/>
            <w:vAlign w:val="bottom"/>
          </w:tcPr>
          <w:p>
            <w:pPr>
              <w:spacing w:after="0"/>
              <w:rPr>
                <w:sz w:val="20"/>
                <w:szCs w:val="20"/>
                <w:color w:val="auto"/>
              </w:rPr>
            </w:pPr>
          </w:p>
        </w:tc>
      </w:tr>
      <w:tr>
        <w:trPr>
          <w:trHeight w:val="233"/>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Total operating lease liabilities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25,514</w:t>
            </w:r>
          </w:p>
        </w:tc>
        <w:tc>
          <w:tcPr>
            <w:tcW w:w="2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3,522</w:t>
            </w:r>
          </w:p>
        </w:tc>
        <w:tc>
          <w:tcPr>
            <w:tcW w:w="16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492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Weighted average remaining lease term ...............................</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line="218" w:lineRule="exact"/>
              <w:rPr>
                <w:sz w:val="20"/>
                <w:szCs w:val="20"/>
                <w:color w:val="auto"/>
              </w:rPr>
            </w:pPr>
            <w:r>
              <w:rPr>
                <w:rFonts w:ascii="Times New Roman" w:cs="Times New Roman" w:eastAsia="Times New Roman" w:hAnsi="Times New Roman"/>
                <w:sz w:val="20"/>
                <w:szCs w:val="20"/>
                <w:color w:val="auto"/>
              </w:rPr>
              <w:t>8.46 years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line="218" w:lineRule="exact"/>
              <w:rPr>
                <w:sz w:val="20"/>
                <w:szCs w:val="20"/>
                <w:color w:val="auto"/>
              </w:rPr>
            </w:pPr>
            <w:r>
              <w:rPr>
                <w:rFonts w:ascii="Times New Roman" w:cs="Times New Roman" w:eastAsia="Times New Roman" w:hAnsi="Times New Roman"/>
                <w:sz w:val="20"/>
                <w:szCs w:val="20"/>
                <w:color w:val="auto"/>
              </w:rPr>
              <w:t>2.6 years</w:t>
            </w:r>
          </w:p>
        </w:tc>
      </w:tr>
      <w:tr>
        <w:trPr>
          <w:trHeight w:val="232"/>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 ............................................</w:t>
            </w:r>
          </w:p>
        </w:tc>
        <w:tc>
          <w:tcPr>
            <w:tcW w:w="10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r>
    </w:tbl>
    <w:p>
      <w:pPr>
        <w:spacing w:after="0" w:line="244" w:lineRule="exact"/>
        <w:rPr>
          <w:sz w:val="20"/>
          <w:szCs w:val="20"/>
          <w:color w:val="auto"/>
        </w:rPr>
      </w:pPr>
    </w:p>
    <w:p>
      <w:pPr>
        <w:ind w:hanging="9"/>
        <w:spacing w:after="0" w:line="235" w:lineRule="auto"/>
        <w:rPr>
          <w:sz w:val="20"/>
          <w:szCs w:val="20"/>
          <w:color w:val="auto"/>
        </w:rPr>
      </w:pPr>
      <w:r>
        <w:rPr>
          <w:rFonts w:ascii="Times New Roman" w:cs="Times New Roman" w:eastAsia="Times New Roman" w:hAnsi="Times New Roman"/>
          <w:sz w:val="20"/>
          <w:szCs w:val="20"/>
          <w:color w:val="auto"/>
        </w:rPr>
        <w:t>Assumptions used in determining our incremental borrowing rate include our implied credit rating and an estimate of secured borrowing rates based on comparable market data.</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2024, the future minimum lease payments under these operating leases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Fiscal Years Ending</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2"/>
        </w:trPr>
        <w:tc>
          <w:tcPr>
            <w:tcW w:w="43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71"/>
              </w:rPr>
              <w:t>December 31, 2025 ................................................................................................</w:t>
            </w:r>
          </w:p>
        </w:tc>
        <w:tc>
          <w:tcPr>
            <w:tcW w:w="1800" w:type="dxa"/>
            <w:vAlign w:val="bottom"/>
          </w:tcPr>
          <w:p>
            <w:pPr>
              <w:spacing w:after="0"/>
              <w:rPr>
                <w:sz w:val="20"/>
                <w:szCs w:val="20"/>
                <w:color w:val="auto"/>
              </w:rPr>
            </w:pP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7"/>
              </w:rPr>
              <w:t>4,817</w:t>
            </w:r>
          </w:p>
        </w:tc>
        <w:tc>
          <w:tcPr>
            <w:tcW w:w="1000" w:type="dxa"/>
            <w:vAlign w:val="bottom"/>
          </w:tcPr>
          <w:p>
            <w:pPr>
              <w:spacing w:after="0"/>
              <w:rPr>
                <w:sz w:val="20"/>
                <w:szCs w:val="20"/>
                <w:color w:val="auto"/>
              </w:rPr>
            </w:pPr>
          </w:p>
        </w:tc>
      </w:tr>
      <w:tr>
        <w:trPr>
          <w:trHeight w:val="233"/>
        </w:trPr>
        <w:tc>
          <w:tcPr>
            <w:tcW w:w="43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71"/>
              </w:rPr>
              <w:t>December 31, 2026 ................................................................................................</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7"/>
              </w:rPr>
              <w:t>4,376</w:t>
            </w:r>
          </w:p>
        </w:tc>
        <w:tc>
          <w:tcPr>
            <w:tcW w:w="1000" w:type="dxa"/>
            <w:vAlign w:val="bottom"/>
          </w:tcPr>
          <w:p>
            <w:pPr>
              <w:spacing w:after="0"/>
              <w:rPr>
                <w:sz w:val="20"/>
                <w:szCs w:val="20"/>
                <w:color w:val="auto"/>
              </w:rPr>
            </w:pPr>
          </w:p>
        </w:tc>
      </w:tr>
      <w:tr>
        <w:trPr>
          <w:trHeight w:val="232"/>
        </w:trPr>
        <w:tc>
          <w:tcPr>
            <w:tcW w:w="43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71"/>
              </w:rPr>
              <w:t>December 31, 2027 ................................................................................................</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7"/>
              </w:rPr>
              <w:t>3,588</w:t>
            </w:r>
          </w:p>
        </w:tc>
        <w:tc>
          <w:tcPr>
            <w:tcW w:w="1000" w:type="dxa"/>
            <w:vAlign w:val="bottom"/>
          </w:tcPr>
          <w:p>
            <w:pPr>
              <w:spacing w:after="0"/>
              <w:rPr>
                <w:sz w:val="20"/>
                <w:szCs w:val="20"/>
                <w:color w:val="auto"/>
              </w:rPr>
            </w:pPr>
          </w:p>
        </w:tc>
      </w:tr>
      <w:tr>
        <w:trPr>
          <w:trHeight w:val="232"/>
        </w:trPr>
        <w:tc>
          <w:tcPr>
            <w:tcW w:w="43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71"/>
              </w:rPr>
              <w:t>December 31, 2028 ................................................................................................</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7"/>
              </w:rPr>
              <w:t>3,695</w:t>
            </w:r>
          </w:p>
        </w:tc>
        <w:tc>
          <w:tcPr>
            <w:tcW w:w="1000" w:type="dxa"/>
            <w:vAlign w:val="bottom"/>
          </w:tcPr>
          <w:p>
            <w:pPr>
              <w:spacing w:after="0"/>
              <w:rPr>
                <w:sz w:val="20"/>
                <w:szCs w:val="20"/>
                <w:color w:val="auto"/>
              </w:rPr>
            </w:pPr>
          </w:p>
        </w:tc>
      </w:tr>
      <w:tr>
        <w:trPr>
          <w:trHeight w:val="232"/>
        </w:trPr>
        <w:tc>
          <w:tcPr>
            <w:tcW w:w="43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71"/>
              </w:rPr>
              <w:t>December 31, 2029 ................................................................................................</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7"/>
              </w:rPr>
              <w:t>3,443</w:t>
            </w:r>
          </w:p>
        </w:tc>
        <w:tc>
          <w:tcPr>
            <w:tcW w:w="1000" w:type="dxa"/>
            <w:vAlign w:val="bottom"/>
          </w:tcPr>
          <w:p>
            <w:pPr>
              <w:spacing w:after="0"/>
              <w:rPr>
                <w:sz w:val="20"/>
                <w:szCs w:val="20"/>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71"/>
              </w:rPr>
              <w:t>Thereafter ...............................................................................................................</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15,883</w:t>
            </w:r>
          </w:p>
        </w:tc>
        <w:tc>
          <w:tcPr>
            <w:tcW w:w="1000" w:type="dxa"/>
            <w:vAlign w:val="bottom"/>
          </w:tcPr>
          <w:p>
            <w:pPr>
              <w:spacing w:after="0"/>
              <w:rPr>
                <w:sz w:val="20"/>
                <w:szCs w:val="20"/>
                <w:color w:val="auto"/>
              </w:rPr>
            </w:pPr>
          </w:p>
        </w:tc>
      </w:tr>
      <w:tr>
        <w:trPr>
          <w:trHeight w:val="230"/>
        </w:trPr>
        <w:tc>
          <w:tcPr>
            <w:tcW w:w="43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70"/>
              </w:rPr>
              <w:t>Total lease payments ..............................................................................................</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35,802</w:t>
            </w:r>
          </w:p>
        </w:tc>
        <w:tc>
          <w:tcPr>
            <w:tcW w:w="1000" w:type="dxa"/>
            <w:vAlign w:val="bottom"/>
          </w:tcPr>
          <w:p>
            <w:pPr>
              <w:spacing w:after="0"/>
              <w:rPr>
                <w:sz w:val="20"/>
                <w:szCs w:val="20"/>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71"/>
              </w:rPr>
              <w:t>Less imputed interest .............................................................................................</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10,288</w:t>
            </w:r>
          </w:p>
        </w:tc>
        <w:tc>
          <w:tcPr>
            <w:tcW w:w="1000" w:type="dxa"/>
            <w:vAlign w:val="bottom"/>
          </w:tcPr>
          <w:p>
            <w:pPr>
              <w:spacing w:after="0"/>
              <w:rPr>
                <w:sz w:val="20"/>
                <w:szCs w:val="20"/>
                <w:color w:val="auto"/>
              </w:rPr>
            </w:pPr>
          </w:p>
        </w:tc>
      </w:tr>
      <w:tr>
        <w:trPr>
          <w:trHeight w:val="235"/>
        </w:trPr>
        <w:tc>
          <w:tcPr>
            <w:tcW w:w="43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71"/>
              </w:rPr>
              <w:t>Total operating lease liabilities ..............................................................................</w:t>
            </w:r>
          </w:p>
        </w:tc>
        <w:tc>
          <w:tcPr>
            <w:tcW w:w="1800" w:type="dxa"/>
            <w:vAlign w:val="bottom"/>
          </w:tcPr>
          <w:p>
            <w:pPr>
              <w:spacing w:after="0"/>
              <w:rPr>
                <w:sz w:val="20"/>
                <w:szCs w:val="20"/>
                <w:color w:val="auto"/>
              </w:rPr>
            </w:pP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25,514</w:t>
            </w:r>
          </w:p>
        </w:tc>
        <w:tc>
          <w:tcPr>
            <w:tcW w:w="1000" w:type="dxa"/>
            <w:vAlign w:val="bottom"/>
          </w:tcPr>
          <w:p>
            <w:pPr>
              <w:spacing w:after="0"/>
              <w:rPr>
                <w:sz w:val="20"/>
                <w:szCs w:val="20"/>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49"/>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8"/>
          </w:tcPr>
          <w:p>
            <w:pPr>
              <w:jc w:val="center"/>
              <w:spacing w:after="0"/>
              <w:rPr>
                <w:sz w:val="20"/>
                <w:szCs w:val="20"/>
                <w:color w:val="auto"/>
              </w:rPr>
            </w:pPr>
            <w:r>
              <w:rPr>
                <w:rFonts w:ascii="Times New Roman" w:cs="Times New Roman" w:eastAsia="Times New Roman" w:hAnsi="Times New Roman"/>
                <w:sz w:val="20"/>
                <w:szCs w:val="20"/>
                <w:color w:val="auto"/>
              </w:rPr>
              <w:t>For The Years Ended December</w:t>
            </w:r>
          </w:p>
        </w:tc>
      </w:tr>
      <w:tr>
        <w:trPr>
          <w:trHeight w:val="232"/>
        </w:trPr>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5"/>
              </w:rPr>
              <w:t>31,</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4"/>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Lease cost</w:t>
            </w:r>
          </w:p>
        </w:tc>
        <w:tc>
          <w:tcPr>
            <w:tcW w:w="18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Classification</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w w:val="99"/>
              </w:rPr>
              <w:t>2024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w w:val="99"/>
              </w:rPr>
              <w:t>Operating lease cost ..................................................</w:t>
            </w:r>
          </w:p>
        </w:tc>
        <w:tc>
          <w:tcPr>
            <w:tcW w:w="18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w:t>
            </w:r>
          </w:p>
        </w:tc>
      </w:tr>
      <w:tr>
        <w:trPr>
          <w:trHeight w:val="233"/>
        </w:trPr>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w w:val="99"/>
              </w:rPr>
              <w:t>Operating lease cost ..................................................</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development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32"/>
        </w:trPr>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General and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w w:val="99"/>
              </w:rPr>
              <w:t>Operating lease cost ..................................................</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administration</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36"/>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w w:val="99"/>
              </w:rPr>
              <w:t>Operating lease cost ..................................................</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Selling and marketing</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2"/>
        </w:trPr>
        <w:tc>
          <w:tcPr>
            <w:tcW w:w="41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w w:val="99"/>
              </w:rPr>
              <w:t>Total lease cost ..........................................................</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0" w:type="dxa"/>
            <w:vAlign w:val="bottom"/>
            <w:gridSpan w:val="3"/>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4,437</w:t>
            </w:r>
          </w:p>
        </w:tc>
        <w:tc>
          <w:tcPr>
            <w:tcW w:w="460" w:type="dxa"/>
            <w:vAlign w:val="bottom"/>
            <w:gridSpan w:val="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1,577</w:t>
            </w: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lease costs included in the schedule above are fixed.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Leases</w:t>
      </w:r>
    </w:p>
    <w:p>
      <w:pPr>
        <w:spacing w:after="0" w:line="244" w:lineRule="exact"/>
        <w:rPr>
          <w:sz w:val="20"/>
          <w:szCs w:val="20"/>
          <w:color w:val="auto"/>
        </w:rPr>
      </w:pPr>
    </w:p>
    <w:p>
      <w:pPr>
        <w:ind w:hanging="9"/>
        <w:spacing w:after="0" w:line="235" w:lineRule="auto"/>
        <w:rPr>
          <w:sz w:val="20"/>
          <w:szCs w:val="20"/>
          <w:color w:val="auto"/>
        </w:rPr>
      </w:pPr>
      <w:r>
        <w:rPr>
          <w:rFonts w:ascii="Times New Roman" w:cs="Times New Roman" w:eastAsia="Times New Roman" w:hAnsi="Times New Roman"/>
          <w:sz w:val="20"/>
          <w:szCs w:val="20"/>
          <w:color w:val="auto"/>
        </w:rPr>
        <w:t>The Company entered into finance lease agreements for equipment to support the Company’s operations. Payments under the finance lease agreements are fixed for a term of 3-5 years. The leased assets are recognized in property plant &amp; equipment.</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0080"/>
          </w:cols>
          <w:pgMar w:left="1080" w:top="1079" w:right="1080" w:bottom="157"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COMMITMENTS AND CONTINGENCIES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breakout of the financing leases as of:</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9"/>
              </w:rPr>
              <w:t>December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8"/>
              </w:rPr>
              <w:t>December 31,</w:t>
            </w:r>
          </w:p>
        </w:tc>
      </w:tr>
      <w:tr>
        <w:trPr>
          <w:trHeight w:val="233"/>
        </w:trPr>
        <w:tc>
          <w:tcPr>
            <w:tcW w:w="4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160" w:type="dxa"/>
            <w:vAlign w:val="bottom"/>
          </w:tcPr>
          <w:p>
            <w:pPr>
              <w:spacing w:after="0"/>
              <w:rPr>
                <w:sz w:val="20"/>
                <w:szCs w:val="20"/>
                <w:color w:val="auto"/>
              </w:rPr>
            </w:pPr>
          </w:p>
        </w:tc>
      </w:tr>
      <w:tr>
        <w:trPr>
          <w:trHeight w:val="232"/>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right-of-use assets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60" w:type="dxa"/>
            <w:vAlign w:val="bottom"/>
          </w:tcPr>
          <w:p>
            <w:pPr>
              <w:spacing w:after="0"/>
              <w:rPr>
                <w:sz w:val="20"/>
                <w:szCs w:val="20"/>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Short-term finance lease liabilities ........................................</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60" w:type="dxa"/>
            <w:vAlign w:val="bottom"/>
          </w:tcPr>
          <w:p>
            <w:pPr>
              <w:spacing w:after="0"/>
              <w:rPr>
                <w:sz w:val="20"/>
                <w:szCs w:val="20"/>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Long-term finance lease liabilities ........................................</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60" w:type="dxa"/>
            <w:vAlign w:val="bottom"/>
          </w:tcPr>
          <w:p>
            <w:pPr>
              <w:spacing w:after="0"/>
              <w:rPr>
                <w:sz w:val="20"/>
                <w:szCs w:val="20"/>
                <w:color w:val="auto"/>
              </w:rPr>
            </w:pPr>
          </w:p>
        </w:tc>
      </w:tr>
      <w:tr>
        <w:trPr>
          <w:trHeight w:val="233"/>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Total finance lease liabilities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2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6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492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Weighted average remaining lease term ...............................</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line="218" w:lineRule="exact"/>
              <w:rPr>
                <w:sz w:val="20"/>
                <w:szCs w:val="20"/>
                <w:color w:val="auto"/>
              </w:rPr>
            </w:pPr>
            <w:r>
              <w:rPr>
                <w:rFonts w:ascii="Times New Roman" w:cs="Times New Roman" w:eastAsia="Times New Roman" w:hAnsi="Times New Roman"/>
                <w:sz w:val="20"/>
                <w:szCs w:val="20"/>
                <w:color w:val="auto"/>
              </w:rPr>
              <w:t>2.78 years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line="218" w:lineRule="exact"/>
              <w:rPr>
                <w:sz w:val="20"/>
                <w:szCs w:val="20"/>
                <w:color w:val="auto"/>
              </w:rPr>
            </w:pPr>
            <w:r>
              <w:rPr>
                <w:rFonts w:ascii="Times New Roman" w:cs="Times New Roman" w:eastAsia="Times New Roman" w:hAnsi="Times New Roman"/>
                <w:sz w:val="20"/>
                <w:szCs w:val="20"/>
                <w:color w:val="auto"/>
              </w:rPr>
              <w:t>2.7 years</w:t>
            </w:r>
          </w:p>
        </w:tc>
      </w:tr>
      <w:tr>
        <w:trPr>
          <w:trHeight w:val="232"/>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 ............................................</w:t>
            </w:r>
          </w:p>
        </w:tc>
        <w:tc>
          <w:tcPr>
            <w:tcW w:w="10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r>
    </w:tbl>
    <w:p>
      <w:pPr>
        <w:spacing w:after="0" w:line="244"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Assumptions used in determining our incremental borrowing rate include our implied credit rating and an estimate of secured borrowing rates based on comparable market data.</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2024, the future minimum lease payments under these financing leases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Years Ending</w:t>
            </w: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2"/>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2025 ................................................................................................</w:t>
            </w:r>
          </w:p>
        </w:tc>
        <w:tc>
          <w:tcPr>
            <w:tcW w:w="60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33"/>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2026 ................................................................................................</w:t>
            </w:r>
          </w:p>
        </w:tc>
        <w:tc>
          <w:tcPr>
            <w:tcW w:w="6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2"/>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2027 ................................................................................................</w:t>
            </w:r>
          </w:p>
        </w:tc>
        <w:tc>
          <w:tcPr>
            <w:tcW w:w="6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32"/>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2028 ................................................................................................</w:t>
            </w:r>
          </w:p>
        </w:tc>
        <w:tc>
          <w:tcPr>
            <w:tcW w:w="6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2029 ................................................................................................</w:t>
            </w: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29"/>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lease payments ..............................................................................................</w:t>
            </w: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imputed interest .............................................................................................</w:t>
            </w: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financing lease liabilities ..............................................................................</w:t>
            </w:r>
          </w:p>
        </w:tc>
        <w:tc>
          <w:tcPr>
            <w:tcW w:w="60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Contingencies</w:t>
      </w:r>
    </w:p>
    <w:p>
      <w:pPr>
        <w:spacing w:after="0" w:line="243"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See Note 7 for further discussion regarding contingent consideration arising from the April 2022 Asset Purchase agreement with Thomason Jones Company, LLC.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LONG TERM DEBT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Term Loan Agreement</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As of December 31, 2024, the Company had an outstanding term loan under a Term Loan, Guarantee and Security Agreement (the “Term Loan Agreement”), dated October 7, 2022, with EICF Agent LLC, as agent, and certain lenders. The Term Loan matures on October 7, 2027 and amortizes at a rate of 5% per annum beginning in October 2024. During the year ended December 31, 2023, the Company prepaid the first four required quarterly installments totaling $5,275, which deferred the commencement of principal payments to October 2025.</w:t>
      </w:r>
    </w:p>
    <w:p>
      <w:pPr>
        <w:spacing w:after="0" w:line="246"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Prior to any amendments, the Term Loan accrues interest based on the Company’s senior leverage ratio. From inception through September 30, 2024, interest accrued at a per annum rate equal to adjusted SOFR (subject to a floor of 1.0%) plus 7.0% payable in cash, plus an additional 4.5% to 6.5% payable in kind (“PIK”), depending on the Company’s senior leverage ratio. Effective April 1, 2024, interest payable to lenders subject to the regulations of the U.S. Small Business Administration (with $30,846 of principal outstanding as of that date) is limited to 14.0% per annum, excluding default interest permitted under applicable SBA regulations. From October 1, 2024 through March 31, 2025, interest on the non-SBA regulated portion continued to accrue at adjusted SOFR plus 7.0% payable in cash, and 4.5% to 6.5% payable in kind. Beginning April 1, 2025, interest on all outstanding balances will be payable entirely in cash, at a rate equal to adjusted SOFR plus a margin ranging from 11.5% to 13.5%, depending on the Company’s senior leverage ratio.</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0080"/>
          </w:cols>
          <w:pgMar w:left="1080" w:top="1079" w:right="1080" w:bottom="157"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LONG TERM DEBT (CONTINUED)</w:t>
      </w:r>
    </w:p>
    <w:p>
      <w:pPr>
        <w:spacing w:after="0" w:line="243"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9"/>
          <w:szCs w:val="19"/>
          <w:color w:val="auto"/>
        </w:rPr>
        <w:t>During the years ended December 31, 2024 and 2023, the Company recognized interest expense of $13,999 and $14,272, respectively. Amortization of debt issuance costs amounted to $7,241 and $1,471, respectively, for the same periods. As of December 31, 2024, the carrying value of the Term Loan was $29,646, consisting of $69,974 in principal and $15,938 in capitalized PIK interest, net of $56,266 in unamortized debt discount. As of December 31, 2023, the carrying value was $19,683, consisting of $69,725 in principal and $6,130 in capitalized PIK interest, net of $56,172 in unamortized debt discount.</w:t>
      </w:r>
    </w:p>
    <w:p>
      <w:pPr>
        <w:spacing w:after="0" w:line="231"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The obligations under the Term Loan Agreement are secured by a first-priority lien on substantially all of the Company’s assets, including certain mortgaged properties.</w:t>
      </w:r>
    </w:p>
    <w:p>
      <w:pPr>
        <w:spacing w:after="0" w:line="246"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Subsequent to the original execution of the Term Loan Agreement, the Company entered into several amendments which modified certain terms of the facility, including, but not limited to, interest rate mechanics, the timing of principal payments, and certain financial and operational covenants. These amendments were in effect as of December 31, 2024, and the terms described above reflect the terms of the agreement as originally issued. See below for further discussion of the amendments.</w:t>
      </w:r>
    </w:p>
    <w:p>
      <w:pPr>
        <w:spacing w:after="0" w:line="247"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On May 13, 2024, the Company received a waiver from its Administrative Agent and Term Loan Lenders (the “May 2024 Waiver”) in regards to its compliance with the Senior Leverage Ratio and Fixed Charge Coverage Ratio tests (the “Tests”) as of the last day of the quarter ended March 31, 2024. The May 2024 Waiver provided for a one-time issuance of penny warrants (the “May 2024 Penny Warrants”) to purchase up to 283,334 shares of the Company’s common stock, par value $0.0001 per share (the “May 2024 Penny Warrant Shares”). The May 2024 Penny Warrants have an exercise price of $0.09 per share, were valued at $3,022, and recorded as a debt discount. The May 2024 Penny Warrants were issued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247"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On June 28, 2024, the Company entered into a Limited Waiver and First Amendment (the “Term Loan Amendment” and, together with the Term Loan Agreement, the “Term Loan Agreement”) to the Term Loan with the lenders in regards to its compliance with the Tests as of the last day of the quarter ended June 30, 2024 and certain amendments to the Term Loan. The Term Loan Amendment provided for a one-time issuance of Penny Warrants to purchase up to 233,334 shares of the Company’s Common Stock at an exercise price of $0.09 per share (the “June 2024 Penny Warrants”), valued at $1,767 and recorded as a debt discount. The June 2024 Penny Warrants were issued in connection with the lenders’ agreement to waive the Tests under the Term Loan for the quarter ended June30, 2024 and to amend the Term Loan. The June 2024 Penny Warrants are immediately exercisable upon issuance and will expire ten years from the date of issuance.</w:t>
      </w:r>
    </w:p>
    <w:p>
      <w:pPr>
        <w:spacing w:after="0" w:line="247"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In addition, the First Amendment (i) reduced the liquidity requirement under the Term Loan to be $3.5 million as of the last day of the month ended June 30, 2024, and $10.0 million as of the last day of each fiscal month thereafter commencing with the fiscal month ended July 31, 2024 and (ii) provided for the interest to be paid on the Payment Date (as defined in the Term Loan) occurred on July 1, 2024 to be solely payable-in-kind.</w:t>
      </w:r>
    </w:p>
    <w:p>
      <w:pPr>
        <w:spacing w:after="0" w:line="244"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In connection with the License Agreement, on July 29, 2024, the Company, Legacy Dragonfly and Battle Born LLC entered into a Limited Waiver, Consent and Second Amendment (the “Second Amendment”) to Term Loan.</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Pursuant to the Second Amendment, the Term Loan Lenders (i) consented to the transactions contemplated by the License Agreement and the Trademark Transfer Agreement and (ii) agreed to waive the mandatory prepayment under the Term Loan that would have been due to the Lenders under the Loan Agreement upon Battle Born LLC’s receipt of the Initial Licensing Fee.</w:t>
      </w:r>
    </w:p>
    <w:p>
      <w:pPr>
        <w:spacing w:after="0" w:line="244"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In connection with the Second Amendment, Battle Born LLC entered into a Joinder Agreement with the Term Lenders whereby Battle Born LLC became a guarantor and credit party to the Term Loan.</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080"/>
          </w:cols>
          <w:pgMar w:left="1080" w:top="1079" w:right="1080" w:bottom="157"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LONG TERM DEBT (CONTINUED)</w:t>
      </w:r>
    </w:p>
    <w:p>
      <w:pPr>
        <w:spacing w:after="0" w:line="243" w:lineRule="exact"/>
        <w:rPr>
          <w:sz w:val="20"/>
          <w:szCs w:val="20"/>
          <w:color w:val="auto"/>
        </w:rPr>
      </w:pPr>
    </w:p>
    <w:p>
      <w:pPr>
        <w:jc w:val="both"/>
        <w:ind w:hanging="9"/>
        <w:spacing w:after="0" w:line="241" w:lineRule="auto"/>
        <w:rPr>
          <w:sz w:val="20"/>
          <w:szCs w:val="20"/>
          <w:color w:val="auto"/>
        </w:rPr>
      </w:pPr>
      <w:r>
        <w:rPr>
          <w:rFonts w:ascii="Times New Roman" w:cs="Times New Roman" w:eastAsia="Times New Roman" w:hAnsi="Times New Roman"/>
          <w:sz w:val="20"/>
          <w:szCs w:val="20"/>
          <w:color w:val="auto"/>
        </w:rPr>
        <w:t>On September 30, 2024, the Company entered into a Limited Waiver and Third Amendment (the “Third Amendment”, together with the Original Term Loan Agreement, the First Amendment and the Second Amendment, the “Term Loan Agreement”) to the Term Loan Agreement with the Term Loan Lenders in regards to its compliance with the Tests as of the last day of the quarter ended September 30, 2024 and certain amendments to the Term Loan Agreement. The Third Amendment provided for a one-time issuance of penny warrants (the “September 2024 Penny Warrants”, collectively with the Original Penny Warrants, the May 2024 Penny Warrants and the June 2024 Penny Warrants, the “Penny Warrants”) to purchase up to 333,334 shares of the Company’s Common Stock at an exercise price of $0.09 per share (the “September 2024 Penny Warrant Shares”, collectively with the Original Penny Warrants, the May 2024 Penny Warrants and the June 2024 Penny Warrants, the “Penny Warrant Shares”), valued at $1,576 and recorded as a debt discount. The September 2024 Penny Warrants were issued in connection with the Term Loan Lenders’ agreement to waive the Tests under the Term Loan for the quarter ended September 30, 2024 and to amend the Term Loan Agreement. The September 2024 Penny Warrants are immediately exercisable upon issuance and will expire ten years from the date of issuance.</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In addition, the Third Amendment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spacing w:after="0" w:line="248" w:lineRule="exact"/>
        <w:rPr>
          <w:sz w:val="20"/>
          <w:szCs w:val="20"/>
          <w:color w:val="auto"/>
        </w:rPr>
      </w:pPr>
    </w:p>
    <w:p>
      <w:pPr>
        <w:jc w:val="both"/>
        <w:ind w:hanging="9"/>
        <w:spacing w:after="0" w:line="254" w:lineRule="auto"/>
        <w:rPr>
          <w:sz w:val="20"/>
          <w:szCs w:val="20"/>
          <w:color w:val="auto"/>
        </w:rPr>
      </w:pPr>
      <w:r>
        <w:rPr>
          <w:rFonts w:ascii="Times New Roman" w:cs="Times New Roman" w:eastAsia="Times New Roman" w:hAnsi="Times New Roman"/>
          <w:sz w:val="19"/>
          <w:szCs w:val="19"/>
          <w:color w:val="auto"/>
        </w:rPr>
        <w:t>On December 31, 2024, the Company entered into a Limited Waiver and Fourth Amendment (the “Fourth Amendment”, together with the Original Term Loan Agreement, the First Amendment, the Second Amendment, and the Third Amendment the “Term Loan Agreement”) to the Term Loan Agreement with the Term Loan Lenders in regards to its compliance with the Tests as of the last day of the quarter ended December 31, 2024 and certain amendments to the Term Loan Agreement. The Fourth Amendment provided for a one-time issuance of penny warrants (the “December 2024 Penny Warrants”, collectively with the Original Penny Warrants, the May 2024 Penny Warrants, the June 2024 Penny Warrants and the September 2024 Penny Warrants, the “Penny Warrants”) to purchase up to 350,000 shares of the Company’s Common Stock at an exercise price of $0.01 per share (the “December 2024 Penny Warrant Shares”, collectively with the Original Penny Warrants, the May 2024 Penny Warrants, the June 2024 Penny Warrants and the September 2024 Penny Warrants, the “Penny Warrant Shares”), valued at $971 and recorded as a debt discount. The December 2024 Penny Warrants were issued in connection with the Term Loan Lenders’ agreement to waive the Tests under the Term Loan for the quarter ended December 31, 2024 and to amend the Term Loan Agreement. The December 2024 Penny Warrants will be exercisable at such time that the Company obtain the Warrant Issuance Shareholder Approval (as defined below) and will expire ten years from the date of issuance.</w:t>
      </w:r>
    </w:p>
    <w:p>
      <w:pPr>
        <w:spacing w:after="0" w:line="242"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In addition, the Fourth Amendment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Covenants</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The Company is subject to restrictive financial covenants pertaining to Maximum Senior Leverage Ratio, Liquidity, Fixed Charge Coverage Ratio, and Capital Expenditures as defined in the Term Loan Agreement. As of December 31, 2024, the Company was not in compliance with its financial covenants pertaining to the fixed charge coverage ratio, liquidity, and the maximum senior leverage ratio. On March 31, 2024, April 29, 2024, May 30, 2024, June 28, 2024, July 31, 2024, August 30, 2024, September 30, 2024, October 31, 2024, November 30, 2024 and December 31, 2024 the Company obtained waivers from the Term Loan Lenders and administrative agent in regards to its failure to satisfy the liquidity requirement under the Term Loan for the quarters ended March 31, 2024, June 30, 2024, September 30, 2024, and December 31, 2024 and the fiscal months ended April 30, 2024, May 31, 2024, July 31, 2024, August 31, 2024, October 31, 2024, November 30, 2024, as applicable.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F-22</w:t>
      </w:r>
    </w:p>
    <w:p>
      <w:pPr>
        <w:sectPr>
          <w:pgSz w:w="12240" w:h="15840" w:orient="portrait"/>
          <w:cols w:equalWidth="0" w:num="1">
            <w:col w:w="10080"/>
          </w:cols>
          <w:pgMar w:left="1080" w:top="1079" w:right="1080" w:bottom="155"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LONG TERM DEBT (CONTINUED)</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On February 2025, subsequent to the current year ended December 31, 2024, in connection with the Securities Purchase Agreement, the Company entered into the Fifth Amendment to the Term Loan. This amendment extended the loan’s maturity date by one year to October 2027 and deferred all principal and interest payments until April 2026. Additionally, the amendment postponed certain covenant requirements, significantly reducing the likelihood of a breach and the lender’s ability to accelerate repayment based on prior noncompliance, thereby allowing the Company to reclassify the debt as long-term as of December 31, 2024. As a result, the debt now qualifies for long-term classification.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At December 31, 2024, the future debt maturities are as follows: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66"/>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For Year Ended 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2025 .......................................................................................................................</w:t>
            </w:r>
          </w:p>
        </w:tc>
        <w:tc>
          <w:tcPr>
            <w:tcW w:w="5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r>
      <w:tr>
        <w:trPr>
          <w:trHeight w:val="232"/>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2026 .......................................................................................................................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2,813</w:t>
            </w:r>
          </w:p>
        </w:tc>
        <w:tc>
          <w:tcPr>
            <w:tcW w:w="80" w:type="dxa"/>
            <w:vAlign w:val="bottom"/>
          </w:tcPr>
          <w:p>
            <w:pPr>
              <w:spacing w:after="0"/>
              <w:rPr>
                <w:sz w:val="20"/>
                <w:szCs w:val="20"/>
                <w:color w:val="auto"/>
              </w:rPr>
            </w:pPr>
          </w:p>
        </w:tc>
      </w:tr>
      <w:tr>
        <w:trPr>
          <w:trHeight w:val="233"/>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2027 .......................................................................................................................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98,342</w:t>
            </w:r>
          </w:p>
        </w:tc>
        <w:tc>
          <w:tcPr>
            <w:tcW w:w="80" w:type="dxa"/>
            <w:vAlign w:val="bottom"/>
          </w:tcPr>
          <w:p>
            <w:pPr>
              <w:spacing w:after="0"/>
              <w:rPr>
                <w:sz w:val="20"/>
                <w:szCs w:val="20"/>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debt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101,155</w:t>
            </w:r>
          </w:p>
        </w:tc>
        <w:tc>
          <w:tcPr>
            <w:tcW w:w="80" w:type="dxa"/>
            <w:vAlign w:val="bottom"/>
          </w:tcPr>
          <w:p>
            <w:pPr>
              <w:spacing w:after="0"/>
              <w:rPr>
                <w:sz w:val="20"/>
                <w:szCs w:val="20"/>
                <w:color w:val="auto"/>
              </w:rPr>
            </w:pPr>
          </w:p>
        </w:tc>
      </w:tr>
      <w:tr>
        <w:trPr>
          <w:trHeight w:val="236"/>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w w:val="99"/>
              </w:rPr>
              <w:t>Less: Estimated interest paid-in-kind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(15,243)</w:t>
            </w:r>
          </w:p>
        </w:tc>
      </w:tr>
      <w:tr>
        <w:trPr>
          <w:trHeight w:val="20"/>
        </w:trPr>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9"/>
        </w:trPr>
        <w:tc>
          <w:tcPr>
            <w:tcW w:w="64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debt ...............................................................................................................</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85,912</w:t>
            </w:r>
          </w:p>
        </w:tc>
        <w:tc>
          <w:tcPr>
            <w:tcW w:w="8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w w:val="99"/>
              </w:rPr>
              <w:t>Less: Unamortized debt issuance costs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(56,266)</w:t>
            </w: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carrying amount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29,646</w:t>
            </w:r>
          </w:p>
        </w:tc>
        <w:tc>
          <w:tcPr>
            <w:tcW w:w="80" w:type="dxa"/>
            <w:vAlign w:val="bottom"/>
          </w:tcPr>
          <w:p>
            <w:pPr>
              <w:spacing w:after="0"/>
              <w:rPr>
                <w:sz w:val="20"/>
                <w:szCs w:val="20"/>
                <w:color w:val="auto"/>
              </w:rPr>
            </w:pPr>
          </w:p>
        </w:tc>
      </w:tr>
      <w:tr>
        <w:trPr>
          <w:trHeight w:val="232"/>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w w:val="99"/>
              </w:rPr>
              <w:t>Less: Current portion of debt .................................................................................</w:t>
            </w:r>
          </w:p>
        </w:tc>
        <w:tc>
          <w:tcPr>
            <w:tcW w:w="160" w:type="dxa"/>
            <w:vAlign w:val="bottom"/>
            <w:gridSpan w:val="2"/>
          </w:tcPr>
          <w:p>
            <w:pPr>
              <w:spacing w:after="0"/>
              <w:rPr>
                <w:sz w:val="20"/>
                <w:szCs w:val="20"/>
                <w:color w:val="auto"/>
              </w:rPr>
            </w:pPr>
          </w:p>
        </w:tc>
        <w:tc>
          <w:tcPr>
            <w:tcW w:w="4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long-term debt ..............................................................................................</w:t>
            </w:r>
          </w:p>
        </w:tc>
        <w:tc>
          <w:tcPr>
            <w:tcW w:w="5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29,646</w:t>
            </w:r>
          </w:p>
        </w:tc>
        <w:tc>
          <w:tcPr>
            <w:tcW w:w="8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ASSET PURCHASE AGREEMENT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Thomason Jones Company, LLC</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In April 2022, the Company entered into an Asset Purchase Agreement with William Thomason, Richard Jones, and Thomason Jones Company, LLC whereby the Company acquired inventory and intellectual property assets for a price not to exceed $700 cash plus contingent payments of $1,000 each to William Thomason and Richard Jones (the “Earn Out”). The transaction was determined to be a business combination under the guidance in FASB ASC 805: 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$444 and was allocated in its entirety to inventory.</w:t>
      </w:r>
    </w:p>
    <w:p>
      <w:pPr>
        <w:spacing w:after="0" w:line="248"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Pursuant to the terms of the agreement dated April 2022, Dragonfly Energy Corp. agreed to a contingent compensation arrangement with Mr. Thomason and Mr. Jones. According to this agreement, if Dragonfly Energy Corp. realizes $3,000 in gross sales from products sold under the Wakespeed brand or which incorporate any portion of the Purchased Intellectual Property (IP) within twenty-four months of the acquisition, the Company is obligated to pay each of Thomason and Jones $1,000. The Company may satisfy this obligation in cash or by issuing common stock at its discretion.</w:t>
      </w:r>
    </w:p>
    <w:p>
      <w:pPr>
        <w:spacing w:after="0" w:line="246"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 weighted expected outcome approach, considering the likelihood of reaching the gross sales target.</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As of December 31, 2023, the Company has recognized $2,000 of compensation expense, respectively, in connection with this arrangement. This expense is reflected in the statement of operations under Sales and marketing expense. The total amount was recognized as compensation expense as of December 31, 2023, since it was deemed earned and no further service performance was required.</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10080"/>
          </w:cols>
          <w:pgMar w:left="1080" w:top="1079" w:right="1080" w:bottom="157"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11" w:lineRule="exact"/>
        <w:rPr>
          <w:sz w:val="20"/>
          <w:szCs w:val="20"/>
          <w:color w:val="auto"/>
        </w:rPr>
      </w:pPr>
    </w:p>
    <w:p>
      <w:pPr>
        <w:ind w:left="2220" w:right="2280" w:firstLine="175"/>
        <w:spacing w:after="0" w:line="256" w:lineRule="auto"/>
        <w:rPr>
          <w:sz w:val="20"/>
          <w:szCs w:val="20"/>
          <w:color w:val="auto"/>
        </w:rPr>
      </w:pPr>
      <w:r>
        <w:rPr>
          <w:rFonts w:ascii="Times New Roman" w:cs="Times New Roman" w:eastAsia="Times New Roman" w:hAnsi="Times New Roman"/>
          <w:sz w:val="19"/>
          <w:szCs w:val="19"/>
          <w:b w:val="1"/>
          <w:bCs w:val="1"/>
          <w:color w:val="auto"/>
        </w:rPr>
        <w:t>NOTES TO CONSOLIDATED FINANCIAL STATEMENTS (IN THOUSANDS, EXCEPT SHARE AND PER SHARE DATA)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LICENSE AGREEMENT</w:t>
      </w:r>
    </w:p>
    <w:p>
      <w:pPr>
        <w:spacing w:after="0" w:line="243" w:lineRule="exact"/>
        <w:rPr>
          <w:sz w:val="20"/>
          <w:szCs w:val="20"/>
          <w:color w:val="auto"/>
        </w:rPr>
      </w:pPr>
    </w:p>
    <w:p>
      <w:pPr>
        <w:jc w:val="both"/>
        <w:ind w:hanging="9"/>
        <w:spacing w:after="0" w:line="241" w:lineRule="auto"/>
        <w:rPr>
          <w:sz w:val="20"/>
          <w:szCs w:val="20"/>
          <w:color w:val="auto"/>
        </w:rPr>
      </w:pPr>
      <w:r>
        <w:rPr>
          <w:rFonts w:ascii="Times New Roman" w:cs="Times New Roman" w:eastAsia="Times New Roman" w:hAnsi="Times New Roman"/>
          <w:sz w:val="20"/>
          <w:szCs w:val="20"/>
          <w:color w:val="auto"/>
        </w:rPr>
        <w:t>On July 29, 2024, Legacy Dragonfly and Battle Born LLC, a wholly-owned subsidiary of Legacy Dragonfly, entered into the License Agreement with Stryten. Under the terms of the License Agreement, Battle Born LLC granted Stryten an exclusive, worldwide license to use certain trademarks associated with the Company’s lithium-ion battery brand, Battle Born Batteries®, for business-to-business battery sales in specified markets. In exchange, Stryten paid an initial licensing fee of $5,000 and will make additional mid-single digit royalty payments to be paid based on net sales to be paid quarterly utilizing the licensed trademarks, with total royalties capped at $25,000. Once the cap is reached, Stryten will be required to pay a nominal annual license fee. The License Agreement is perpetual unless terminated in accordance with its terms. Concurrently, the Company transferred all intellectual property rights related to the licensed trademarks to Battle Born LLC and retained a worldwide license outside of Stryten’s designated markets. The $5,000 initial licensing fee is being recognized as revenue on a straight-line basis over five years, which reflects the period over which the Company expects to satisfy its performance obligations and the customer is expected to benefit from the license. For the year ended December 31, 2024, the Company has recorded $417 in revenue related to the amortization of the License Agreement and no royalty payments have been received or earned. As of December 31, 2024, the Company has recorded $1,000 in short term deferred revenue and $3,583 in long-term deferred revenue related to the license agreement.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RELATED PARTY</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On October 25, 2022, the Company entered into a separation and release of claims agreement with its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11,111 options and 8,480 options expired.</w:t>
      </w:r>
    </w:p>
    <w:p>
      <w:pPr>
        <w:spacing w:after="0" w:line="246"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In February 2023, the Company entered into an agreement with its former COO in which the COO waived their rights to a transaction bonus resulting from the merger transaction in lieu of a Company van. The Company accounted for the cost of the van as an employee bonus, resulting in $116 of general and administrative expense for the prior year.</w:t>
      </w:r>
    </w:p>
    <w:p>
      <w:pPr>
        <w:spacing w:after="0" w:line="246"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On March 5, 2023, the Company entered into a convertible promissory note (the “Note”) with a board member in the amount of $1,000, or the Principal Amount. Upon execution of the Note and funding of the original principal sum, a payment of $100 ( the “Loan Fee”) was fully earned as of the date of the Note and was due and payable in full in cash on April 4, 2023. The Company paid the Principal Amount and the Loan Fee on April 1, 2023 and April 4, 2023, respectively.</w:t>
      </w:r>
    </w:p>
    <w:p>
      <w:pPr>
        <w:spacing w:after="0" w:line="247"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April 26, 2023, the Company entered into a separation and release of claims agreement with its former Chief Legal Officer (“CLO”). As consideration for the CLO’s execution of the agreement, the Company agreed to pay the employee payments equivalent to $720 divided into 24 monthly payments commencing on June 1, 2023, and all outstanding equity based compensation awards to become fully vested and exercisable at an expense of $76. The CLO shall have 3 months from the termination date to exercise outstanding options. The three (3) month period ended on July 26, 2023 in which the options were not exercised and the options were forfeited as a result.</w:t>
      </w:r>
    </w:p>
    <w:p>
      <w:pPr>
        <w:spacing w:after="0" w:line="249"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January 26, 2024 the Company entered into a convertible promissory note (the “January Note”) with a board member in the amount of $1,000, or the January Principal Amount. Upon execution of the January Note and funding of the original principal sum, a payment of $50 (the “January Loan Fee”) was fully earned as of the date of the January Note and was due and payable in full in cash on February 2, 2024. The Company paid the January Principal Amount and the January Loan Fee on February 1, 2024.</w:t>
      </w:r>
    </w:p>
    <w:p>
      <w:pPr>
        <w:spacing w:after="0" w:line="246"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February 27, 2024 the Company entered into a convertible promissory note (the “February Note”) with a board member in the amount of $1,700, or the February Principal Amount. Upon execution of the February Note and funding of the original principal sum, a payment of $85 (the “February Loan Fee”) was fully earned as of the date of the February Note and was due and payable in full in cash on March 1, 2024. The Company paid the February Principal Amount and the February Loan Fee on March 1, 2024.</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F-24</w:t>
      </w:r>
    </w:p>
    <w:p>
      <w:pPr>
        <w:sectPr>
          <w:pgSz w:w="12240" w:h="15840" w:orient="portrait"/>
          <w:cols w:equalWidth="0" w:num="1">
            <w:col w:w="10080"/>
          </w:cols>
          <w:pgMar w:left="1080" w:top="1079" w:right="1080" w:bottom="155"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RELATED PARTY (CONTINUED)</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($1,532 for the Chief Executive Officer, $490 for the Chief Revenue Officer and $236 for the Chief Marketing Officer), subject to approval and such other terms and conditions imposed by the compensation committee of the board of directors.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WARRANTS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Warrants classified as Equity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Public Warrants</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Each Public Warrant entitles the holder to the right to purchase one share of common stock at an exercise price of $103.50 per share. No fractional shares will be issued upon exercise of the Public Warrants. The Company may elect to redeem the Public Warrants subject to certain conditions, in whole and not in part, at a price of $0.09 per Public Warrant if (i) 30 days’ prior written notice of redemption is provided to the holders, and (ii) the last reported sale price of the Company’s common stock equals or exceeds $144.00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1,054,167 Public Warrants issued and outstanding. The Public Warrants are not precluded from equity classification, and are accounted for as such on the date of issuance, and each balance sheet date thereafter.</w:t>
      </w:r>
    </w:p>
    <w:p>
      <w:pPr>
        <w:spacing w:after="0" w:line="251"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and 2023, there were 1,046,948 Public Warrants issued and outstanding.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2024, no public warrants were exercised.</w:t>
      </w:r>
    </w:p>
    <w:p>
      <w:pPr>
        <w:spacing w:after="0" w:line="244"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During the year ended December 31, 2023, the company received proceeds from public warrant exercises of $747 in exchange for 7,219 common shares.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June 2023 Offering (Underwriter and Investor Warrants)</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In connection with the entry into the underwriting agreement as further described in Note 11 of the financial statements, (the “June 2023 Offering”) the Company issued (i) underwriters warrants to purchase up to an aggregate of 63,362 shares of Common Stock (the “Underwriters’ Warrants”) which are exercisable upon issuance and will expire on June 20, 2028. The initial exercise price of the Underwriters’ Warrants is $22.50 per share, which equals 125% of the per share public offering price in the June 2023 Offering and (ii) warrants to purchase up to 1,111,111 shares of Common Stock to the investors in the offering together with shares of Common Stock (the “Investor Warrants”), at the combined public offering price of $18.00 per share of Common Stock and accompanying Investor Warrant, less underwriting discounts and commissions.</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10080"/>
          </w:cols>
          <w:pgMar w:left="1080" w:top="1079" w:right="1080" w:bottom="157"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WARRANTS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June 2023 Offering (Underwriter and Investor Warrants) (continued)</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The Company also granted the underwriters a 45-day over-allotment option to purchase up to an additional 166,667 shares of Common Stock and/or Investor Warrants to purchase up to 166,667 shares of Common Stock at the public offering price per security, less underwriting discounts and commissions. The underwriters exercised their over-allotment option to purchase an additional 156,112 shares of Common Stock and Investor Warrants to purchase up to 156,112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Underwriters’ Warrants:</w:t>
            </w:r>
          </w:p>
        </w:tc>
        <w:tc>
          <w:tcPr>
            <w:tcW w:w="1540" w:type="dxa"/>
            <w:vAlign w:val="bottom"/>
          </w:tcPr>
          <w:p>
            <w:pPr>
              <w:spacing w:after="0"/>
              <w:rPr>
                <w:sz w:val="19"/>
                <w:szCs w:val="19"/>
                <w:color w:val="auto"/>
              </w:rPr>
            </w:pPr>
          </w:p>
        </w:tc>
      </w:tr>
      <w:tr>
        <w:trPr>
          <w:trHeight w:val="463"/>
        </w:trPr>
        <w:tc>
          <w:tcPr>
            <w:tcW w:w="7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Common Stock</w:t>
            </w:r>
          </w:p>
        </w:tc>
      </w:tr>
      <w:tr>
        <w:trPr>
          <w:trHeight w:val="234"/>
        </w:trPr>
        <w:tc>
          <w:tcPr>
            <w:tcW w:w="7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Warrants</w:t>
            </w:r>
          </w:p>
        </w:tc>
      </w:tr>
      <w:tr>
        <w:trPr>
          <w:trHeight w:val="230"/>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Underwriters’ Warrants Outstanding, January 1, 2023 ..........................................................</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Underwriters’ Warrants issued ...............................................................................................</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63,362</w:t>
            </w:r>
          </w:p>
        </w:tc>
      </w:tr>
      <w:tr>
        <w:trPr>
          <w:trHeight w:val="233"/>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Underwriters’ Warrants Outstanding, December 31, 2023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63,362</w:t>
            </w: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Underwriters’ Warrants issued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3"/>
        </w:trPr>
        <w:tc>
          <w:tcPr>
            <w:tcW w:w="74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Underwriters’ Warrants Outstanding, December 31, 2024 ....................................................</w:t>
            </w:r>
          </w:p>
        </w:tc>
        <w:tc>
          <w:tcPr>
            <w:tcW w:w="15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63,362</w:t>
            </w:r>
          </w:p>
        </w:tc>
      </w:tr>
      <w:tr>
        <w:trPr>
          <w:trHeight w:val="20"/>
        </w:trPr>
        <w:tc>
          <w:tcPr>
            <w:tcW w:w="7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Warrants classified as Liability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Private Placement Warrants</w:t>
      </w:r>
    </w:p>
    <w:p>
      <w:pPr>
        <w:spacing w:after="0" w:line="243" w:lineRule="exact"/>
        <w:rPr>
          <w:sz w:val="20"/>
          <w:szCs w:val="20"/>
          <w:color w:val="auto"/>
        </w:rPr>
      </w:pPr>
    </w:p>
    <w:p>
      <w:pPr>
        <w:jc w:val="both"/>
        <w:ind w:hanging="9"/>
        <w:spacing w:after="0" w:line="241" w:lineRule="auto"/>
        <w:rPr>
          <w:sz w:val="20"/>
          <w:szCs w:val="20"/>
          <w:color w:val="auto"/>
        </w:rPr>
      </w:pPr>
      <w:r>
        <w:rPr>
          <w:rFonts w:ascii="Times New Roman" w:cs="Times New Roman" w:eastAsia="Times New Roman" w:hAnsi="Times New Roman"/>
          <w:sz w:val="20"/>
          <w:szCs w:val="20"/>
          <w:color w:val="auto"/>
        </w:rPr>
        <w:t>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year ended December 31, 2023, private placement warrant holders exercised 347,386 warrants on a cashless basis, with the Company agreeing to issue 122,222 shares of Common Stock in connection with such exercise. There were 166,821 private warrants outstanding as of December 31, 2024 and 2023,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10080"/>
          </w:cols>
          <w:pgMar w:left="1080" w:top="1079" w:right="1080" w:bottom="157"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WARRANTS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Warrants classified as Liability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Private Placement Warrants (Continued)</w:t>
      </w:r>
    </w:p>
    <w:p>
      <w:pPr>
        <w:spacing w:after="0" w:line="243" w:lineRule="exact"/>
        <w:rPr>
          <w:sz w:val="20"/>
          <w:szCs w:val="20"/>
          <w:color w:val="auto"/>
        </w:rPr>
      </w:pPr>
    </w:p>
    <w:p>
      <w:pPr>
        <w:jc w:val="both"/>
        <w:ind w:hanging="9"/>
        <w:spacing w:after="0" w:line="257" w:lineRule="auto"/>
        <w:rPr>
          <w:sz w:val="20"/>
          <w:szCs w:val="20"/>
          <w:color w:val="auto"/>
        </w:rPr>
      </w:pPr>
      <w:r>
        <w:rPr>
          <w:rFonts w:ascii="Times New Roman" w:cs="Times New Roman" w:eastAsia="Times New Roman" w:hAnsi="Times New Roman"/>
          <w:sz w:val="19"/>
          <w:szCs w:val="19"/>
          <w:color w:val="auto"/>
        </w:rPr>
        <w:t>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228"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Private Placement Warrants are classified as Level 2 within the fair value hierarchy. Although these instruments are not actively traded, they are valued based on observable inputs, including the market price of the Company’s publicly traded warrants. The Company used a Black-Scholes model to estimate the fair value of the Private Placement Warrants, applying a discount to the value of the Public Warrants to account for the difference in remaining life. Because the valuation primarily relies on observable market data with limited adjustments, the Company determined that classification within Level 2 is appropriate.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 Loan Warrants</w:t>
      </w:r>
    </w:p>
    <w:p>
      <w:pPr>
        <w:spacing w:after="0" w:line="243" w:lineRule="exact"/>
        <w:rPr>
          <w:sz w:val="20"/>
          <w:szCs w:val="20"/>
          <w:color w:val="auto"/>
        </w:rPr>
      </w:pPr>
    </w:p>
    <w:p>
      <w:pPr>
        <w:jc w:val="both"/>
        <w:ind w:hanging="9"/>
        <w:spacing w:after="0" w:line="241" w:lineRule="auto"/>
        <w:rPr>
          <w:sz w:val="20"/>
          <w:szCs w:val="20"/>
          <w:color w:val="auto"/>
        </w:rPr>
      </w:pPr>
      <w:r>
        <w:rPr>
          <w:rFonts w:ascii="Times New Roman" w:cs="Times New Roman" w:eastAsia="Times New Roman" w:hAnsi="Times New Roman"/>
          <w:sz w:val="20"/>
          <w:szCs w:val="20"/>
          <w:color w:val="auto"/>
        </w:rPr>
        <w:t>In connection with the entry into the Term Loan Agreement on October 7, 2022, and as a required term and condition thereof, the Company issued (i) the penny warrants to the Term Loan Lenders exercisable to purchase an aggregate of 288,118 shares of Common Stock (the “Original Penny Warrants”) and (ii) the $90.00 warrants to issue warrants to the Term Loan Lenders exercisable to purchase an aggregate of 177,778 shares of Common Stock at $90 per share (the “$10 Warrants” and, together with the Original Penny Warrants, the “Term Loan Warrants”). The $10 Warrants were exercised on a cashless basis on October 10, 2022, with the Company issuing 50,794 shares of Common Stock in connection with such exercise. During the year ended December 31, 2023, Original Penny Warrant holders exercised 222,223 warrants on a cashless basis, with the Company agreeing to issue 221,814 shares of Common Stock in connection with such exercise. During the year ended December 31, 2023 the Company issued additional Original Penny Warrants to purchase 532 shares of Common Stock to the Term Loan Lenders in accordance with the anti-dilution provisions of the original penny warrants with respect to certain sales made by the Company under the ChEF Equity Facility. In addition, pursuant to the Company’s limited waiver agreement on December 29, 2023 between the Company and the lenders and lending agent, the Company agreed to issue to the lenders additional penny warrants exercisable to purchase an aggregate 142,964 shares of its Common Stock.</w:t>
      </w:r>
    </w:p>
    <w:p>
      <w:pPr>
        <w:spacing w:after="0" w:line="245"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9"/>
          <w:szCs w:val="19"/>
          <w:color w:val="auto"/>
        </w:rPr>
        <w:t>On May 13, 2024, the Company received the May 2024 Waiver in regards to its compliance with the Tests as of the last day of the quarter ended March 31, 2024. The May 2024 Waiver provided for a one-time issuance of the May 2024 Penny Warrants to purchase up to 283,334 shares of the Company’s common stock,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230"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On June 28, 2024, the Company entered into the First Amendment to the Term Loan with the Term Loan Lenders in regards to its compliance with the Tests for the quarter ended June 30, 2024. The First Amendment provided for a one-time issuance of the June 2024 Penny Warrants to purchase up to 233,334 shares of the Company’s common stock, at an exercise price of $0.09 per share, in connection with the Term Loan Lenders’ agreement to waive the Tests under the Term Loan for the quarter ended June 30, 2024 and certain amendments to the Term Loan. The June 2024 Penny Warrants are immediately exercisable upon issuance and will expire ten years from the date of issuance.</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September 30, 2024, the Company entered into the Third Amendment to the Term Loan with the Term Loan Lenders in regards to its compliance with the Tests for the quarter ended September 30, 2024. The Third Amendment provided for a one-time issuance the September 2024 Penny Warrants to purchase up to 333,334 shares of the Company’s Common Stock, at an exercise price of $0.09 per share, in connection with the Term Loan Lenders agreement to waive the Tests under the Term Loan for the quarter ended September 30, 2024 and to amend the Term Loan. The September 2024 Penny Warrants are immediately exercisable upon issuance and will expire ten years from the date of issuance.</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10080"/>
          </w:cols>
          <w:pgMar w:left="1080" w:top="1079" w:right="1080" w:bottom="157"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WARRANTS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Warrants classified as Liability (Continued)</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On December 31, 2024, the Company entered into the Fourth Amendment to the Term Loan with the Term Loan Lenders in regards to its compliance with the Tests for the quarter ended December 31, 2024. The Fourth Amendment provided for a one-time issuance the December 2024 Penny Warrants to purchase up to 350,000 shares of the Company’s Common Stock, at an exercise price of $0.01 per share, in connection with the Term Loan Lenders agreement to waive the Tests under the Term Loan for the quarter ended December 31, 2024 and to amend the Term Loan. During the year ended December 31, 2024 the Company issued additional Original Penny Warrants to purchase 2,754 shares of Common Stock to the Term Loan Lenders in accordance with the anti-dilution provisions of the original penny warrants with respect to certain sales made by the Company under the ChEF Equity Facility. The December 2024 Penny Warrants will be exercisable at such time that the Company obtain the Warrant Issuance Shareholder Approval (as defined below) and will expire ten years from the date of issuance. The May 2024 Penny Warrants, the June 2024 Penny Warrants, the September 2024 Penny Warrants and the December 2024 Penny Warrants were valued utilizing a Black-Scholes model with the following assumptions: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9"/>
                <w:szCs w:val="19"/>
                <w:color w:val="auto"/>
              </w:rPr>
              <w:t>May 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9"/>
                <w:szCs w:val="19"/>
                <w:color w:val="auto"/>
              </w:rPr>
              <w:t>June 2024</w:t>
            </w:r>
          </w:p>
        </w:tc>
        <w:tc>
          <w:tcPr>
            <w:tcW w:w="12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9"/>
                <w:szCs w:val="19"/>
                <w:color w:val="auto"/>
                <w:w w:val="98"/>
              </w:rPr>
              <w:t>September</w:t>
            </w: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color w:val="auto"/>
                <w:w w:val="99"/>
              </w:rPr>
              <w:t>December</w:t>
            </w:r>
          </w:p>
        </w:tc>
      </w:tr>
      <w:tr>
        <w:trPr>
          <w:trHeight w:val="221"/>
        </w:trPr>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9"/>
                <w:szCs w:val="19"/>
                <w:color w:val="auto"/>
                <w:w w:val="98"/>
              </w:rPr>
              <w:t>penny</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9"/>
                <w:szCs w:val="19"/>
                <w:color w:val="auto"/>
                <w:w w:val="98"/>
              </w:rPr>
              <w:t>penny</w:t>
            </w:r>
          </w:p>
        </w:tc>
        <w:tc>
          <w:tcPr>
            <w:tcW w:w="120" w:type="dxa"/>
            <w:vAlign w:val="bottom"/>
          </w:tcPr>
          <w:p>
            <w:pPr>
              <w:spacing w:after="0"/>
              <w:rPr>
                <w:sz w:val="19"/>
                <w:szCs w:val="19"/>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9"/>
                <w:szCs w:val="19"/>
                <w:color w:val="auto"/>
                <w:w w:val="98"/>
              </w:rPr>
              <w:t>2024 penny</w:t>
            </w:r>
          </w:p>
        </w:tc>
        <w:tc>
          <w:tcPr>
            <w:tcW w:w="12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color w:val="auto"/>
                <w:w w:val="98"/>
              </w:rPr>
              <w:t>2024 penny</w:t>
            </w:r>
          </w:p>
        </w:tc>
      </w:tr>
      <w:tr>
        <w:trPr>
          <w:trHeight w:val="222"/>
        </w:trPr>
        <w:tc>
          <w:tcPr>
            <w:tcW w:w="3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9"/>
                <w:szCs w:val="19"/>
                <w:color w:val="auto"/>
                <w:w w:val="97"/>
              </w:rPr>
              <w:t>warrants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9"/>
                <w:szCs w:val="19"/>
                <w:color w:val="auto"/>
              </w:rPr>
              <w:t>warrants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9"/>
                <w:szCs w:val="19"/>
                <w:color w:val="auto"/>
              </w:rPr>
              <w:t>warrants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9"/>
                <w:szCs w:val="19"/>
                <w:color w:val="auto"/>
                <w:w w:val="97"/>
              </w:rPr>
              <w:t>warrants</w:t>
            </w:r>
          </w:p>
        </w:tc>
        <w:tc>
          <w:tcPr>
            <w:tcW w:w="160" w:type="dxa"/>
            <w:vAlign w:val="bottom"/>
          </w:tcPr>
          <w:p>
            <w:pPr>
              <w:spacing w:after="0"/>
              <w:rPr>
                <w:sz w:val="19"/>
                <w:szCs w:val="19"/>
                <w:color w:val="auto"/>
              </w:rPr>
            </w:pP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9"/>
                <w:szCs w:val="19"/>
                <w:color w:val="auto"/>
              </w:rPr>
              <w:t>Stock price ................................................</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10.71</w:t>
            </w:r>
          </w:p>
        </w:tc>
        <w:tc>
          <w:tcPr>
            <w:tcW w:w="2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7.65</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4.77</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2.78</w:t>
            </w:r>
          </w:p>
        </w:tc>
        <w:tc>
          <w:tcPr>
            <w:tcW w:w="160" w:type="dxa"/>
            <w:vAlign w:val="bottom"/>
          </w:tcPr>
          <w:p>
            <w:pPr>
              <w:spacing w:after="0"/>
              <w:rPr>
                <w:sz w:val="18"/>
                <w:szCs w:val="18"/>
                <w:color w:val="auto"/>
              </w:rPr>
            </w:pPr>
          </w:p>
        </w:tc>
      </w:tr>
      <w:tr>
        <w:trPr>
          <w:trHeight w:val="221"/>
        </w:trPr>
        <w:tc>
          <w:tcPr>
            <w:tcW w:w="3380" w:type="dxa"/>
            <w:vAlign w:val="bottom"/>
          </w:tcPr>
          <w:p>
            <w:pPr>
              <w:spacing w:after="0"/>
              <w:rPr>
                <w:sz w:val="20"/>
                <w:szCs w:val="20"/>
                <w:color w:val="auto"/>
              </w:rPr>
            </w:pPr>
            <w:r>
              <w:rPr>
                <w:rFonts w:ascii="Times New Roman" w:cs="Times New Roman" w:eastAsia="Times New Roman" w:hAnsi="Times New Roman"/>
                <w:sz w:val="19"/>
                <w:szCs w:val="19"/>
                <w:color w:val="auto"/>
              </w:rPr>
              <w:t>Strike price ................................................</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0.09</w:t>
            </w:r>
          </w:p>
        </w:tc>
        <w:tc>
          <w:tcPr>
            <w:tcW w:w="2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0.09</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0.09</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0.01</w:t>
            </w:r>
          </w:p>
        </w:tc>
        <w:tc>
          <w:tcPr>
            <w:tcW w:w="160" w:type="dxa"/>
            <w:vAlign w:val="bottom"/>
          </w:tcPr>
          <w:p>
            <w:pPr>
              <w:spacing w:after="0"/>
              <w:rPr>
                <w:sz w:val="19"/>
                <w:szCs w:val="19"/>
                <w:color w:val="auto"/>
              </w:rPr>
            </w:pPr>
          </w:p>
        </w:tc>
      </w:tr>
      <w:tr>
        <w:trPr>
          <w:trHeight w:val="221"/>
        </w:trPr>
        <w:tc>
          <w:tcPr>
            <w:tcW w:w="3380" w:type="dxa"/>
            <w:vAlign w:val="bottom"/>
          </w:tcPr>
          <w:p>
            <w:pPr>
              <w:spacing w:after="0"/>
              <w:rPr>
                <w:sz w:val="20"/>
                <w:szCs w:val="20"/>
                <w:color w:val="auto"/>
              </w:rPr>
            </w:pPr>
            <w:r>
              <w:rPr>
                <w:rFonts w:ascii="Times New Roman" w:cs="Times New Roman" w:eastAsia="Times New Roman" w:hAnsi="Times New Roman"/>
                <w:sz w:val="19"/>
                <w:szCs w:val="19"/>
                <w:color w:val="auto"/>
              </w:rPr>
              <w:t>Term ..........................................................</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10 years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10 years</w:t>
            </w:r>
          </w:p>
        </w:tc>
        <w:tc>
          <w:tcPr>
            <w:tcW w:w="1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10 years</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10 years</w:t>
            </w:r>
          </w:p>
        </w:tc>
      </w:tr>
      <w:tr>
        <w:trPr>
          <w:trHeight w:val="220"/>
        </w:trPr>
        <w:tc>
          <w:tcPr>
            <w:tcW w:w="3380" w:type="dxa"/>
            <w:vAlign w:val="bottom"/>
          </w:tcPr>
          <w:p>
            <w:pPr>
              <w:spacing w:after="0"/>
              <w:rPr>
                <w:sz w:val="20"/>
                <w:szCs w:val="20"/>
                <w:color w:val="auto"/>
              </w:rPr>
            </w:pPr>
            <w:r>
              <w:rPr>
                <w:rFonts w:ascii="Times New Roman" w:cs="Times New Roman" w:eastAsia="Times New Roman" w:hAnsi="Times New Roman"/>
                <w:sz w:val="19"/>
                <w:szCs w:val="19"/>
                <w:color w:val="auto"/>
              </w:rPr>
              <w:t>Volatility ...................................................</w:t>
            </w: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91%</w:t>
            </w:r>
          </w:p>
        </w:tc>
        <w:tc>
          <w:tcPr>
            <w:tcW w:w="1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90%</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90%</w:t>
            </w:r>
          </w:p>
        </w:tc>
      </w:tr>
      <w:tr>
        <w:trPr>
          <w:trHeight w:val="221"/>
        </w:trPr>
        <w:tc>
          <w:tcPr>
            <w:tcW w:w="3380" w:type="dxa"/>
            <w:vAlign w:val="bottom"/>
          </w:tcPr>
          <w:p>
            <w:pPr>
              <w:spacing w:after="0"/>
              <w:rPr>
                <w:sz w:val="20"/>
                <w:szCs w:val="20"/>
                <w:color w:val="auto"/>
              </w:rPr>
            </w:pPr>
            <w:r>
              <w:rPr>
                <w:rFonts w:ascii="Times New Roman" w:cs="Times New Roman" w:eastAsia="Times New Roman" w:hAnsi="Times New Roman"/>
                <w:sz w:val="19"/>
                <w:szCs w:val="19"/>
                <w:color w:val="auto"/>
              </w:rPr>
              <w:t>Risk-free rate .............................................</w:t>
            </w: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4.4%</w:t>
            </w:r>
          </w:p>
        </w:tc>
        <w:tc>
          <w:tcPr>
            <w:tcW w:w="1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3.8%</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4.6%</w:t>
            </w:r>
          </w:p>
        </w:tc>
      </w:tr>
    </w:tbl>
    <w:p>
      <w:pPr>
        <w:spacing w:after="0" w:line="244"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9"/>
          <w:szCs w:val="19"/>
          <w:color w:val="auto"/>
        </w:rPr>
        <w:t>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significant inputs to the Black-Scholes method for the fair value of the Penny Warrants:</w:t>
      </w:r>
    </w:p>
    <w:p>
      <w:pPr>
        <w:spacing w:after="0" w:line="233" w:lineRule="exact"/>
        <w:rPr>
          <w:sz w:val="20"/>
          <w:szCs w:val="20"/>
          <w:color w:val="auto"/>
        </w:rPr>
      </w:pPr>
    </w:p>
    <w:tbl>
      <w:tblPr>
        <w:tblLayout w:type="fixed"/>
        <w:tblInd w:w="1080" w:type="dxa"/>
        <w:tblCellMar>
          <w:top w:w="0" w:type="dxa"/>
          <w:left w:w="0" w:type="dxa"/>
          <w:bottom w:w="0" w:type="dxa"/>
          <w:right w:w="0" w:type="dxa"/>
        </w:tblCellMar>
      </w:tblPr>
      <w:tr>
        <w:trPr>
          <w:trHeight w:val="218"/>
        </w:trPr>
        <w:tc>
          <w:tcPr>
            <w:tcW w:w="4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9"/>
                <w:szCs w:val="19"/>
                <w:color w:val="auto"/>
              </w:rPr>
              <w:t>As of</w:t>
            </w:r>
          </w:p>
        </w:tc>
        <w:tc>
          <w:tcPr>
            <w:tcW w:w="34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9"/>
                <w:szCs w:val="19"/>
                <w:color w:val="auto"/>
              </w:rPr>
              <w:t>As of</w:t>
            </w:r>
          </w:p>
        </w:tc>
      </w:tr>
      <w:tr>
        <w:trPr>
          <w:trHeight w:val="222"/>
        </w:trPr>
        <w:tc>
          <w:tcPr>
            <w:tcW w:w="4780" w:type="dxa"/>
            <w:vAlign w:val="bottom"/>
          </w:tcPr>
          <w:p>
            <w:pPr>
              <w:spacing w:after="0"/>
              <w:rPr>
                <w:sz w:val="19"/>
                <w:szCs w:val="19"/>
                <w:color w:val="auto"/>
              </w:rPr>
            </w:pP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9"/>
                <w:szCs w:val="19"/>
                <w:color w:val="auto"/>
              </w:rPr>
              <w:t>December 31, 2024</w:t>
            </w: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9"/>
                <w:szCs w:val="19"/>
                <w:color w:val="auto"/>
              </w:rPr>
              <w:t>December 31, 2023</w:t>
            </w:r>
          </w:p>
        </w:tc>
      </w:tr>
      <w:tr>
        <w:trPr>
          <w:trHeight w:val="219"/>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Common stock price ...............................................................</w:t>
            </w:r>
          </w:p>
        </w:tc>
        <w:tc>
          <w:tcPr>
            <w:tcW w:w="340" w:type="dxa"/>
            <w:vAlign w:val="bottom"/>
            <w:tcBorders>
              <w:top w:val="single" w:sz="8" w:color="auto"/>
            </w:tcBorders>
          </w:tcPr>
          <w:p>
            <w:pPr>
              <w:jc w:val="right"/>
              <w:ind w:right="145"/>
              <w:spacing w:after="0"/>
              <w:rPr>
                <w:sz w:val="20"/>
                <w:szCs w:val="20"/>
                <w:color w:val="auto"/>
              </w:rPr>
            </w:pPr>
            <w:r>
              <w:rPr>
                <w:rFonts w:ascii="Times New Roman" w:cs="Times New Roman" w:eastAsia="Times New Roman" w:hAnsi="Times New Roman"/>
                <w:sz w:val="19"/>
                <w:szCs w:val="19"/>
                <w:color w:val="auto"/>
                <w:w w:val="8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2.78</w:t>
            </w:r>
          </w:p>
        </w:tc>
        <w:tc>
          <w:tcPr>
            <w:tcW w:w="280" w:type="dxa"/>
            <w:vAlign w:val="bottom"/>
          </w:tcPr>
          <w:p>
            <w:pPr>
              <w:spacing w:after="0"/>
              <w:rPr>
                <w:sz w:val="19"/>
                <w:szCs w:val="19"/>
                <w:color w:val="auto"/>
              </w:rPr>
            </w:pPr>
          </w:p>
        </w:tc>
        <w:tc>
          <w:tcPr>
            <w:tcW w:w="340" w:type="dxa"/>
            <w:vAlign w:val="bottom"/>
            <w:tcBorders>
              <w:top w:val="single" w:sz="8" w:color="auto"/>
            </w:tcBorders>
          </w:tcPr>
          <w:p>
            <w:pPr>
              <w:jc w:val="right"/>
              <w:ind w:right="145"/>
              <w:spacing w:after="0"/>
              <w:rPr>
                <w:sz w:val="20"/>
                <w:szCs w:val="20"/>
                <w:color w:val="auto"/>
              </w:rPr>
            </w:pPr>
            <w:r>
              <w:rPr>
                <w:rFonts w:ascii="Times New Roman" w:cs="Times New Roman" w:eastAsia="Times New Roman" w:hAnsi="Times New Roman"/>
                <w:sz w:val="19"/>
                <w:szCs w:val="19"/>
                <w:color w:val="auto"/>
                <w:w w:val="8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4.86</w:t>
            </w:r>
          </w:p>
        </w:tc>
        <w:tc>
          <w:tcPr>
            <w:tcW w:w="160" w:type="dxa"/>
            <w:vAlign w:val="bottom"/>
          </w:tcPr>
          <w:p>
            <w:pPr>
              <w:spacing w:after="0"/>
              <w:rPr>
                <w:sz w:val="19"/>
                <w:szCs w:val="19"/>
                <w:color w:val="auto"/>
              </w:rPr>
            </w:pPr>
          </w:p>
        </w:tc>
      </w:tr>
      <w:tr>
        <w:trPr>
          <w:trHeight w:val="221"/>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Exercise price .........................................................................</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0.09</w:t>
            </w:r>
          </w:p>
        </w:tc>
        <w:tc>
          <w:tcPr>
            <w:tcW w:w="160" w:type="dxa"/>
            <w:vAlign w:val="bottom"/>
          </w:tcPr>
          <w:p>
            <w:pPr>
              <w:spacing w:after="0"/>
              <w:rPr>
                <w:sz w:val="19"/>
                <w:szCs w:val="19"/>
                <w:color w:val="auto"/>
              </w:rPr>
            </w:pPr>
          </w:p>
        </w:tc>
      </w:tr>
      <w:tr>
        <w:trPr>
          <w:trHeight w:val="220"/>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Dividend yield ........................................................................</w:t>
            </w:r>
          </w:p>
        </w:tc>
        <w:tc>
          <w:tcPr>
            <w:tcW w:w="3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3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w:t>
            </w:r>
          </w:p>
        </w:tc>
      </w:tr>
      <w:tr>
        <w:trPr>
          <w:trHeight w:val="221"/>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Term .......................................................................................</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160" w:type="dxa"/>
            <w:vAlign w:val="bottom"/>
          </w:tcPr>
          <w:p>
            <w:pPr>
              <w:spacing w:after="0"/>
              <w:rPr>
                <w:sz w:val="19"/>
                <w:szCs w:val="19"/>
                <w:color w:val="auto"/>
              </w:rPr>
            </w:pPr>
          </w:p>
        </w:tc>
      </w:tr>
      <w:tr>
        <w:trPr>
          <w:trHeight w:val="220"/>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Volatility .................................................................................</w:t>
            </w:r>
          </w:p>
        </w:tc>
        <w:tc>
          <w:tcPr>
            <w:tcW w:w="3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94.00%</w:t>
            </w:r>
          </w:p>
        </w:tc>
        <w:tc>
          <w:tcPr>
            <w:tcW w:w="3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96.00%</w:t>
            </w:r>
          </w:p>
        </w:tc>
      </w:tr>
      <w:tr>
        <w:trPr>
          <w:trHeight w:val="221"/>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Risk-free rate ..........................................................................</w:t>
            </w:r>
          </w:p>
        </w:tc>
        <w:tc>
          <w:tcPr>
            <w:tcW w:w="3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4.5%</w:t>
            </w:r>
          </w:p>
        </w:tc>
        <w:tc>
          <w:tcPr>
            <w:tcW w:w="3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3.90%</w:t>
            </w:r>
          </w:p>
        </w:tc>
      </w:tr>
      <w:tr>
        <w:trPr>
          <w:trHeight w:val="220"/>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Fair value ................................................................................</w:t>
            </w:r>
          </w:p>
        </w:tc>
        <w:tc>
          <w:tcPr>
            <w:tcW w:w="34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w w:val="8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2.74</w:t>
            </w:r>
          </w:p>
        </w:tc>
        <w:tc>
          <w:tcPr>
            <w:tcW w:w="280" w:type="dxa"/>
            <w:vAlign w:val="bottom"/>
          </w:tcPr>
          <w:p>
            <w:pPr>
              <w:spacing w:after="0"/>
              <w:rPr>
                <w:sz w:val="19"/>
                <w:szCs w:val="19"/>
                <w:color w:val="auto"/>
              </w:rPr>
            </w:pPr>
          </w:p>
        </w:tc>
        <w:tc>
          <w:tcPr>
            <w:tcW w:w="34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w w:val="8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4.86</w:t>
            </w:r>
          </w:p>
        </w:tc>
        <w:tc>
          <w:tcPr>
            <w:tcW w:w="160" w:type="dxa"/>
            <w:vAlign w:val="bottom"/>
          </w:tcPr>
          <w:p>
            <w:pPr>
              <w:spacing w:after="0"/>
              <w:rPr>
                <w:sz w:val="19"/>
                <w:szCs w:val="19"/>
                <w:color w:val="auto"/>
              </w:rPr>
            </w:pPr>
          </w:p>
        </w:tc>
      </w:tr>
    </w:tbl>
    <w:p>
      <w:pPr>
        <w:spacing w:after="0" w:line="244" w:lineRule="exact"/>
        <w:rPr>
          <w:sz w:val="20"/>
          <w:szCs w:val="20"/>
          <w:color w:val="auto"/>
        </w:rPr>
      </w:pPr>
    </w:p>
    <w:p>
      <w:pPr>
        <w:ind w:hanging="9"/>
        <w:spacing w:after="0" w:line="236" w:lineRule="auto"/>
        <w:rPr>
          <w:sz w:val="20"/>
          <w:szCs w:val="20"/>
          <w:color w:val="auto"/>
        </w:rPr>
      </w:pPr>
      <w:r>
        <w:rPr>
          <w:rFonts w:ascii="Times New Roman" w:cs="Times New Roman" w:eastAsia="Times New Roman" w:hAnsi="Times New Roman"/>
          <w:sz w:val="20"/>
          <w:szCs w:val="20"/>
          <w:color w:val="auto"/>
        </w:rPr>
        <w:t>The following table provides the significant inputs to the Black-Scholes method for the fair value of the Investor Warrants issued in the June 2023 Offering: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9"/>
                <w:szCs w:val="19"/>
                <w:color w:val="auto"/>
                <w:w w:val="95"/>
              </w:rPr>
              <w:t>As of</w:t>
            </w: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color w:val="auto"/>
              </w:rPr>
              <w:t>As of</w:t>
            </w:r>
          </w:p>
        </w:tc>
      </w:tr>
      <w:tr>
        <w:trPr>
          <w:trHeight w:val="221"/>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9"/>
                <w:szCs w:val="19"/>
                <w:color w:val="auto"/>
              </w:rPr>
              <w:t>December 31,</w:t>
            </w:r>
          </w:p>
        </w:tc>
        <w:tc>
          <w:tcPr>
            <w:tcW w:w="12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color w:val="auto"/>
                <w:w w:val="99"/>
              </w:rPr>
              <w:t>December 31,</w:t>
            </w:r>
          </w:p>
        </w:tc>
      </w:tr>
      <w:tr>
        <w:trPr>
          <w:trHeight w:val="222"/>
        </w:trPr>
        <w:tc>
          <w:tcPr>
            <w:tcW w:w="4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9"/>
                <w:szCs w:val="19"/>
                <w:color w:val="auto"/>
                <w:w w:val="99"/>
              </w:rPr>
              <w:t>2024</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9"/>
                <w:szCs w:val="19"/>
                <w:color w:val="auto"/>
                <w:w w:val="99"/>
              </w:rPr>
              <w:t>2023</w:t>
            </w:r>
          </w:p>
        </w:tc>
        <w:tc>
          <w:tcPr>
            <w:tcW w:w="160" w:type="dxa"/>
            <w:vAlign w:val="bottom"/>
          </w:tcPr>
          <w:p>
            <w:pPr>
              <w:spacing w:after="0"/>
              <w:rPr>
                <w:sz w:val="19"/>
                <w:szCs w:val="19"/>
                <w:color w:val="auto"/>
              </w:rPr>
            </w:pPr>
          </w:p>
        </w:tc>
      </w:tr>
      <w:tr>
        <w:trPr>
          <w:trHeight w:val="218"/>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Common stock price ..................................................................</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2.78</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4.86</w:t>
            </w:r>
          </w:p>
        </w:tc>
        <w:tc>
          <w:tcPr>
            <w:tcW w:w="160" w:type="dxa"/>
            <w:vAlign w:val="bottom"/>
          </w:tcPr>
          <w:p>
            <w:pPr>
              <w:spacing w:after="0"/>
              <w:rPr>
                <w:sz w:val="18"/>
                <w:szCs w:val="18"/>
                <w:color w:val="auto"/>
              </w:rPr>
            </w:pPr>
          </w:p>
        </w:tc>
      </w:tr>
      <w:tr>
        <w:trPr>
          <w:trHeight w:val="221"/>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Exercise price .............................................................................</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18.00</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18.00</w:t>
            </w:r>
          </w:p>
        </w:tc>
        <w:tc>
          <w:tcPr>
            <w:tcW w:w="160" w:type="dxa"/>
            <w:vAlign w:val="bottom"/>
          </w:tcPr>
          <w:p>
            <w:pPr>
              <w:spacing w:after="0"/>
              <w:rPr>
                <w:sz w:val="19"/>
                <w:szCs w:val="19"/>
                <w:color w:val="auto"/>
              </w:rPr>
            </w:pPr>
          </w:p>
        </w:tc>
      </w:tr>
      <w:tr>
        <w:trPr>
          <w:trHeight w:val="221"/>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Dividend yield ............................................................................</w:t>
            </w:r>
          </w:p>
        </w:tc>
        <w:tc>
          <w:tcPr>
            <w:tcW w:w="1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0%</w:t>
            </w:r>
          </w:p>
        </w:tc>
        <w:tc>
          <w:tcPr>
            <w:tcW w:w="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w:t>
            </w:r>
          </w:p>
        </w:tc>
      </w:tr>
      <w:tr>
        <w:trPr>
          <w:trHeight w:val="220"/>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Term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4.48</w:t>
            </w:r>
          </w:p>
        </w:tc>
        <w:tc>
          <w:tcPr>
            <w:tcW w:w="160" w:type="dxa"/>
            <w:vAlign w:val="bottom"/>
          </w:tcPr>
          <w:p>
            <w:pPr>
              <w:spacing w:after="0"/>
              <w:rPr>
                <w:sz w:val="19"/>
                <w:szCs w:val="19"/>
                <w:color w:val="auto"/>
              </w:rPr>
            </w:pPr>
          </w:p>
        </w:tc>
      </w:tr>
      <w:tr>
        <w:trPr>
          <w:trHeight w:val="221"/>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Volatility ....................................................................................</w:t>
            </w:r>
          </w:p>
        </w:tc>
        <w:tc>
          <w:tcPr>
            <w:tcW w:w="1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105%</w:t>
            </w:r>
          </w:p>
        </w:tc>
        <w:tc>
          <w:tcPr>
            <w:tcW w:w="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106.00%</w:t>
            </w:r>
          </w:p>
        </w:tc>
      </w:tr>
      <w:tr>
        <w:trPr>
          <w:trHeight w:val="220"/>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Risk-free rate ..............................................................................</w:t>
            </w:r>
          </w:p>
        </w:tc>
        <w:tc>
          <w:tcPr>
            <w:tcW w:w="1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4.3%</w:t>
            </w:r>
          </w:p>
        </w:tc>
        <w:tc>
          <w:tcPr>
            <w:tcW w:w="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3.90%</w:t>
            </w:r>
          </w:p>
        </w:tc>
      </w:tr>
      <w:tr>
        <w:trPr>
          <w:trHeight w:val="221"/>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Fair value ...................................................................................</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2.79</w:t>
            </w:r>
          </w:p>
        </w:tc>
        <w:tc>
          <w:tcPr>
            <w:tcW w:w="16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10080"/>
          </w:cols>
          <w:pgMar w:left="1080" w:top="1079" w:right="1080" w:bottom="157" w:gutter="0" w:footer="0" w:header="0"/>
          <w:type w:val="continuous"/>
        </w:sectPr>
      </w:pPr>
    </w:p>
    <w:bookmarkStart w:id="115" w:name="page116"/>
    <w:bookmarkEnd w:id="115"/>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WARRANTS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Warrants classified as Liability (Continued)</w:t>
      </w:r>
    </w:p>
    <w:p>
      <w:pPr>
        <w:spacing w:after="0" w:line="244" w:lineRule="exact"/>
        <w:rPr>
          <w:sz w:val="20"/>
          <w:szCs w:val="20"/>
          <w:color w:val="auto"/>
        </w:rPr>
      </w:pPr>
    </w:p>
    <w:p>
      <w:pPr>
        <w:jc w:val="both"/>
        <w:ind w:right="180" w:hanging="9"/>
        <w:spacing w:after="0" w:line="235" w:lineRule="auto"/>
        <w:rPr>
          <w:sz w:val="20"/>
          <w:szCs w:val="20"/>
          <w:color w:val="auto"/>
        </w:rPr>
      </w:pPr>
      <w:r>
        <w:rPr>
          <w:rFonts w:ascii="Times New Roman" w:cs="Times New Roman" w:eastAsia="Times New Roman" w:hAnsi="Times New Roman"/>
          <w:sz w:val="20"/>
          <w:szCs w:val="20"/>
          <w:color w:val="auto"/>
        </w:rPr>
        <w:t>The following table presents a roll-forward of the Company’s warrants from January 1, 2024 to December 31, 2024 and January 1, 2023 to December 31,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Warrants:</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63"/>
        </w:trPr>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color w:val="auto"/>
                <w:w w:val="98"/>
              </w:rPr>
              <w:t>Private</w:t>
            </w:r>
          </w:p>
        </w:tc>
        <w:tc>
          <w:tcPr>
            <w:tcW w:w="152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color w:val="auto"/>
                <w:w w:val="97"/>
              </w:rPr>
              <w:t>Public</w:t>
            </w:r>
          </w:p>
        </w:tc>
        <w:tc>
          <w:tcPr>
            <w:tcW w:w="154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color w:val="auto"/>
              </w:rPr>
              <w:t>Term Loan</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Investor</w:t>
            </w:r>
          </w:p>
        </w:tc>
      </w:tr>
      <w:tr>
        <w:trPr>
          <w:trHeight w:val="234"/>
        </w:trPr>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color w:val="auto"/>
                <w:w w:val="98"/>
              </w:rPr>
              <w:t>Warrants</w:t>
            </w:r>
          </w:p>
        </w:tc>
        <w:tc>
          <w:tcPr>
            <w:tcW w:w="152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color w:val="auto"/>
              </w:rPr>
              <w:t>Warrants</w:t>
            </w:r>
          </w:p>
        </w:tc>
        <w:tc>
          <w:tcPr>
            <w:tcW w:w="154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color w:val="auto"/>
              </w:rPr>
              <w:t>Warrants</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Warrants</w:t>
            </w:r>
          </w:p>
        </w:tc>
      </w:tr>
      <w:tr>
        <w:trPr>
          <w:trHeight w:val="229"/>
        </w:trPr>
        <w:tc>
          <w:tcPr>
            <w:tcW w:w="43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Warrants Outstanding, January 1, 2024 ......</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166,821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1,046,948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209,391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1,236,878</w:t>
            </w:r>
          </w:p>
        </w:tc>
        <w:tc>
          <w:tcPr>
            <w:tcW w:w="60" w:type="dxa"/>
            <w:vAlign w:val="bottom"/>
          </w:tcPr>
          <w:p>
            <w:pPr>
              <w:spacing w:after="0"/>
              <w:rPr>
                <w:sz w:val="19"/>
                <w:szCs w:val="19"/>
                <w:color w:val="auto"/>
              </w:rPr>
            </w:pPr>
          </w:p>
        </w:tc>
      </w:tr>
      <w:tr>
        <w:trPr>
          <w:trHeight w:val="233"/>
        </w:trPr>
        <w:tc>
          <w:tcPr>
            <w:tcW w:w="43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Exercise of warrants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33"/>
        </w:trPr>
        <w:tc>
          <w:tcPr>
            <w:tcW w:w="43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Warrants issued ...........................................</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1,202,756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34"/>
        </w:trPr>
        <w:tc>
          <w:tcPr>
            <w:tcW w:w="43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Warrants Outstanding, December 31, 2024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166,821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1,046,948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1,412,147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1,236,878</w:t>
            </w:r>
          </w:p>
        </w:tc>
        <w:tc>
          <w:tcPr>
            <w:tcW w:w="60" w:type="dxa"/>
            <w:vAlign w:val="bottom"/>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0"/>
        </w:trPr>
        <w:tc>
          <w:tcPr>
            <w:tcW w:w="43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Warrants Outstanding, January 1, 2023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514,207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1,054,167</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288,118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r>
      <w:tr>
        <w:trPr>
          <w:trHeight w:val="232"/>
        </w:trPr>
        <w:tc>
          <w:tcPr>
            <w:tcW w:w="43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Exercise of warrants ...................................</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(347,386)</w:t>
            </w:r>
          </w:p>
        </w:tc>
        <w:tc>
          <w:tcPr>
            <w:tcW w:w="2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(7,219)</w:t>
            </w:r>
          </w:p>
        </w:tc>
        <w:tc>
          <w:tcPr>
            <w:tcW w:w="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(222,223)</w:t>
            </w:r>
          </w:p>
        </w:tc>
        <w:tc>
          <w:tcPr>
            <w:tcW w:w="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(30,345)</w:t>
            </w:r>
          </w:p>
        </w:tc>
      </w:tr>
      <w:tr>
        <w:trPr>
          <w:trHeight w:val="234"/>
        </w:trPr>
        <w:tc>
          <w:tcPr>
            <w:tcW w:w="43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Warrants issued ...........................................</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143,496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1,267,223</w:t>
            </w:r>
          </w:p>
        </w:tc>
        <w:tc>
          <w:tcPr>
            <w:tcW w:w="60" w:type="dxa"/>
            <w:vAlign w:val="bottom"/>
          </w:tcPr>
          <w:p>
            <w:pPr>
              <w:spacing w:after="0"/>
              <w:rPr>
                <w:sz w:val="20"/>
                <w:szCs w:val="20"/>
                <w:color w:val="auto"/>
              </w:rPr>
            </w:pPr>
          </w:p>
        </w:tc>
      </w:tr>
      <w:tr>
        <w:trPr>
          <w:trHeight w:val="234"/>
        </w:trPr>
        <w:tc>
          <w:tcPr>
            <w:tcW w:w="43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Warrants Outstanding, December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166,821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1,046,948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209,391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1,236,878</w:t>
            </w:r>
          </w:p>
        </w:tc>
        <w:tc>
          <w:tcPr>
            <w:tcW w:w="60" w:type="dxa"/>
            <w:vAlign w:val="bottom"/>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Warrants classified as Liability</w:t>
      </w:r>
    </w:p>
    <w:p>
      <w:pPr>
        <w:spacing w:after="0" w:line="243" w:lineRule="exact"/>
        <w:rPr>
          <w:sz w:val="20"/>
          <w:szCs w:val="20"/>
          <w:color w:val="auto"/>
        </w:rPr>
      </w:pPr>
    </w:p>
    <w:p>
      <w:pPr>
        <w:jc w:val="both"/>
        <w:ind w:right="180" w:hanging="9"/>
        <w:spacing w:after="0" w:line="255" w:lineRule="auto"/>
        <w:rPr>
          <w:sz w:val="20"/>
          <w:szCs w:val="20"/>
          <w:color w:val="auto"/>
        </w:rPr>
      </w:pPr>
      <w:r>
        <w:rPr>
          <w:rFonts w:ascii="Times New Roman" w:cs="Times New Roman" w:eastAsia="Times New Roman" w:hAnsi="Times New Roman"/>
          <w:sz w:val="19"/>
          <w:szCs w:val="19"/>
          <w:color w:val="auto"/>
        </w:rPr>
        <w:t>The following table presents a roll forward of the aggregate fair values of the Company’s warrant liabilities for which fair value is determined by Level 2 Inputs. The only class of warrants that were determined to be Level 2 were the term loan and June offering investor warrants. Due to Black Scholes calculation being utilized on all fair value measurement of warrant liabilities as of December 31, 2024, the fair value warrant liabilities were transferred from Level 3 to Level 2. This is due to the observable inputs (such as the Company’s stock price and comparable company volatility calculations) included in the Black Scholes calculation, which makes the fair value measurement of the warrant liabilities more closely aligned with Level 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Warrant</w:t>
            </w:r>
          </w:p>
        </w:tc>
      </w:tr>
      <w:tr>
        <w:trPr>
          <w:trHeight w:val="233"/>
        </w:trPr>
        <w:tc>
          <w:tcPr>
            <w:tcW w:w="6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Liability</w:t>
            </w:r>
          </w:p>
        </w:tc>
      </w:t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Balances, January 1, 2024 ......................................................................................</w:t>
            </w:r>
          </w:p>
        </w:tc>
        <w:tc>
          <w:tcPr>
            <w:tcW w:w="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4,448</w:t>
            </w:r>
          </w:p>
        </w:tc>
        <w:tc>
          <w:tcPr>
            <w:tcW w:w="80" w:type="dxa"/>
            <w:vAlign w:val="bottom"/>
          </w:tcPr>
          <w:p>
            <w:pPr>
              <w:spacing w:after="0"/>
              <w:rPr>
                <w:sz w:val="20"/>
                <w:szCs w:val="20"/>
                <w:color w:val="auto"/>
              </w:rPr>
            </w:pPr>
          </w:p>
        </w:tc>
      </w:tr>
      <w:tr>
        <w:trPr>
          <w:trHeight w:val="232"/>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warrants ...............................................................................................</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7,354</w:t>
            </w:r>
          </w:p>
        </w:tc>
        <w:tc>
          <w:tcPr>
            <w:tcW w:w="80" w:type="dxa"/>
            <w:vAlign w:val="bottom"/>
          </w:tcPr>
          <w:p>
            <w:pPr>
              <w:spacing w:after="0"/>
              <w:rPr>
                <w:sz w:val="20"/>
                <w:szCs w:val="20"/>
                <w:color w:val="auto"/>
              </w:rPr>
            </w:pPr>
          </w:p>
        </w:tc>
      </w:tr>
      <w:tr>
        <w:trPr>
          <w:trHeight w:val="232"/>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 of warrants ...............................................................................................</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fair value of warrants ............................................................................</w:t>
            </w:r>
          </w:p>
        </w:tc>
        <w:tc>
          <w:tcPr>
            <w:tcW w:w="2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(6,669)</w:t>
            </w:r>
          </w:p>
        </w:tc>
      </w:tr>
      <w:tr>
        <w:trPr>
          <w:trHeight w:val="232"/>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Balances, December 31, 2024 ................................................................................</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5,133</w:t>
            </w:r>
          </w:p>
        </w:tc>
        <w:tc>
          <w:tcPr>
            <w:tcW w:w="80" w:type="dxa"/>
            <w:vAlign w:val="bottom"/>
          </w:tcPr>
          <w:p>
            <w:pPr>
              <w:spacing w:after="0"/>
              <w:rPr>
                <w:sz w:val="20"/>
                <w:szCs w:val="20"/>
                <w:color w:val="auto"/>
              </w:rPr>
            </w:pPr>
          </w:p>
        </w:tc>
      </w:tr>
      <w:tr>
        <w:trPr>
          <w:trHeight w:val="462"/>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Balances, January 1, 2023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30,841</w:t>
            </w:r>
          </w:p>
        </w:tc>
        <w:tc>
          <w:tcPr>
            <w:tcW w:w="80" w:type="dxa"/>
            <w:vAlign w:val="bottom"/>
          </w:tcPr>
          <w:p>
            <w:pPr>
              <w:spacing w:after="0"/>
              <w:rPr>
                <w:sz w:val="24"/>
                <w:szCs w:val="24"/>
                <w:color w:val="auto"/>
              </w:rPr>
            </w:pPr>
          </w:p>
        </w:tc>
      </w:tr>
      <w:tr>
        <w:trPr>
          <w:trHeight w:val="232"/>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warrants ...............................................................................................</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14,460</w:t>
            </w:r>
          </w:p>
        </w:tc>
        <w:tc>
          <w:tcPr>
            <w:tcW w:w="80" w:type="dxa"/>
            <w:vAlign w:val="bottom"/>
          </w:tcPr>
          <w:p>
            <w:pPr>
              <w:spacing w:after="0"/>
              <w:rPr>
                <w:sz w:val="20"/>
                <w:szCs w:val="20"/>
                <w:color w:val="auto"/>
              </w:rPr>
            </w:pPr>
          </w:p>
        </w:tc>
      </w:tr>
      <w:tr>
        <w:trPr>
          <w:trHeight w:val="232"/>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 of warrants ...............................................................................................</w:t>
            </w:r>
          </w:p>
        </w:tc>
        <w:tc>
          <w:tcPr>
            <w:tcW w:w="2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(11,901)</w:t>
            </w: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fair value of warrants ............................................................................</w:t>
            </w:r>
          </w:p>
        </w:tc>
        <w:tc>
          <w:tcPr>
            <w:tcW w:w="2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(28,952)</w:t>
            </w: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Balances, December 31, 2023 ................................................................................</w:t>
            </w:r>
          </w:p>
        </w:tc>
        <w:tc>
          <w:tcPr>
            <w:tcW w:w="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4,448</w:t>
            </w:r>
          </w:p>
        </w:tc>
        <w:tc>
          <w:tcPr>
            <w:tcW w:w="8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80" w:top="1079" w:right="90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10260"/>
          </w:cols>
          <w:pgMar w:left="1080" w:top="1079" w:right="900" w:bottom="157"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COMMON STOCK</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Company is authorized to issue up to 250,000,000 shares of common stock with $0.0001 par value. Common stockholders are entitled to dividends if and when declared by the Board of Directors subject to the rights of the preferred stockholders. As of December 31, 2024 and 2023, there were 7,232,650 and 6,695,587 shares issued and outstanding. No dividends on common stock had been declared by the Company.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years ended December 31, 2024 and 2023, the Company had reserved shares of common stock for issuance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December 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December 31,</w:t>
            </w:r>
          </w:p>
        </w:tc>
      </w:tr>
      <w:tr>
        <w:trPr>
          <w:trHeight w:val="234"/>
        </w:trPr>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2024</w:t>
            </w:r>
          </w:p>
        </w:tc>
        <w:tc>
          <w:tcPr>
            <w:tcW w:w="240" w:type="dxa"/>
            <w:vAlign w:val="bottom"/>
            <w:gridSpan w:val="2"/>
          </w:tcPr>
          <w:p>
            <w:pPr>
              <w:spacing w:after="0"/>
              <w:rPr>
                <w:sz w:val="20"/>
                <w:szCs w:val="20"/>
                <w:color w:val="auto"/>
              </w:rPr>
            </w:pPr>
          </w:p>
        </w:tc>
        <w:tc>
          <w:tcPr>
            <w:tcW w:w="13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Options issued and outstanding ..............................................</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168,809</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262,720</w:t>
            </w: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outstanding ....................................................</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7,232,650</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6,695,587</w:t>
            </w: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Warrants outstanding .............................................................</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3,926,156</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2,723,397</w:t>
            </w: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Earnout shares ........................................................................</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2,777,778</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4,444,444</w:t>
            </w: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available for future issuance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854,412</w:t>
            </w:r>
          </w:p>
        </w:tc>
        <w:tc>
          <w:tcPr>
            <w:tcW w:w="240" w:type="dxa"/>
            <w:vAlign w:val="bottom"/>
            <w:gridSpan w:val="2"/>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496,587</w:t>
            </w: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14,959,805</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14,622,735</w:t>
            </w: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ChEF Equity Facility</w:t>
      </w:r>
    </w:p>
    <w:p>
      <w:pPr>
        <w:spacing w:after="0" w:line="244" w:lineRule="exact"/>
        <w:rPr>
          <w:sz w:val="20"/>
          <w:szCs w:val="20"/>
          <w:color w:val="auto"/>
        </w:rPr>
      </w:pPr>
    </w:p>
    <w:p>
      <w:pPr>
        <w:jc w:val="both"/>
        <w:ind w:hanging="9"/>
        <w:spacing w:after="0" w:line="254" w:lineRule="auto"/>
        <w:rPr>
          <w:sz w:val="20"/>
          <w:szCs w:val="20"/>
          <w:color w:val="auto"/>
        </w:rPr>
      </w:pPr>
      <w:r>
        <w:rPr>
          <w:rFonts w:ascii="Times New Roman" w:cs="Times New Roman" w:eastAsia="Times New Roman" w:hAnsi="Times New Roman"/>
          <w:sz w:val="19"/>
          <w:szCs w:val="19"/>
          <w:color w:val="auto"/>
        </w:rPr>
        <w:t>On October 7, 2022, the Company and Chardan Capital Markets LLC, a New York limited liability company (“CCM LLC”) entered into a purchase agreement (the “Original Purchase Agreement”) and a Registration Rights Agreement in connection with the merger. Pursuant to the Original Purchase Agreement, the Company has the right to sell to CCM LLC an amount of shares of Common Stock, up to a maximum aggregate purchase price of $150 million, pursuant to the terms of the Purchase Agreement (the “ChEF Equity Facility”). In addition, the Company appointed LifeSci Capital, LLC as “qualified independent underwriter” with respect to the transactions contemplated by the Purchase Agreement. On May 20, 2024, the Company entered into an amendment to the Original Purchase Agreement (the “A&amp;R Purchase Agreement”, together with the Original Purchase Agreement, the “Purchase Agreement”) with CCM LLC to update the volume weighted average price purchase mechanics of the equity facility to permit Intraday VWAP Purchases (as defined in the A&amp;R Purchase Agreement). Under the terms of the Purchase Agreement with CCM LLC, during the years ended December 31, 2024 and 2023, the Company issued 350,423 and 65,389 shares, respectively, for aggregate net proceeds to the Company of $2,025 and $1,273,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June 2023 Offering</w:t>
      </w:r>
    </w:p>
    <w:p>
      <w:pPr>
        <w:spacing w:after="0" w:line="243"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9"/>
          <w:szCs w:val="19"/>
          <w:color w:val="auto"/>
        </w:rPr>
        <w:t>In the June 2023 Offering, the Company sold an aggregate of (i) 1,111,111 shares of its Common Stock and, (ii) accompanying Investor Warrants to purchase up to 1,111,111 shares of Common Stock, at the combined public offering price of $18.00 per share and accompanying Investor Warrant, less underwriting discounts and commissions, and (iii) the Underwriters’ Warrants.</w:t>
      </w:r>
    </w:p>
    <w:p>
      <w:pPr>
        <w:spacing w:after="0" w:line="231"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The Investor Warrants are exercisable for five years from the closing date of the June 2023 Offering, have an exercise price of $18.00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at an exercise price of $22.50 per share and will expire on June 20, 2028.</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Company granted the underwriters a 45-day over-allotment option to purchase up to an additional 166,667 shares of Common Stock and/or Warrants to purchase up to an aggregate of 166,667 shares of Common Stock at the public offering price per security, less underwriting discounts and commissions, of which the underwriters exercised for 156,112 shares of Common Stock and Investor Warrants to purchase up to 156,112 shares of Common Stock and the remaining was not exercised within the 45-day window.</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10080"/>
          </w:cols>
          <w:pgMar w:left="1080" w:top="1079" w:right="1080" w:bottom="157"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COMMON STOCK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June 2023 Offering (continued)</w:t>
      </w:r>
    </w:p>
    <w:p>
      <w:pPr>
        <w:spacing w:after="0" w:line="244" w:lineRule="exact"/>
        <w:rPr>
          <w:sz w:val="20"/>
          <w:szCs w:val="20"/>
          <w:color w:val="auto"/>
        </w:rPr>
      </w:pPr>
    </w:p>
    <w:p>
      <w:pPr>
        <w:jc w:val="both"/>
        <w:ind w:hanging="9"/>
        <w:spacing w:after="0" w:line="254" w:lineRule="auto"/>
        <w:rPr>
          <w:sz w:val="20"/>
          <w:szCs w:val="20"/>
          <w:color w:val="auto"/>
        </w:rPr>
      </w:pPr>
      <w:r>
        <w:rPr>
          <w:rFonts w:ascii="Times New Roman" w:cs="Times New Roman" w:eastAsia="Times New Roman" w:hAnsi="Times New Roman"/>
          <w:sz w:val="19"/>
          <w:szCs w:val="19"/>
          <w:color w:val="auto"/>
        </w:rPr>
        <w:t>The Company received gross proceeds of $22,810 and incurred $2,074 of offering related costs. The gross proceeds were first allocated to the liability classified warrants based upon the transaction date fair value and then to the equity classified warrants with the residual allocated to the common shares. The offering related costs were allocated based on the relative fair value of all instruments, of which $1,169 was accounted for as a reduction of additional-paid-in-capital and $904 was recorded within general and administrative expenses. The Company accounted for the investor warrants issued in connection with the Public Offering and the exercise of the underwriters’ over-allotment option in accordance with the guidance contained in ASC 815-</w:t>
      </w:r>
    </w:p>
    <w:p>
      <w:pPr>
        <w:spacing w:after="0" w:line="3" w:lineRule="exact"/>
        <w:rPr>
          <w:sz w:val="20"/>
          <w:szCs w:val="20"/>
          <w:color w:val="auto"/>
        </w:rPr>
      </w:pPr>
    </w:p>
    <w:p>
      <w:pPr>
        <w:ind w:firstLine="10"/>
        <w:spacing w:after="0" w:line="236" w:lineRule="auto"/>
        <w:tabs>
          <w:tab w:leader="none" w:pos="31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guidance provides that the warrants described above are precluded from equity classification. The fair value of the warrants were recorded as a liability in the amount of $13,762 on issuance and are being fair valued at each reporting period.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Reverse Stock Split and Recasting of Per-Share Amounts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November 12, 2024, Dragonfly Energy Holdings Corp. (the “Company”) filed a Certificate of Amendment to the Company’s Articles of Incorporation with the Secretary of State of the State of Nevada (the “Certificate of Amendment”) to be effected at 6:00 a.m. Eastern Time on November 22, 2024, a one-for-nine reverse stock split (the “Reverse Stock Split”) of the Company’s issued and outstanding shares of common stock, par value $0.0001 per share (the “Common Stock”). Pursuant to the Certificate of Amendment, effective as of 6:00 a.m., Eastern Time on August 30, 2023, every 9 shares of Common Stock issued and outstanding, including shares of Common Stock held by the Company as treasury shares, were automatically combined into one share of Common Stock. The number of authorized shares of Common Stock remained the same at 250,000,000 authorized shares.</w:t>
      </w:r>
    </w:p>
    <w:p>
      <w:pPr>
        <w:spacing w:after="0" w:line="24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Shares of the Common Stock began trading on a split-adjusted basis at market open on November 22, 2024. The $0.0001 par value per share of Common Stock and any other rights associated the Common Stock were not affected by the reverse stock split.</w:t>
      </w:r>
    </w:p>
    <w:p>
      <w:pPr>
        <w:spacing w:after="0" w:line="2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All shares of Common Stock, stock option awards and per share amounts in the accompanying Consolidated Financial Statements and related Notes have been retrospectively restated to reflect the effect of the reverse stock split.</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Preferred shares outstanding were not affected by the reverse stock split and as such, those shares have not been adjusted in the accompanying Consolidated Financial Statements and related Notes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STOCK-BASED COMPENSATION</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In July of 2021, the Board of Directors approved the 2021 Stock Incentive Plan (the “2021 Plan” and, together with the 2019 Plan, the “Prior Plans”)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spacing w:after="0" w:line="245"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In connection with the merger, shareholders and board members approved the Dragonfly Energy Holdings 2022 Equity Incentive Plan (the “2022 Plan”).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10080"/>
          </w:cols>
          <w:pgMar w:left="1080" w:top="1079" w:right="1080" w:bottom="157"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STOCK-BASED COMPENSATION (CONTINUED)</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The Company maintains the Dragonfly Energy Holdings Corp. Employee Stock Purchase Plan (the “ESPP”) which is designed to allow eligible employees and the eligible employees of the Company’s participating subsidiaries to purchase shares of the Company’s common stock, at semi-annual intervals, with their accumulated payroll deductions. A total of 273,822 shares of the Company’s common stock were initially available for issuance under the ESPP. The share limit will automatically increase on the first trading day in January of each year by an amount equal to lesser of (1) 1% of the total number of outstanding shares of the Company’s common stock on December 31 in the prior year, (2) 166,667 shares, or (3) such number as determined by the Company’s board of directors.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option activity and related information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Weighted-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Average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9"/>
              </w:rPr>
              <w:t>Weighted-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Weighted-</w:t>
            </w:r>
          </w:p>
        </w:tc>
        <w:tc>
          <w:tcPr>
            <w:tcW w:w="2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Remaining</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Average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Average</w:t>
            </w:r>
          </w:p>
        </w:tc>
        <w:tc>
          <w:tcPr>
            <w:tcW w:w="2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Contractual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Aggregate</w:t>
            </w:r>
          </w:p>
        </w:tc>
        <w:tc>
          <w:tcPr>
            <w:tcW w:w="0" w:type="dxa"/>
            <w:vAlign w:val="bottom"/>
          </w:tcPr>
          <w:p>
            <w:pPr>
              <w:spacing w:after="0"/>
              <w:rPr>
                <w:sz w:val="1"/>
                <w:szCs w:val="1"/>
                <w:color w:val="auto"/>
              </w:rPr>
            </w:pPr>
          </w:p>
        </w:tc>
      </w:tr>
      <w:tr>
        <w:trPr>
          <w:trHeight w:val="233"/>
        </w:trPr>
        <w:tc>
          <w:tcPr>
            <w:tcW w:w="306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Number of</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Exercise</w:t>
            </w:r>
          </w:p>
        </w:tc>
        <w:tc>
          <w:tcPr>
            <w:tcW w:w="2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Grant Date</w:t>
            </w:r>
          </w:p>
        </w:tc>
        <w:tc>
          <w:tcPr>
            <w:tcW w:w="2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Life (in</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intrinsic</w:t>
            </w:r>
          </w:p>
        </w:tc>
        <w:tc>
          <w:tcPr>
            <w:tcW w:w="0" w:type="dxa"/>
            <w:vAlign w:val="bottom"/>
          </w:tcPr>
          <w:p>
            <w:pPr>
              <w:spacing w:after="0"/>
              <w:rPr>
                <w:sz w:val="1"/>
                <w:szCs w:val="1"/>
                <w:color w:val="auto"/>
              </w:rPr>
            </w:pPr>
          </w:p>
        </w:tc>
      </w:tr>
      <w:tr>
        <w:trPr>
          <w:trHeight w:val="233"/>
        </w:trPr>
        <w:tc>
          <w:tcPr>
            <w:tcW w:w="3060" w:type="dxa"/>
            <w:vAlign w:val="bottom"/>
          </w:tcPr>
          <w:p>
            <w:pPr>
              <w:spacing w:after="0"/>
              <w:rPr>
                <w:sz w:val="20"/>
                <w:szCs w:val="20"/>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Options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Price</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Fair Value</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years)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value</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Balances, January 1, 2023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404,773</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35,898</w:t>
            </w:r>
          </w:p>
        </w:tc>
        <w:tc>
          <w:tcPr>
            <w:tcW w:w="0" w:type="dxa"/>
            <w:vAlign w:val="bottom"/>
          </w:tcPr>
          <w:p>
            <w:pPr>
              <w:spacing w:after="0"/>
              <w:rPr>
                <w:sz w:val="1"/>
                <w:szCs w:val="1"/>
                <w:color w:val="auto"/>
              </w:rPr>
            </w:pPr>
          </w:p>
        </w:tc>
      </w:tr>
      <w:tr>
        <w:trPr>
          <w:trHeight w:val="232"/>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Options granted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15,956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0" w:type="dxa"/>
            <w:vAlign w:val="bottom"/>
          </w:tcPr>
          <w:p>
            <w:pPr>
              <w:spacing w:after="0"/>
              <w:rPr>
                <w:sz w:val="1"/>
                <w:szCs w:val="1"/>
                <w:color w:val="auto"/>
              </w:rPr>
            </w:pPr>
          </w:p>
        </w:tc>
      </w:tr>
      <w:tr>
        <w:trPr>
          <w:trHeight w:val="232"/>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Options forfeited .............................</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(56,013)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Options exercised ............................</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(101,996)</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Balances, December 31, 2023 .........</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262,720</w:t>
            </w:r>
          </w:p>
        </w:tc>
        <w:tc>
          <w:tcPr>
            <w:tcW w:w="2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24.21</w:t>
            </w:r>
          </w:p>
        </w:tc>
        <w:tc>
          <w:tcPr>
            <w:tcW w:w="2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14.13</w:t>
            </w:r>
          </w:p>
        </w:tc>
        <w:tc>
          <w:tcPr>
            <w:tcW w:w="28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7.60</w:t>
            </w:r>
          </w:p>
        </w:tc>
        <w:tc>
          <w:tcPr>
            <w:tcW w:w="2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463"/>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Balances, January 1, 2024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262,720</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32"/>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Options granted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3"/>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Options forfeited .............................</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(27,029)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32"/>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Options expired ...............................</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(65,660)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w:t>
            </w:r>
          </w:p>
        </w:tc>
        <w:tc>
          <w:tcPr>
            <w:tcW w:w="0" w:type="dxa"/>
            <w:vAlign w:val="bottom"/>
          </w:tcPr>
          <w:p>
            <w:pPr>
              <w:spacing w:after="0"/>
              <w:rPr>
                <w:sz w:val="1"/>
                <w:szCs w:val="1"/>
                <w:color w:val="auto"/>
              </w:rPr>
            </w:pPr>
          </w:p>
        </w:tc>
      </w:tr>
      <w:tr>
        <w:trPr>
          <w:trHeight w:val="233"/>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Options exercised ............................</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(1,222)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Balances, December 31, 2024 .........</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168,809</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25.97</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25.97</w:t>
            </w:r>
          </w:p>
        </w:tc>
        <w:tc>
          <w:tcPr>
            <w:tcW w:w="28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At December 31, 2024 ....................</w:t>
            </w: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0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Vested and Exercisable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146,613</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3"/>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Vested and expected to vest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168,809</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During the year ended December 31, 2024, the Company issued 1,240 shares as a result of exercised stock options upon the receipt of proceeds of approximately $4.</w:t>
      </w:r>
    </w:p>
    <w:p>
      <w:pPr>
        <w:spacing w:after="0" w:line="246"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Share-based compensation expense for options and RSUs totaling $1,020 and $6,710 was recognized in the Company’s consolidated statements of operations for the years ended December 31, 2024 and 2023, respectively.</w:t>
      </w:r>
    </w:p>
    <w:p>
      <w:pPr>
        <w:spacing w:after="0" w:line="246"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Of the $1,020 of share-based compensation incurred during the year ended December 31, 2024, $100 is allocated to cost of goods sold, $168 to research and development, $265 to selling and marketing, and $488 to general and administrative expenses. Of the $6,710 of share-based compensation incurred during the year ended December 31, 2023, $133 is allocated to cost of goods sold, $116 to research and development, $1,097 to selling and marketing, and $5,364 to general and administrative expenses.</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10080"/>
          </w:cols>
          <w:pgMar w:left="1080" w:top="1079" w:right="1080" w:bottom="157"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STOCK-BASED COMPENSATION (CONTINUED)</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160" w:type="dxa"/>
            <w:vAlign w:val="bottom"/>
          </w:tcPr>
          <w:p>
            <w:pPr>
              <w:spacing w:after="0"/>
              <w:rPr>
                <w:sz w:val="20"/>
                <w:szCs w:val="20"/>
                <w:color w:val="auto"/>
              </w:rPr>
            </w:pPr>
          </w:p>
        </w:tc>
      </w:tr>
      <w:tr>
        <w:trPr>
          <w:trHeight w:val="230"/>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fair value of options granted .....................</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N/A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34.38</w:t>
            </w:r>
          </w:p>
        </w:tc>
        <w:tc>
          <w:tcPr>
            <w:tcW w:w="160" w:type="dxa"/>
            <w:vAlign w:val="bottom"/>
          </w:tcPr>
          <w:p>
            <w:pPr>
              <w:spacing w:after="0"/>
              <w:rPr>
                <w:sz w:val="20"/>
                <w:szCs w:val="20"/>
                <w:color w:val="auto"/>
              </w:rPr>
            </w:pPr>
          </w:p>
        </w:tc>
      </w:tr>
      <w:tr>
        <w:trPr>
          <w:trHeight w:val="232"/>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Risk-free interest rate .............................................................</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N/A</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4.20%</w:t>
            </w:r>
          </w:p>
        </w:tc>
      </w:tr>
      <w:tr>
        <w:trPr>
          <w:trHeight w:val="232"/>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Volatility ................................................................................</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N/A</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w:t>
            </w:r>
          </w:p>
        </w:tc>
      </w:tr>
      <w:tr>
        <w:trPr>
          <w:trHeight w:val="232"/>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Expected life (years) ..............................................................</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N/A</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160" w:type="dxa"/>
            <w:vAlign w:val="bottom"/>
          </w:tcPr>
          <w:p>
            <w:pPr>
              <w:spacing w:after="0"/>
              <w:rPr>
                <w:sz w:val="20"/>
                <w:szCs w:val="20"/>
                <w:color w:val="auto"/>
              </w:rPr>
            </w:pPr>
          </w:p>
        </w:tc>
      </w:tr>
      <w:tr>
        <w:trPr>
          <w:trHeight w:val="233"/>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Dividend yield ........................................................................</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N/A</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0.00%</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 Units</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February 10, 2023, the Company granted 51,333 restricted stock units under the 2022 Plan which vested in full immediately upon grant. The fair value of the restricted stock units on the date of grant was $3,464 and was recorded as compensation expense during the year ended December 31, 2023. The Company granted an additional 5,224 restricted stock units. The fair value of the 5,224 unvested restricted stock units was $126 and an expense of $22 was recorded during the year ended December 31, 2023.</w:t>
      </w:r>
    </w:p>
    <w:p>
      <w:pPr>
        <w:spacing w:after="0" w:line="246"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On February 5, 2024, the Company granted 24,447 restricted stock units of which 11,111 vested immediately. The fair value of the 24,447 restricted stock units was $95 and an expense of $53 was recorded as compensation expense during the year ended December 31, 2024, respectively.</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April 12, 2024, the Company issued a total of 92,923 RSUs to the following employees: (i) 63,045 RSUs to the Chief Executive Officer; (ii) 20,165 RSUs to the Chief Revenue Officer; and (iii) 9,712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92,923 RSUs was $376 and an expense of $91 was recorded during the year ended December 31, 2024.</w:t>
      </w:r>
    </w:p>
    <w:p>
      <w:pPr>
        <w:spacing w:after="0" w:line="249"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April 12, 2024, the board of directors authorized the issuance of 24,692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 The fair value of the 148,152 RSUs issued to directors in total was $600 and an expense of $145 was recorded during the year ended December 31, 2024.</w:t>
      </w:r>
    </w:p>
    <w:p>
      <w:pPr>
        <w:spacing w:after="0" w:line="246" w:lineRule="exact"/>
        <w:rPr>
          <w:sz w:val="20"/>
          <w:szCs w:val="20"/>
          <w:color w:val="auto"/>
        </w:rPr>
      </w:pPr>
    </w:p>
    <w:p>
      <w:pPr>
        <w:jc w:val="both"/>
        <w:ind w:hanging="9"/>
        <w:spacing w:after="0" w:line="236" w:lineRule="auto"/>
        <w:rPr>
          <w:sz w:val="20"/>
          <w:szCs w:val="20"/>
          <w:color w:val="auto"/>
        </w:rPr>
      </w:pPr>
      <w:r>
        <w:rPr>
          <w:rFonts w:ascii="Times New Roman" w:cs="Times New Roman" w:eastAsia="Times New Roman" w:hAnsi="Times New Roman"/>
          <w:sz w:val="20"/>
          <w:szCs w:val="20"/>
          <w:color w:val="auto"/>
        </w:rPr>
        <w:t>On June 24, 2024, the Company granted 2,417 restricted stock units. The fair value of the 2,417 RSUs was $19 and an expense of $2 was recorded as compensation expense during the year ended December 31,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 Units (Continued)</w:t>
      </w:r>
    </w:p>
    <w:p>
      <w:pPr>
        <w:spacing w:after="0" w:line="244"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In addition to the restricted stock unit awards, the Board also approved the following cash awards to the above referenced employees: (i) $511 to the Chief Executive Officer; (ii) $163 to the Chief Revenue Officer; and (iii) $79 to the Chief Marketing Officer. Each of the approved cash awards will not be paid out to the employees until the Company has achieved a minimum cash balance of $30,000, and are subject to each employee’s continued employment on the date of payment.</w:t>
      </w:r>
    </w:p>
    <w:p>
      <w:pPr>
        <w:spacing w:after="0" w:line="247"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August 19, 2024, the Company issued a total of 81,710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81,710 RSUs was $448 and an expense of $52 was recorded as compensation expense during the year ended December 31, 2024.</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F-33</w:t>
      </w:r>
    </w:p>
    <w:p>
      <w:pPr>
        <w:sectPr>
          <w:pgSz w:w="12240" w:h="15840" w:orient="portrait"/>
          <w:cols w:equalWidth="0" w:num="1">
            <w:col w:w="10080"/>
          </w:cols>
          <w:pgMar w:left="1080" w:top="1079" w:right="1080" w:bottom="155"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STOCK-BASED COMPENSATION (CONTINUED)</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August 26, 2024, the Company issued a total of 2,223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2,223 RSUs was $12 and no expense was recorded as compensation expense during the year ended December 31, 2024.</w:t>
      </w:r>
    </w:p>
    <w:p>
      <w:pPr>
        <w:spacing w:after="0" w:line="247" w:lineRule="exact"/>
        <w:rPr>
          <w:sz w:val="20"/>
          <w:szCs w:val="20"/>
          <w:color w:val="auto"/>
        </w:rPr>
      </w:pPr>
    </w:p>
    <w:p>
      <w:pPr>
        <w:jc w:val="both"/>
        <w:ind w:hanging="9"/>
        <w:spacing w:after="0" w:line="235" w:lineRule="auto"/>
        <w:rPr>
          <w:sz w:val="20"/>
          <w:szCs w:val="20"/>
          <w:color w:val="auto"/>
        </w:rPr>
      </w:pPr>
      <w:r>
        <w:rPr>
          <w:rFonts w:ascii="Times New Roman" w:cs="Times New Roman" w:eastAsia="Times New Roman" w:hAnsi="Times New Roman"/>
          <w:sz w:val="20"/>
          <w:szCs w:val="20"/>
          <w:color w:val="auto"/>
        </w:rPr>
        <w:t>For the year ended December 31, 2024, the Company issued 863 shares in exchange for 1,103 vested restricted stock units less shares deducted to cover taxes.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restricted stock units activity for the years ended December 31, 2024 and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Weighted-</w:t>
            </w:r>
          </w:p>
        </w:tc>
      </w:tr>
      <w:tr>
        <w:trPr>
          <w:trHeight w:val="232"/>
        </w:trPr>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color w:val="auto"/>
              </w:rPr>
              <w:t>Number of</w:t>
            </w:r>
          </w:p>
        </w:tc>
        <w:tc>
          <w:tcPr>
            <w:tcW w:w="120" w:type="dxa"/>
            <w:vAlign w:val="bottom"/>
          </w:tcPr>
          <w:p>
            <w:pPr>
              <w:spacing w:after="0"/>
              <w:rPr>
                <w:sz w:val="20"/>
                <w:szCs w:val="20"/>
                <w:color w:val="auto"/>
              </w:rPr>
            </w:pPr>
          </w:p>
        </w:tc>
        <w:tc>
          <w:tcPr>
            <w:tcW w:w="12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Average Fair</w:t>
            </w:r>
          </w:p>
        </w:tc>
      </w:tr>
      <w:tr>
        <w:trPr>
          <w:trHeight w:val="234"/>
        </w:trPr>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color w:val="auto"/>
                <w:w w:val="97"/>
              </w:rPr>
              <w:t>Shares</w:t>
            </w:r>
          </w:p>
        </w:tc>
        <w:tc>
          <w:tcPr>
            <w:tcW w:w="120" w:type="dxa"/>
            <w:vAlign w:val="bottom"/>
          </w:tcPr>
          <w:p>
            <w:pPr>
              <w:spacing w:after="0"/>
              <w:rPr>
                <w:sz w:val="20"/>
                <w:szCs w:val="20"/>
                <w:color w:val="auto"/>
              </w:rPr>
            </w:pPr>
          </w:p>
        </w:tc>
        <w:tc>
          <w:tcPr>
            <w:tcW w:w="12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9"/>
              </w:rPr>
              <w:t>Market Value</w:t>
            </w: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Unvested shares, January 1, 2023 ..........................................</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126.00</w:t>
            </w: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Granted and unvested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56,557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63.54</w:t>
            </w: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Vested ....................................................................................</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(71,333)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83.88</w:t>
            </w: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Unvested shares, December 31, 2023 ....................................</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24.21</w:t>
            </w:r>
          </w:p>
        </w:tc>
      </w:t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50"/>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Unvested shares, January 1, 2024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24.21</w:t>
            </w: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Granted and unvested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351,872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w:t>
            </w: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Forfeited .................................................................................</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(9,727)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w:t>
            </w: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Exercised ................................................................................</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(1,103)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32.79</w:t>
            </w: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Vested ....................................................................................</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(11,515)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w:t>
            </w: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Unvested shares, December 31, 2024 ....................................</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334,751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4.54</w:t>
            </w: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hanging="9"/>
        <w:spacing w:after="0" w:line="236" w:lineRule="auto"/>
        <w:rPr>
          <w:sz w:val="20"/>
          <w:szCs w:val="20"/>
          <w:color w:val="auto"/>
        </w:rPr>
      </w:pPr>
      <w:r>
        <w:rPr>
          <w:rFonts w:ascii="Times New Roman" w:cs="Times New Roman" w:eastAsia="Times New Roman" w:hAnsi="Times New Roman"/>
          <w:sz w:val="20"/>
          <w:szCs w:val="20"/>
          <w:color w:val="auto"/>
        </w:rPr>
        <w:t>As of December 31, 2024 and 2023 there were 854,412 and 496,587 shares, respectively, of unissued authorized and available for future awards under the 2022 Equity Incentive Plan and Employee Stock Purchase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Stock Purchase Plan</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The Company maintains the Dragonfly Energy Corporation, Inc. Employee Stock Purchase Plan which permits eligible employees to purchase shares at not less than 85% of the market value of the Company’s common stock on the offering date or the purchase date of the applicable offering period, whichever is lower. The plan was adopted by the Company’s Board of Directors on May 13, 2022. On April 24, 2024, the Company issued 27,197 common shares in connection with its Employee Stock Purchase Plan for a total consideration of approximately $112. The ESPP allows employees to purchase shares at a 15% discount to the lesser of the stock price at the beginning or the end of the offering period, which was October 1, 2023, and April 1, 2024, respectively. The discount resulted in an exercise price of $4.14 per share.</w:t>
      </w:r>
    </w:p>
    <w:p>
      <w:pPr>
        <w:spacing w:after="0" w:line="245"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April 1, 2024, the Company commenced a second offering under the Employee Stock Purchase Plan (ESPP), which ran through September 30, 2024, with the same terms as the first offering. As of September 30, 2024, the Company had issued 33,950 common shares in connection with its Employee Stock Purchase Plan for a total consideration of approximately $135. The ESPP allows employees to purchase shares at a 15% discount to the lesser of the stock price at the beginning or the end of the offering period, which was April 1, 2024, and September 30, 2024, respectively. The discount resulted in an exercise price of $3.99 per share.</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10080"/>
          </w:cols>
          <w:pgMar w:left="1080" w:top="1079" w:right="1080" w:bottom="157"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SUPPLIER AGREEMENT</w:t>
      </w:r>
    </w:p>
    <w:p>
      <w:pPr>
        <w:spacing w:after="0" w:line="243"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On May 9, 2023, Ioneer Rhyolite Ridge LLC, or the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14 - INCOME TAXES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63"/>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The income tax expense consists of the following items: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4980" w:type="dxa"/>
            <w:vAlign w:val="bottom"/>
          </w:tcPr>
          <w:p>
            <w:pPr>
              <w:spacing w:after="0"/>
              <w:rPr>
                <w:sz w:val="24"/>
                <w:szCs w:val="24"/>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2024</w:t>
            </w:r>
          </w:p>
        </w:tc>
        <w:tc>
          <w:tcPr>
            <w:tcW w:w="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Pr>
          <w:p>
            <w:pPr>
              <w:spacing w:after="0"/>
              <w:rPr>
                <w:sz w:val="24"/>
                <w:szCs w:val="24"/>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Current – Federal ...................................................................</w:t>
            </w:r>
          </w:p>
        </w:tc>
        <w:tc>
          <w:tcPr>
            <w:tcW w:w="1120" w:type="dxa"/>
            <w:vAlign w:val="bottom"/>
          </w:tcPr>
          <w:p>
            <w:pPr>
              <w:jc w:val="right"/>
              <w:ind w:right="920"/>
              <w:spacing w:after="0"/>
              <w:rPr>
                <w:sz w:val="20"/>
                <w:szCs w:val="20"/>
                <w:color w:val="auto"/>
              </w:rPr>
            </w:pPr>
            <w:r>
              <w:rPr>
                <w:rFonts w:ascii="Times New Roman" w:cs="Times New Roman" w:eastAsia="Times New Roman" w:hAnsi="Times New Roman"/>
                <w:sz w:val="20"/>
                <w:szCs w:val="20"/>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33"/>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Current – State .......................................................................</w:t>
            </w: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0"/>
                <w:szCs w:val="20"/>
                <w:color w:val="auto"/>
              </w:rPr>
            </w:pPr>
          </w:p>
        </w:tc>
      </w:tr>
      <w:tr>
        <w:trPr>
          <w:trHeight w:val="232"/>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Deferred – Federal .................................................................</w:t>
            </w: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r>
      <w:tr>
        <w:trPr>
          <w:trHeight w:val="232"/>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Deferred – State .....................................................................</w:t>
            </w: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r>
      <w:tr>
        <w:trPr>
          <w:trHeight w:val="235"/>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Total tax expense ...................................................................</w:t>
            </w:r>
          </w:p>
        </w:tc>
        <w:tc>
          <w:tcPr>
            <w:tcW w:w="1120" w:type="dxa"/>
            <w:vAlign w:val="bottom"/>
          </w:tcPr>
          <w:p>
            <w:pPr>
              <w:jc w:val="right"/>
              <w:ind w:right="920"/>
              <w:spacing w:after="0"/>
              <w:rPr>
                <w:sz w:val="20"/>
                <w:szCs w:val="20"/>
                <w:color w:val="auto"/>
              </w:rPr>
            </w:pPr>
            <w:r>
              <w:rPr>
                <w:rFonts w:ascii="Times New Roman" w:cs="Times New Roman" w:eastAsia="Times New Roman" w:hAnsi="Times New Roman"/>
                <w:sz w:val="20"/>
                <w:szCs w:val="20"/>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0"/>
        </w:trPr>
        <w:tc>
          <w:tcPr>
            <w:tcW w:w="4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Components of deferred tax assets (liabilities)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Start up costs ..........................................................................</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w:t>
            </w:r>
          </w:p>
        </w:tc>
        <w:tc>
          <w:tcPr>
            <w:tcW w:w="2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liability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 based compensation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Allowance for bad debt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Research and development credit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Fixed assets and intangibles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expense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Prepaid expenses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Settlement accrual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Operating Loss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Inventory (Sec. 263A) ............................................................</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asset ...................................................................</w:t>
            </w: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33,982</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0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Right of Use Asset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Fixed assets and intangibles ...................................................</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liability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deferred tax asset (liability)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29,449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Valuation Allowance .............................................................</w:t>
            </w:r>
          </w:p>
        </w:tc>
        <w:tc>
          <w:tcPr>
            <w:tcW w:w="2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(29,449)</w:t>
            </w:r>
          </w:p>
        </w:tc>
        <w:tc>
          <w:tcPr>
            <w:tcW w:w="3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(19,617)</w:t>
            </w:r>
          </w:p>
        </w:tc>
        <w:tc>
          <w:tcPr>
            <w:tcW w:w="0" w:type="dxa"/>
            <w:vAlign w:val="bottom"/>
          </w:tcPr>
          <w:p>
            <w:pPr>
              <w:spacing w:after="0"/>
              <w:rPr>
                <w:sz w:val="1"/>
                <w:szCs w:val="1"/>
                <w:color w:val="auto"/>
              </w:rPr>
            </w:pPr>
          </w:p>
        </w:tc>
      </w:tr>
      <w:tr>
        <w:trPr>
          <w:trHeight w:val="235"/>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deferred tax asset .............................................................</w:t>
            </w: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10080"/>
          </w:cols>
          <w:pgMar w:left="1080" w:top="1079" w:right="1080" w:bottom="157"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 INCOME TAXES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Reconciliation between the effective tax rate on income from continuing operations and the statutory rate for the year ending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and 2023, is as follows:</w:t>
      </w:r>
    </w:p>
    <w:p>
      <w:pPr>
        <w:spacing w:after="0" w:line="233"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3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2024</w:t>
            </w:r>
          </w:p>
        </w:tc>
        <w:tc>
          <w:tcPr>
            <w:tcW w:w="10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2023</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32"/>
        </w:trPr>
        <w:tc>
          <w:tcPr>
            <w:tcW w:w="3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color w:val="auto"/>
              </w:rPr>
              <w:t>Tax</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Percentage</w:t>
            </w:r>
          </w:p>
        </w:tc>
        <w:tc>
          <w:tcPr>
            <w:tcW w:w="380" w:type="dxa"/>
            <w:vAlign w:val="bottom"/>
          </w:tcPr>
          <w:p>
            <w:pPr>
              <w:spacing w:after="0"/>
              <w:rPr>
                <w:sz w:val="20"/>
                <w:szCs w:val="20"/>
                <w:color w:val="auto"/>
              </w:rPr>
            </w:pPr>
          </w:p>
        </w:tc>
        <w:tc>
          <w:tcPr>
            <w:tcW w:w="11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Tax</w:t>
            </w:r>
          </w:p>
        </w:tc>
        <w:tc>
          <w:tcPr>
            <w:tcW w:w="24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Percentage</w:t>
            </w:r>
          </w:p>
        </w:tc>
        <w:tc>
          <w:tcPr>
            <w:tcW w:w="240" w:type="dxa"/>
            <w:vAlign w:val="bottom"/>
          </w:tcPr>
          <w:p>
            <w:pPr>
              <w:spacing w:after="0"/>
              <w:rPr>
                <w:sz w:val="20"/>
                <w:szCs w:val="20"/>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Book income (loss) before taxes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(8,529)</w:t>
            </w:r>
          </w:p>
        </w:tc>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21.00%</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(2,902)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21.00%</w:t>
            </w:r>
          </w:p>
        </w:tc>
      </w:tr>
      <w:tr>
        <w:trPr>
          <w:trHeight w:val="464"/>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Permanent differences (other than tax)) .</w:t>
            </w:r>
          </w:p>
        </w:tc>
        <w:tc>
          <w:tcPr>
            <w:tcW w:w="2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(259)</w:t>
            </w:r>
          </w:p>
        </w:tc>
        <w:tc>
          <w:tcPr>
            <w:tcW w:w="10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0.64%</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(6,089)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44.07%</w:t>
            </w:r>
          </w:p>
        </w:tc>
      </w:tr>
      <w:tr>
        <w:trPr>
          <w:trHeight w:val="232"/>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State taxes, net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(1,110)</w:t>
            </w:r>
          </w:p>
        </w:tc>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2.73%</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8.92%</w:t>
            </w:r>
          </w:p>
        </w:tc>
      </w:tr>
      <w:tr>
        <w:trPr>
          <w:trHeight w:val="232"/>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Deferred true-up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(142)</w:t>
            </w:r>
          </w:p>
        </w:tc>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0.35%</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(1,617)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11.71%</w:t>
            </w:r>
          </w:p>
        </w:tc>
      </w:tr>
      <w:tr>
        <w:trPr>
          <w:trHeight w:val="232"/>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credits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0.07%</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4.68%</w:t>
            </w:r>
          </w:p>
        </w:tc>
      </w:tr>
      <w:tr>
        <w:trPr>
          <w:trHeight w:val="233"/>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2"/>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capitalization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2.17%</w:t>
            </w:r>
          </w:p>
        </w:tc>
      </w:tr>
      <w:tr>
        <w:trPr>
          <w:trHeight w:val="232"/>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Uncertain tax positions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0.09%</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(0.96)%</w:t>
            </w:r>
          </w:p>
        </w:tc>
      </w:tr>
      <w:tr>
        <w:trPr>
          <w:trHeight w:val="232"/>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Other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(0.23)%</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(0.49)%</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Rate Change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(0.44)%</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(1.94)%</w:t>
            </w:r>
          </w:p>
        </w:tc>
      </w:tr>
      <w:tr>
        <w:trPr>
          <w:trHeight w:val="20"/>
        </w:trPr>
        <w:tc>
          <w:tcPr>
            <w:tcW w:w="3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1"/>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(24.21)%</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(88.96)%</w:t>
            </w:r>
          </w:p>
        </w:tc>
      </w:tr>
      <w:tr>
        <w:trPr>
          <w:trHeight w:val="21"/>
        </w:trPr>
        <w:tc>
          <w:tcPr>
            <w:tcW w:w="3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3"/>
        </w:trPr>
        <w:tc>
          <w:tcPr>
            <w:tcW w:w="3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3"/>
        </w:trPr>
        <w:tc>
          <w:tcPr>
            <w:tcW w:w="33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Effective tax rate ....................................</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0.20%</w:t>
            </w:r>
          </w:p>
        </w:tc>
      </w:tr>
      <w:tr>
        <w:trPr>
          <w:trHeight w:val="20"/>
        </w:trPr>
        <w:tc>
          <w:tcPr>
            <w:tcW w:w="3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hanging="9"/>
        <w:spacing w:after="0" w:line="236" w:lineRule="auto"/>
        <w:rPr>
          <w:sz w:val="20"/>
          <w:szCs w:val="20"/>
          <w:color w:val="auto"/>
        </w:rPr>
      </w:pPr>
      <w:r>
        <w:rPr>
          <w:rFonts w:ascii="Times New Roman" w:cs="Times New Roman" w:eastAsia="Times New Roman" w:hAnsi="Times New Roman"/>
          <w:sz w:val="20"/>
          <w:szCs w:val="20"/>
          <w:color w:val="auto"/>
        </w:rPr>
        <w:t>The tax returns of the Company are open for three years from the date of filing. At the report date, federal tax returns are open for the Company for 2021, 2022 and 2023.</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Subject to the limitations described below, as of December 31, 2024, the Company had federal net operating loss carryforwards of approximately $56,315 available to reduce future taxable income which do not expire, but are limited to 80% utilization against taxable income. As of December 31, 2024, the Company had state net operating loss carryforwards of approximately $24,910 available to reduce future taxable income, which start to expire in 2037. The Company also had research and development credits of $875 as of December 31, 2024 to offset future federal income taxes, which are set to expire in 2042.</w:t>
      </w:r>
    </w:p>
    <w:p>
      <w:pPr>
        <w:spacing w:after="0" w:line="231"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2024. The valuation allowance as of December 31, 2024 was $29,449, primarily due to the company entering into a 3 year cumulative loss position and no expectation of income for the year ended December 31, 2024.</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10080"/>
          </w:cols>
          <w:pgMar w:left="1080" w:top="1079" w:right="1080" w:bottom="157"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 INCOME TAXES (CONTINUED)</w:t>
      </w:r>
    </w:p>
    <w:p>
      <w:pPr>
        <w:spacing w:after="0" w:line="243"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roll-forward of the Company’s gross uncertain tax positions is as follows: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63"/>
        </w:trPr>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Gross Uncertain</w:t>
            </w:r>
          </w:p>
        </w:tc>
      </w:tr>
      <w:tr>
        <w:trPr>
          <w:trHeight w:val="234"/>
        </w:trPr>
        <w:tc>
          <w:tcPr>
            <w:tcW w:w="6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Tax Position</w:t>
            </w:r>
          </w:p>
        </w:tc>
      </w:t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January 1, 2023 ....................................................................................</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80" w:type="dxa"/>
            <w:vAlign w:val="bottom"/>
          </w:tcPr>
          <w:p>
            <w:pPr>
              <w:spacing w:after="0"/>
              <w:rPr>
                <w:sz w:val="20"/>
                <w:szCs w:val="20"/>
                <w:color w:val="auto"/>
              </w:rPr>
            </w:pPr>
          </w:p>
        </w:tc>
      </w:tr>
      <w:tr>
        <w:trPr>
          <w:trHeight w:val="233"/>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Additions for current year tax positions .................................................................</w:t>
            </w:r>
          </w:p>
        </w:tc>
        <w:tc>
          <w:tcPr>
            <w:tcW w:w="1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2023 ..............................................................................</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80" w:type="dxa"/>
            <w:vAlign w:val="bottom"/>
          </w:tcPr>
          <w:p>
            <w:pPr>
              <w:spacing w:after="0"/>
              <w:rPr>
                <w:sz w:val="20"/>
                <w:szCs w:val="20"/>
                <w:color w:val="auto"/>
              </w:rPr>
            </w:pPr>
          </w:p>
        </w:tc>
      </w:tr>
      <w:tr>
        <w:trPr>
          <w:trHeight w:val="233"/>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Additions for current year tax positions .................................................................</w:t>
            </w:r>
          </w:p>
        </w:tc>
        <w:tc>
          <w:tcPr>
            <w:tcW w:w="1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33"/>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 ..............................................................................</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80" w:type="dxa"/>
            <w:vAlign w:val="bottom"/>
          </w:tcPr>
          <w:p>
            <w:pPr>
              <w:spacing w:after="0"/>
              <w:rPr>
                <w:sz w:val="20"/>
                <w:szCs w:val="20"/>
                <w:color w:val="auto"/>
              </w:rPr>
            </w:pPr>
          </w:p>
        </w:tc>
      </w:tr>
    </w:tbl>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Company’s total uncertain tax positions decreased during the year ended December 31, 2024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REPORTABLE SEGMENTS</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has two reportable segments: DTC and OEM. The DTC segment pertains to Battle Born, LLC branded batteries which are sold directly to consumers. The OEM segment pertains to Dragonfly branded batteries which are sold to original equipment manufacturers</w:t>
      </w:r>
    </w:p>
    <w:p>
      <w:pPr>
        <w:spacing w:after="0" w:line="24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accounting policies of the segments are the same as those described in the summary of significant accounting policies. The Company evaluates performance for all of its reportable segments based on both segment gross and net profit or loss from operations.</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For the DTC and OEM, the Chief Operating Decision Maker (“CODM”) uses both segment gross profit and loss from operations to allocate resources (including employees, property, and financial or capital resources) for each segment predominantly in the annual budget and forecasting process.</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Assets information for the reported segments is not disclosed as it is not used by the CODM in evaluating the performance of, or making decisions about, the reported segments.</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Company’s reportable segments are strategic business units that offer different branded products. They are managed separately because each segment requires different technology and marketing strategies.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CODM is the Chief Executive Officer.</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F-37</w:t>
      </w:r>
    </w:p>
    <w:p>
      <w:pPr>
        <w:sectPr>
          <w:pgSz w:w="12240" w:h="15840" w:orient="portrait"/>
          <w:cols w:equalWidth="0" w:num="1">
            <w:col w:w="10080"/>
          </w:cols>
          <w:pgMar w:left="1080" w:top="1079" w:right="1080" w:bottom="157"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REPORTABLE SEGMENTS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reportable segments information as of December 31, 2024:</w:t>
      </w:r>
    </w:p>
    <w:p>
      <w:pPr>
        <w:sectPr>
          <w:pgSz w:w="12240" w:h="15840" w:orient="portrait"/>
          <w:cols w:equalWidth="0" w:num="1">
            <w:col w:w="10080"/>
          </w:cols>
          <w:pgMar w:left="1080" w:top="1079" w:right="1080" w:bottom="157"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DTC</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OEM</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6"/>
                <w:szCs w:val="16"/>
                <w:color w:val="auto"/>
              </w:rPr>
            </w:pPr>
          </w:p>
        </w:tc>
      </w:tr>
      <w:tr>
        <w:trPr>
          <w:trHeight w:val="370"/>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Net Sales </w:t>
            </w:r>
            <w:r>
              <w:rPr>
                <w:rFonts w:ascii="Times New Roman" w:cs="Times New Roman" w:eastAsia="Times New Roman" w:hAnsi="Times New Roman"/>
                <w:sz w:val="16"/>
                <w:szCs w:val="16"/>
                <w:color w:val="auto"/>
              </w:rPr>
              <w:t>....................................................</w:t>
            </w: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22,616</w:t>
            </w:r>
          </w:p>
        </w:tc>
        <w:tc>
          <w:tcPr>
            <w:tcW w:w="28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27,612</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60" w:type="dxa"/>
            <w:vAlign w:val="bottom"/>
          </w:tcPr>
          <w:p>
            <w:pPr>
              <w:spacing w:after="0"/>
              <w:rPr>
                <w:sz w:val="24"/>
                <w:szCs w:val="24"/>
                <w:color w:val="auto"/>
              </w:rPr>
            </w:pPr>
          </w:p>
        </w:tc>
      </w:tr>
      <w:tr>
        <w:trPr>
          <w:trHeight w:val="371"/>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Reconciliation of Net Sales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Reconciling items .......................................</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Net Sales ...............................</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 material ............................................</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 labor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7"/>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 overhead and depreciation...............</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370"/>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Total Cost of Goods Sold </w:t>
            </w:r>
            <w:r>
              <w:rPr>
                <w:rFonts w:ascii="Times New Roman" w:cs="Times New Roman" w:eastAsia="Times New Roman" w:hAnsi="Times New Roman"/>
                <w:sz w:val="16"/>
                <w:szCs w:val="16"/>
                <w:color w:val="auto"/>
              </w:rPr>
              <w:t>....................</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r>
      <w:tr>
        <w:trPr>
          <w:trHeight w:val="371"/>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Gross profit </w:t>
            </w:r>
            <w:r>
              <w:rPr>
                <w:rFonts w:ascii="Times New Roman" w:cs="Times New Roman" w:eastAsia="Times New Roman" w:hAnsi="Times New Roman"/>
                <w:sz w:val="16"/>
                <w:szCs w:val="16"/>
                <w:color w:val="auto"/>
              </w:rPr>
              <w:t>...............................................</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5,739</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5,470</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60" w:type="dxa"/>
            <w:vAlign w:val="bottom"/>
          </w:tcPr>
          <w:p>
            <w:pPr>
              <w:spacing w:after="0"/>
              <w:rPr>
                <w:sz w:val="24"/>
                <w:szCs w:val="24"/>
                <w:color w:val="auto"/>
              </w:rPr>
            </w:pPr>
          </w:p>
        </w:tc>
      </w:tr>
      <w:tr>
        <w:trPr>
          <w:trHeight w:val="371"/>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&amp; development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60" w:type="dxa"/>
            <w:vAlign w:val="bottom"/>
          </w:tcPr>
          <w:p>
            <w:pPr>
              <w:spacing w:after="0"/>
              <w:rPr>
                <w:sz w:val="16"/>
                <w:szCs w:val="16"/>
                <w:color w:val="auto"/>
              </w:rPr>
            </w:pP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tax adjustment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Credit card &amp; amazon transaction fees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settlement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general &amp; administrative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18,749</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Shipping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 stock compensation...</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 wages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Marketing spend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Rent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Unallocated sales and marketing stock</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compensation ..............................................</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Unallocated sales and marketing wages.....</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sales &amp; marketing .............................</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60" w:type="dxa"/>
            <w:vAlign w:val="bottom"/>
          </w:tcPr>
          <w:p>
            <w:pPr>
              <w:spacing w:after="0"/>
              <w:rPr>
                <w:sz w:val="16"/>
                <w:szCs w:val="16"/>
                <w:color w:val="auto"/>
              </w:rPr>
            </w:pPr>
          </w:p>
        </w:tc>
      </w:tr>
      <w:tr>
        <w:trPr>
          <w:trHeight w:val="370"/>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Total Operating Expenses </w:t>
            </w:r>
            <w:r>
              <w:rPr>
                <w:rFonts w:ascii="Times New Roman" w:cs="Times New Roman" w:eastAsia="Times New Roman" w:hAnsi="Times New Roman"/>
                <w:sz w:val="16"/>
                <w:szCs w:val="16"/>
                <w:color w:val="auto"/>
              </w:rPr>
              <w:t>..................</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26,137</w:t>
            </w:r>
          </w:p>
        </w:tc>
        <w:tc>
          <w:tcPr>
            <w:tcW w:w="60" w:type="dxa"/>
            <w:vAlign w:val="bottom"/>
          </w:tcPr>
          <w:p>
            <w:pPr>
              <w:spacing w:after="0"/>
              <w:rPr>
                <w:sz w:val="24"/>
                <w:szCs w:val="24"/>
                <w:color w:val="auto"/>
              </w:rPr>
            </w:pPr>
          </w:p>
        </w:tc>
      </w:tr>
      <w:tr>
        <w:trPr>
          <w:trHeight w:val="372"/>
        </w:trPr>
        <w:tc>
          <w:tcPr>
            <w:tcW w:w="29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Income (Loss) from operations .......</w:t>
            </w:r>
          </w:p>
        </w:tc>
        <w:tc>
          <w:tcPr>
            <w:tcW w:w="84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(25,720)</w:t>
            </w:r>
          </w:p>
        </w:tc>
      </w:tr>
      <w:tr>
        <w:trPr>
          <w:trHeight w:val="371"/>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 .............................</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(21,504)</w:t>
            </w:r>
          </w:p>
        </w:tc>
      </w:tr>
      <w:tr>
        <w:trPr>
          <w:trHeight w:val="187"/>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FMV of warrant liability ...........</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6,684</w:t>
            </w:r>
          </w:p>
        </w:tc>
        <w:tc>
          <w:tcPr>
            <w:tcW w:w="60" w:type="dxa"/>
            <w:vAlign w:val="bottom"/>
          </w:tcPr>
          <w:p>
            <w:pPr>
              <w:spacing w:after="0"/>
              <w:rPr>
                <w:sz w:val="16"/>
                <w:szCs w:val="16"/>
                <w:color w:val="auto"/>
              </w:rPr>
            </w:pPr>
          </w:p>
        </w:tc>
      </w:tr>
      <w:tr>
        <w:trPr>
          <w:trHeight w:val="370"/>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Total Other Income (Expense) </w:t>
            </w:r>
            <w:r>
              <w:rPr>
                <w:rFonts w:ascii="Times New Roman" w:cs="Times New Roman" w:eastAsia="Times New Roman" w:hAnsi="Times New Roman"/>
                <w:sz w:val="16"/>
                <w:szCs w:val="16"/>
                <w:color w:val="auto"/>
              </w:rPr>
              <w:t>...........</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(14,856)</w:t>
            </w:r>
          </w:p>
        </w:tc>
      </w:tr>
      <w:tr>
        <w:trPr>
          <w:trHeight w:val="372"/>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Net Loss Before Taxes </w:t>
            </w:r>
            <w:r>
              <w:rPr>
                <w:rFonts w:ascii="Times New Roman" w:cs="Times New Roman" w:eastAsia="Times New Roman" w:hAnsi="Times New Roman"/>
                <w:sz w:val="16"/>
                <w:szCs w:val="16"/>
                <w:color w:val="auto"/>
              </w:rPr>
              <w:t>..............................</w:t>
            </w:r>
          </w:p>
        </w:tc>
        <w:tc>
          <w:tcPr>
            <w:tcW w:w="84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(40,576)</w:t>
            </w:r>
          </w:p>
        </w:tc>
      </w:tr>
      <w:tr>
        <w:trPr>
          <w:trHeight w:val="371"/>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Income Tax Benefit </w:t>
            </w: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r>
      <w:tr>
        <w:trPr>
          <w:trHeight w:val="370"/>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Net Income (Loss) </w:t>
            </w:r>
            <w:r>
              <w:rPr>
                <w:rFonts w:ascii="Times New Roman" w:cs="Times New Roman" w:eastAsia="Times New Roman" w:hAnsi="Times New Roman"/>
                <w:sz w:val="16"/>
                <w:szCs w:val="16"/>
                <w:color w:val="auto"/>
              </w:rPr>
              <w:t>.....................................</w:t>
            </w: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(436)</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(40,576)</w:t>
            </w:r>
          </w:p>
        </w:tc>
      </w:tr>
      <w:tr>
        <w:trPr>
          <w:trHeight w:val="371"/>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Reconciliation of net loss</w:t>
            </w:r>
          </w:p>
        </w:tc>
        <w:tc>
          <w:tcPr>
            <w:tcW w:w="8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Reconciling items .......................................</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net loss ..................................</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2" w:lineRule="exact"/>
        <w:rPr>
          <w:sz w:val="20"/>
          <w:szCs w:val="20"/>
          <w:color w:val="auto"/>
        </w:rPr>
      </w:pPr>
    </w:p>
    <w:p>
      <w:pPr>
        <w:ind w:left="400" w:hanging="286"/>
        <w:spacing w:after="0"/>
        <w:tabs>
          <w:tab w:leader="none" w:pos="4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Licensing Revenue which is not considered a segment as it is currently immaterial</w:t>
      </w:r>
    </w:p>
    <w:p>
      <w:pPr>
        <w:spacing w:after="0" w:line="71" w:lineRule="exact"/>
        <w:rPr>
          <w:rFonts w:ascii="Times New Roman" w:cs="Times New Roman" w:eastAsia="Times New Roman" w:hAnsi="Times New Roman"/>
          <w:sz w:val="16"/>
          <w:szCs w:val="16"/>
          <w:color w:val="auto"/>
        </w:rPr>
      </w:pPr>
    </w:p>
    <w:p>
      <w:pPr>
        <w:ind w:left="400" w:hanging="286"/>
        <w:spacing w:after="0"/>
        <w:tabs>
          <w:tab w:leader="none" w:pos="4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expenses including employee costs related to new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6985</wp:posOffset>
                </wp:positionV>
                <wp:extent cx="83312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12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55pt" to="66pt,0.55pt" o:allowincell="f" strokecolor="#000000" strokeweight="0.9599pt"/>
            </w:pict>
          </mc:Fallback>
        </mc:AlternateContent>
      </w:r>
    </w:p>
    <w:p>
      <w:pPr>
        <w:spacing w:after="0" w:line="18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50,645</w:t>
      </w:r>
    </w:p>
    <w:p>
      <w:pPr>
        <w:spacing w:after="0" w:line="3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6350</wp:posOffset>
                </wp:positionV>
                <wp:extent cx="83312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12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5pt" to="66pt,0.5pt" o:allowincell="f" strokecolor="#000000" strokeweight="0.96pt"/>
            </w:pict>
          </mc:Fallback>
        </mc:AlternateContent>
      </w:r>
    </w:p>
    <w:p>
      <w:pPr>
        <w:spacing w:after="0" w:line="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50,645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8255</wp:posOffset>
                </wp:positionV>
                <wp:extent cx="83312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12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65pt" to="66pt,0.6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26670</wp:posOffset>
                </wp:positionV>
                <wp:extent cx="83312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12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1pt" to="66pt,2.1pt" o:allowincell="f" strokecolor="#000000" strokeweight="0.72pt"/>
            </w:pict>
          </mc:Fallback>
        </mc:AlternateContent>
      </w:r>
    </w:p>
    <w:p>
      <w:pPr>
        <w:spacing w:after="0" w:line="21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32,223</w:t>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3,291</w:t>
      </w:r>
    </w:p>
    <w:p>
      <w:pPr>
        <w:spacing w:after="0" w:line="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3,505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6985</wp:posOffset>
                </wp:positionV>
                <wp:extent cx="83312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12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55pt" to="66pt,0.55pt" o:allowincell="f" strokecolor="#000000" strokeweight="0.9599pt"/>
            </w:pict>
          </mc:Fallback>
        </mc:AlternateContent>
      </w:r>
    </w:p>
    <w:p>
      <w:pPr>
        <w:spacing w:after="0" w:line="18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39,019</w:t>
      </w:r>
    </w:p>
    <w:p>
      <w:pPr>
        <w:spacing w:after="0" w:line="18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11,626</w:t>
      </w:r>
    </w:p>
    <w:p>
      <w:pPr>
        <w:spacing w:after="0" w:line="37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5,451</w:t>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88</w:t>
      </w:r>
    </w:p>
    <w:p>
      <w:pPr>
        <w:spacing w:after="0" w:line="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556</w:t>
      </w:r>
    </w:p>
    <w:p>
      <w:pPr>
        <w:spacing w:after="0" w:line="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2,500</w:t>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18,749</w:t>
      </w:r>
    </w:p>
    <w:p>
      <w:pPr>
        <w:spacing w:after="0" w:line="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2,529</w:t>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211</w:t>
      </w:r>
    </w:p>
    <w:p>
      <w:pPr>
        <w:spacing w:after="0" w:line="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2,874</w:t>
      </w:r>
    </w:p>
    <w:p>
      <w:pPr>
        <w:spacing w:after="0" w:line="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2,401</w:t>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89</w:t>
      </w:r>
    </w:p>
    <w:p>
      <w:pPr>
        <w:spacing w:after="0" w:line="18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54</w:t>
      </w:r>
    </w:p>
    <w:p>
      <w:pPr>
        <w:spacing w:after="0" w:line="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292</w:t>
      </w:r>
    </w:p>
    <w:p>
      <w:pPr>
        <w:spacing w:after="0" w:line="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1,591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6350</wp:posOffset>
                </wp:positionV>
                <wp:extent cx="83312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12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5pt" to="66pt,0.5pt" o:allowincell="f" strokecolor="#000000" strokeweight="0.9599pt"/>
            </w:pict>
          </mc:Fallback>
        </mc:AlternateContent>
      </w:r>
    </w:p>
    <w:p>
      <w:pPr>
        <w:spacing w:after="0" w:line="18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37,385</w:t>
      </w:r>
    </w:p>
    <w:p>
      <w:pPr>
        <w:spacing w:after="0" w:line="18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(25,759)</w:t>
      </w:r>
    </w:p>
    <w:p>
      <w:pPr>
        <w:spacing w:after="0" w:line="1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(36)</w:t>
      </w:r>
    </w:p>
    <w:p>
      <w:pPr>
        <w:spacing w:after="0" w:line="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(21,504)</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6,684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6985</wp:posOffset>
                </wp:positionV>
                <wp:extent cx="83312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12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55pt" to="66pt,0.55pt" o:allowincell="f" strokecolor="#000000" strokeweight="0.9599pt"/>
            </w:pict>
          </mc:Fallback>
        </mc:AlternateContent>
      </w:r>
    </w:p>
    <w:p>
      <w:pPr>
        <w:spacing w:after="0" w:line="1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(14,856)</w:t>
      </w:r>
    </w:p>
    <w:p>
      <w:pPr>
        <w:spacing w:after="0" w:line="1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(40,615)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6985</wp:posOffset>
                </wp:positionV>
                <wp:extent cx="83312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12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55pt" to="66pt,0.55pt" o:allowincell="f" strokecolor="#000000" strokeweight="0.96pt"/>
            </w:pict>
          </mc:Fallback>
        </mc:AlternateConten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6985</wp:posOffset>
                </wp:positionV>
                <wp:extent cx="83312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12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55pt" to="66pt,0.55pt" o:allowincell="f" strokecolor="#000000" strokeweight="0.96pt"/>
            </w:pict>
          </mc:Fallback>
        </mc:AlternateContent>
      </w:r>
    </w:p>
    <w:p>
      <w:pPr>
        <w:spacing w:after="0" w:line="18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(40,615)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6350</wp:posOffset>
                </wp:positionV>
                <wp:extent cx="83312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12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5pt" to="66pt,0.5pt" o:allowincell="f" strokecolor="#000000" strokeweight="0.96pt"/>
            </w:pict>
          </mc:Fallback>
        </mc:AlternateContent>
      </w:r>
    </w:p>
    <w:p>
      <w:pPr>
        <w:spacing w:after="0" w:line="3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6985</wp:posOffset>
                </wp:positionV>
                <wp:extent cx="83312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12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55pt" to="66pt,0.55pt" o:allowincell="f" strokecolor="#000000" strokeweight="0.96pt"/>
            </w:pict>
          </mc:Fallback>
        </mc:AlternateContent>
      </w:r>
    </w:p>
    <w:p>
      <w:pPr>
        <w:spacing w:after="0" w:line="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(40,615)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27305</wp:posOffset>
                </wp:positionV>
                <wp:extent cx="84137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15pt" to="66pt,2.1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9525</wp:posOffset>
                </wp:positionV>
                <wp:extent cx="8413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0.75pt" to="66pt,0.75pt" o:allowincell="f" strokecolor="#000000" strokeweight="0.72pt"/>
            </w:pict>
          </mc:Fallback>
        </mc:AlternateContent>
      </w:r>
    </w:p>
    <w:p>
      <w:pPr>
        <w:spacing w:after="0" w:line="792" w:lineRule="exact"/>
        <w:rPr>
          <w:sz w:val="20"/>
          <w:szCs w:val="20"/>
          <w:color w:val="auto"/>
        </w:rPr>
      </w:pPr>
    </w:p>
    <w:p>
      <w:pPr>
        <w:sectPr>
          <w:pgSz w:w="12240" w:h="15840" w:orient="portrait"/>
          <w:cols w:equalWidth="0" w:num="3">
            <w:col w:w="7520" w:space="480"/>
            <w:col w:w="120" w:space="540"/>
            <w:col w:w="1420"/>
          </w:cols>
          <w:pgMar w:left="1080" w:top="1079" w:right="1080" w:bottom="157" w:gutter="0" w:footer="0" w:header="0"/>
          <w:type w:val="continuous"/>
        </w:sectPr>
      </w:pPr>
    </w:p>
    <w:p>
      <w:pPr>
        <w:ind w:left="120"/>
        <w:spacing w:after="0"/>
        <w:tabs>
          <w:tab w:leader="none" w:pos="380" w:val="left"/>
        </w:tabs>
        <w:rPr>
          <w:sz w:val="20"/>
          <w:szCs w:val="20"/>
          <w:color w:val="auto"/>
        </w:rPr>
      </w:pPr>
      <w:r>
        <w:rPr>
          <w:rFonts w:ascii="Times New Roman" w:cs="Times New Roman" w:eastAsia="Times New Roman" w:hAnsi="Times New Roman"/>
          <w:sz w:val="16"/>
          <w:szCs w:val="16"/>
          <w:color w:val="auto"/>
        </w:rPr>
        <w:t>(3)</w:t>
      </w:r>
      <w:r>
        <w:rPr>
          <w:sz w:val="20"/>
          <w:szCs w:val="20"/>
          <w:color w:val="auto"/>
        </w:rPr>
        <w:tab/>
      </w:r>
      <w:r>
        <w:rPr>
          <w:rFonts w:ascii="Times New Roman" w:cs="Times New Roman" w:eastAsia="Times New Roman" w:hAnsi="Times New Roman"/>
          <w:sz w:val="15"/>
          <w:szCs w:val="15"/>
          <w:color w:val="auto"/>
        </w:rPr>
        <w:t>Administrative and Engineering employee costs along with legal, insurance, professional fees related to administration and other general office expenses</w:t>
      </w:r>
    </w:p>
    <w:p>
      <w:pPr>
        <w:sectPr>
          <w:pgSz w:w="12240" w:h="15840" w:orient="portrait"/>
          <w:cols w:equalWidth="0" w:num="1">
            <w:col w:w="10080"/>
          </w:cols>
          <w:pgMar w:left="1080" w:top="1079" w:right="1080" w:bottom="15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10080"/>
          </w:cols>
          <w:pgMar w:left="1080" w:top="1079" w:right="1080" w:bottom="157"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REPORTABLE SEGMENTS (CONTINUED)</w:t>
      </w:r>
    </w:p>
    <w:p>
      <w:pPr>
        <w:spacing w:after="0" w:line="234" w:lineRule="exact"/>
        <w:rPr>
          <w:sz w:val="20"/>
          <w:szCs w:val="20"/>
          <w:color w:val="auto"/>
        </w:rPr>
      </w:pPr>
    </w:p>
    <w:p>
      <w:pPr>
        <w:ind w:left="400" w:hanging="286"/>
        <w:spacing w:after="0"/>
        <w:tabs>
          <w:tab w:leader="none" w:pos="4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sales and marketing employee cost and other marketing expenses</w:t>
      </w:r>
    </w:p>
    <w:p>
      <w:pPr>
        <w:spacing w:after="0" w:line="62" w:lineRule="exact"/>
        <w:rPr>
          <w:rFonts w:ascii="Times New Roman" w:cs="Times New Roman" w:eastAsia="Times New Roman" w:hAnsi="Times New Roman"/>
          <w:sz w:val="16"/>
          <w:szCs w:val="16"/>
          <w:color w:val="auto"/>
        </w:rPr>
      </w:pPr>
    </w:p>
    <w:p>
      <w:pPr>
        <w:ind w:left="400" w:hanging="286"/>
        <w:spacing w:after="0"/>
        <w:tabs>
          <w:tab w:leader="none" w:pos="4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settlement from patent licensing litigation</w:t>
      </w:r>
    </w:p>
    <w:p>
      <w:pPr>
        <w:spacing w:after="0" w:line="62" w:lineRule="exact"/>
        <w:rPr>
          <w:rFonts w:ascii="Times New Roman" w:cs="Times New Roman" w:eastAsia="Times New Roman" w:hAnsi="Times New Roman"/>
          <w:sz w:val="16"/>
          <w:szCs w:val="16"/>
          <w:color w:val="auto"/>
        </w:rPr>
      </w:pPr>
    </w:p>
    <w:p>
      <w:pPr>
        <w:ind w:left="400" w:hanging="286"/>
        <w:spacing w:after="0"/>
        <w:tabs>
          <w:tab w:leader="none" w:pos="4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related to debt and change in fair market value of warrant liability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significant customer revenues from the Company’s DTC segment for the year ended December 31, 2024.</w:t>
      </w:r>
    </w:p>
    <w:p>
      <w:pPr>
        <w:spacing w:after="0" w:line="24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Revenues from one customer of the Company’s OEM segment represents approximately $7,310, or 14%, of the Company’s consolidated revenues for the year ended December 31, 2024.</w:t>
      </w:r>
    </w:p>
    <w:p>
      <w:pPr>
        <w:sectPr>
          <w:pgSz w:w="12240" w:h="15840" w:orient="portrait"/>
          <w:cols w:equalWidth="0" w:num="1">
            <w:col w:w="10080"/>
          </w:cols>
          <w:pgMar w:left="1080" w:top="1079" w:right="1080" w:bottom="157" w:gutter="0" w:footer="0" w:header="0"/>
        </w:sect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reportable segments information as of December 31,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DTC</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OEM</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6"/>
                <w:szCs w:val="16"/>
                <w:color w:val="auto"/>
              </w:rPr>
            </w:pPr>
          </w:p>
        </w:tc>
      </w:tr>
      <w:tr>
        <w:trPr>
          <w:trHeight w:val="370"/>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Net Sales </w:t>
            </w:r>
            <w:r>
              <w:rPr>
                <w:rFonts w:ascii="Times New Roman" w:cs="Times New Roman" w:eastAsia="Times New Roman" w:hAnsi="Times New Roman"/>
                <w:sz w:val="16"/>
                <w:szCs w:val="16"/>
                <w:color w:val="auto"/>
              </w:rPr>
              <w:t>....................................................</w:t>
            </w: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36,875</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27,517</w:t>
            </w:r>
          </w:p>
        </w:tc>
        <w:tc>
          <w:tcPr>
            <w:tcW w:w="300" w:type="dxa"/>
            <w:vAlign w:val="bottom"/>
          </w:tcPr>
          <w:p>
            <w:pPr>
              <w:spacing w:after="0"/>
              <w:rPr>
                <w:sz w:val="24"/>
                <w:szCs w:val="24"/>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r>
      <w:tr>
        <w:trPr>
          <w:trHeight w:val="371"/>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Reconciliation of Net Sales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Reconciling items .......................................</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Net Sales ...............................</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 material ............................................</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 labor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 overhead and depreciation...............</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370"/>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Total Cost of Goods Sold </w:t>
            </w:r>
            <w:r>
              <w:rPr>
                <w:rFonts w:ascii="Times New Roman" w:cs="Times New Roman" w:eastAsia="Times New Roman" w:hAnsi="Times New Roman"/>
                <w:sz w:val="16"/>
                <w:szCs w:val="16"/>
                <w:color w:val="auto"/>
              </w:rPr>
              <w:t>....................</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23,675</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r>
      <w:tr>
        <w:trPr>
          <w:trHeight w:val="371"/>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Gross profit </w:t>
            </w:r>
            <w:r>
              <w:rPr>
                <w:rFonts w:ascii="Times New Roman" w:cs="Times New Roman" w:eastAsia="Times New Roman" w:hAnsi="Times New Roman"/>
                <w:sz w:val="16"/>
                <w:szCs w:val="16"/>
                <w:color w:val="auto"/>
              </w:rPr>
              <w:t>...............................................</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r>
      <w:tr>
        <w:trPr>
          <w:trHeight w:val="372"/>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&amp; development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tax adjustment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Credit card &amp; amazon transaction fees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general &amp; administrative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25,121</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Shipping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 stock compensation...</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 wages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Marketing spend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Rent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Unallocated sales and marketing stock</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compensation ..............................................</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Unallocated sales and marketing wages.....</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60" w:type="dxa"/>
            <w:vAlign w:val="bottom"/>
          </w:tcPr>
          <w:p>
            <w:pPr>
              <w:spacing w:after="0"/>
              <w:rPr>
                <w:sz w:val="16"/>
                <w:szCs w:val="16"/>
                <w:color w:val="auto"/>
              </w:rPr>
            </w:pP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sales &amp; marketing .............................</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60" w:type="dxa"/>
            <w:vAlign w:val="bottom"/>
          </w:tcPr>
          <w:p>
            <w:pPr>
              <w:spacing w:after="0"/>
              <w:rPr>
                <w:sz w:val="16"/>
                <w:szCs w:val="16"/>
                <w:color w:val="auto"/>
              </w:rPr>
            </w:pPr>
          </w:p>
        </w:tc>
      </w:tr>
      <w:tr>
        <w:trPr>
          <w:trHeight w:val="370"/>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Total Operating Expenses </w:t>
            </w:r>
            <w:r>
              <w:rPr>
                <w:rFonts w:ascii="Times New Roman" w:cs="Times New Roman" w:eastAsia="Times New Roman" w:hAnsi="Times New Roman"/>
                <w:sz w:val="16"/>
                <w:szCs w:val="16"/>
                <w:color w:val="auto"/>
              </w:rPr>
              <w:t>..................</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33,316</w:t>
            </w:r>
          </w:p>
        </w:tc>
        <w:tc>
          <w:tcPr>
            <w:tcW w:w="60" w:type="dxa"/>
            <w:vAlign w:val="bottom"/>
          </w:tcPr>
          <w:p>
            <w:pPr>
              <w:spacing w:after="0"/>
              <w:rPr>
                <w:sz w:val="24"/>
                <w:szCs w:val="24"/>
                <w:color w:val="auto"/>
              </w:rPr>
            </w:pPr>
          </w:p>
        </w:tc>
      </w:tr>
      <w:tr>
        <w:trPr>
          <w:trHeight w:val="371"/>
        </w:trPr>
        <w:tc>
          <w:tcPr>
            <w:tcW w:w="29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 xml:space="preserve">Loss from Operations </w:t>
            </w:r>
            <w:r>
              <w:rPr>
                <w:rFonts w:ascii="Times New Roman" w:cs="Times New Roman" w:eastAsia="Times New Roman" w:hAnsi="Times New Roman"/>
                <w:sz w:val="16"/>
                <w:szCs w:val="16"/>
                <w:color w:val="auto"/>
              </w:rPr>
              <w:t>...................</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(33,316)</w:t>
            </w:r>
          </w:p>
        </w:tc>
      </w:tr>
      <w:tr>
        <w:trPr>
          <w:trHeight w:val="372"/>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 .............................</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4"/>
                <w:szCs w:val="24"/>
                <w:color w:val="auto"/>
              </w:rPr>
            </w:pP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 ...................................</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(16,015)</w:t>
            </w:r>
          </w:p>
        </w:tc>
      </w:tr>
      <w:tr>
        <w:trPr>
          <w:trHeight w:val="18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FMV of warrant liability ...........</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29,582</w:t>
            </w:r>
          </w:p>
        </w:tc>
        <w:tc>
          <w:tcPr>
            <w:tcW w:w="60" w:type="dxa"/>
            <w:vAlign w:val="bottom"/>
          </w:tcPr>
          <w:p>
            <w:pPr>
              <w:spacing w:after="0"/>
              <w:rPr>
                <w:sz w:val="16"/>
                <w:szCs w:val="16"/>
                <w:color w:val="auto"/>
              </w:rPr>
            </w:pPr>
          </w:p>
        </w:tc>
      </w:tr>
      <w:tr>
        <w:trPr>
          <w:trHeight w:val="371"/>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Total Other Income (Expense) </w:t>
            </w:r>
            <w:r>
              <w:rPr>
                <w:rFonts w:ascii="Times New Roman" w:cs="Times New Roman" w:eastAsia="Times New Roman" w:hAnsi="Times New Roman"/>
                <w:sz w:val="16"/>
                <w:szCs w:val="16"/>
                <w:color w:val="auto"/>
              </w:rPr>
              <w:t>...........</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13,586</w:t>
            </w:r>
          </w:p>
        </w:tc>
        <w:tc>
          <w:tcPr>
            <w:tcW w:w="60" w:type="dxa"/>
            <w:vAlign w:val="bottom"/>
          </w:tcPr>
          <w:p>
            <w:pPr>
              <w:spacing w:after="0"/>
              <w:rPr>
                <w:sz w:val="24"/>
                <w:szCs w:val="24"/>
                <w:color w:val="auto"/>
              </w:rPr>
            </w:pPr>
          </w:p>
        </w:tc>
      </w:tr>
      <w:tr>
        <w:trPr>
          <w:trHeight w:val="371"/>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Net Loss before taxes </w:t>
            </w:r>
            <w:r>
              <w:rPr>
                <w:rFonts w:ascii="Times New Roman" w:cs="Times New Roman" w:eastAsia="Times New Roman" w:hAnsi="Times New Roman"/>
                <w:sz w:val="16"/>
                <w:szCs w:val="16"/>
                <w:color w:val="auto"/>
              </w:rPr>
              <w:t>................................</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(19,730)</w:t>
            </w:r>
          </w:p>
        </w:tc>
      </w:tr>
      <w:tr>
        <w:trPr>
          <w:trHeight w:val="20"/>
        </w:trPr>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Income Tax Benefit </w:t>
            </w:r>
            <w:r>
              <w:rPr>
                <w:rFonts w:ascii="Times New Roman" w:cs="Times New Roman" w:eastAsia="Times New Roman" w:hAnsi="Times New Roman"/>
                <w:sz w:val="16"/>
                <w:szCs w:val="16"/>
                <w:color w:val="auto"/>
              </w:rPr>
              <w:t>..................................</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Net Income (Loss) </w:t>
            </w:r>
            <w:r>
              <w:rPr>
                <w:rFonts w:ascii="Times New Roman" w:cs="Times New Roman" w:eastAsia="Times New Roman" w:hAnsi="Times New Roman"/>
                <w:sz w:val="16"/>
                <w:szCs w:val="16"/>
                <w:color w:val="auto"/>
              </w:rPr>
              <w:t>.....................................</w:t>
            </w: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6,087</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(19,704)</w:t>
            </w:r>
          </w:p>
        </w:tc>
      </w:tr>
      <w:tr>
        <w:trPr>
          <w:trHeight w:val="370"/>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Reconciliation of net loss</w:t>
            </w:r>
          </w:p>
        </w:tc>
        <w:tc>
          <w:tcPr>
            <w:tcW w:w="8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Reconciling items .......................................</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net loss ..................................</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70"/>
        </w:trPr>
        <w:tc>
          <w:tcPr>
            <w:tcW w:w="28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64,392</w:t>
            </w:r>
          </w:p>
        </w:tc>
        <w:tc>
          <w:tcPr>
            <w:tcW w:w="60" w:type="dxa"/>
            <w:vAlign w:val="bottom"/>
          </w:tcPr>
          <w:p>
            <w:pPr>
              <w:spacing w:after="0"/>
              <w:rPr>
                <w:sz w:val="24"/>
                <w:szCs w:val="24"/>
                <w:color w:val="auto"/>
              </w:rPr>
            </w:pPr>
          </w:p>
        </w:tc>
      </w:tr>
      <w:tr>
        <w:trPr>
          <w:trHeight w:val="558"/>
        </w:trPr>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r>
      <w:tr>
        <w:trPr>
          <w:trHeight w:val="187"/>
        </w:trPr>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64,392</w:t>
            </w:r>
          </w:p>
        </w:tc>
        <w:tc>
          <w:tcPr>
            <w:tcW w:w="60" w:type="dxa"/>
            <w:vAlign w:val="bottom"/>
          </w:tcPr>
          <w:p>
            <w:pPr>
              <w:spacing w:after="0"/>
              <w:rPr>
                <w:sz w:val="16"/>
                <w:szCs w:val="16"/>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41,347</w:t>
            </w:r>
          </w:p>
        </w:tc>
        <w:tc>
          <w:tcPr>
            <w:tcW w:w="6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60" w:type="dxa"/>
            <w:vAlign w:val="bottom"/>
          </w:tcPr>
          <w:p>
            <w:pPr>
              <w:spacing w:after="0"/>
              <w:rPr>
                <w:sz w:val="16"/>
                <w:szCs w:val="16"/>
                <w:color w:val="auto"/>
              </w:rPr>
            </w:pPr>
          </w:p>
        </w:tc>
      </w:tr>
      <w:tr>
        <w:trPr>
          <w:trHeight w:val="186"/>
        </w:trPr>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3,675</w:t>
            </w:r>
          </w:p>
        </w:tc>
        <w:tc>
          <w:tcPr>
            <w:tcW w:w="60" w:type="dxa"/>
            <w:vAlign w:val="bottom"/>
          </w:tcPr>
          <w:p>
            <w:pPr>
              <w:spacing w:after="0"/>
              <w:rPr>
                <w:sz w:val="16"/>
                <w:szCs w:val="16"/>
                <w:color w:val="auto"/>
              </w:rPr>
            </w:pPr>
          </w:p>
        </w:tc>
      </w:tr>
      <w:tr>
        <w:trPr>
          <w:trHeight w:val="370"/>
        </w:trPr>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48,946</w:t>
            </w:r>
          </w:p>
        </w:tc>
        <w:tc>
          <w:tcPr>
            <w:tcW w:w="60" w:type="dxa"/>
            <w:vAlign w:val="bottom"/>
          </w:tcPr>
          <w:p>
            <w:pPr>
              <w:spacing w:after="0"/>
              <w:rPr>
                <w:sz w:val="24"/>
                <w:szCs w:val="24"/>
                <w:color w:val="auto"/>
              </w:rPr>
            </w:pPr>
          </w:p>
        </w:tc>
      </w:tr>
      <w:tr>
        <w:trPr>
          <w:trHeight w:val="371"/>
        </w:trPr>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15,446</w:t>
            </w:r>
          </w:p>
        </w:tc>
        <w:tc>
          <w:tcPr>
            <w:tcW w:w="60" w:type="dxa"/>
            <w:vAlign w:val="bottom"/>
          </w:tcPr>
          <w:p>
            <w:pPr>
              <w:spacing w:after="0"/>
              <w:rPr>
                <w:sz w:val="24"/>
                <w:szCs w:val="24"/>
                <w:color w:val="auto"/>
              </w:rPr>
            </w:pPr>
          </w:p>
        </w:tc>
      </w:tr>
      <w:tr>
        <w:trPr>
          <w:trHeight w:val="557"/>
        </w:trPr>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6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6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25,121</w:t>
            </w:r>
          </w:p>
        </w:tc>
        <w:tc>
          <w:tcPr>
            <w:tcW w:w="6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6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6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Pr>
          <w:p>
            <w:pPr>
              <w:spacing w:after="0"/>
              <w:rPr>
                <w:sz w:val="16"/>
                <w:szCs w:val="16"/>
                <w:color w:val="auto"/>
              </w:rPr>
            </w:pPr>
          </w:p>
        </w:tc>
      </w:tr>
      <w:tr>
        <w:trPr>
          <w:trHeight w:val="371"/>
        </w:trPr>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6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60" w:type="dxa"/>
            <w:vAlign w:val="bottom"/>
          </w:tcPr>
          <w:p>
            <w:pPr>
              <w:spacing w:after="0"/>
              <w:rPr>
                <w:sz w:val="16"/>
                <w:szCs w:val="16"/>
                <w:color w:val="auto"/>
              </w:rPr>
            </w:pPr>
          </w:p>
        </w:tc>
      </w:tr>
      <w:tr>
        <w:trPr>
          <w:trHeight w:val="186"/>
        </w:trPr>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60" w:type="dxa"/>
            <w:vAlign w:val="bottom"/>
          </w:tcPr>
          <w:p>
            <w:pPr>
              <w:spacing w:after="0"/>
              <w:rPr>
                <w:sz w:val="16"/>
                <w:szCs w:val="16"/>
                <w:color w:val="auto"/>
              </w:rPr>
            </w:pPr>
          </w:p>
        </w:tc>
      </w:tr>
      <w:tr>
        <w:trPr>
          <w:trHeight w:val="370"/>
        </w:trPr>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42,875</w:t>
            </w:r>
          </w:p>
        </w:tc>
        <w:tc>
          <w:tcPr>
            <w:tcW w:w="60" w:type="dxa"/>
            <w:vAlign w:val="bottom"/>
          </w:tcPr>
          <w:p>
            <w:pPr>
              <w:spacing w:after="0"/>
              <w:rPr>
                <w:sz w:val="24"/>
                <w:szCs w:val="24"/>
                <w:color w:val="auto"/>
              </w:rPr>
            </w:pPr>
          </w:p>
        </w:tc>
      </w:tr>
      <w:tr>
        <w:trPr>
          <w:trHeight w:val="371"/>
        </w:trPr>
        <w:tc>
          <w:tcPr>
            <w:tcW w:w="2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(27,429)</w:t>
            </w:r>
          </w:p>
        </w:tc>
      </w:tr>
      <w:tr>
        <w:trPr>
          <w:trHeight w:val="372"/>
        </w:trPr>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4"/>
                <w:szCs w:val="24"/>
                <w:color w:val="auto"/>
              </w:rPr>
            </w:pPr>
          </w:p>
        </w:tc>
      </w:tr>
      <w:tr>
        <w:trPr>
          <w:trHeight w:val="185"/>
        </w:trPr>
        <w:tc>
          <w:tcPr>
            <w:tcW w:w="2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(16,015)</w:t>
            </w:r>
          </w:p>
        </w:tc>
      </w:tr>
      <w:tr>
        <w:trPr>
          <w:trHeight w:val="186"/>
        </w:trPr>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29,582</w:t>
            </w:r>
          </w:p>
        </w:tc>
        <w:tc>
          <w:tcPr>
            <w:tcW w:w="60" w:type="dxa"/>
            <w:vAlign w:val="bottom"/>
          </w:tcPr>
          <w:p>
            <w:pPr>
              <w:spacing w:after="0"/>
              <w:rPr>
                <w:sz w:val="16"/>
                <w:szCs w:val="16"/>
                <w:color w:val="auto"/>
              </w:rPr>
            </w:pPr>
          </w:p>
        </w:tc>
      </w:tr>
      <w:tr>
        <w:trPr>
          <w:trHeight w:val="371"/>
        </w:trPr>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13,586</w:t>
            </w:r>
          </w:p>
        </w:tc>
        <w:tc>
          <w:tcPr>
            <w:tcW w:w="60" w:type="dxa"/>
            <w:vAlign w:val="bottom"/>
          </w:tcPr>
          <w:p>
            <w:pPr>
              <w:spacing w:after="0"/>
              <w:rPr>
                <w:sz w:val="24"/>
                <w:szCs w:val="24"/>
                <w:color w:val="auto"/>
              </w:rPr>
            </w:pPr>
          </w:p>
        </w:tc>
      </w:tr>
      <w:tr>
        <w:trPr>
          <w:trHeight w:val="371"/>
        </w:trPr>
        <w:tc>
          <w:tcPr>
            <w:tcW w:w="2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(13,843)</w:t>
            </w:r>
          </w:p>
        </w:tc>
      </w:tr>
      <w:tr>
        <w:trPr>
          <w:trHeight w:val="20"/>
        </w:trPr>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(13,817)</w:t>
            </w:r>
          </w:p>
        </w:tc>
      </w:tr>
      <w:tr>
        <w:trPr>
          <w:trHeight w:val="557"/>
        </w:trPr>
        <w:tc>
          <w:tcPr>
            <w:tcW w:w="2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r>
      <w:tr>
        <w:trPr>
          <w:trHeight w:val="189"/>
        </w:trPr>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(13,817)</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3">
            <w:col w:w="7520" w:space="480"/>
            <w:col w:w="120" w:space="540"/>
            <w:col w:w="1420"/>
          </w:cols>
          <w:pgMar w:left="1080" w:top="1079" w:right="1080" w:bottom="157" w:gutter="0" w:footer="0" w:header="0"/>
          <w:type w:val="continuous"/>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10080"/>
          </w:cols>
          <w:pgMar w:left="1080" w:top="1079" w:right="1080" w:bottom="157"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REPORTABLE SEGMENTS (CONTINUED)</w:t>
      </w:r>
    </w:p>
    <w:p>
      <w:pPr>
        <w:spacing w:after="0" w:line="234" w:lineRule="exact"/>
        <w:rPr>
          <w:sz w:val="20"/>
          <w:szCs w:val="20"/>
          <w:color w:val="auto"/>
        </w:rPr>
      </w:pPr>
    </w:p>
    <w:p>
      <w:pPr>
        <w:ind w:left="400" w:hanging="286"/>
        <w:spacing w:after="0"/>
        <w:tabs>
          <w:tab w:leader="none" w:pos="4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expenses including employee costs related to new products</w:t>
      </w:r>
    </w:p>
    <w:p>
      <w:pPr>
        <w:spacing w:after="0" w:line="70" w:lineRule="exact"/>
        <w:rPr>
          <w:rFonts w:ascii="Times New Roman" w:cs="Times New Roman" w:eastAsia="Times New Roman" w:hAnsi="Times New Roman"/>
          <w:sz w:val="16"/>
          <w:szCs w:val="16"/>
          <w:color w:val="auto"/>
        </w:rPr>
      </w:pPr>
    </w:p>
    <w:p>
      <w:pPr>
        <w:ind w:left="400" w:hanging="286"/>
        <w:spacing w:after="0"/>
        <w:tabs>
          <w:tab w:leader="none" w:pos="4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Administrative and Engineering employee costs along with legal, insurance, professional fees related to administration and other general office expenses</w:t>
      </w:r>
    </w:p>
    <w:p>
      <w:pPr>
        <w:spacing w:after="0" w:line="65" w:lineRule="exact"/>
        <w:rPr>
          <w:rFonts w:ascii="Times New Roman" w:cs="Times New Roman" w:eastAsia="Times New Roman" w:hAnsi="Times New Roman"/>
          <w:sz w:val="15"/>
          <w:szCs w:val="15"/>
          <w:color w:val="auto"/>
        </w:rPr>
      </w:pPr>
    </w:p>
    <w:p>
      <w:pPr>
        <w:ind w:left="400" w:hanging="286"/>
        <w:spacing w:after="0"/>
        <w:tabs>
          <w:tab w:leader="none" w:pos="4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sales and marketing employee cost and other marketing expenses</w:t>
      </w:r>
    </w:p>
    <w:p>
      <w:pPr>
        <w:spacing w:after="0" w:line="60" w:lineRule="exact"/>
        <w:rPr>
          <w:rFonts w:ascii="Times New Roman" w:cs="Times New Roman" w:eastAsia="Times New Roman" w:hAnsi="Times New Roman"/>
          <w:sz w:val="16"/>
          <w:szCs w:val="16"/>
          <w:color w:val="auto"/>
        </w:rPr>
      </w:pPr>
    </w:p>
    <w:p>
      <w:pPr>
        <w:ind w:left="400" w:hanging="286"/>
        <w:spacing w:after="0"/>
        <w:tabs>
          <w:tab w:leader="none" w:pos="4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related to debt and change in fair market value of warrant liability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significant customer revenues from the Company’s DTC segment for the year ended December 31, 2023.</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Revenues from one customer of the Company’s OEM segment represents approximately $10,285, or 16%, of the Company’s consolidated revenues for the year ended December 31, 2023.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 SUBSEQUENT EVENTS</w:t>
      </w:r>
    </w:p>
    <w:p>
      <w:pPr>
        <w:spacing w:after="0" w:line="244"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February 1, 2025, the Company appointed Dr. Vickram Singh, the Company’s former Senior Vice President of Technology, as its Chief Operating Officer pursuant to an employment agreement, dated February 1, 2025 (the “Employment Agreement”). Dr. Singh’s employment as the Company’s Chief Operating Officer commenced on February 4, 2025. The Employment Agreement provides for a three-year initial employment term, with automatic three-year renewal terms thereafter, subject to 90 days’ notice of nonrenewal by either party. The Employment Agreement also provides for an initial annual base salary of $350,000 (the “Base Salary”) and a discretionary annual bonus of up to 65% of the Base Salary.</w:t>
      </w:r>
    </w:p>
    <w:p>
      <w:pPr>
        <w:spacing w:after="0" w:line="249"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On February 2025, the Company entered into a Securities Purchase agreement (“Purchase Agreement”). The Purchase Agreement calls for the Company to authorize a new series of convertible preferred stock of the Company designated as the Series A Convertible Preferred Stock, which shall be convertible into shares of the Company’s common stock, and sell to each Buyer an aggregate number of shares of Series A Preferred Stock and 20 warrants, to each buyer, that are convertible to common stock.</w:t>
      </w:r>
    </w:p>
    <w:p>
      <w:pPr>
        <w:spacing w:after="0" w:line="246" w:lineRule="exact"/>
        <w:rPr>
          <w:sz w:val="20"/>
          <w:szCs w:val="20"/>
          <w:color w:val="auto"/>
        </w:rPr>
      </w:pPr>
    </w:p>
    <w:p>
      <w:pPr>
        <w:jc w:val="both"/>
        <w:ind w:hanging="9"/>
        <w:spacing w:after="0" w:line="239" w:lineRule="auto"/>
        <w:rPr>
          <w:sz w:val="20"/>
          <w:szCs w:val="20"/>
          <w:color w:val="auto"/>
        </w:rPr>
      </w:pPr>
      <w:r>
        <w:rPr>
          <w:rFonts w:ascii="Times New Roman" w:cs="Times New Roman" w:eastAsia="Times New Roman" w:hAnsi="Times New Roman"/>
          <w:sz w:val="20"/>
          <w:szCs w:val="20"/>
          <w:color w:val="auto"/>
        </w:rPr>
        <w:t>Total expected proceeds amount to $8,000 which the Company will use for working capital, general corporate purposes and mandatory payments on the Term Loan if more than $8,000 is raised. In addition, investors received warrants to purchase up to 4,000 shares of Series A preferred stock at $10,000 per share, potentially providing up to $40 million in future capital. We received $3,500 less $300 in costs on February 27, 2025 and expect to receive the remaining $4,500, minus costs, in early May 2025.</w:t>
      </w:r>
    </w:p>
    <w:p>
      <w:pPr>
        <w:spacing w:after="0" w:line="247" w:lineRule="exact"/>
        <w:rPr>
          <w:sz w:val="20"/>
          <w:szCs w:val="20"/>
          <w:color w:val="auto"/>
        </w:rPr>
      </w:pPr>
    </w:p>
    <w:p>
      <w:pPr>
        <w:jc w:val="both"/>
        <w:ind w:hanging="9"/>
        <w:spacing w:after="0" w:line="238" w:lineRule="auto"/>
        <w:rPr>
          <w:sz w:val="20"/>
          <w:szCs w:val="20"/>
          <w:color w:val="auto"/>
        </w:rPr>
      </w:pPr>
      <w:r>
        <w:rPr>
          <w:rFonts w:ascii="Times New Roman" w:cs="Times New Roman" w:eastAsia="Times New Roman" w:hAnsi="Times New Roman"/>
          <w:sz w:val="20"/>
          <w:szCs w:val="20"/>
          <w:color w:val="auto"/>
        </w:rPr>
        <w:t>In addition to the Purchase Agreement, the Term Loan was amended to (i) extend the maturity date by one (1) year to October 2027, (ii) defer all principal and interest payments to April 2026 and (iii) remove any applicable financial covenants (except for a financial covenant requiring the Company to maintain cash and cash equivalents equal to or greater than $2,500) for the next one and a half years.</w:t>
      </w:r>
    </w:p>
    <w:p>
      <w:pPr>
        <w:spacing w:after="0" w:line="247"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In March 2025, the Company entered into a settlement agreement with a third party regarding a patent licensing dispute. Under the terms of the settlement, the Company agreed to pay $2,500 to resolve the matter. As a result of the settlement, the Company has recorded a liability of $2,500 on the balance sheet as of December 31, 2024</w:t>
      </w:r>
    </w:p>
    <w:p>
      <w:pPr>
        <w:spacing w:after="0" w:line="246" w:lineRule="exact"/>
        <w:rPr>
          <w:sz w:val="20"/>
          <w:szCs w:val="20"/>
          <w:color w:val="auto"/>
        </w:rPr>
      </w:pPr>
    </w:p>
    <w:p>
      <w:pPr>
        <w:jc w:val="both"/>
        <w:ind w:hanging="9"/>
        <w:spacing w:after="0" w:line="237" w:lineRule="auto"/>
        <w:rPr>
          <w:sz w:val="20"/>
          <w:szCs w:val="20"/>
          <w:color w:val="auto"/>
        </w:rPr>
      </w:pPr>
      <w:r>
        <w:rPr>
          <w:rFonts w:ascii="Times New Roman" w:cs="Times New Roman" w:eastAsia="Times New Roman" w:hAnsi="Times New Roman"/>
          <w:sz w:val="20"/>
          <w:szCs w:val="20"/>
          <w:color w:val="auto"/>
        </w:rPr>
        <w:t>In March 2025, the Company sold certain machinery and equipment assets to a third party at a price below their carrying value. As a result of the sale, the Company recognized an impairment loss of $873 on consolidated statement of operations and reclassified the remaining fair value of $644 as Assets Held for Sale on the balance sheet as of December 31, 2024.</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F-40</w:t>
      </w:r>
    </w:p>
    <w:p>
      <w:pPr>
        <w:sectPr>
          <w:pgSz w:w="12240" w:h="15840" w:orient="portrait"/>
          <w:cols w:equalWidth="0" w:num="1">
            <w:col w:w="10080"/>
          </w:cols>
          <w:pgMar w:left="1080" w:top="1079" w:right="1080" w:bottom="157" w:gutter="0" w:footer="0" w:header="0"/>
          <w:type w:val="continuous"/>
        </w:sectPr>
      </w:pPr>
    </w:p>
    <w:bookmarkStart w:id="127" w:name="page128"/>
    <w:bookmarkEnd w:id="127"/>
    <w:p>
      <w:pPr>
        <w:ind w:left="9040"/>
        <w:spacing w:after="0"/>
        <w:rPr>
          <w:sz w:val="20"/>
          <w:szCs w:val="20"/>
          <w:color w:val="auto"/>
        </w:rPr>
      </w:pPr>
      <w:r>
        <w:rPr>
          <w:rFonts w:ascii="Times New Roman" w:cs="Times New Roman" w:eastAsia="Times New Roman" w:hAnsi="Times New Roman"/>
          <w:sz w:val="20"/>
          <w:szCs w:val="20"/>
          <w:b w:val="1"/>
          <w:bCs w:val="1"/>
          <w:color w:val="auto"/>
        </w:rPr>
        <w:t>Exhibit 4.18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SECURITIES</w:t>
      </w:r>
    </w:p>
    <w:p>
      <w:pPr>
        <w:spacing w:after="0" w:line="24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i w:val="1"/>
          <w:iCs w:val="1"/>
          <w:color w:val="auto"/>
        </w:rPr>
        <w:t>The following description summarizes the most important terms of our capital stock. It is subject to and qualified in its entirety by reference to our articles of incorporation (“</w:t>
      </w:r>
      <w:r>
        <w:rPr>
          <w:rFonts w:ascii="Times New Roman" w:cs="Times New Roman" w:eastAsia="Times New Roman" w:hAnsi="Times New Roman"/>
          <w:sz w:val="19"/>
          <w:szCs w:val="19"/>
          <w:b w:val="1"/>
          <w:bCs w:val="1"/>
          <w:i w:val="1"/>
          <w:iCs w:val="1"/>
          <w:color w:val="auto"/>
        </w:rPr>
        <w:t>Charter</w:t>
      </w:r>
      <w:r>
        <w:rPr>
          <w:rFonts w:ascii="Times New Roman" w:cs="Times New Roman" w:eastAsia="Times New Roman" w:hAnsi="Times New Roman"/>
          <w:sz w:val="19"/>
          <w:szCs w:val="19"/>
          <w:i w:val="1"/>
          <w:iCs w:val="1"/>
          <w:color w:val="auto"/>
        </w:rPr>
        <w:t>”), Certificate of Designation of Rights and Preferences of Series A Convertible Preferred Stock (the “</w:t>
      </w:r>
      <w:r>
        <w:rPr>
          <w:rFonts w:ascii="Times New Roman" w:cs="Times New Roman" w:eastAsia="Times New Roman" w:hAnsi="Times New Roman"/>
          <w:sz w:val="19"/>
          <w:szCs w:val="19"/>
          <w:b w:val="1"/>
          <w:bCs w:val="1"/>
          <w:i w:val="1"/>
          <w:iCs w:val="1"/>
          <w:color w:val="auto"/>
        </w:rPr>
        <w:t>Certificate of Designation</w:t>
      </w:r>
      <w:r>
        <w:rPr>
          <w:rFonts w:ascii="Times New Roman" w:cs="Times New Roman" w:eastAsia="Times New Roman" w:hAnsi="Times New Roman"/>
          <w:sz w:val="19"/>
          <w:szCs w:val="19"/>
          <w:i w:val="1"/>
          <w:iCs w:val="1"/>
          <w:color w:val="auto"/>
        </w:rPr>
        <w:t>”) and bylaws (“</w:t>
      </w:r>
      <w:r>
        <w:rPr>
          <w:rFonts w:ascii="Times New Roman" w:cs="Times New Roman" w:eastAsia="Times New Roman" w:hAnsi="Times New Roman"/>
          <w:sz w:val="19"/>
          <w:szCs w:val="19"/>
          <w:b w:val="1"/>
          <w:bCs w:val="1"/>
          <w:i w:val="1"/>
          <w:iCs w:val="1"/>
          <w:color w:val="auto"/>
        </w:rPr>
        <w:t>Bylaws</w:t>
      </w:r>
      <w:r>
        <w:rPr>
          <w:rFonts w:ascii="Times New Roman" w:cs="Times New Roman" w:eastAsia="Times New Roman" w:hAnsi="Times New Roman"/>
          <w:sz w:val="19"/>
          <w:szCs w:val="19"/>
          <w:i w:val="1"/>
          <w:iCs w:val="1"/>
          <w:color w:val="auto"/>
        </w:rPr>
        <w:t>”), which are included as exhibits to our annual report, of which this exhibit is a part. We encourage you to read our Charter, our Certificate of Designation, our Bylaws and the applicable provisions of the Nevada Revised Statutes (the “</w:t>
      </w:r>
      <w:r>
        <w:rPr>
          <w:rFonts w:ascii="Times New Roman" w:cs="Times New Roman" w:eastAsia="Times New Roman" w:hAnsi="Times New Roman"/>
          <w:sz w:val="19"/>
          <w:szCs w:val="19"/>
          <w:b w:val="1"/>
          <w:bCs w:val="1"/>
          <w:i w:val="1"/>
          <w:iCs w:val="1"/>
          <w:color w:val="auto"/>
        </w:rPr>
        <w:t>NRS</w:t>
      </w:r>
      <w:r>
        <w:rPr>
          <w:rFonts w:ascii="Times New Roman" w:cs="Times New Roman" w:eastAsia="Times New Roman" w:hAnsi="Times New Roman"/>
          <w:sz w:val="19"/>
          <w:szCs w:val="19"/>
          <w:i w:val="1"/>
          <w:iCs w:val="1"/>
          <w:color w:val="auto"/>
        </w:rPr>
        <w:t>”),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Capitalization</w:t>
      </w:r>
    </w:p>
    <w:p>
      <w:pPr>
        <w:spacing w:after="0" w:line="24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9"/>
          <w:szCs w:val="19"/>
          <w:color w:val="auto"/>
        </w:rPr>
        <w:t>We have 255,000,000 shares of capital stock authorized under our Charter, which consists of 250,000,000 shares of common stock with a par value of $0.0001 per share and 5,000,000 shares of preferred stock with par value $0.0001 per share.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23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Our board of directors has the authority, without further action by our stockholders, to issue up to 5,000,000 shares of preferred stock in one or more series and to fix the designations, rights, preferences, privileges and restrictions thereof, without further vote or action by the stockholders. These rights, preferences and privileges could include dividend rights, conversion rights, voting rights, redemption, liquidation preferences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Series A Preferred Stock</w:t>
      </w:r>
    </w:p>
    <w:p>
      <w:pPr>
        <w:spacing w:after="0" w:line="24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Of the 5,000,000 authorized shares of preferred stock under the Charter, our board of directors has designated 5,000 shares as Series A Preferred Stock pursuant to the Certificate of Designation. The Certificate of Designation provides the following with respect to the rights, powers, preferences and privileges of our Series A Preferred Stock.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43"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Each share of Series A Preferred Stock has a stated value of $10,000 per share (the “</w:t>
      </w:r>
      <w:r>
        <w:rPr>
          <w:rFonts w:ascii="Times New Roman" w:cs="Times New Roman" w:eastAsia="Times New Roman" w:hAnsi="Times New Roman"/>
          <w:sz w:val="20"/>
          <w:szCs w:val="20"/>
          <w:b w:val="1"/>
          <w:bCs w:val="1"/>
          <w:color w:val="auto"/>
        </w:rPr>
        <w:t>Series A Stated Value</w:t>
      </w:r>
      <w:r>
        <w:rPr>
          <w:rFonts w:ascii="Times New Roman" w:cs="Times New Roman" w:eastAsia="Times New Roman" w:hAnsi="Times New Roman"/>
          <w:sz w:val="20"/>
          <w:szCs w:val="20"/>
          <w:color w:val="auto"/>
        </w:rPr>
        <w:t>”) and, when issued, the Series A Preferred Stock will be fully paid and non-assessable.</w:t>
      </w:r>
    </w:p>
    <w:p>
      <w:pPr>
        <w:sectPr>
          <w:pgSz w:w="12240" w:h="15840" w:orient="portrait"/>
          <w:cols w:equalWidth="0" w:num="1">
            <w:col w:w="10080"/>
          </w:cols>
          <w:pgMar w:left="1080" w:top="1079" w:right="108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i w:val="1"/>
          <w:iCs w:val="1"/>
          <w:color w:val="auto"/>
        </w:rPr>
        <w:t>Ranking</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Series A Preferred Stock, with respect to the payment of dividends, distributions and payments upon the liquidation, dissolution and winding up of our Company, ranks senior to all of our capital stock, unless the Required Holder (as defined in the Certificate of Designation) consents to our creation of other capital stock that is senior or equal in rank to the Series A Preferred Stock.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The holders of Series A Preferred Stock will be entitled to receive dividends, commencing from the date of issuance of the Series A Preferred Stock, payable in cash and/or shares of Series A Preferred Stock at our election. Unless we notify the holders otherwise, such dividends will be paid in kind by increasing the amount of the Series A Stated Value for the applicable shares of Series A Preferred Stock on each dividend date by the applicable dividend amount. Such dividends are payable quarterly in arrears on the first trading day of each fiscal quarter commencing on the first trading day of the initial fiscal quarter after the date of issuance, at the dividend rate of 8% per year (the “</w:t>
      </w:r>
      <w:r>
        <w:rPr>
          <w:rFonts w:ascii="Times New Roman" w:cs="Times New Roman" w:eastAsia="Times New Roman" w:hAnsi="Times New Roman"/>
          <w:sz w:val="19"/>
          <w:szCs w:val="19"/>
          <w:b w:val="1"/>
          <w:bCs w:val="1"/>
          <w:color w:val="auto"/>
        </w:rPr>
        <w:t>Dividend Rate</w:t>
      </w:r>
      <w:r>
        <w:rPr>
          <w:rFonts w:ascii="Times New Roman" w:cs="Times New Roman" w:eastAsia="Times New Roman" w:hAnsi="Times New Roman"/>
          <w:sz w:val="19"/>
          <w:szCs w:val="19"/>
          <w:color w:val="auto"/>
        </w:rPr>
        <w:t>”). Upon the occurrence and continuation of a Triggering Event (as defined in the Certificate of Designation), the Dividend Rate will increase to the lesser of 18% per year or the maximum rate permitted under applicable law until such Triggering Event has been cured or has ceased.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 at Option of Holder</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At any time from and after the first date of issuance of any shares of Series A Preferred Stock, subject to the Beneficial Ownership Limitation (as defined below) and the Issuable Maximum (as defined below), each holder of Series A Preferred Stock may convert all, or any part, of the outstanding Series A Preferred Stock, at such holder’s option, into common stock at a conversion rate equal to the quotient of (i) the Conversion Amount (as defined below), divided by (ii) the Conversion Price (as defined below), subject to the Floor Price (as defined below).</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Voluntary Adjustment Right</w:t>
      </w:r>
    </w:p>
    <w:p>
      <w:pPr>
        <w:spacing w:after="0" w:line="24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Subject to the rules and regulations of Nasdaq, we have the right, at any time, with the written consent of the Required Holder, to lower the fixed conversion price to any amount and for any period of time deemed appropriate by our board of directors.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Alternate Conversion at the Holder’s Election</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At the holder’s option, at any time, the holder may convert (an “</w:t>
      </w:r>
      <w:r>
        <w:rPr>
          <w:rFonts w:ascii="Times New Roman" w:cs="Times New Roman" w:eastAsia="Times New Roman" w:hAnsi="Times New Roman"/>
          <w:sz w:val="20"/>
          <w:szCs w:val="20"/>
          <w:b w:val="1"/>
          <w:bCs w:val="1"/>
          <w:color w:val="auto"/>
        </w:rPr>
        <w:t>Alternate Conversion</w:t>
      </w:r>
      <w:r>
        <w:rPr>
          <w:rFonts w:ascii="Times New Roman" w:cs="Times New Roman" w:eastAsia="Times New Roman" w:hAnsi="Times New Roman"/>
          <w:sz w:val="20"/>
          <w:szCs w:val="20"/>
          <w:color w:val="auto"/>
        </w:rPr>
        <w:t>”) some or all of such holder’s Series A Preferred Stock, at a conversion price equal to the lower of (i) the applicable Conversion Price as in effect on the date of such Alternate Conversion, and (ii) the greater of (x) the Floor Price and (y) 90% of the lowest VWAP (as defined in the Certificate of Designation) of the common stock during the ten (10) consecutive trading day period ending and including the trading day immediately preceding the delivery or deemed delivery of the applicable conversion notice as set forth in the Certificate of Designation (the “</w:t>
      </w:r>
      <w:r>
        <w:rPr>
          <w:rFonts w:ascii="Times New Roman" w:cs="Times New Roman" w:eastAsia="Times New Roman" w:hAnsi="Times New Roman"/>
          <w:sz w:val="20"/>
          <w:szCs w:val="20"/>
          <w:b w:val="1"/>
          <w:bCs w:val="1"/>
          <w:color w:val="auto"/>
        </w:rPr>
        <w:t>Alternate Conversion Price</w:t>
      </w:r>
      <w:r>
        <w:rPr>
          <w:rFonts w:ascii="Times New Roman" w:cs="Times New Roman" w:eastAsia="Times New Roman" w:hAnsi="Times New Roman"/>
          <w:sz w:val="20"/>
          <w:szCs w:val="20"/>
          <w:color w:val="auto"/>
        </w:rPr>
        <w:t>”).</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With respect to each share of Series A Preferred Stock, as of the applicable date of determination, the “Conversion Amount” is equal to the sum of (1) 120% of (i) the Series A Stated Value plus (ii) all declared and unpaid dividends on such shares as of such date of determination plus (2) any other amounts thereon owed to such holder, pursuant to this Certificate of Designations or any other Transaction Document (as defined in the Certificate of Designation) that have not otherwise been paid or satisfied.</w:t>
      </w:r>
    </w:p>
    <w:p>
      <w:pPr>
        <w:spacing w:after="0" w:line="24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The “Conversion Price” is equal to: (i) with respect to the shares of Series A Preferred Stock issued in the registered director offering (the “</w:t>
      </w:r>
      <w:r>
        <w:rPr>
          <w:rFonts w:ascii="Times New Roman" w:cs="Times New Roman" w:eastAsia="Times New Roman" w:hAnsi="Times New Roman"/>
          <w:sz w:val="19"/>
          <w:szCs w:val="19"/>
          <w:b w:val="1"/>
          <w:bCs w:val="1"/>
          <w:color w:val="auto"/>
        </w:rPr>
        <w:t>Registered Direct Offering</w:t>
      </w:r>
      <w:r>
        <w:rPr>
          <w:rFonts w:ascii="Times New Roman" w:cs="Times New Roman" w:eastAsia="Times New Roman" w:hAnsi="Times New Roman"/>
          <w:sz w:val="19"/>
          <w:szCs w:val="19"/>
          <w:color w:val="auto"/>
        </w:rPr>
        <w:t>”) and at the initial closing of the concurrent private placement (the “</w:t>
      </w:r>
      <w:r>
        <w:rPr>
          <w:rFonts w:ascii="Times New Roman" w:cs="Times New Roman" w:eastAsia="Times New Roman" w:hAnsi="Times New Roman"/>
          <w:sz w:val="19"/>
          <w:szCs w:val="19"/>
          <w:b w:val="1"/>
          <w:bCs w:val="1"/>
          <w:color w:val="auto"/>
        </w:rPr>
        <w:t>Private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Placement</w:t>
      </w:r>
      <w:r>
        <w:rPr>
          <w:rFonts w:ascii="Times New Roman" w:cs="Times New Roman" w:eastAsia="Times New Roman" w:hAnsi="Times New Roman"/>
          <w:sz w:val="19"/>
          <w:szCs w:val="19"/>
          <w:color w:val="auto"/>
        </w:rPr>
        <w:t>”) pursuant to the securities purchase agreement (the “</w:t>
      </w:r>
      <w:r>
        <w:rPr>
          <w:rFonts w:ascii="Times New Roman" w:cs="Times New Roman" w:eastAsia="Times New Roman" w:hAnsi="Times New Roman"/>
          <w:sz w:val="19"/>
          <w:szCs w:val="19"/>
          <w:b w:val="1"/>
          <w:bCs w:val="1"/>
          <w:color w:val="auto"/>
        </w:rPr>
        <w:t>Purchase Agreement</w:t>
      </w:r>
      <w:r>
        <w:rPr>
          <w:rFonts w:ascii="Times New Roman" w:cs="Times New Roman" w:eastAsia="Times New Roman" w:hAnsi="Times New Roman"/>
          <w:sz w:val="19"/>
          <w:szCs w:val="19"/>
          <w:color w:val="auto"/>
        </w:rPr>
        <w:t>”) between us and a single institutional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investor entered into on February 26, 2025, $2.332 per share (the “</w:t>
      </w:r>
      <w:r>
        <w:rPr>
          <w:rFonts w:ascii="Times New Roman" w:cs="Times New Roman" w:eastAsia="Times New Roman" w:hAnsi="Times New Roman"/>
          <w:sz w:val="19"/>
          <w:szCs w:val="19"/>
          <w:b w:val="1"/>
          <w:bCs w:val="1"/>
          <w:color w:val="auto"/>
        </w:rPr>
        <w:t>Initial Conversion Price</w:t>
      </w:r>
      <w:r>
        <w:rPr>
          <w:rFonts w:ascii="Times New Roman" w:cs="Times New Roman" w:eastAsia="Times New Roman" w:hAnsi="Times New Roman"/>
          <w:sz w:val="19"/>
          <w:szCs w:val="19"/>
          <w:color w:val="auto"/>
        </w:rPr>
        <w:t>”); (ii) with respect to each share of Series A Preferred Stock funded on the second closing of the Private Placement (the “</w:t>
      </w:r>
      <w:r>
        <w:rPr>
          <w:rFonts w:ascii="Times New Roman" w:cs="Times New Roman" w:eastAsia="Times New Roman" w:hAnsi="Times New Roman"/>
          <w:sz w:val="19"/>
          <w:szCs w:val="19"/>
          <w:b w:val="1"/>
          <w:bCs w:val="1"/>
          <w:color w:val="auto"/>
        </w:rPr>
        <w:t>Second Closing</w:t>
      </w:r>
      <w:r>
        <w:rPr>
          <w:rFonts w:ascii="Times New Roman" w:cs="Times New Roman" w:eastAsia="Times New Roman" w:hAnsi="Times New Roman"/>
          <w:sz w:val="19"/>
          <w:szCs w:val="19"/>
          <w:color w:val="auto"/>
        </w:rPr>
        <w:t>”) pursuant to the Purchase Agreement or issued upon exercise of a private placement warrant (“</w:t>
      </w:r>
      <w:r>
        <w:rPr>
          <w:rFonts w:ascii="Times New Roman" w:cs="Times New Roman" w:eastAsia="Times New Roman" w:hAnsi="Times New Roman"/>
          <w:sz w:val="19"/>
          <w:szCs w:val="19"/>
          <w:b w:val="1"/>
          <w:bCs w:val="1"/>
          <w:color w:val="auto"/>
        </w:rPr>
        <w:t>Private Placement Warrant</w:t>
      </w:r>
      <w:r>
        <w:rPr>
          <w:rFonts w:ascii="Times New Roman" w:cs="Times New Roman" w:eastAsia="Times New Roman" w:hAnsi="Times New Roman"/>
          <w:sz w:val="19"/>
          <w:szCs w:val="19"/>
          <w:color w:val="auto"/>
        </w:rPr>
        <w:t>”) issued pursuant to the Purchase Agreement, other than pursuant to the holders right to exercise when certain equity conditions have been waived which is set forth under clauses (iii) and (iv) below, as of any date of conversion (“</w:t>
      </w:r>
      <w:r>
        <w:rPr>
          <w:rFonts w:ascii="Times New Roman" w:cs="Times New Roman" w:eastAsia="Times New Roman" w:hAnsi="Times New Roman"/>
          <w:sz w:val="19"/>
          <w:szCs w:val="19"/>
          <w:b w:val="1"/>
          <w:bCs w:val="1"/>
          <w:color w:val="auto"/>
        </w:rPr>
        <w:t>Conversion Date</w:t>
      </w:r>
      <w:r>
        <w:rPr>
          <w:rFonts w:ascii="Times New Roman" w:cs="Times New Roman" w:eastAsia="Times New Roman" w:hAnsi="Times New Roman"/>
          <w:sz w:val="19"/>
          <w:szCs w:val="19"/>
          <w:color w:val="auto"/>
        </w:rPr>
        <w:t>”) or other date of determination, the lower of (x) the Initial Conversion Price and (y) 110% of the last closing trade price (the “</w:t>
      </w:r>
      <w:r>
        <w:rPr>
          <w:rFonts w:ascii="Times New Roman" w:cs="Times New Roman" w:eastAsia="Times New Roman" w:hAnsi="Times New Roman"/>
          <w:sz w:val="19"/>
          <w:szCs w:val="19"/>
          <w:b w:val="1"/>
          <w:bCs w:val="1"/>
          <w:color w:val="auto"/>
        </w:rPr>
        <w:t>Closing Sale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Price</w:t>
      </w:r>
      <w:r>
        <w:rPr>
          <w:rFonts w:ascii="Times New Roman" w:cs="Times New Roman" w:eastAsia="Times New Roman" w:hAnsi="Times New Roman"/>
          <w:sz w:val="19"/>
          <w:szCs w:val="19"/>
          <w:color w:val="auto"/>
        </w:rPr>
        <w:t>”) on the trading day immediately preceding the Second Closing, any applicable Funding Date (as defined in each Private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Placement Warrant) or any applicable Exercise Date (as defined in each Private Placement Warrant), as the case may be; (iii)</w:t>
      </w:r>
    </w:p>
    <w:p>
      <w:pPr>
        <w:sectPr>
          <w:pgSz w:w="12240" w:h="15840" w:orient="portrait"/>
          <w:cols w:equalWidth="0" w:num="1">
            <w:col w:w="10080"/>
          </w:cols>
          <w:pgMar w:left="1080" w:top="1079" w:right="1080" w:bottom="743" w:gutter="0" w:footer="0" w:header="0"/>
        </w:sectPr>
      </w:pPr>
    </w:p>
    <w:bookmarkStart w:id="129" w:name="page130"/>
    <w:bookmarkEnd w:id="129"/>
    <w:p>
      <w:pPr>
        <w:jc w:val="both"/>
        <w:spacing w:after="0" w:line="241" w:lineRule="auto"/>
        <w:rPr>
          <w:sz w:val="20"/>
          <w:szCs w:val="20"/>
          <w:color w:val="auto"/>
        </w:rPr>
      </w:pPr>
      <w:r>
        <w:rPr>
          <w:rFonts w:ascii="Times New Roman" w:cs="Times New Roman" w:eastAsia="Times New Roman" w:hAnsi="Times New Roman"/>
          <w:sz w:val="20"/>
          <w:szCs w:val="20"/>
          <w:color w:val="auto"/>
        </w:rPr>
        <w:t>with respect to each share of Series A Preferred Stock issued upon exercise of a Private Placement Warrant, the lower of (A) $3.50 and (B) 110% of the last closing trade price (“</w:t>
      </w:r>
      <w:r>
        <w:rPr>
          <w:rFonts w:ascii="Times New Roman" w:cs="Times New Roman" w:eastAsia="Times New Roman" w:hAnsi="Times New Roman"/>
          <w:sz w:val="20"/>
          <w:szCs w:val="20"/>
          <w:b w:val="1"/>
          <w:bCs w:val="1"/>
          <w:color w:val="auto"/>
        </w:rPr>
        <w:t>Closing Sale Price</w:t>
      </w:r>
      <w:r>
        <w:rPr>
          <w:rFonts w:ascii="Times New Roman" w:cs="Times New Roman" w:eastAsia="Times New Roman" w:hAnsi="Times New Roman"/>
          <w:sz w:val="20"/>
          <w:szCs w:val="20"/>
          <w:color w:val="auto"/>
        </w:rPr>
        <w:t>”) on the trading day immediately preceding the delivery or deemed delivery of the applicable Exercise Notice or Call Notice (each as defined in each Private Placement Warrant), as the case may be; and (iv) with respect to each share of Series A Preferred Stock issued upon exercise of a Private Placement Warrant at any time following the date the shares of common stock issued or issuable upon the conversion of the Series A Preferred Stock issued in the Private Placement are registered for resale (the “</w:t>
      </w:r>
      <w:r>
        <w:rPr>
          <w:rFonts w:ascii="Times New Roman" w:cs="Times New Roman" w:eastAsia="Times New Roman" w:hAnsi="Times New Roman"/>
          <w:sz w:val="20"/>
          <w:szCs w:val="20"/>
          <w:b w:val="1"/>
          <w:bCs w:val="1"/>
          <w:color w:val="auto"/>
        </w:rPr>
        <w:t>Registration Effectiveness Date</w:t>
      </w:r>
      <w:r>
        <w:rPr>
          <w:rFonts w:ascii="Times New Roman" w:cs="Times New Roman" w:eastAsia="Times New Roman" w:hAnsi="Times New Roman"/>
          <w:sz w:val="20"/>
          <w:szCs w:val="20"/>
          <w:color w:val="auto"/>
        </w:rPr>
        <w:t>”) when the Closing Sale Price exceeds $10.00 for twenty (20) consecutive trading days, as of any date of conversion or other date of determination, 110% of the Closing Sale Price on the trading day immediately preceding the delivery or deemed delivery of the applicable Exercise Notice or Call Notice (as the case may be), in each case, subject to adjustment; provided, that subsections (iii) and (iv) shall only apply in the event that certain equity conditions specified in the Private Placement Warrant are not met on the applicable Funding Date. The Conversion Price is subject to proportional adjustment upon the occurrence of any stock split, stock dividend, stock combination and/or similar transactions and as set forth below under “Other Adjustments” below.</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“Floor Price” is equal to (i) for any Series A Preferred Stock offered by the Registered Direct Offering $1.00, (ii) for any Series A Preferred Stock sold in the initial closing of the Private Placement $0.424 (20% of the Nasdaq Minimum Price of the Common Stock (as defined by Nasdaq) as of the trading day prior to the execution of the Purchase Agreement), and (iii) for any Series A Preferred Stock issued after the initial closing of the Private Placement, including the Second Closing, 20% of the Nasdaq Minimum Price of the Common Stock as of the trading day ended immediately prior to the date the shares of Series A Preferred Stock are issued; provided, that if the Floor Price then in effect is higher than the Adjusted Floor Price (as defined in the Certificate of Designation) on any date following the six (6) month anniversary of the initial date of issuance of the Series A Preferred Stock, then the Required Holder may elect to reduce the Floor Price to the Adjusted Floor Price, subject to approval of Nasdaq. The Floor Price and the Adjusted Floor Price are each subject to proportional adjustment upon the occurrence of any stock split, stock dividend, stock combination and/or similar transactions.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Adjustments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Until we have obtained approval as may be required from our stockholders (the “</w:t>
      </w:r>
      <w:r>
        <w:rPr>
          <w:rFonts w:ascii="Times New Roman" w:cs="Times New Roman" w:eastAsia="Times New Roman" w:hAnsi="Times New Roman"/>
          <w:sz w:val="20"/>
          <w:szCs w:val="20"/>
          <w:b w:val="1"/>
          <w:bCs w:val="1"/>
          <w:color w:val="auto"/>
        </w:rPr>
        <w:t>Stockholder Approval</w:t>
      </w:r>
      <w:r>
        <w:rPr>
          <w:rFonts w:ascii="Times New Roman" w:cs="Times New Roman" w:eastAsia="Times New Roman" w:hAnsi="Times New Roman"/>
          <w:sz w:val="20"/>
          <w:szCs w:val="20"/>
          <w:color w:val="auto"/>
        </w:rPr>
        <w:t>”), we may not issue, upon conversion of the Series A Preferred Stock and certain related transactions, a number of shares of common stock which would exceed 1,450,489 shares of common stock in the aggregate, which amount is equal to 19.99% of the shares of common stock issued and outstanding on February 26, 2025, subject to adjustment for forward and reverse stock splits, recapitalizations and the like (the “</w:t>
      </w:r>
      <w:r>
        <w:rPr>
          <w:rFonts w:ascii="Times New Roman" w:cs="Times New Roman" w:eastAsia="Times New Roman" w:hAnsi="Times New Roman"/>
          <w:sz w:val="20"/>
          <w:szCs w:val="20"/>
          <w:b w:val="1"/>
          <w:bCs w:val="1"/>
          <w:color w:val="auto"/>
        </w:rPr>
        <w:t>Issuable Maximum</w:t>
      </w:r>
      <w:r>
        <w:rPr>
          <w:rFonts w:ascii="Times New Roman" w:cs="Times New Roman" w:eastAsia="Times New Roman" w:hAnsi="Times New Roman"/>
          <w:sz w:val="20"/>
          <w:szCs w:val="20"/>
          <w:color w:val="auto"/>
        </w:rPr>
        <w:t>”). The Issuable Maximum shall be applied collectively, when any conversions of Series A Preferred Stock are aggregated together with all shares of common stock issuable upon conversion or exchange of any securities issued in certain related transactions to the Registered Direct Offering and Private Placement. If, at any time on or after the date of the Purchase Agreement, we issue any shares of common stock for a consideration per share (the “</w:t>
      </w:r>
      <w:r>
        <w:rPr>
          <w:rFonts w:ascii="Times New Roman" w:cs="Times New Roman" w:eastAsia="Times New Roman" w:hAnsi="Times New Roman"/>
          <w:sz w:val="20"/>
          <w:szCs w:val="20"/>
          <w:b w:val="1"/>
          <w:bCs w:val="1"/>
          <w:color w:val="auto"/>
        </w:rPr>
        <w:t>New Issuance Price</w:t>
      </w:r>
      <w:r>
        <w:rPr>
          <w:rFonts w:ascii="Times New Roman" w:cs="Times New Roman" w:eastAsia="Times New Roman" w:hAnsi="Times New Roman"/>
          <w:sz w:val="20"/>
          <w:szCs w:val="20"/>
          <w:color w:val="auto"/>
        </w:rPr>
        <w:t>”) less than a price equal to the Conversion Price in effect immediately prior to such issuance, the Conversion Price shall be reduced to the New Issuance Price.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Rights</w:t>
      </w:r>
    </w:p>
    <w:p>
      <w:pPr>
        <w:spacing w:after="0" w:line="24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If at any time we grant, issue or sell any options, convertible securities, or rights to purchase stock, warrants, securities or other property pro rata to all or substantially all of the record holders of any class of common stock (the “</w:t>
      </w:r>
      <w:r>
        <w:rPr>
          <w:rFonts w:ascii="Times New Roman" w:cs="Times New Roman" w:eastAsia="Times New Roman" w:hAnsi="Times New Roman"/>
          <w:sz w:val="19"/>
          <w:szCs w:val="19"/>
          <w:b w:val="1"/>
          <w:bCs w:val="1"/>
          <w:color w:val="auto"/>
        </w:rPr>
        <w:t>Purchase Rights</w:t>
      </w:r>
      <w:r>
        <w:rPr>
          <w:rFonts w:ascii="Times New Roman" w:cs="Times New Roman" w:eastAsia="Times New Roman" w:hAnsi="Times New Roman"/>
          <w:sz w:val="19"/>
          <w:szCs w:val="19"/>
          <w:color w:val="auto"/>
        </w:rPr>
        <w:t>”), then each holder of Series A Preferred Stock will be entitled to acquire, upon the terms applicable to such Purchase Rights, the aggregate Purchase Rights which such holder could have acquired if such holder had held the number of shares of common stock acquirable upon complete conversion of all the Series A Preferred Stock held by such holder immediately prior to the date as of which the record holders of shares of common stock are to be determined for the grant, issue or sale of such Purchase Rights at the Alternate Conversion Price, subject to the Beneficial Ownership Limitation.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 Preference</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Each share of Series A Preferred Stock carries a liquidation preference equal to the greater of (A) the conversion of such Series A Preferred Stock on the date of such payment and (B) the amount per share such holder would receive if such holder converted such Series A Preferred Stock into common stock immediately prior to the date of such payment.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Mandatory Redemption Triggering Event</w:t>
      </w:r>
      <w:r>
        <w:rPr>
          <w:rFonts w:ascii="Times New Roman" w:cs="Times New Roman" w:eastAsia="Times New Roman" w:hAnsi="Times New Roman"/>
          <w:sz w:val="20"/>
          <w:szCs w:val="20"/>
          <w:b w:val="1"/>
          <w:bCs w:val="1"/>
          <w:color w:val="auto"/>
        </w:rPr>
        <w:t>.</w:t>
      </w:r>
    </w:p>
    <w:p>
      <w:pPr>
        <w:spacing w:after="0" w:line="24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9"/>
          <w:szCs w:val="19"/>
          <w:color w:val="auto"/>
        </w:rPr>
        <w:t>Upon any Mandatory Triggering Event (as defined in the Certificate of Designation), we shall immediately redeem in cash all amounts due under the Series A Preferred Stock at a redemption price equal to the Conversion Amount to be redeemed.</w:t>
      </w:r>
    </w:p>
    <w:p>
      <w:pPr>
        <w:sectPr>
          <w:pgSz w:w="12240" w:h="15840" w:orient="portrait"/>
          <w:cols w:equalWidth="0" w:num="1">
            <w:col w:w="10080"/>
          </w:cols>
          <w:pgMar w:left="1080" w:top="1089" w:right="1080" w:bottom="733"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24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 xml:space="preserve">The holders of the Series A Preferred Stock shall have no voting power and no right to vote on any matter at any time, either as a separate series or class or together with any other series or class of shares of capital stock, and shall not be entitled to call a meeting of such holders for any purpose nor shall they be entitled to participate in any meeting of the holders of common stock, except as provided in the Certificate of Designation (or as otherwise required by applicable law). We may not take the following actions without the prior consent of the Required Holder: (a) alter or change adversely the powers, preferences or rights given to the Series A Preferred Stock or alter or amend the Series A Certificate of Designation, (b) authorize or create any class of stock ranking as to dividends, redemption or distribution of assets upon a Liquidation (as defined in the Series A Certificate of Designations) senior to, or otherwise </w:t>
      </w:r>
      <w:r>
        <w:rPr>
          <w:rFonts w:ascii="Times New Roman" w:cs="Times New Roman" w:eastAsia="Times New Roman" w:hAnsi="Times New Roman"/>
          <w:sz w:val="19"/>
          <w:szCs w:val="19"/>
          <w:u w:val="single" w:color="auto"/>
          <w:color w:val="auto"/>
        </w:rPr>
        <w:t>pari passu</w:t>
      </w:r>
      <w:r>
        <w:rPr>
          <w:rFonts w:ascii="Times New Roman" w:cs="Times New Roman" w:eastAsia="Times New Roman" w:hAnsi="Times New Roman"/>
          <w:sz w:val="19"/>
          <w:szCs w:val="19"/>
          <w:color w:val="auto"/>
        </w:rPr>
        <w:t xml:space="preserve"> with, the Series A Preferred Stock, or any junior stock that has a maturity date or other date requiring redemption or repayment of such shares of junior stock that is prior to the 91st calendar day after the date no shares of Series A Preferred Stock remain outstanding, (c) amend our articles of incorporation or other charter documents in any manner that adversely affects any rights of the holders of the Series A Preferred Stock, (d) increase or decrease the number of authorized shares of Series A Preferred Stock, (e) pay dividends or make any other distribution on any shares of common stock, (f) purchase or redeem any capital stock junior to the Series A Preferred Stock,</w:t>
      </w:r>
    </w:p>
    <w:p>
      <w:pPr>
        <w:spacing w:after="0" w:line="10" w:lineRule="exact"/>
        <w:rPr>
          <w:sz w:val="20"/>
          <w:szCs w:val="20"/>
          <w:color w:val="auto"/>
        </w:rPr>
      </w:pPr>
    </w:p>
    <w:p>
      <w:pPr>
        <w:jc w:val="both"/>
        <w:spacing w:after="0" w:line="237" w:lineRule="auto"/>
        <w:tabs>
          <w:tab w:leader="none" w:pos="31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any shares of Series A Preferred Stock other than as contemplated by the Certificate of Designation, Purchase Agreement or Private Placement Warrants or (g) otherwise circumvent a right of the Series A Preferred Stock set forth under the Certificate of Designation.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of Control Exchange</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Upon a change of control of our Company, each holder may require us to exchange such holder’s shares of Series A Preferred Stock for consideration equal to the Conversion Amount (or (1) the Series A Stated Value thereof plus (2) all declared and unpaid dividends on such shares as of such date of determination plus (3) any other amounts thereon owed to such holder, pursuant to the Certificate of Designation or any other Transaction Document that have not otherwise been paid or satisfied, in the case of any shares of Series A Preferred Stock funded following the Announcement Time (as defined in the Certificate of Designation) but prior to the date of the change of control.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Optional Redemption</w:t>
      </w:r>
    </w:p>
    <w:p>
      <w:pPr>
        <w:spacing w:after="0" w:line="243"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Under the Certificate of Designation, we have the right, at any time, to redeem all or part of the then outstanding shares of Series A Preferred Stock (a “</w:t>
      </w:r>
      <w:r>
        <w:rPr>
          <w:rFonts w:ascii="Times New Roman" w:cs="Times New Roman" w:eastAsia="Times New Roman" w:hAnsi="Times New Roman"/>
          <w:sz w:val="20"/>
          <w:szCs w:val="20"/>
          <w:b w:val="1"/>
          <w:bCs w:val="1"/>
          <w:color w:val="auto"/>
        </w:rPr>
        <w:t>Company Optional Redemption</w:t>
      </w:r>
      <w:r>
        <w:rPr>
          <w:rFonts w:ascii="Times New Roman" w:cs="Times New Roman" w:eastAsia="Times New Roman" w:hAnsi="Times New Roman"/>
          <w:sz w:val="20"/>
          <w:szCs w:val="20"/>
          <w:color w:val="auto"/>
        </w:rPr>
        <w:t>”) by delivering a written notice to each holder of Series A Preferred Stock (such delivery date, the “</w:t>
      </w:r>
      <w:r>
        <w:rPr>
          <w:rFonts w:ascii="Times New Roman" w:cs="Times New Roman" w:eastAsia="Times New Roman" w:hAnsi="Times New Roman"/>
          <w:sz w:val="20"/>
          <w:szCs w:val="20"/>
          <w:b w:val="1"/>
          <w:bCs w:val="1"/>
          <w:color w:val="auto"/>
        </w:rPr>
        <w:t>Company Optional Redemption Notice Date</w:t>
      </w:r>
      <w:r>
        <w:rPr>
          <w:rFonts w:ascii="Times New Roman" w:cs="Times New Roman" w:eastAsia="Times New Roman" w:hAnsi="Times New Roman"/>
          <w:sz w:val="20"/>
          <w:szCs w:val="20"/>
          <w:color w:val="auto"/>
        </w:rPr>
        <w:t>”). The shares of Series A Preferred Stock subject to redemption will be redeemed by us in cash at a price equal to the Conversion Amount, subject in certain instances at a price equal to the Stated Value, being redeemed as of the Company Optional Redemption Notice Date. If a Triggering Event has occurred and is continuing on the date the Company Optional Redemption takes effect, such price will equal the greater of (i) the Conversion Amount being redeemed as of the Company Optional Redemption Notice Date and (ii) the product of (1) the Conversion Rate (as defined in the Certificate of Designation) with respect to the Conversion Amount being redeemed as of such date multiplied by (2) the average of the five (5) highest daily VWAPs of the common stock during the period beginning on the date preceding such Company Optional Redemption Notice Date and ending on the trading day immediately prior to the date we make the entire payment required.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Fundamental Transactions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Certificate of Designation prohibits us from entering specified fundamental transactions (including, without limitation, mergers, business combinations and similar transactions) unless we (or our successor) assumes in writing all of our obligations under the Certificate of Designation and the other Transaction Documents or otherwise redeem the then outstanding Series A Preferred Stock in full.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Covenants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Certificate of Designation contains a variety of obligations on our part not to engage in specified activities. In particular, we will not, and will cause its subsidiaries to not, redeem, repurchase or declare any dividend or distribution on any of its capital stock (other than as required under the Certificate of Designation) and will not incur any indebtedness (other than Permitted Indebtedness, as defined in the Purchase Agreement), enter into any transactions with affiliates, or incur any liens, in each case without the prior written consent of the Required Holder and subject to certain exceptions, as applicable. In addition, we will not issue any shares of Series A Preferred Stock or issue any other securities that would cause a breach or default under the Certificate of Designation or any securities at a price less than the Floor Price then in effect.</w:t>
      </w:r>
    </w:p>
    <w:p>
      <w:pPr>
        <w:sectPr>
          <w:pgSz w:w="12240" w:h="15840" w:orient="portrait"/>
          <w:cols w:equalWidth="0" w:num="1">
            <w:col w:w="10080"/>
          </w:cols>
          <w:pgMar w:left="1080" w:top="1079" w:right="1080" w:bottom="749"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i w:val="1"/>
          <w:iCs w:val="1"/>
          <w:color w:val="auto"/>
        </w:rPr>
        <w:t>Reservation Requirements</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So long as any Series A Preferred Stock remains outstanding, we have agreed to at all times reserve at least 100% of the number of shares of common stock as shall from time to time be necessary to effect the conversion of all Series A Preferred Stock then outstanding.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Beneficial Ownership Limitation</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Each holder of Series A Preferred Stock is restricted from acquiring shares of common stock upon conversion thereof that would result in the number of shares beneficially owned by such holder and its affiliates exceeding 4.99% of the total number of shares of common stock outstanding immediately after giving effect to the conversion (the “</w:t>
      </w:r>
      <w:r>
        <w:rPr>
          <w:rFonts w:ascii="Times New Roman" w:cs="Times New Roman" w:eastAsia="Times New Roman" w:hAnsi="Times New Roman"/>
          <w:sz w:val="20"/>
          <w:szCs w:val="20"/>
          <w:b w:val="1"/>
          <w:bCs w:val="1"/>
          <w:color w:val="auto"/>
        </w:rPr>
        <w:t>Beneficial Ownership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Limitation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Fractional Shares</w:t>
      </w:r>
    </w:p>
    <w:p>
      <w:pPr>
        <w:spacing w:after="0" w:line="244"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No fractional shares of common stock will be issued upon conversion of the Series A Preferred Stock. Rather, the number of shares of common stock to be issued will be rounded up to the nearest whole number.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Public Warrants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i w:val="1"/>
          <w:iCs w:val="1"/>
          <w:color w:val="auto"/>
        </w:rPr>
        <w:t>The following summary of certain terms and provisions of our Public Warrants is not complete and is subject to, and qualified in its entirety by the provisions of the respective Warrant Agreement and form of Public Warrant which are filed as exhibits to this annual report of which this exhibit is a part. We encourage you to review the terms and provisions set forth in the Warrant Agreement and form of Public Warrant. The Public Warrants are administered by American Stock Transfer &amp; Trust Company, LLC, as the warrant agent.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Exercisability</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If a registration statement registering under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249"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Exercise Price</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Each whole redeemable Public Warrant entitles the registered holder to purchase one share of common stock at a price of $11.50 per share, subject to adjustment for stock splits or combinations, stock dividends and distributions, reclassifications, subdivisions, and other similar transactions. Pursuant to the Amended And Restated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Adjustments; Fundamental Transaction</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The exercise price and the number of shares underlying the Public Warrants are subject to appropriate adjustment in the event of stock splits, stock dividends on our common shares, stock combinations or similar events affecting our common shares. If, at any time while the Public Warrants are outstanding, (1) we consolidate or merge with or into another corporation whether or not the Company is the surviving corporation, (2) we sell, lease, license, assign, transfer, convey or otherwise</w:t>
      </w:r>
    </w:p>
    <w:p>
      <w:pPr>
        <w:sectPr>
          <w:pgSz w:w="12240" w:h="15840" w:orient="portrait"/>
          <w:cols w:equalWidth="0" w:num="1">
            <w:col w:w="10080"/>
          </w:cols>
          <w:pgMar w:left="1080" w:top="1079" w:right="1080" w:bottom="549"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color w:val="auto"/>
        </w:rPr>
        <w:t>dispose of all or substantially all of our assets, or any of its significant subsidiaries (as defined in Rule 1-02 of Regulation S-</w:t>
      </w:r>
    </w:p>
    <w:p>
      <w:pPr>
        <w:spacing w:after="0" w:line="11" w:lineRule="exact"/>
        <w:rPr>
          <w:sz w:val="20"/>
          <w:szCs w:val="20"/>
          <w:color w:val="auto"/>
        </w:rPr>
      </w:pPr>
    </w:p>
    <w:p>
      <w:pPr>
        <w:jc w:val="both"/>
        <w:spacing w:after="0" w:line="255" w:lineRule="auto"/>
        <w:tabs>
          <w:tab w:leader="none" w:pos="25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(3) we effect any reclassification or recapitalization of the ordinary shares or any compulsory exchange pursuant to which the ordinary shares are converted into or exchanged for other securities, cash or property, or each, a “Fundamental Transaction,” then upon any subsequent exercise of the Warrants, the holders thereof will have the right to receive the same amount and kind of securities, cash or property as it would have been entitled to receive upon the occurrence of such Fundamental Transaction if it had been, immediately prior to such Fundamental Transaction, the holder of the number of ordinary shares then issuable upon exercise of those Warrants, and any additional consideration payable as part of the Fundamental Transaction.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Redemption</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may call the Public Warrants for redemption in accordance with the terms summarized below:</w:t>
      </w:r>
    </w:p>
    <w:p>
      <w:pPr>
        <w:spacing w:after="0" w:line="188" w:lineRule="exact"/>
        <w:rPr>
          <w:sz w:val="20"/>
          <w:szCs w:val="20"/>
          <w:color w:val="auto"/>
        </w:rPr>
      </w:pPr>
    </w:p>
    <w:p>
      <w:pPr>
        <w:ind w:left="360" w:hanging="360"/>
        <w:spacing w:after="0"/>
        <w:tabs>
          <w:tab w:leader="none" w:pos="3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whole and not in part;</w:t>
      </w:r>
    </w:p>
    <w:p>
      <w:pPr>
        <w:spacing w:after="0" w:line="234"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 price of $0.01 per warrant;</w:t>
      </w:r>
    </w:p>
    <w:p>
      <w:pPr>
        <w:spacing w:after="0" w:line="24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a minimum of 30 days’ prior written notice of redemption (the “30-day redemption period”) to each warrant holder;</w:t>
      </w:r>
    </w:p>
    <w:p>
      <w:pPr>
        <w:spacing w:after="0" w:line="245" w:lineRule="exact"/>
        <w:rPr>
          <w:rFonts w:ascii="Times New Roman" w:cs="Times New Roman" w:eastAsia="Times New Roman" w:hAnsi="Times New Roman"/>
          <w:sz w:val="19"/>
          <w:szCs w:val="19"/>
          <w:color w:val="auto"/>
        </w:rPr>
      </w:pPr>
    </w:p>
    <w:p>
      <w:pPr>
        <w:ind w:left="360" w:hanging="360"/>
        <w:spacing w:after="0" w:line="235" w:lineRule="auto"/>
        <w:tabs>
          <w:tab w:leader="none" w:pos="3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244"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only if, there is a current registration statement in effect with respect to the offer and sale of the shares of common stock underlying such warrants at the time of redemption and for the entire 30-trading day period referred to above and continuing each day thereafter until the date of redemption.</w:t>
      </w:r>
    </w:p>
    <w:p>
      <w:pPr>
        <w:spacing w:after="0" w:line="198"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Transferability</w:t>
      </w:r>
    </w:p>
    <w:p>
      <w:pPr>
        <w:spacing w:after="0" w:line="197"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Subject to applicable laws and the limitations provided within the Amended and Restated Warrant Agreement, the Public Warrants may be transferred at the option of the holders upon surrender of the to the warrant agent, together with the appropriate instruments of transfer.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Rights as a Stockholders</w:t>
      </w:r>
    </w:p>
    <w:p>
      <w:pPr>
        <w:spacing w:after="0" w:line="197"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Except as otherwise provided in the Warrant Agreement or by virtue of such holder’s ownership of common stock, holders of the Public Warrants do not have rights or privileges of holders of common stock, including any voting rights, until a holder exercises such Public Warrant.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Governing Law</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Public Warrants and Warrant Agreement are governed by New York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the Charter, the Bylaws and Nevada Law</w:t>
      </w:r>
    </w:p>
    <w:p>
      <w:pPr>
        <w:spacing w:after="0" w:line="19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are a Nevada corporation and are generally governed by the NRS. The following is a brief description of the provisions in our Charter, Bylaws and the NRS that could have an effect of delaying, deferring, or preventing a change in control of the Company.</w:t>
      </w:r>
    </w:p>
    <w:p>
      <w:pPr>
        <w:spacing w:after="0" w:line="198"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provisions of the NRS, our Charter,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ectPr>
          <w:pgSz w:w="12240" w:h="15840" w:orient="portrait"/>
          <w:cols w:equalWidth="0" w:num="1">
            <w:col w:w="10080"/>
          </w:cols>
          <w:pgMar w:left="1080" w:top="1079" w:right="108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i w:val="1"/>
          <w:iCs w:val="1"/>
          <w:color w:val="auto"/>
        </w:rPr>
        <w:t>Combinations with Interested Stockholders</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249"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Following the expiration of the two-year period, the corporation is prohibited from engaging in a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25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247"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Companies are entitled to opt out of the business combination provisions of the NRS. In our Charter, we have not opted out of the business combination provisions of NRS 78.411 to 78.444, inclusive.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 of Controlling Interests</w:t>
      </w:r>
    </w:p>
    <w:p>
      <w:pPr>
        <w:spacing w:after="0" w:line="24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9"/>
          <w:szCs w:val="19"/>
          <w:color w:val="auto"/>
        </w:rPr>
        <w:t>Nevada law also protects the corporation and its stockholders from persons acquiring a “controlling interest” in a corporation. The provisions can be found in NRS 78.378 to 78.3793, inclusive. Delaware law does not have similar provisions.</w:t>
      </w:r>
    </w:p>
    <w:p>
      <w:pPr>
        <w:spacing w:after="0" w:line="23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w:t>
      </w:r>
    </w:p>
    <w:p>
      <w:pPr>
        <w:sectPr>
          <w:pgSz w:w="12240" w:h="15840" w:orient="portrait"/>
          <w:cols w:equalWidth="0" w:num="1">
            <w:col w:w="10080"/>
          </w:cols>
          <w:pgMar w:left="1080" w:top="1079" w:right="1080" w:bottom="745" w:gutter="0" w:footer="0" w:header="0"/>
        </w:sectPr>
      </w:pPr>
    </w:p>
    <w:bookmarkStart w:id="134" w:name="page135"/>
    <w:bookmarkEnd w:id="134"/>
    <w:p>
      <w:pPr>
        <w:jc w:val="both"/>
        <w:spacing w:after="0" w:line="239" w:lineRule="auto"/>
        <w:rPr>
          <w:sz w:val="20"/>
          <w:szCs w:val="20"/>
          <w:color w:val="auto"/>
        </w:rPr>
      </w:pPr>
      <w:r>
        <w:rPr>
          <w:rFonts w:ascii="Times New Roman" w:cs="Times New Roman" w:eastAsia="Times New Roman" w:hAnsi="Times New Roman"/>
          <w:sz w:val="20"/>
          <w:szCs w:val="20"/>
          <w:color w:val="auto"/>
        </w:rPr>
        <w:t>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24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23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Charter and Bylaws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Charter and Bylaws provide for:</w:t>
      </w:r>
    </w:p>
    <w:p>
      <w:pPr>
        <w:spacing w:after="0" w:line="233" w:lineRule="exact"/>
        <w:rPr>
          <w:sz w:val="20"/>
          <w:szCs w:val="20"/>
          <w:color w:val="auto"/>
        </w:rPr>
      </w:pPr>
    </w:p>
    <w:p>
      <w:pPr>
        <w:ind w:left="360" w:hanging="360"/>
        <w:spacing w:after="0"/>
        <w:tabs>
          <w:tab w:leader="none" w:pos="3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classifying our board of directors into three classes;</w:t>
      </w:r>
    </w:p>
    <w:p>
      <w:pPr>
        <w:spacing w:after="0" w:line="244"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authorizing the issuance of “blank check” preferred stock, the terms of which may be established and shares of which may be issued without stockholder approval;</w:t>
      </w:r>
    </w:p>
    <w:p>
      <w:pPr>
        <w:spacing w:after="0" w:line="235"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the removal of directors by the stockholders;</w:t>
      </w:r>
    </w:p>
    <w:p>
      <w:pPr>
        <w:spacing w:after="0" w:line="243"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the affirmative vote of holders of at least 66 2/3% of the voting power of all of the then outstanding shares of stock entitled to vote in the election of directors, voting as a single class, to adopt, amend alter or repeal our Bylaws and amend certain provisions of our Chart, including provisions relating to the size of the board, removal of directors, special meetings, and actions by written consent;</w:t>
      </w:r>
    </w:p>
    <w:p>
      <w:pPr>
        <w:spacing w:after="0" w:line="243"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prohibiting stockholder action by written consent, thereby requiring all stockholder actions to be taken at a meeting of our stockholders;</w:t>
      </w:r>
    </w:p>
    <w:p>
      <w:pPr>
        <w:spacing w:after="0" w:line="23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eliminating the ability of stockholders to call a special meeting of stockholders;</w:t>
      </w:r>
    </w:p>
    <w:p>
      <w:pPr>
        <w:spacing w:after="0" w:line="244"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advance notice requirements for nominations for election to the board of directors or for proposing matters that can be acted upon at stockholder meetings; and</w:t>
      </w:r>
    </w:p>
    <w:p>
      <w:pPr>
        <w:spacing w:after="0" w:line="234"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Nevada as the exclusive jurisdiction for certain stockholder litigation against us.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Authorized Shares</w:t>
      </w:r>
    </w:p>
    <w:p>
      <w:pPr>
        <w:spacing w:after="0" w:line="243"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Series A common stock and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class or series, delay, defer, or prevent a change of control of our Company.</w:t>
      </w:r>
    </w:p>
    <w:p>
      <w:pPr>
        <w:sectPr>
          <w:pgSz w:w="12240" w:h="15840" w:orient="portrait"/>
          <w:cols w:equalWidth="0" w:num="1">
            <w:col w:w="10080"/>
          </w:cols>
          <w:pgMar w:left="1080" w:top="1089" w:right="108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color w:val="auto"/>
        </w:rPr>
        <w:t>Limitation on Liability and Indemnification of Directors and Officers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Section 78.138 of the NRS provides that, unless the corporation’s Charter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spacing w:after="0" w:line="247"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spacing w:after="0" w:line="24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24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spacing w:after="0" w:line="24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Unless otherwise restricted by the Charter,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Charter,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spacing w:after="0" w:line="25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ectPr>
          <w:pgSz w:w="12240" w:h="15840" w:orient="portrait"/>
          <w:cols w:equalWidth="0" w:num="1">
            <w:col w:w="10080"/>
          </w:cols>
          <w:pgMar w:left="1080" w:top="1079" w:right="1080" w:bottom="984" w:gutter="0" w:footer="0" w:header="0"/>
        </w:sectPr>
      </w:pPr>
    </w:p>
    <w:bookmarkStart w:id="136" w:name="page137"/>
    <w:bookmarkEnd w:id="136"/>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Charter provides that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spacing w:after="0" w:line="25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24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23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Choice of Forum Provisions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Our Charter,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Charter or Bylaws, (d) any action to interpret, apply, enforce or determine the validity of the Charter or Bylaws or (e) any action asserting a claim governed by the internal affairs doctrine.</w:t>
      </w:r>
    </w:p>
    <w:p>
      <w:pPr>
        <w:spacing w:after="0" w:line="247"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Transfer Agent and Warrant Agent</w:t>
      </w:r>
    </w:p>
    <w:p>
      <w:pPr>
        <w:spacing w:after="0" w:line="244"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transfer agent for our shares of common stock and warrant agent for all of our warrants is American Stock Transfer &amp; Trust Company, LLC.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Exchange Listing</w:t>
      </w:r>
    </w:p>
    <w:p>
      <w:pPr>
        <w:spacing w:after="0" w:line="243"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Our common stock is currently listed on the Nasdaq Global Market under the symbol “DFLI” and our Public Warrants are currently listed on the Nasdaq Capital Market under the symbol “DFLIW”.</w:t>
      </w:r>
    </w:p>
    <w:p>
      <w:pPr>
        <w:sectPr>
          <w:pgSz w:w="12240" w:h="15840" w:orient="portrait"/>
          <w:cols w:equalWidth="0" w:num="1">
            <w:col w:w="10080"/>
          </w:cols>
          <w:pgMar w:left="1080" w:top="1089" w:right="1080" w:bottom="1440" w:gutter="0" w:footer="0" w:header="0"/>
        </w:sectPr>
      </w:pPr>
    </w:p>
    <w:bookmarkStart w:id="137" w:name="page138"/>
    <w:bookmarkEnd w:id="137"/>
    <w:p>
      <w:pPr>
        <w:ind w:left="8940"/>
        <w:spacing w:after="0"/>
        <w:rPr>
          <w:sz w:val="20"/>
          <w:szCs w:val="20"/>
          <w:color w:val="auto"/>
        </w:rPr>
      </w:pPr>
      <w:r>
        <w:rPr>
          <w:rFonts w:ascii="Times New Roman" w:cs="Times New Roman" w:eastAsia="Times New Roman" w:hAnsi="Times New Roman"/>
          <w:sz w:val="20"/>
          <w:szCs w:val="20"/>
          <w:b w:val="1"/>
          <w:bCs w:val="1"/>
          <w:color w:val="auto"/>
        </w:rPr>
        <w:t>Exhibit 10.19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Dragonfly Energy Holdings Corp.</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Revised Director Compensation Policy (“Policy”)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 of Purpose</w:t>
      </w:r>
    </w:p>
    <w:p>
      <w:pPr>
        <w:spacing w:after="0" w:line="2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Dragonfly Energy Holdings Corp. (“</w:t>
      </w:r>
      <w:r>
        <w:rPr>
          <w:rFonts w:ascii="Times New Roman" w:cs="Times New Roman" w:eastAsia="Times New Roman" w:hAnsi="Times New Roman"/>
          <w:sz w:val="20"/>
          <w:szCs w:val="20"/>
          <w:u w:val="single" w:color="auto"/>
          <w:color w:val="auto"/>
        </w:rPr>
        <w:t>Dragonfly</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believes in paying fair compensation for work performed, at every level of Dragonfly, including Dragonfly’s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 Statement</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Directors of Dragonfly who are not employed (“</w:t>
      </w:r>
      <w:r>
        <w:rPr>
          <w:rFonts w:ascii="Times New Roman" w:cs="Times New Roman" w:eastAsia="Times New Roman" w:hAnsi="Times New Roman"/>
          <w:sz w:val="20"/>
          <w:szCs w:val="20"/>
          <w:u w:val="single" w:color="auto"/>
          <w:color w:val="auto"/>
        </w:rPr>
        <w:t>non-employee directors</w:t>
      </w:r>
      <w:r>
        <w:rPr>
          <w:rFonts w:ascii="Times New Roman" w:cs="Times New Roman" w:eastAsia="Times New Roman" w:hAnsi="Times New Roman"/>
          <w:sz w:val="20"/>
          <w:szCs w:val="20"/>
          <w:color w:val="auto"/>
        </w:rPr>
        <w:t>”) by Dragonfly or one of its subsidiaries, if any, are entitled to the compensation set forth below for their service as a member of the Board. The Board has the right to amend this policy from time to time.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I.   Cash Compensation</w:t>
            </w: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43"/>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Annual Retainer:</w:t>
            </w:r>
          </w:p>
        </w:tc>
        <w:tc>
          <w:tcPr>
            <w:tcW w:w="458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2"/>
        </w:trPr>
        <w:tc>
          <w:tcPr>
            <w:tcW w:w="5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Post-IPO Annual Retainer:</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58,800</w:t>
            </w:r>
          </w:p>
        </w:tc>
      </w:tr>
      <w:tr>
        <w:trPr>
          <w:trHeight w:val="233"/>
        </w:trPr>
        <w:tc>
          <w:tcPr>
            <w:tcW w:w="5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Additional Lead Independent Director Retainer:</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r>
      <w:tr>
        <w:trPr>
          <w:trHeight w:val="211"/>
        </w:trPr>
        <w:tc>
          <w:tcPr>
            <w:tcW w:w="5960" w:type="dxa"/>
            <w:vAlign w:val="bottom"/>
            <w:gridSpan w:val="3"/>
          </w:tcPr>
          <w:p>
            <w:pPr>
              <w:spacing w:after="0" w:line="211" w:lineRule="exact"/>
              <w:rPr>
                <w:sz w:val="20"/>
                <w:szCs w:val="20"/>
                <w:color w:val="auto"/>
              </w:rPr>
            </w:pPr>
            <w:r>
              <w:rPr>
                <w:rFonts w:ascii="Times New Roman" w:cs="Times New Roman" w:eastAsia="Times New Roman" w:hAnsi="Times New Roman"/>
                <w:sz w:val="20"/>
                <w:szCs w:val="20"/>
                <w:color w:val="auto"/>
              </w:rPr>
              <w:t>Additional Committee Chairperson Retainer:</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2"/>
        </w:trPr>
        <w:tc>
          <w:tcPr>
            <w:tcW w:w="36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rPr>
              <w:t>Audit Committee Chairperson:</w:t>
            </w:r>
          </w:p>
        </w:tc>
        <w:tc>
          <w:tcPr>
            <w:tcW w:w="2360" w:type="dxa"/>
            <w:vAlign w:val="bottom"/>
          </w:tcPr>
          <w:p>
            <w:pPr>
              <w:spacing w:after="0"/>
              <w:rPr>
                <w:sz w:val="20"/>
                <w:szCs w:val="20"/>
                <w:color w:val="auto"/>
              </w:rPr>
            </w:pP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r>
      <w:tr>
        <w:trPr>
          <w:trHeight w:val="232"/>
        </w:trPr>
        <w:tc>
          <w:tcPr>
            <w:tcW w:w="5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Compensation Committee Chairperson:</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r>
      <w:tr>
        <w:trPr>
          <w:trHeight w:val="233"/>
        </w:trPr>
        <w:tc>
          <w:tcPr>
            <w:tcW w:w="5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Nominating and Corporate Governance Committee Chairperson</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r>
    </w:tbl>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Each non-employee director will be entitled to a cash retainer while serving on the Board (the “</w:t>
      </w:r>
      <w:r>
        <w:rPr>
          <w:rFonts w:ascii="Times New Roman" w:cs="Times New Roman" w:eastAsia="Times New Roman" w:hAnsi="Times New Roman"/>
          <w:sz w:val="20"/>
          <w:szCs w:val="20"/>
          <w:u w:val="single" w:color="auto"/>
          <w:color w:val="auto"/>
        </w:rPr>
        <w:t>Annual Retainer</w:t>
      </w:r>
      <w:r>
        <w:rPr>
          <w:rFonts w:ascii="Times New Roman" w:cs="Times New Roman" w:eastAsia="Times New Roman" w:hAnsi="Times New Roman"/>
          <w:sz w:val="20"/>
          <w:szCs w:val="20"/>
          <w:color w:val="auto"/>
        </w:rPr>
        <w:t>”). Upon a Listing, the Annual Retainer will be equal to the amount set forth above as the “Post-IPO Annual Retainer.”</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 non-employee director who serves as the Lead Independent Director will be entitled to an additional cash retainer while serving in that position in the amount set forth above (the “</w:t>
      </w:r>
      <w:r>
        <w:rPr>
          <w:rFonts w:ascii="Times New Roman" w:cs="Times New Roman" w:eastAsia="Times New Roman" w:hAnsi="Times New Roman"/>
          <w:sz w:val="20"/>
          <w:szCs w:val="20"/>
          <w:u w:val="single" w:color="auto"/>
          <w:color w:val="auto"/>
        </w:rPr>
        <w:t>Additional Lead Independent Director Retainer</w:t>
      </w:r>
      <w:r>
        <w:rPr>
          <w:rFonts w:ascii="Times New Roman" w:cs="Times New Roman" w:eastAsia="Times New Roman" w:hAnsi="Times New Roman"/>
          <w:sz w:val="20"/>
          <w:szCs w:val="20"/>
          <w:color w:val="auto"/>
        </w:rPr>
        <w:t>”); provided that, unless otherwise provided by the Board, an Additional Lead Independent Director Retainer shall not be paid if such non-employee director serving as the Lead Independent Director is also then serving as Chairperson of the Board.</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 non-employee director who serves as the Chairperson of the Audit Committee, the Chairperson of the Compensation Committee, or the Chairperson of the Nominating and Corporate Governance Committee of the Board will be entitled to an additional cash retainer while serving in that position in the applicable amount set forth above (each, an “</w:t>
      </w:r>
      <w:r>
        <w:rPr>
          <w:rFonts w:ascii="Times New Roman" w:cs="Times New Roman" w:eastAsia="Times New Roman" w:hAnsi="Times New Roman"/>
          <w:sz w:val="20"/>
          <w:szCs w:val="20"/>
          <w:u w:val="single" w:color="auto"/>
          <w:color w:val="auto"/>
        </w:rPr>
        <w:t>Additional Committee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Chairperson Retainer</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Non-employee directors must attend at least 75% of all meetings of the Board and all committees on which the non-employee director sits (including separate meetings of non-employee directors or independent directors) in any specified fiscal year in order to be eligible to receive any of the retainers specified above.</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amounts of the Annual Retainer, Additional Lead Independent Director Retainer and Additional Committee Chairperson Retainer reflected above are expressed as annualized amounts. These retainers will be paid in equal quarterly installments; provided that an installment will be pro-rated, based on calendar days, if a non-employee director commences service (or commences service in the corresponding position, as the case may be) after the start of the fiscal quarter.</w:t>
      </w:r>
    </w:p>
    <w:p>
      <w:pPr>
        <w:spacing w:after="0" w:line="234"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20"/>
          <w:szCs w:val="20"/>
          <w:color w:val="auto"/>
        </w:rPr>
        <w:t>II.</w:t>
        <w:tab/>
        <w:t>Equity Awards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administrator of Dragonfly’s 2022 equity incentive plan (as may be amended, restated, supplemented or otherwise modified from time to time, the “2022 Plan”), the Compensation Committee has discretion to grant directors equity-based incentive awards under and subject to the terms and conditions of the 2022 Plan or any successor equity compensation plan approved by Dragonfly’s stockholders and in effect at the time of grant. Such awards will be evidenced by, and subject to the terms and conditions of, an award agreement in the form approved by the Board or Compensation Committee to evidence such type of grant pursuant to this policy (the “</w:t>
      </w:r>
      <w:r>
        <w:rPr>
          <w:rFonts w:ascii="Times New Roman" w:cs="Times New Roman" w:eastAsia="Times New Roman" w:hAnsi="Times New Roman"/>
          <w:sz w:val="20"/>
          <w:szCs w:val="20"/>
          <w:u w:val="single" w:color="auto"/>
          <w:color w:val="auto"/>
        </w:rPr>
        <w:t>Form of Award Agreement</w:t>
      </w:r>
      <w:r>
        <w:rPr>
          <w:rFonts w:ascii="Times New Roman" w:cs="Times New Roman" w:eastAsia="Times New Roman" w:hAnsi="Times New Roman"/>
          <w:sz w:val="20"/>
          <w:szCs w:val="20"/>
          <w:color w:val="auto"/>
        </w:rPr>
        <w:t>”). The foregoing general provisions are, in the case of a particular award, subject to the terms and conditions of the applicable Form of Award Agreement.</w:t>
      </w:r>
    </w:p>
    <w:p>
      <w:pPr>
        <w:sectPr>
          <w:pgSz w:w="12240" w:h="15840" w:orient="portrait"/>
          <w:cols w:equalWidth="0" w:num="1">
            <w:col w:w="10080"/>
          </w:cols>
          <w:pgMar w:left="1080" w:top="1079" w:right="1080" w:bottom="961" w:gutter="0" w:footer="0" w:header="0"/>
        </w:sectPr>
      </w:pPr>
    </w:p>
    <w:bookmarkStart w:id="138" w:name="page139"/>
    <w:bookmarkEnd w:id="138"/>
    <w:p>
      <w:pPr>
        <w:jc w:val="both"/>
        <w:spacing w:after="0" w:line="254" w:lineRule="auto"/>
        <w:rPr>
          <w:sz w:val="20"/>
          <w:szCs w:val="20"/>
          <w:color w:val="auto"/>
        </w:rPr>
      </w:pPr>
      <w:r>
        <w:rPr>
          <w:rFonts w:ascii="Times New Roman" w:cs="Times New Roman" w:eastAsia="Times New Roman" w:hAnsi="Times New Roman"/>
          <w:sz w:val="19"/>
          <w:szCs w:val="19"/>
          <w:color w:val="auto"/>
        </w:rPr>
        <w:t>Effective for fiscal years beginning on and after January 1, 2024, upon the commencement of service as a non-employee director, each such non-employee director shall be eligible to receive, subject to service and other conditions as the Compensation Committee deems appropriate, a long-term incentive award (each an “</w:t>
      </w:r>
      <w:r>
        <w:rPr>
          <w:rFonts w:ascii="Times New Roman" w:cs="Times New Roman" w:eastAsia="Times New Roman" w:hAnsi="Times New Roman"/>
          <w:sz w:val="19"/>
          <w:szCs w:val="19"/>
          <w:u w:val="single" w:color="auto"/>
          <w:color w:val="auto"/>
        </w:rPr>
        <w:t>Initial LTI Award</w:t>
      </w:r>
      <w:r>
        <w:rPr>
          <w:rFonts w:ascii="Times New Roman" w:cs="Times New Roman" w:eastAsia="Times New Roman" w:hAnsi="Times New Roman"/>
          <w:sz w:val="19"/>
          <w:szCs w:val="19"/>
          <w:color w:val="auto"/>
        </w:rPr>
        <w:t>”) payable in the form of cash and/or equity awards, as determined in the sole discretion of the Compensation Committee. With respect to each fiscal year of the Company beginning on or after January 1, 2024, each non-employee director shall be eligible to receive, subject to service and other conditions as the Compensation Committee deems appropriate each fiscal year, a long-term incentive award (each an “</w:t>
      </w:r>
      <w:r>
        <w:rPr>
          <w:rFonts w:ascii="Times New Roman" w:cs="Times New Roman" w:eastAsia="Times New Roman" w:hAnsi="Times New Roman"/>
          <w:sz w:val="19"/>
          <w:szCs w:val="19"/>
          <w:u w:val="single" w:color="auto"/>
          <w:color w:val="auto"/>
        </w:rPr>
        <w:t>Annual LTI Award</w:t>
      </w:r>
      <w:r>
        <w:rPr>
          <w:rFonts w:ascii="Times New Roman" w:cs="Times New Roman" w:eastAsia="Times New Roman" w:hAnsi="Times New Roman"/>
          <w:sz w:val="19"/>
          <w:szCs w:val="19"/>
          <w:color w:val="auto"/>
        </w:rPr>
        <w:t>” and, together with the Initial LTI Awards, the “</w:t>
      </w:r>
      <w:r>
        <w:rPr>
          <w:rFonts w:ascii="Times New Roman" w:cs="Times New Roman" w:eastAsia="Times New Roman" w:hAnsi="Times New Roman"/>
          <w:sz w:val="19"/>
          <w:szCs w:val="19"/>
          <w:u w:val="single" w:color="auto"/>
          <w:color w:val="auto"/>
        </w:rPr>
        <w:t>LTI Awards</w:t>
      </w:r>
      <w:r>
        <w:rPr>
          <w:rFonts w:ascii="Times New Roman" w:cs="Times New Roman" w:eastAsia="Times New Roman" w:hAnsi="Times New Roman"/>
          <w:sz w:val="19"/>
          <w:szCs w:val="19"/>
          <w:color w:val="auto"/>
        </w:rPr>
        <w:t>”) payable in the form of cash and/or equity awards, as determined in the sole discretion of the Compensation Committee. The target grant date value of each such Initial LTI Award shall be $300,000 and each such Annual LTI Award shall be $100,000, but such LTI Awards shall be subject to adjustment, upward or downward, in the sole discretion of the Compensation Committee. To the extent that an LTI Award is paid in the form of an equity award (which may include stock options, restricted stock, restricted stock units or any other form of equity-based award authorized under the 2022 Plan, such equity awards shall be subject to the terms and conditions of the Plan and such other terms and conditions as the Compensation Committee in its sole discretion may establish.</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Compensation Committee may approve other grants of equity-based awards to non-employee directors from time to time, on such terms as the Compensation Committee may determine and subject to the applicable provisions of Dragonfly’s equity compensation plan then in effect.</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III.  Expense Reimbursement</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All directors are entitled to reimbursement from Dragonfly for their reasonable travel (including airfare and ground transportation), lodging and meal expenses incident to meetings of the Board or committees thereof or in connection with other Board-related business. Dragonfly will reimburse a director promptly following the submission by the director of reasonable written substantiation of his or her expenses (and, as required for purposes of Internal Revenue Code Section 409A, in all events not later than the end of the calendar year following the calendar year in which the related expense was incurred).</w:t>
      </w:r>
    </w:p>
    <w:p>
      <w:pPr>
        <w:sectPr>
          <w:pgSz w:w="12240" w:h="15840" w:orient="portrait"/>
          <w:cols w:equalWidth="0" w:num="1">
            <w:col w:w="10080"/>
          </w:cols>
          <w:pgMar w:left="1080" w:top="1089" w:right="1080"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u w:val="single" w:color="auto"/>
          <w:color w:val="auto"/>
        </w:rPr>
        <w:t>DRAGONFLY ENERGY HOLDINGS CORP.</w:t>
      </w:r>
    </w:p>
    <w:p>
      <w:pPr>
        <w:spacing w:after="0" w:line="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ectPr>
          <w:pgSz w:w="12240" w:h="15840" w:orient="portrait"/>
          <w:cols w:equalWidth="0" w:num="1">
            <w:col w:w="9720"/>
          </w:cols>
          <w:pgMar w:left="1440" w:top="1079" w:right="108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43"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As a public company, one of our important ethical duties is to protect and properly use nonpublic information acquired during our service with Dragonfly Energy Holdings Corp. Dragonfly. (together with its subsidiaries, “</w:t>
      </w:r>
      <w:r>
        <w:rPr>
          <w:rFonts w:ascii="Times New Roman" w:cs="Times New Roman" w:eastAsia="Times New Roman" w:hAnsi="Times New Roman"/>
          <w:sz w:val="20"/>
          <w:szCs w:val="20"/>
          <w:b w:val="1"/>
          <w:bCs w:val="1"/>
          <w:i w:val="1"/>
          <w:iCs w:val="1"/>
          <w:color w:val="auto"/>
        </w:rPr>
        <w:t>Dragonfly</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This Insider Trading Policy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provides detailed information on these obligations. The rules relating to insider trading are complex, and a violation of insider trading laws can carry severe consequences, including but not limited to termination of your employment and criminal prosecution resulting in imprisonment. In furtherance of the Policy’s goals, the Company will not transact in its own securities except in compliance with securities laws.</w:t>
      </w:r>
    </w:p>
    <w:p>
      <w:pPr>
        <w:spacing w:after="0" w:line="244"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auto"/>
        </w:rPr>
        <w:t>This introduction provides high level guidance on certain required and prohibited activities. However, carefully review this entire Policy before completing any transaction involving Dragonfly securities or the securities of any other company.</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activities, among others, are prohibited under this Policy and may also be illegal:</w:t>
      </w:r>
    </w:p>
    <w:p>
      <w:pPr>
        <w:spacing w:after="0" w:line="243" w:lineRule="exact"/>
        <w:rPr>
          <w:sz w:val="20"/>
          <w:szCs w:val="20"/>
          <w:color w:val="auto"/>
        </w:rPr>
      </w:pPr>
    </w:p>
    <w:p>
      <w:pPr>
        <w:ind w:left="720" w:hanging="360"/>
        <w:spacing w:after="0" w:line="236" w:lineRule="auto"/>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“on the basis” of material nonpublic information (see Part II below for more information about what may constitute material nonpublic information)</w:t>
      </w:r>
    </w:p>
    <w:p>
      <w:pPr>
        <w:spacing w:after="0" w:line="24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“Tipping” or providing material nonpublic information to another person who then trades based on such information.</w:t>
      </w:r>
    </w:p>
    <w:p>
      <w:pPr>
        <w:spacing w:after="0" w:line="3" w:lineRule="exact"/>
        <w:rPr>
          <w:rFonts w:ascii="Times New Roman" w:cs="Times New Roman" w:eastAsia="Times New Roman" w:hAnsi="Times New Roman"/>
          <w:sz w:val="19"/>
          <w:szCs w:val="19"/>
          <w:color w:val="auto"/>
        </w:rPr>
      </w:pPr>
    </w:p>
    <w:p>
      <w:pPr>
        <w:ind w:left="7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includes providing trading advice or opinions on transactions</w:t>
      </w:r>
    </w:p>
    <w:p>
      <w:pPr>
        <w:spacing w:after="0" w:line="234" w:lineRule="exact"/>
        <w:rPr>
          <w:rFonts w:ascii="Times New Roman" w:cs="Times New Roman" w:eastAsia="Times New Roman" w:hAnsi="Times New Roman"/>
          <w:sz w:val="19"/>
          <w:szCs w:val="19"/>
          <w:color w:val="auto"/>
        </w:rPr>
      </w:pPr>
    </w:p>
    <w:p>
      <w:pPr>
        <w:ind w:left="720" w:hanging="360"/>
        <w:spacing w:after="0"/>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“short sales” of Dragonfly securities (betting that the price of securities will decline)</w:t>
      </w:r>
    </w:p>
    <w:p>
      <w:pPr>
        <w:spacing w:after="0" w:line="243" w:lineRule="exact"/>
        <w:rPr>
          <w:rFonts w:ascii="Times New Roman" w:cs="Times New Roman" w:eastAsia="Times New Roman" w:hAnsi="Times New Roman"/>
          <w:sz w:val="20"/>
          <w:szCs w:val="20"/>
          <w:color w:val="auto"/>
        </w:rPr>
      </w:pPr>
    </w:p>
    <w:p>
      <w:pPr>
        <w:ind w:left="720" w:hanging="360"/>
        <w:spacing w:after="0" w:line="236" w:lineRule="auto"/>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in transactions involving publicly-traded options, such as puts and calls, and other derivative securities with respect to Dragonfly’s securities</w:t>
      </w:r>
    </w:p>
    <w:p>
      <w:pPr>
        <w:spacing w:after="0" w:line="243" w:lineRule="exact"/>
        <w:rPr>
          <w:rFonts w:ascii="Times New Roman" w:cs="Times New Roman" w:eastAsia="Times New Roman" w:hAnsi="Times New Roman"/>
          <w:sz w:val="20"/>
          <w:szCs w:val="20"/>
          <w:color w:val="auto"/>
        </w:rPr>
      </w:pPr>
    </w:p>
    <w:p>
      <w:pPr>
        <w:jc w:val="both"/>
        <w:ind w:left="720" w:hanging="360"/>
        <w:spacing w:after="0" w:line="238" w:lineRule="auto"/>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Placing “open orders” (such as limit orders or stop orders) with brokers which may remain outstanding for an extended period of time and, as a result, could be executed at a time when you are aware of material nonpublic information or otherwise not permitted to trade</w:t>
      </w:r>
    </w:p>
    <w:p>
      <w:pPr>
        <w:spacing w:after="0" w:line="23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during Trading Blackout Periods, or during any special blackout periods applicable to you</w:t>
      </w:r>
    </w:p>
    <w:p>
      <w:pPr>
        <w:spacing w:after="0" w:line="244"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or pledging Dragonfly securities as collateral for loans if you are subject to any Trading Blackout Periods or subject to Section 16 of the Securities Exchange Act of 1934, as amended (“</w:t>
      </w:r>
      <w:r>
        <w:rPr>
          <w:rFonts w:ascii="Times New Roman" w:cs="Times New Roman" w:eastAsia="Times New Roman" w:hAnsi="Times New Roman"/>
          <w:sz w:val="20"/>
          <w:szCs w:val="20"/>
          <w:b w:val="1"/>
          <w:bCs w:val="1"/>
          <w:i w:val="1"/>
          <w:iCs w:val="1"/>
          <w:color w:val="auto"/>
        </w:rPr>
        <w:t>Section 16</w:t>
      </w:r>
      <w:r>
        <w:rPr>
          <w:rFonts w:ascii="Times New Roman" w:cs="Times New Roman" w:eastAsia="Times New Roman" w:hAnsi="Times New Roman"/>
          <w:sz w:val="20"/>
          <w:szCs w:val="20"/>
          <w:color w:val="auto"/>
        </w:rPr>
        <w:t>”)</w:t>
      </w:r>
    </w:p>
    <w:p>
      <w:pPr>
        <w:spacing w:after="0" w:line="244" w:lineRule="exact"/>
        <w:rPr>
          <w:rFonts w:ascii="Times New Roman" w:cs="Times New Roman" w:eastAsia="Times New Roman" w:hAnsi="Times New Roman"/>
          <w:sz w:val="20"/>
          <w:szCs w:val="20"/>
          <w:color w:val="auto"/>
        </w:rPr>
      </w:pPr>
    </w:p>
    <w:p>
      <w:pPr>
        <w:ind w:left="720" w:hanging="360"/>
        <w:spacing w:after="0" w:line="236" w:lineRule="auto"/>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 Dragonfly securities in margin accounts if you are subject to any Trading Blackout Periods or subject to Section 16</w:t>
      </w:r>
    </w:p>
    <w:p>
      <w:pPr>
        <w:spacing w:after="0" w:line="23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trading without pre-clearance</w:t>
      </w:r>
    </w:p>
    <w:p>
      <w:pPr>
        <w:spacing w:after="0" w:line="244"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Any of the above actions will be deemed violations of this Policy and may result in severe consequences, including but not limited to termination of your employment and criminal prosecution resulting in imprisonment. Prosecutors pursue insider trading violations vigorously, even if the size of the transaction is small.</w:t>
      </w:r>
    </w:p>
    <w:p>
      <w:pPr>
        <w:spacing w:after="0" w:line="24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Even if a transaction is not listed above, you are ultimately responsible for ensuring that it otherwise complies with this Policy and applicable laws and regulations. You should use your best judgment at all times and consult with your personal legal and financial advisors, as needed. Share this policy with your broker or other financial advisor before engaging in any transactions involving Dragonfly’s securities or the securities of any other company. Please seek assistance from the Compliance Officer (as defined below) if you have any questions at all.</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080"/>
          </w:cols>
          <w:pgMar w:left="1080" w:top="1079" w:right="1080" w:bottom="155" w:gutter="0" w:footer="0" w:header="0"/>
          <w:type w:val="continuous"/>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PREVENTING INSIDER TRADING AND YOUR OBLIGATIONS</w:t>
      </w:r>
    </w:p>
    <w:p>
      <w:pPr>
        <w:spacing w:after="0" w:line="234" w:lineRule="exact"/>
        <w:rPr>
          <w:sz w:val="20"/>
          <w:szCs w:val="20"/>
          <w:color w:val="auto"/>
        </w:rPr>
      </w:pPr>
    </w:p>
    <w:p>
      <w:pPr>
        <w:ind w:left="360" w:hanging="360"/>
        <w:spacing w:after="0"/>
        <w:tabs>
          <w:tab w:leader="none" w:pos="36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Covered Persons</w:t>
      </w:r>
    </w:p>
    <w:p>
      <w:pPr>
        <w:spacing w:after="0" w:line="243"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This Policy applies to all directors, officers and employees of the Company, as well as any consultants, contractors or other agents of the Company whom the Compliance Officer may designate is subject to the Policy. References in this Policy to such persons, or to “</w:t>
      </w:r>
      <w:r>
        <w:rPr>
          <w:rFonts w:ascii="Times New Roman" w:cs="Times New Roman" w:eastAsia="Times New Roman" w:hAnsi="Times New Roman"/>
          <w:sz w:val="20"/>
          <w:szCs w:val="20"/>
          <w:b w:val="1"/>
          <w:bCs w:val="1"/>
          <w:i w:val="1"/>
          <w:iCs w:val="1"/>
          <w:color w:val="auto"/>
        </w:rPr>
        <w:t>you</w:t>
      </w:r>
      <w:r>
        <w:rPr>
          <w:rFonts w:ascii="Times New Roman" w:cs="Times New Roman" w:eastAsia="Times New Roman" w:hAnsi="Times New Roman"/>
          <w:sz w:val="20"/>
          <w:szCs w:val="20"/>
          <w:color w:val="auto"/>
        </w:rPr>
        <w:t>,” also include your immediate family members, members of your household and your economic dependents, along with any other individuals or entities whose transactions in securities you influence, direct or control (which may be, for example, a venture or other investment fund). You are responsible for making sure that these other individuals and entities comply with this Policy.</w:t>
      </w:r>
    </w:p>
    <w:p>
      <w:pPr>
        <w:spacing w:after="0" w:line="244"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 xml:space="preserve">You are expected to comply with this Policy until such time as you are no longer affiliated with the Company </w:t>
      </w:r>
      <w:r>
        <w:rPr>
          <w:rFonts w:ascii="Times New Roman" w:cs="Times New Roman" w:eastAsia="Times New Roman" w:hAnsi="Times New Roman"/>
          <w:sz w:val="20"/>
          <w:szCs w:val="20"/>
          <w:i w:val="1"/>
          <w:iCs w:val="1"/>
          <w:color w:val="auto"/>
        </w:rPr>
        <w:t>and</w:t>
      </w:r>
      <w:r>
        <w:rPr>
          <w:rFonts w:ascii="Times New Roman" w:cs="Times New Roman" w:eastAsia="Times New Roman" w:hAnsi="Times New Roman"/>
          <w:sz w:val="20"/>
          <w:szCs w:val="20"/>
          <w:color w:val="auto"/>
        </w:rPr>
        <w:t xml:space="preserve"> you no longer possess any material nonpublic information subject to this Policy, as described in </w:t>
      </w:r>
      <w:r>
        <w:rPr>
          <w:rFonts w:ascii="Times New Roman" w:cs="Times New Roman" w:eastAsia="Times New Roman" w:hAnsi="Times New Roman"/>
          <w:sz w:val="20"/>
          <w:szCs w:val="20"/>
          <w:u w:val="single" w:color="auto"/>
          <w:color w:val="auto"/>
        </w:rPr>
        <w:t>Part II</w:t>
      </w:r>
      <w:r>
        <w:rPr>
          <w:rFonts w:ascii="Times New Roman" w:cs="Times New Roman" w:eastAsia="Times New Roman" w:hAnsi="Times New Roman"/>
          <w:sz w:val="20"/>
          <w:szCs w:val="20"/>
          <w:color w:val="auto"/>
        </w:rPr>
        <w:t xml:space="preserve"> (Material Nonpublic Information). In addition, if you are subject to a trading blackout under this Policy at the time you cease to be affiliated with the Company, you are expected to abide by the applicable trading restrictions until at least the end of the relevant Trading Blackout Period.</w:t>
      </w:r>
    </w:p>
    <w:p>
      <w:pPr>
        <w:spacing w:after="0" w:line="237" w:lineRule="exact"/>
        <w:rPr>
          <w:sz w:val="20"/>
          <w:szCs w:val="20"/>
          <w:color w:val="auto"/>
        </w:rPr>
      </w:pPr>
    </w:p>
    <w:p>
      <w:pPr>
        <w:ind w:left="360" w:hanging="360"/>
        <w:spacing w:after="0"/>
        <w:tabs>
          <w:tab w:leader="none" w:pos="36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Covered Activities</w:t>
      </w:r>
    </w:p>
    <w:p>
      <w:pPr>
        <w:spacing w:after="0" w:line="243"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 xml:space="preserve">Except as discussed in </w:t>
      </w:r>
      <w:r>
        <w:rPr>
          <w:rFonts w:ascii="Times New Roman" w:cs="Times New Roman" w:eastAsia="Times New Roman" w:hAnsi="Times New Roman"/>
          <w:sz w:val="20"/>
          <w:szCs w:val="20"/>
          <w:u w:val="single" w:color="auto"/>
          <w:color w:val="auto"/>
        </w:rPr>
        <w:t>Part III</w:t>
      </w:r>
      <w:r>
        <w:rPr>
          <w:rFonts w:ascii="Times New Roman" w:cs="Times New Roman" w:eastAsia="Times New Roman" w:hAnsi="Times New Roman"/>
          <w:sz w:val="20"/>
          <w:szCs w:val="20"/>
          <w:color w:val="auto"/>
        </w:rPr>
        <w:t xml:space="preserve"> (Limited Exceptions), this Policy applies to all transactions involving the Company’s securities (including common stock, preferred stock, options to purchase common stock, securities that are convertible into common stock or preferred stock of the Company or any other securities that the Company may issue) or other companies’ securities on the basis of material nonpublic information obtained in connection with your service with the Company. This Policy therefore applies to:</w:t>
      </w:r>
    </w:p>
    <w:p>
      <w:pPr>
        <w:spacing w:after="0" w:line="247" w:lineRule="exact"/>
        <w:rPr>
          <w:sz w:val="20"/>
          <w:szCs w:val="20"/>
          <w:color w:val="auto"/>
        </w:rPr>
      </w:pPr>
    </w:p>
    <w:p>
      <w:pPr>
        <w:jc w:val="both"/>
        <w:ind w:left="720" w:hanging="360"/>
        <w:spacing w:after="0" w:line="237" w:lineRule="auto"/>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involving the securities of the Company, whether direct or indirect (including transactions made on your behalf by money managers), including purchases, sales and other transfers of common stock, options, warrants, preferred stock and debt securities (such as debentures, bonds and notes);</w:t>
      </w:r>
    </w:p>
    <w:p>
      <w:pPr>
        <w:spacing w:after="0" w:line="246"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involving the securities of other companies on the basis of material nonpublic information obtained in the course of your service with the Company;</w:t>
      </w:r>
    </w:p>
    <w:p>
      <w:pPr>
        <w:spacing w:after="0" w:line="244" w:lineRule="exact"/>
        <w:rPr>
          <w:rFonts w:ascii="Times New Roman" w:cs="Times New Roman" w:eastAsia="Times New Roman" w:hAnsi="Times New Roman"/>
          <w:sz w:val="20"/>
          <w:szCs w:val="20"/>
          <w:color w:val="auto"/>
        </w:rPr>
      </w:pPr>
    </w:p>
    <w:p>
      <w:pPr>
        <w:jc w:val="both"/>
        <w:ind w:left="720" w:hanging="360"/>
        <w:spacing w:after="0" w:line="238" w:lineRule="auto"/>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arrangements that affect economic exposure to changes in the prices of these securities, such as transactions in derivative securities (e.g., exchange-traded put or call options), hedging transactions, short sales and certain decisions with respect to participation in benefit plans;</w:t>
      </w:r>
    </w:p>
    <w:p>
      <w:pPr>
        <w:spacing w:after="0" w:line="23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in the form of a gift of any securities of the Company;</w:t>
      </w:r>
    </w:p>
    <w:p>
      <w:pPr>
        <w:spacing w:after="0" w:line="23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distribution to holders of interests in an entity if the entity is subject to this Policy;</w:t>
      </w:r>
    </w:p>
    <w:p>
      <w:pPr>
        <w:spacing w:after="0" w:line="23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offers with respect to the transactions discussed above; and</w:t>
      </w:r>
    </w:p>
    <w:p>
      <w:pPr>
        <w:spacing w:after="0" w:line="23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unauthorized use or disclosure of nonpublic information.</w:t>
      </w:r>
    </w:p>
    <w:p>
      <w:pPr>
        <w:spacing w:after="0" w:line="24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There may be instances where you suffer financial harm or other hardship or are otherwise required to forego a planned transaction because of the restrictions imposed by this Policy. Personal financial emergency or other personal circumstances will not excuse a failure to comply with this Policy.</w:t>
      </w:r>
    </w:p>
    <w:p>
      <w:pPr>
        <w:spacing w:after="0" w:line="234" w:lineRule="exact"/>
        <w:rPr>
          <w:sz w:val="20"/>
          <w:szCs w:val="20"/>
          <w:color w:val="auto"/>
        </w:rPr>
      </w:pPr>
    </w:p>
    <w:p>
      <w:pPr>
        <w:ind w:left="360" w:hanging="360"/>
        <w:spacing w:after="0"/>
        <w:tabs>
          <w:tab w:leader="none" w:pos="36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Insider Trading and Tipping</w:t>
      </w:r>
    </w:p>
    <w:p>
      <w:pPr>
        <w:spacing w:after="0" w:line="244"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i w:val="1"/>
          <w:iCs w:val="1"/>
          <w:color w:val="auto"/>
        </w:rPr>
        <w:t xml:space="preserve">Insider Trading and Tipping. </w:t>
      </w:r>
      <w:r>
        <w:rPr>
          <w:rFonts w:ascii="Times New Roman" w:cs="Times New Roman" w:eastAsia="Times New Roman" w:hAnsi="Times New Roman"/>
          <w:sz w:val="20"/>
          <w:szCs w:val="20"/>
          <w:color w:val="auto"/>
        </w:rPr>
        <w:t>Directors, officers, employees and other individuals who possess material nonpublic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are prohibited from the following illegal activities, which are commonly referred to as “</w:t>
      </w:r>
      <w:r>
        <w:rPr>
          <w:rFonts w:ascii="Times New Roman" w:cs="Times New Roman" w:eastAsia="Times New Roman" w:hAnsi="Times New Roman"/>
          <w:sz w:val="20"/>
          <w:szCs w:val="20"/>
          <w:b w:val="1"/>
          <w:bCs w:val="1"/>
          <w:i w:val="1"/>
          <w:iCs w:val="1"/>
          <w:color w:val="auto"/>
        </w:rPr>
        <w:t>insider trading</w:t>
      </w:r>
      <w:r>
        <w:rPr>
          <w:rFonts w:ascii="Times New Roman" w:cs="Times New Roman" w:eastAsia="Times New Roman" w:hAnsi="Times New Roman"/>
          <w:sz w:val="20"/>
          <w:szCs w:val="20"/>
          <w:color w:val="auto"/>
        </w:rPr>
        <w:t>”:</w:t>
      </w:r>
    </w:p>
    <w:p>
      <w:pPr>
        <w:spacing w:after="0" w:line="246" w:lineRule="exact"/>
        <w:rPr>
          <w:sz w:val="20"/>
          <w:szCs w:val="20"/>
          <w:color w:val="auto"/>
        </w:rPr>
      </w:pPr>
    </w:p>
    <w:p>
      <w:pPr>
        <w:ind w:left="720" w:hanging="360"/>
        <w:spacing w:after="0" w:line="235" w:lineRule="auto"/>
        <w:tabs>
          <w:tab w:leader="none" w:pos="7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“on the basis” of material nonpublic information (i.e., as long as they are aware of such information). It is not a defense that the person did not “use” the material nonpublic information for purposes of the transaction.</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080"/>
          </w:cols>
          <w:pgMar w:left="1080" w:top="1079" w:right="1080" w:bottom="155" w:gutter="0" w:footer="0" w:header="0"/>
          <w:type w:val="continuous"/>
        </w:sectPr>
      </w:pPr>
    </w:p>
    <w:bookmarkStart w:id="142" w:name="page143"/>
    <w:bookmarkEnd w:id="142"/>
    <w:p>
      <w:pPr>
        <w:jc w:val="both"/>
        <w:ind w:left="720" w:hanging="360"/>
        <w:spacing w:after="0" w:line="239" w:lineRule="auto"/>
        <w:tabs>
          <w:tab w:leader="none" w:pos="7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material nonpublic information directly or indirectly to others who then trade based on that information, or making recommendations or expressing opinions on transactions in securities while aware of material nonpublic information (sometimes referred to as “</w:t>
      </w:r>
      <w:r>
        <w:rPr>
          <w:rFonts w:ascii="Times New Roman" w:cs="Times New Roman" w:eastAsia="Times New Roman" w:hAnsi="Times New Roman"/>
          <w:sz w:val="20"/>
          <w:szCs w:val="20"/>
          <w:b w:val="1"/>
          <w:bCs w:val="1"/>
          <w:i w:val="1"/>
          <w:iCs w:val="1"/>
          <w:color w:val="auto"/>
        </w:rPr>
        <w:t>tipping</w:t>
      </w:r>
      <w:r>
        <w:rPr>
          <w:rFonts w:ascii="Times New Roman" w:cs="Times New Roman" w:eastAsia="Times New Roman" w:hAnsi="Times New Roman"/>
          <w:sz w:val="20"/>
          <w:szCs w:val="20"/>
          <w:color w:val="auto"/>
        </w:rPr>
        <w:t>”). Both the person who provides the information, recommendation or opinion and the person who trades based on it may be liable.</w:t>
      </w:r>
    </w:p>
    <w:p>
      <w:pPr>
        <w:spacing w:after="0" w:line="243"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The U.S.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and the U.S. Department of Justice pursue insider trading violations vigorously. Cases involving trading through foreign accounts, trading by family members and friends and trading only a small number of shares have been successfully prosecuted. There are no exceptions from insider trading laws or this Policy based on the size of the transaction.</w:t>
      </w:r>
    </w:p>
    <w:p>
      <w:pPr>
        <w:spacing w:after="0" w:line="24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Controlling Person Liability. </w:t>
      </w:r>
      <w:r>
        <w:rPr>
          <w:rFonts w:ascii="Times New Roman" w:cs="Times New Roman" w:eastAsia="Times New Roman" w:hAnsi="Times New Roman"/>
          <w:sz w:val="20"/>
          <w:szCs w:val="20"/>
          <w:color w:val="auto"/>
        </w:rPr>
        <w:t>In addition, a company, as well as individual directors, officers and other supervisory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personnel, may be subject to liability as “</w:t>
      </w:r>
      <w:r>
        <w:rPr>
          <w:rFonts w:ascii="Times New Roman" w:cs="Times New Roman" w:eastAsia="Times New Roman" w:hAnsi="Times New Roman"/>
          <w:sz w:val="20"/>
          <w:szCs w:val="20"/>
          <w:b w:val="1"/>
          <w:bCs w:val="1"/>
          <w:i w:val="1"/>
          <w:iCs w:val="1"/>
          <w:color w:val="auto"/>
        </w:rPr>
        <w:t>controlling persons</w:t>
      </w:r>
      <w:r>
        <w:rPr>
          <w:rFonts w:ascii="Times New Roman" w:cs="Times New Roman" w:eastAsia="Times New Roman" w:hAnsi="Times New Roman"/>
          <w:sz w:val="20"/>
          <w:szCs w:val="20"/>
          <w:color w:val="auto"/>
        </w:rPr>
        <w:t>” for failure to take appropriate steps to prevent insider trading by those under their supervision, influence or control.</w:t>
      </w:r>
    </w:p>
    <w:p>
      <w:pPr>
        <w:spacing w:after="0" w:line="234" w:lineRule="exact"/>
        <w:rPr>
          <w:sz w:val="20"/>
          <w:szCs w:val="20"/>
          <w:color w:val="auto"/>
        </w:rPr>
      </w:pPr>
    </w:p>
    <w:p>
      <w:pPr>
        <w:ind w:left="360" w:hanging="360"/>
        <w:spacing w:after="0"/>
        <w:tabs>
          <w:tab w:leader="none" w:pos="36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 Prohibited and Problematic Transactions</w:t>
      </w:r>
    </w:p>
    <w:p>
      <w:pPr>
        <w:spacing w:after="0" w:line="244"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The types of transactions listed below may expose you and the Company to significant risks. Even if a transaction is not listed below, you are responsible for ensuring that it otherwise complies with the applicable provisions of this Policy, including insider trading and tipping prohibitions, the pre-clearance requirements and procedures applicable to you if you are on the Pre-Clearance List (“</w:t>
      </w:r>
      <w:r>
        <w:rPr>
          <w:rFonts w:ascii="Times New Roman" w:cs="Times New Roman" w:eastAsia="Times New Roman" w:hAnsi="Times New Roman"/>
          <w:sz w:val="20"/>
          <w:szCs w:val="20"/>
          <w:b w:val="1"/>
          <w:bCs w:val="1"/>
          <w:i w:val="1"/>
          <w:iCs w:val="1"/>
          <w:color w:val="auto"/>
        </w:rPr>
        <w:t>Pre-Clearance Requirements</w:t>
      </w:r>
      <w:r>
        <w:rPr>
          <w:rFonts w:ascii="Times New Roman" w:cs="Times New Roman" w:eastAsia="Times New Roman" w:hAnsi="Times New Roman"/>
          <w:sz w:val="20"/>
          <w:szCs w:val="20"/>
          <w:color w:val="auto"/>
        </w:rPr>
        <w:t>”), and Trading Blackout Periods.</w:t>
      </w:r>
    </w:p>
    <w:p>
      <w:pPr>
        <w:spacing w:after="0" w:line="243" w:lineRule="exact"/>
        <w:rPr>
          <w:sz w:val="20"/>
          <w:szCs w:val="20"/>
          <w:color w:val="auto"/>
        </w:rPr>
      </w:pPr>
    </w:p>
    <w:p>
      <w:pPr>
        <w:jc w:val="both"/>
        <w:ind w:left="720" w:hanging="360"/>
        <w:spacing w:after="0" w:line="235" w:lineRule="auto"/>
        <w:tabs>
          <w:tab w:leader="none" w:pos="7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Short Sales</w:t>
      </w:r>
      <w:r>
        <w:rPr>
          <w:rFonts w:ascii="Times New Roman" w:cs="Times New Roman" w:eastAsia="Times New Roman" w:hAnsi="Times New Roman"/>
          <w:sz w:val="20"/>
          <w:szCs w:val="20"/>
          <w:color w:val="auto"/>
        </w:rPr>
        <w:t>. You are prohibited from making short sales (</w:t>
      </w:r>
      <w:r>
        <w:rPr>
          <w:rFonts w:ascii="Times New Roman" w:cs="Times New Roman" w:eastAsia="Times New Roman" w:hAnsi="Times New Roman"/>
          <w:sz w:val="20"/>
          <w:szCs w:val="20"/>
          <w:i w:val="1"/>
          <w:iCs w:val="1"/>
          <w:color w:val="auto"/>
        </w:rPr>
        <w:t xml:space="preserve">i.e., </w:t>
      </w:r>
      <w:r>
        <w:rPr>
          <w:rFonts w:ascii="Times New Roman" w:cs="Times New Roman" w:eastAsia="Times New Roman" w:hAnsi="Times New Roman"/>
          <w:sz w:val="20"/>
          <w:szCs w:val="20"/>
          <w:color w:val="auto"/>
        </w:rPr>
        <w:t>the sale of a security that must be borrowed to make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delivery) and “selling short against the box”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a sale with a delayed delivery) with respect to Company securities.</w:t>
      </w:r>
    </w:p>
    <w:p>
      <w:pPr>
        <w:spacing w:after="0" w:line="245" w:lineRule="exact"/>
        <w:rPr>
          <w:rFonts w:ascii="Times New Roman" w:cs="Times New Roman" w:eastAsia="Times New Roman" w:hAnsi="Times New Roman"/>
          <w:sz w:val="20"/>
          <w:szCs w:val="20"/>
          <w:color w:val="auto"/>
        </w:rPr>
      </w:pPr>
    </w:p>
    <w:p>
      <w:pPr>
        <w:jc w:val="both"/>
        <w:ind w:left="720" w:hanging="360"/>
        <w:spacing w:after="0"/>
        <w:tabs>
          <w:tab w:leader="none" w:pos="7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Transactions in Derivative Securities</w:t>
      </w:r>
      <w:r>
        <w:rPr>
          <w:rFonts w:ascii="Times New Roman" w:cs="Times New Roman" w:eastAsia="Times New Roman" w:hAnsi="Times New Roman"/>
          <w:sz w:val="20"/>
          <w:szCs w:val="20"/>
          <w:color w:val="auto"/>
        </w:rPr>
        <w:t>. You are prohibited from engaging in transactions in publicly-traded options,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as puts and calls, and other derivative securities with respect to the Company’s securities. This prohibition extends to any hedging or similar transaction designed to decrease the risks associated with holding Company securities. Stock options, stock appreciation rights and other securities issued pursuant to Company benefit plans or other compensatory arrangements with the Company are not subject to this prohibition. Among other reasons for this prohibition, the application of securities laws to derivatives transactions can be complex, and persons engaging in derivatives transactions may subject themselves to an increased risk of violating SEC regulations and other applicable securities laws.</w:t>
      </w:r>
    </w:p>
    <w:p>
      <w:pPr>
        <w:spacing w:after="0" w:line="247" w:lineRule="exact"/>
        <w:rPr>
          <w:rFonts w:ascii="Times New Roman" w:cs="Times New Roman" w:eastAsia="Times New Roman" w:hAnsi="Times New Roman"/>
          <w:sz w:val="20"/>
          <w:szCs w:val="20"/>
          <w:color w:val="auto"/>
        </w:rPr>
      </w:pPr>
    </w:p>
    <w:p>
      <w:pPr>
        <w:jc w:val="both"/>
        <w:ind w:left="720" w:hanging="360"/>
        <w:spacing w:after="0" w:line="239" w:lineRule="auto"/>
        <w:tabs>
          <w:tab w:leader="none" w:pos="7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Using Company Securities as Collateral for Loans</w:t>
      </w:r>
      <w:r>
        <w:rPr>
          <w:rFonts w:ascii="Times New Roman" w:cs="Times New Roman" w:eastAsia="Times New Roman" w:hAnsi="Times New Roman"/>
          <w:sz w:val="20"/>
          <w:szCs w:val="20"/>
          <w:color w:val="auto"/>
        </w:rPr>
        <w:t>. You are prohibited from pledging Company securities as collateral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loans except to the extent you have made such arrangements prior to the Company’s adoption of this Policy. If you default on the loan, the lender may sell the pledged securities as collateral in a foreclosure sale. This sale, even though not initiated at your request, would be considered a sale for your benefit and, if made at a time when you are aware of material nonpublic information or otherwise are not permitted to trade Company securities, may result in violations of this Policy or securities laws.</w:t>
      </w:r>
    </w:p>
    <w:p>
      <w:pPr>
        <w:spacing w:after="0" w:line="249" w:lineRule="exact"/>
        <w:rPr>
          <w:rFonts w:ascii="Times New Roman" w:cs="Times New Roman" w:eastAsia="Times New Roman" w:hAnsi="Times New Roman"/>
          <w:sz w:val="20"/>
          <w:szCs w:val="20"/>
          <w:color w:val="auto"/>
        </w:rPr>
      </w:pPr>
    </w:p>
    <w:p>
      <w:pPr>
        <w:jc w:val="both"/>
        <w:ind w:left="720" w:hanging="360"/>
        <w:spacing w:after="0" w:line="255" w:lineRule="auto"/>
        <w:tabs>
          <w:tab w:leader="none" w:pos="72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Holding Company Securities in Margin Accounts</w:t>
      </w:r>
      <w:r>
        <w:rPr>
          <w:rFonts w:ascii="Times New Roman" w:cs="Times New Roman" w:eastAsia="Times New Roman" w:hAnsi="Times New Roman"/>
          <w:sz w:val="19"/>
          <w:szCs w:val="19"/>
          <w:color w:val="auto"/>
        </w:rPr>
        <w:t>. You are prohibited from holding Company securities in margin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accounts. Under typical margin arrangements, if you fail to meet a margin call, the broker may be entitled to sell securities held in the margin account without your consent. This sale, even though not initiated at your request, would be considered a sale for your benefit and, if made at a time when you are aware of material nonpublic information or otherwise are not permitted to trade Company securities, may result in violations of this Policy or securities laws.</w:t>
      </w:r>
    </w:p>
    <w:p>
      <w:pPr>
        <w:spacing w:after="0" w:line="230" w:lineRule="exact"/>
        <w:rPr>
          <w:rFonts w:ascii="Times New Roman" w:cs="Times New Roman" w:eastAsia="Times New Roman" w:hAnsi="Times New Roman"/>
          <w:sz w:val="19"/>
          <w:szCs w:val="19"/>
          <w:color w:val="auto"/>
        </w:rPr>
      </w:pPr>
    </w:p>
    <w:p>
      <w:pPr>
        <w:jc w:val="both"/>
        <w:ind w:left="720" w:hanging="360"/>
        <w:spacing w:after="0"/>
        <w:tabs>
          <w:tab w:leader="none" w:pos="7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Placing Open Orders with Brokers</w:t>
      </w:r>
      <w:r>
        <w:rPr>
          <w:rFonts w:ascii="Times New Roman" w:cs="Times New Roman" w:eastAsia="Times New Roman" w:hAnsi="Times New Roman"/>
          <w:sz w:val="20"/>
          <w:szCs w:val="20"/>
          <w:color w:val="auto"/>
        </w:rPr>
        <w:t>. Except in accordance with an approved trading plan, as discussed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Part III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(Limited Exceptions),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Company securities, which may result in violations of this Policy or securities laws. Additionally, you should so inform any broker with whom you place any open order about the requirements of this Policy at the time any open order is placed.</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080"/>
          </w:cols>
          <w:pgMar w:left="1080" w:top="1089" w:right="1080" w:bottom="155" w:gutter="0" w:footer="0" w:header="0"/>
          <w:type w:val="continuous"/>
        </w:sectPr>
      </w:pPr>
    </w:p>
    <w:bookmarkStart w:id="143" w:name="page144"/>
    <w:bookmarkEnd w:id="143"/>
    <w:p>
      <w:pPr>
        <w:ind w:left="360" w:hanging="360"/>
        <w:spacing w:after="0"/>
        <w:tabs>
          <w:tab w:leader="none" w:pos="36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Trading Blackout Periods</w:t>
      </w:r>
    </w:p>
    <w:p>
      <w:pPr>
        <w:spacing w:after="0" w:line="243"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To limit the likelihood of trading at times when there is a significant risk of insider trading exposure, the Company has instituted Quarterly Blackout Periods (the “</w:t>
      </w:r>
      <w:r>
        <w:rPr>
          <w:rFonts w:ascii="Times New Roman" w:cs="Times New Roman" w:eastAsia="Times New Roman" w:hAnsi="Times New Roman"/>
          <w:sz w:val="20"/>
          <w:szCs w:val="20"/>
          <w:b w:val="1"/>
          <w:bCs w:val="1"/>
          <w:i w:val="1"/>
          <w:iCs w:val="1"/>
          <w:color w:val="auto"/>
        </w:rPr>
        <w:t>Trading Blackout Periods</w:t>
      </w:r>
      <w:r>
        <w:rPr>
          <w:rFonts w:ascii="Times New Roman" w:cs="Times New Roman" w:eastAsia="Times New Roman" w:hAnsi="Times New Roman"/>
          <w:sz w:val="20"/>
          <w:szCs w:val="20"/>
          <w:color w:val="auto"/>
        </w:rPr>
        <w:t>”). The Company may also institute special trading blackout periods from time to time. Whether or not you are subject to a blackout period, you remain subject to the prohibitions on trading on the basis of material nonpublic information and any other applicable restrictions in this Policy. There are no unconditional “safe harbors” for trades made at particular times, and you should exercise good judgment at all times. Even when a trading window is open you may be restricted from trading if you possess material nonpublic information or are otherwise restricted by this Policy.</w:t>
      </w:r>
    </w:p>
    <w:p>
      <w:pPr>
        <w:spacing w:after="0" w:line="24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Quarterly Blackout Periods. </w:t>
      </w:r>
      <w:r>
        <w:rPr>
          <w:rFonts w:ascii="Times New Roman" w:cs="Times New Roman" w:eastAsia="Times New Roman" w:hAnsi="Times New Roman"/>
          <w:sz w:val="20"/>
          <w:szCs w:val="20"/>
          <w:color w:val="auto"/>
        </w:rPr>
        <w:t>Except as discussed in Part III (Limited Exceptions), all employees and directors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(and consultants, contractors and other agents of the Company who are subject to the Plan) are subject to and must refrain from conducting transactions involving the Company’s securities during the Quarterly Blackout Periods. Quarterly Blackout Periods start 14 days prior to the end of each fiscal quarter and end at the start of the second trading day following the date the financial results for the previous fiscal quarter are publicly disclosed.</w:t>
      </w:r>
    </w:p>
    <w:p>
      <w:pPr>
        <w:spacing w:after="0" w:line="247"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i w:val="1"/>
          <w:iCs w:val="1"/>
          <w:color w:val="auto"/>
        </w:rPr>
        <w:t xml:space="preserve">Special Blackout Periods. </w:t>
      </w:r>
      <w:r>
        <w:rPr>
          <w:rFonts w:ascii="Times New Roman" w:cs="Times New Roman" w:eastAsia="Times New Roman" w:hAnsi="Times New Roman"/>
          <w:sz w:val="20"/>
          <w:szCs w:val="20"/>
          <w:color w:val="auto"/>
        </w:rPr>
        <w:t>From time to time, the Company may also prohibit you from engaging in transactions involving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Company’s securities when, in the judgment of the Compliance Officer, a trading blackout is warranted. The Company will generally impose special blackout periods when there are material developments known to the Company that have not yet been disclosed to the public. However, special blackout periods may be declared for any reason. The Company will notify those persons subject to a special blackout period. Each person who has been notified that they are subject to a special blackout period may not engage in any transaction involving the Company’s securities until instructed otherwise by the Compliance Officer, and should not disclose to others the fact of such suspension of trading.</w:t>
      </w:r>
    </w:p>
    <w:p>
      <w:pPr>
        <w:spacing w:after="0" w:line="245"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i w:val="1"/>
          <w:iCs w:val="1"/>
          <w:color w:val="auto"/>
        </w:rPr>
        <w:t>Regulation BTR Blackouts</w:t>
      </w:r>
      <w:r>
        <w:rPr>
          <w:rFonts w:ascii="Times New Roman" w:cs="Times New Roman" w:eastAsia="Times New Roman" w:hAnsi="Times New Roman"/>
          <w:sz w:val="20"/>
          <w:szCs w:val="20"/>
          <w:color w:val="auto"/>
        </w:rPr>
        <w:t>. Directors and officers may also be subject to trading blackouts pursuant to Regulation Blackout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Trading Restriction (“</w:t>
      </w:r>
      <w:r>
        <w:rPr>
          <w:rFonts w:ascii="Times New Roman" w:cs="Times New Roman" w:eastAsia="Times New Roman" w:hAnsi="Times New Roman"/>
          <w:sz w:val="20"/>
          <w:szCs w:val="20"/>
          <w:b w:val="1"/>
          <w:bCs w:val="1"/>
          <w:i w:val="1"/>
          <w:iCs w:val="1"/>
          <w:color w:val="auto"/>
        </w:rPr>
        <w:t>Regulation BTR</w:t>
      </w:r>
      <w:r>
        <w:rPr>
          <w:rFonts w:ascii="Times New Roman" w:cs="Times New Roman" w:eastAsia="Times New Roman" w:hAnsi="Times New Roman"/>
          <w:sz w:val="20"/>
          <w:szCs w:val="20"/>
          <w:color w:val="auto"/>
        </w:rPr>
        <w:t>”),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239" w:lineRule="exact"/>
        <w:rPr>
          <w:sz w:val="20"/>
          <w:szCs w:val="20"/>
          <w:color w:val="auto"/>
        </w:rPr>
      </w:pPr>
    </w:p>
    <w:p>
      <w:pPr>
        <w:ind w:left="360" w:hanging="360"/>
        <w:spacing w:after="0"/>
        <w:tabs>
          <w:tab w:leader="none" w:pos="36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Pre-Clearance of Trades</w:t>
      </w:r>
    </w:p>
    <w:p>
      <w:pPr>
        <w:spacing w:after="0" w:line="244"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 xml:space="preserve">Except as discussed in </w:t>
      </w:r>
      <w:r>
        <w:rPr>
          <w:rFonts w:ascii="Times New Roman" w:cs="Times New Roman" w:eastAsia="Times New Roman" w:hAnsi="Times New Roman"/>
          <w:sz w:val="20"/>
          <w:szCs w:val="20"/>
          <w:u w:val="single" w:color="auto"/>
          <w:color w:val="auto"/>
        </w:rPr>
        <w:t>Part III</w:t>
      </w:r>
      <w:r>
        <w:rPr>
          <w:rFonts w:ascii="Times New Roman" w:cs="Times New Roman" w:eastAsia="Times New Roman" w:hAnsi="Times New Roman"/>
          <w:sz w:val="20"/>
          <w:szCs w:val="20"/>
          <w:color w:val="auto"/>
        </w:rPr>
        <w:t xml:space="preserve"> (Limited Exceptions), all employees and directors of the Company (and consultants, contractors and other agents of the Company who are subject to the Plan) must refrain from engaging in any transaction involving the Company’s securities without first obtaining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of the transaction from the Compliance Officer. The Compliance Officer may not engage in a transaction involving the Company’s securities unless the Chief Executive Officer has pre-cleared the transaction. Pre-clearance approvals are effective for two (2) business days after receipt of the approval (if such approval is not otherwise rescinded) and the transaction must be completed within this period or a new approval must be obtained.</w:t>
      </w:r>
    </w:p>
    <w:p>
      <w:pPr>
        <w:spacing w:after="0" w:line="245"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Pre-clearance of a trade, however, is not a defense to a claim of insider trading and does not excuse you from otherwise complying with insider trading laws or this Policy. Further, pre-clearance of a transaction does not constitute an affirmation by the Company or the Compliance Officer that you are not in possession of material nonpublic information. The Compliance Officer is under no obligation to approve a transaction submitted for pre-clearance, and may determine not to permit the transaction.</w:t>
      </w:r>
    </w:p>
    <w:p>
      <w:pPr>
        <w:spacing w:after="0" w:line="236" w:lineRule="exact"/>
        <w:rPr>
          <w:sz w:val="20"/>
          <w:szCs w:val="20"/>
          <w:color w:val="auto"/>
        </w:rPr>
      </w:pPr>
    </w:p>
    <w:p>
      <w:pPr>
        <w:ind w:left="360" w:hanging="360"/>
        <w:spacing w:after="0"/>
        <w:tabs>
          <w:tab w:leader="none" w:pos="36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Consequences for Violations</w:t>
      </w:r>
    </w:p>
    <w:p>
      <w:pPr>
        <w:spacing w:after="0" w:line="244"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i w:val="1"/>
          <w:iCs w:val="1"/>
          <w:color w:val="auto"/>
        </w:rPr>
        <w:t xml:space="preserve">Civil and Criminal Penalties. </w:t>
      </w:r>
      <w:r>
        <w:rPr>
          <w:rFonts w:ascii="Times New Roman" w:cs="Times New Roman" w:eastAsia="Times New Roman" w:hAnsi="Times New Roman"/>
          <w:sz w:val="20"/>
          <w:szCs w:val="20"/>
          <w:color w:val="auto"/>
        </w:rPr>
        <w:t>Potential penalties for insider trading violations, tipping or controlling person liability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 criminal and civil fines and penalties, imprisonment and other consequences.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080"/>
          </w:cols>
          <w:pgMar w:left="1080" w:top="1079" w:right="1080" w:bottom="155" w:gutter="0" w:footer="0" w:header="0"/>
          <w:type w:val="continuous"/>
        </w:sectPr>
      </w:pPr>
    </w:p>
    <w:bookmarkStart w:id="144" w:name="page145"/>
    <w:bookmarkEnd w:id="144"/>
    <w:p>
      <w:pPr>
        <w:jc w:val="both"/>
        <w:ind w:firstLine="360"/>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Company Disciplinary Actions. </w:t>
      </w:r>
      <w:r>
        <w:rPr>
          <w:rFonts w:ascii="Times New Roman" w:cs="Times New Roman" w:eastAsia="Times New Roman" w:hAnsi="Times New Roman"/>
          <w:sz w:val="20"/>
          <w:szCs w:val="20"/>
          <w:color w:val="auto"/>
        </w:rPr>
        <w:t>If the Company has a reasonable basis to conclude that you have failed to comply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this Policy, you may be subject to disciplinary action, up to and including dismissal for cause, regardless of whether or not your actions result in a violation of law. It is not necessary for the Company to wait for the filing or conclusion of any civil or criminal action against you before taking disciplinary action. In addition, the Company may give stop transfer and other instructions to its transfer agent with respect to transactions that the Company considers to be in contravention of this Policy.</w:t>
      </w:r>
    </w:p>
    <w:p>
      <w:pPr>
        <w:spacing w:after="0" w:line="236" w:lineRule="exact"/>
        <w:rPr>
          <w:sz w:val="20"/>
          <w:szCs w:val="20"/>
          <w:color w:val="auto"/>
        </w:rPr>
      </w:pPr>
    </w:p>
    <w:p>
      <w:pPr>
        <w:ind w:left="360" w:hanging="360"/>
        <w:spacing w:after="0"/>
        <w:tabs>
          <w:tab w:leader="none" w:pos="36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Personal Responsibility</w:t>
      </w:r>
    </w:p>
    <w:p>
      <w:pPr>
        <w:spacing w:after="0" w:line="244"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The ultimate responsibility for complying with this Policy and applicable laws and regulations rests with you. You should use your best judgment at all times and consult with your personal legal and financial advisors, as needed. We advise you to seek assistance if you have any questions at all. The rules relating to insider trading can be complex, and a violation of insider trading laws can carry severe consequences.</w:t>
      </w:r>
    </w:p>
    <w:p>
      <w:pPr>
        <w:spacing w:after="0" w:line="243"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You should be alert to possible violations and promptly report violations or suspected violations of this Policy to the Compliance Officer. If your situation requires that your identity be kept secret, your anonymity will be preserved to the greatest extent reasonably possible. If you wish to remain anonymous, send a letter addressed to the Chief Financial Officer at Manchester Technology Center, Hexagon Tower, Delaunays Road, Blackley, Manchester, M9 8GQ U.K. If you make an anonymous report, please provide as much detail as possible, including any evidence that you believe may be relevant to the issue.</w:t>
      </w:r>
    </w:p>
    <w:p>
      <w:pPr>
        <w:spacing w:after="0" w:line="240" w:lineRule="exact"/>
        <w:rPr>
          <w:sz w:val="20"/>
          <w:szCs w:val="20"/>
          <w:color w:val="auto"/>
        </w:rPr>
      </w:pPr>
    </w:p>
    <w:p>
      <w:pPr>
        <w:ind w:left="360" w:hanging="360"/>
        <w:spacing w:after="0"/>
        <w:tabs>
          <w:tab w:leader="none" w:pos="36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Compliance Officer</w:t>
      </w:r>
    </w:p>
    <w:p>
      <w:pPr>
        <w:spacing w:after="0" w:line="24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Please direct any questions, requests or reports as to any of the matters discussed in this Policy to the General Counsel of the Company (the “</w:t>
      </w:r>
      <w:r>
        <w:rPr>
          <w:rFonts w:ascii="Times New Roman" w:cs="Times New Roman" w:eastAsia="Times New Roman" w:hAnsi="Times New Roman"/>
          <w:sz w:val="20"/>
          <w:szCs w:val="20"/>
          <w:b w:val="1"/>
          <w:bCs w:val="1"/>
          <w:i w:val="1"/>
          <w:iCs w:val="1"/>
          <w:color w:val="auto"/>
        </w:rPr>
        <w:t>Compliance Officer</w:t>
      </w:r>
      <w:r>
        <w:rPr>
          <w:rFonts w:ascii="Times New Roman" w:cs="Times New Roman" w:eastAsia="Times New Roman" w:hAnsi="Times New Roman"/>
          <w:sz w:val="20"/>
          <w:szCs w:val="20"/>
          <w:color w:val="auto"/>
        </w:rPr>
        <w:t>”). The Compliance Officer is generally responsible for the administration of this Policy. The Compliance Officer may select others to assist with the execution of his or her duties.</w:t>
      </w:r>
    </w:p>
    <w:p>
      <w:pPr>
        <w:spacing w:after="0" w:line="234" w:lineRule="exact"/>
        <w:rPr>
          <w:sz w:val="20"/>
          <w:szCs w:val="20"/>
          <w:color w:val="auto"/>
        </w:rPr>
      </w:pPr>
    </w:p>
    <w:p>
      <w:pPr>
        <w:ind w:left="360" w:hanging="360"/>
        <w:spacing w:after="0"/>
        <w:tabs>
          <w:tab w:leader="none" w:pos="36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Information</w:t>
      </w:r>
    </w:p>
    <w:p>
      <w:pPr>
        <w:spacing w:after="0" w:line="244"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Delivery of Policy. </w:t>
      </w:r>
      <w:r>
        <w:rPr>
          <w:rFonts w:ascii="Times New Roman" w:cs="Times New Roman" w:eastAsia="Times New Roman" w:hAnsi="Times New Roman"/>
          <w:sz w:val="20"/>
          <w:szCs w:val="20"/>
          <w:color w:val="auto"/>
        </w:rPr>
        <w:t>This Policy will be delivered to all directors, officers, employees and agents of the Company when they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commence service with the Company. In addition, this Policy (or a summary of this Policy) will be circulated periodically. Each director, officer, employee and agent of the Company is required to acknowledge that he or she understands, and agrees to comply with, this Policy.</w:t>
      </w:r>
    </w:p>
    <w:p>
      <w:pPr>
        <w:spacing w:after="0" w:line="24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i w:val="1"/>
          <w:iCs w:val="1"/>
          <w:color w:val="auto"/>
        </w:rPr>
        <w:t>Amendments</w:t>
      </w:r>
      <w:r>
        <w:rPr>
          <w:rFonts w:ascii="Times New Roman" w:cs="Times New Roman" w:eastAsia="Times New Roman" w:hAnsi="Times New Roman"/>
          <w:sz w:val="20"/>
          <w:szCs w:val="20"/>
          <w:color w:val="auto"/>
        </w:rPr>
        <w:t>. We are committed to continuously reviewing and updating our policies and procedures.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therefore reserves the right to amend, alter or terminate this Policy at any time and for any reason, subject to applicable law. A current copy of the Company’s policies regarding insider trading may be obtained by contacting the Compliance Officer.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w:t>
      </w:r>
    </w:p>
    <w:p>
      <w:pPr>
        <w:spacing w:after="0" w:line="244"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i w:val="1"/>
          <w:iCs w:val="1"/>
          <w:color w:val="auto"/>
        </w:rPr>
        <w:t>Nothing in this Insider Trading Policy creates or implies an employment contract or term of employment or a right to continued employment.</w:t>
      </w:r>
    </w:p>
    <w:p>
      <w:pPr>
        <w:spacing w:after="0" w:line="244"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i w:val="1"/>
          <w:iCs w:val="1"/>
          <w:color w:val="auto"/>
        </w:rPr>
        <w:t>The policies in this Insider Trading Policy do not constitute a complete list of Company policies or a complete list of the types of conduct that can result in discipline, up to and including discharge.</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80"/>
          </w:cols>
          <w:pgMar w:left="1080" w:top="1089" w:right="1080" w:bottom="155"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MATERIAL NONPUBLIC INFORMATION: WHAT IT IS AND YOUR OBLIGATIONS</w:t>
      </w:r>
    </w:p>
    <w:p>
      <w:pPr>
        <w:spacing w:after="0" w:line="234" w:lineRule="exact"/>
        <w:rPr>
          <w:sz w:val="20"/>
          <w:szCs w:val="20"/>
          <w:color w:val="auto"/>
        </w:rPr>
      </w:pPr>
    </w:p>
    <w:p>
      <w:pPr>
        <w:ind w:left="360" w:hanging="360"/>
        <w:spacing w:after="0"/>
        <w:tabs>
          <w:tab w:leader="none" w:pos="36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243"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i w:val="1"/>
          <w:iCs w:val="1"/>
          <w:color w:val="auto"/>
        </w:rPr>
        <w:t>“Material” Information</w:t>
      </w:r>
      <w:r>
        <w:rPr>
          <w:rFonts w:ascii="Times New Roman" w:cs="Times New Roman" w:eastAsia="Times New Roman" w:hAnsi="Times New Roman"/>
          <w:sz w:val="20"/>
          <w:szCs w:val="20"/>
          <w:color w:val="auto"/>
        </w:rPr>
        <w:t>. Information should be regarded as material if there is a substantial likelihood a reasonable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investor would consider it important in deciding whether to buy, hold or sell securities or would view the information as significantly altering the total mix of information in the marketplace about the issuer of the security. Any information that could reasonably be expected to affect the market price of a security is likely to be material, regardless of whether it is positive or negative.</w:t>
      </w:r>
    </w:p>
    <w:p>
      <w:pPr>
        <w:spacing w:after="0" w:line="247"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would often be regarded as material include information with respect to:</w:t>
      </w:r>
    </w:p>
    <w:p>
      <w:pPr>
        <w:spacing w:after="0" w:line="246" w:lineRule="exact"/>
        <w:rPr>
          <w:sz w:val="20"/>
          <w:szCs w:val="20"/>
          <w:color w:val="auto"/>
        </w:rPr>
      </w:pPr>
    </w:p>
    <w:p>
      <w:pPr>
        <w:ind w:left="720" w:hanging="360"/>
        <w:spacing w:after="0" w:line="235" w:lineRule="auto"/>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key metrics, financial condition, earnings pre-announcements, guidance, projections or forecasts, particularly if inconsistent with the Company’s guidance or the expectations of the investment community;</w:t>
      </w:r>
    </w:p>
    <w:p>
      <w:pPr>
        <w:spacing w:after="0" w:line="23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23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23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plans or budgets;</w:t>
      </w:r>
    </w:p>
    <w:p>
      <w:pPr>
        <w:spacing w:after="0" w:line="244"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or waiver under or acceleration of any financial obligation;</w:t>
      </w:r>
    </w:p>
    <w:p>
      <w:pPr>
        <w:spacing w:after="0" w:line="245"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Negotiations with the Company’s lenders regarding waivers, defaults, restructuring or refinancing of the Company’s indebtedness;</w:t>
      </w:r>
    </w:p>
    <w:p>
      <w:pPr>
        <w:spacing w:after="0" w:line="23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244"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245" w:lineRule="exact"/>
        <w:rPr>
          <w:rFonts w:ascii="Times New Roman" w:cs="Times New Roman" w:eastAsia="Times New Roman" w:hAnsi="Times New Roman"/>
          <w:sz w:val="20"/>
          <w:szCs w:val="20"/>
          <w:color w:val="auto"/>
        </w:rPr>
      </w:pPr>
    </w:p>
    <w:p>
      <w:pPr>
        <w:jc w:val="both"/>
        <w:ind w:left="720" w:hanging="360"/>
        <w:spacing w:after="0" w:line="237" w:lineRule="auto"/>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information relating to the operation of a product or service, such as new products or services, major modifications or performance issues, defects or recalls, significant pricing changes or other announcements of a significant nature;</w:t>
      </w:r>
    </w:p>
    <w:p>
      <w:pPr>
        <w:spacing w:after="0" w:line="236"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research and development or relating to intellectual property;</w:t>
      </w:r>
    </w:p>
    <w:p>
      <w:pPr>
        <w:spacing w:after="0" w:line="243"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legal or regulatory developments, whether positive or negative, actual or threatened, including litigation or resolving litigation;</w:t>
      </w:r>
    </w:p>
    <w:p>
      <w:pPr>
        <w:spacing w:after="0" w:line="245"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regarding the continued listing or deficiencies in the listing of the Company’s securities on the Nasdaq Stock Market or any other exchange or trading market the Company’s securities are then listed or traded;</w:t>
      </w:r>
    </w:p>
    <w:p>
      <w:pPr>
        <w:spacing w:after="0" w:line="245" w:lineRule="exact"/>
        <w:rPr>
          <w:rFonts w:ascii="Times New Roman" w:cs="Times New Roman" w:eastAsia="Times New Roman" w:hAnsi="Times New Roman"/>
          <w:sz w:val="20"/>
          <w:szCs w:val="20"/>
          <w:color w:val="auto"/>
        </w:rPr>
      </w:pPr>
    </w:p>
    <w:p>
      <w:pPr>
        <w:jc w:val="both"/>
        <w:ind w:left="720" w:hanging="360"/>
        <w:spacing w:after="0" w:line="237" w:lineRule="auto"/>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246"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w:t>
      </w:r>
    </w:p>
    <w:p>
      <w:pPr>
        <w:spacing w:after="0" w:line="23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changes, such as changes in senior management or lay-offs;</w:t>
      </w:r>
    </w:p>
    <w:p>
      <w:pPr>
        <w:spacing w:after="0" w:line="23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breaches or other cybersecurity events;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080"/>
          </w:cols>
          <w:pgMar w:left="1080" w:top="1079" w:right="1080" w:bottom="155" w:gutter="0" w:footer="0" w:header="0"/>
          <w:type w:val="continuous"/>
        </w:sectPr>
      </w:pPr>
    </w:p>
    <w:bookmarkStart w:id="146" w:name="page147"/>
    <w:bookmarkEnd w:id="146"/>
    <w:p>
      <w:pPr>
        <w:ind w:left="720" w:hanging="360"/>
        <w:spacing w:after="0"/>
        <w:tabs>
          <w:tab w:leader="none" w:pos="72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regarding any prior material disclosure that has materially changed;</w:t>
      </w:r>
    </w:p>
    <w:p>
      <w:pPr>
        <w:spacing w:after="0" w:line="23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 special blackout period; and</w:t>
      </w:r>
    </w:p>
    <w:p>
      <w:pPr>
        <w:spacing w:after="0" w:line="244"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disruptions in the Company’s operations or loss, potential loss, breach or unauthorized access of the Company’s property or assets, including the Company’s facilities and information technology infrastructure.</w:t>
      </w:r>
    </w:p>
    <w:p>
      <w:pPr>
        <w:spacing w:after="0" w:line="246"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If you have any questions as to whether information should be considered “material,” you should consult with the Compliance Officer. In general, it is advisable to resolve any close questions as to the materiality of any information by assuming that the information is material.</w:t>
      </w:r>
    </w:p>
    <w:p>
      <w:pPr>
        <w:spacing w:after="0" w:line="246"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i w:val="1"/>
          <w:iCs w:val="1"/>
          <w:color w:val="auto"/>
        </w:rPr>
        <w:t>“Nonpublic” Information</w:t>
      </w:r>
      <w:r>
        <w:rPr>
          <w:rFonts w:ascii="Times New Roman" w:cs="Times New Roman" w:eastAsia="Times New Roman" w:hAnsi="Times New Roman"/>
          <w:sz w:val="20"/>
          <w:szCs w:val="20"/>
          <w:color w:val="auto"/>
        </w:rPr>
        <w:t>. Generally, information is considered nonpublic if the information has not been broadly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disseminated to the public for a sufficient period to be reflected in the price of the security. As a general rule, information should be considered nonpublic until at least two </w:t>
      </w:r>
      <w:r>
        <w:rPr>
          <w:rFonts w:ascii="Times New Roman" w:cs="Times New Roman" w:eastAsia="Times New Roman" w:hAnsi="Times New Roman"/>
          <w:sz w:val="20"/>
          <w:szCs w:val="20"/>
          <w:b w:val="1"/>
          <w:bCs w:val="1"/>
          <w:i w:val="1"/>
          <w:iCs w:val="1"/>
          <w:color w:val="auto"/>
        </w:rPr>
        <w:t>full trading days</w:t>
      </w:r>
      <w:r>
        <w:rPr>
          <w:rFonts w:ascii="Times New Roman" w:cs="Times New Roman" w:eastAsia="Times New Roman" w:hAnsi="Times New Roman"/>
          <w:sz w:val="20"/>
          <w:szCs w:val="20"/>
          <w:color w:val="auto"/>
        </w:rPr>
        <w:t xml:space="preserve"> have elapsed after the information is broadly distributed to the public in a press release, a public filing with the SEC, a pre-announced public webcast or another broad, non-exclusionary form of public communication. However, depending upon the form of the announcement and the nature of the information, it is possible that information may not be fully absorbed by the marketplace until a later time. Any questions as to whether information is nonpublic should be directed to the Compliance Officer.</w:t>
      </w:r>
    </w:p>
    <w:p>
      <w:pPr>
        <w:spacing w:after="0" w:line="245"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trading day</w:t>
      </w:r>
      <w:r>
        <w:rPr>
          <w:rFonts w:ascii="Times New Roman" w:cs="Times New Roman" w:eastAsia="Times New Roman" w:hAnsi="Times New Roman"/>
          <w:sz w:val="20"/>
          <w:szCs w:val="20"/>
          <w:color w:val="auto"/>
        </w:rPr>
        <w:t>” means a day on which national stock exchanges and the National Association of Securities Dealers, Inc. Automated Quotation System are open for trading. A “</w:t>
      </w:r>
      <w:r>
        <w:rPr>
          <w:rFonts w:ascii="Times New Roman" w:cs="Times New Roman" w:eastAsia="Times New Roman" w:hAnsi="Times New Roman"/>
          <w:sz w:val="20"/>
          <w:szCs w:val="20"/>
          <w:b w:val="1"/>
          <w:bCs w:val="1"/>
          <w:i w:val="1"/>
          <w:iCs w:val="1"/>
          <w:color w:val="auto"/>
        </w:rPr>
        <w:t>full</w:t>
      </w:r>
      <w:r>
        <w:rPr>
          <w:rFonts w:ascii="Times New Roman" w:cs="Times New Roman" w:eastAsia="Times New Roman" w:hAnsi="Times New Roman"/>
          <w:sz w:val="20"/>
          <w:szCs w:val="20"/>
          <w:color w:val="auto"/>
        </w:rPr>
        <w:t>” trading day has elapsed when, after the public disclosure, trading in the relevant security has opened and then closed.</w:t>
      </w:r>
    </w:p>
    <w:p>
      <w:pPr>
        <w:spacing w:after="0" w:line="236" w:lineRule="exact"/>
        <w:rPr>
          <w:sz w:val="20"/>
          <w:szCs w:val="20"/>
          <w:color w:val="auto"/>
        </w:rPr>
      </w:pPr>
    </w:p>
    <w:p>
      <w:pPr>
        <w:ind w:left="360" w:hanging="360"/>
        <w:spacing w:after="0"/>
        <w:tabs>
          <w:tab w:leader="none" w:pos="36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Confidentiality of Nonpublic Information</w:t>
      </w:r>
    </w:p>
    <w:p>
      <w:pPr>
        <w:spacing w:after="0" w:line="243"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This Policy also prohibits the unauthorized use or disclosure of nonpublic information relating to the Company or other companies, including the Company’s distributors, vendors, customers, collaborators, suppliers and competitors.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w:t>
      </w:r>
    </w:p>
    <w:p>
      <w:pPr>
        <w:spacing w:after="0" w:line="250"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You must use all reasonable efforts to safeguard nonpublic information in the Company’s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an appropriate nondisclosure agreement that restricts the disclosure and use of the information, if applicable). This restriction also applies to internal communications within the Company and to communications with agents of the Company. In cases where disclosing nonpublic information to third parties is required, you should coordinate with the Compliance Officer.</w:t>
      </w:r>
    </w:p>
    <w:p>
      <w:pPr>
        <w:spacing w:after="0" w:line="236" w:lineRule="exact"/>
        <w:rPr>
          <w:sz w:val="20"/>
          <w:szCs w:val="20"/>
          <w:color w:val="auto"/>
        </w:rPr>
      </w:pPr>
    </w:p>
    <w:p>
      <w:pPr>
        <w:ind w:left="360" w:hanging="360"/>
        <w:spacing w:after="0"/>
        <w:tabs>
          <w:tab w:leader="none" w:pos="36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Trading on Material Nonpublic Information</w:t>
      </w:r>
    </w:p>
    <w:p>
      <w:pPr>
        <w:spacing w:after="0" w:line="24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 xml:space="preserve">Except as discussed in in </w:t>
      </w:r>
      <w:r>
        <w:rPr>
          <w:rFonts w:ascii="Times New Roman" w:cs="Times New Roman" w:eastAsia="Times New Roman" w:hAnsi="Times New Roman"/>
          <w:sz w:val="20"/>
          <w:szCs w:val="20"/>
          <w:u w:val="single" w:color="auto"/>
          <w:color w:val="auto"/>
        </w:rPr>
        <w:t>Part III</w:t>
      </w:r>
      <w:r>
        <w:rPr>
          <w:rFonts w:ascii="Times New Roman" w:cs="Times New Roman" w:eastAsia="Times New Roman" w:hAnsi="Times New Roman"/>
          <w:sz w:val="20"/>
          <w:szCs w:val="20"/>
          <w:color w:val="auto"/>
        </w:rPr>
        <w:t xml:space="preserve"> (Limited Exceptions), you may not, directly or indirectly through others, engage in any transaction involving the Company’s securities while aware of material nonpublic information relating to the Company. It is not an excuse that you did not “use” the information in your transaction.</w:t>
      </w:r>
    </w:p>
    <w:p>
      <w:pPr>
        <w:spacing w:after="0" w:line="243"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color w:val="auto"/>
        </w:rPr>
        <w:t xml:space="preserve">Similarly, you may not engage in transactions involving the securities of any other company if you are aware of material nonpublic information affecting that company, except to the extent the transactions are analogous to those described in </w:t>
      </w:r>
      <w:r>
        <w:rPr>
          <w:rFonts w:ascii="Times New Roman" w:cs="Times New Roman" w:eastAsia="Times New Roman" w:hAnsi="Times New Roman"/>
          <w:sz w:val="20"/>
          <w:szCs w:val="20"/>
          <w:u w:val="single" w:color="auto"/>
          <w:color w:val="auto"/>
        </w:rPr>
        <w:t>Part III</w:t>
      </w:r>
      <w:r>
        <w:rPr>
          <w:rFonts w:ascii="Times New Roman" w:cs="Times New Roman" w:eastAsia="Times New Roman" w:hAnsi="Times New Roman"/>
          <w:sz w:val="20"/>
          <w:szCs w:val="20"/>
          <w:color w:val="auto"/>
        </w:rPr>
        <w:t xml:space="preserve"> (Limited Exceptions). For example, you may be involved in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Additionally, information need not directly involve a company to be considered material to it. For example, news of a merger between two companies may be material to an, otherwise uninvolved, third company in the same sector or industry. It is important to note that “materiality” is different for different companies. Information that is not material to the Company may be material to another company.</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080"/>
          </w:cols>
          <w:pgMar w:left="1080" w:top="1079" w:right="1080" w:bottom="155" w:gutter="0" w:footer="0" w:header="0"/>
          <w:type w:val="continuous"/>
        </w:sectPr>
      </w:pPr>
    </w:p>
    <w:bookmarkStart w:id="147" w:name="page148"/>
    <w:bookmarkEnd w:id="147"/>
    <w:p>
      <w:pPr>
        <w:ind w:left="360" w:hanging="360"/>
        <w:spacing w:after="0"/>
        <w:tabs>
          <w:tab w:leader="none" w:pos="36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Disclosing Material Nonpublic Information for the Benefit of Others</w:t>
      </w:r>
    </w:p>
    <w:p>
      <w:pPr>
        <w:spacing w:after="0" w:line="243"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You may not disclose material nonpublic information concerning the Company or any other company to friends, family members or any other person or entity not authorized to receive such information where such person or entity may benefit by trading on the basis of such information. 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 The prohibition against disclosure of material nonpublic information includes disclosure (even anonymous disclosure) via the internet, blogs, investor forums or chat rooms where companies and their prospects are discussed.</w:t>
      </w:r>
    </w:p>
    <w:p>
      <w:pPr>
        <w:spacing w:after="0" w:line="236" w:lineRule="exact"/>
        <w:rPr>
          <w:sz w:val="20"/>
          <w:szCs w:val="20"/>
          <w:color w:val="auto"/>
        </w:rPr>
      </w:pPr>
    </w:p>
    <w:p>
      <w:pPr>
        <w:ind w:left="360" w:hanging="360"/>
        <w:spacing w:after="0"/>
        <w:tabs>
          <w:tab w:leader="none" w:pos="3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Obligation to Disclose Material Nonpublic Information to the Company</w:t>
      </w:r>
    </w:p>
    <w:p>
      <w:pPr>
        <w:spacing w:after="0" w:line="244"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auto"/>
        </w:rPr>
        <w:t xml:space="preserve">You may not enter into any transaction, whether or not it is described in </w:t>
      </w:r>
      <w:r>
        <w:rPr>
          <w:rFonts w:ascii="Times New Roman" w:cs="Times New Roman" w:eastAsia="Times New Roman" w:hAnsi="Times New Roman"/>
          <w:sz w:val="19"/>
          <w:szCs w:val="19"/>
          <w:u w:val="single" w:color="auto"/>
          <w:color w:val="auto"/>
        </w:rPr>
        <w:t>Part III</w:t>
      </w:r>
      <w:r>
        <w:rPr>
          <w:rFonts w:ascii="Times New Roman" w:cs="Times New Roman" w:eastAsia="Times New Roman" w:hAnsi="Times New Roman"/>
          <w:sz w:val="19"/>
          <w:szCs w:val="19"/>
          <w:color w:val="auto"/>
        </w:rPr>
        <w:t xml:space="preserve"> (Limited Exceptions), unless you have disclosed any material nonpublic information that you become aware of in the course of your service with the Company, and that senior management is not aware of, to the Compliance Officer. If you are a member of senior management, the information must be disclosed to the Chief Executive Officer, and if you are the Chief Executive Officer or a director, you must disclose the information to the Company’s board of directors (“</w:t>
      </w:r>
      <w:r>
        <w:rPr>
          <w:rFonts w:ascii="Times New Roman" w:cs="Times New Roman" w:eastAsia="Times New Roman" w:hAnsi="Times New Roman"/>
          <w:sz w:val="19"/>
          <w:szCs w:val="19"/>
          <w:b w:val="1"/>
          <w:bCs w:val="1"/>
          <w:i w:val="1"/>
          <w:iCs w:val="1"/>
          <w:color w:val="auto"/>
        </w:rPr>
        <w:t>Board of Directors</w:t>
      </w:r>
      <w:r>
        <w:rPr>
          <w:rFonts w:ascii="Times New Roman" w:cs="Times New Roman" w:eastAsia="Times New Roman" w:hAnsi="Times New Roman"/>
          <w:sz w:val="19"/>
          <w:szCs w:val="19"/>
          <w:color w:val="auto"/>
        </w:rPr>
        <w:t>”), before any transaction is permissible.</w:t>
      </w:r>
    </w:p>
    <w:p>
      <w:pPr>
        <w:spacing w:after="0" w:line="220" w:lineRule="exact"/>
        <w:rPr>
          <w:sz w:val="20"/>
          <w:szCs w:val="20"/>
          <w:color w:val="auto"/>
        </w:rPr>
      </w:pPr>
    </w:p>
    <w:p>
      <w:pPr>
        <w:ind w:left="360" w:hanging="360"/>
        <w:spacing w:after="0"/>
        <w:tabs>
          <w:tab w:leader="none" w:pos="36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Responding to Outside Inquiries for Information</w:t>
      </w:r>
    </w:p>
    <w:p>
      <w:pPr>
        <w:spacing w:after="0" w:line="244"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If you receive an inquiry from someone outside of the Company, such as a stock analyst, for information, you should refer the inquiry to the Chief Financial Officer.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Please consult the Company’s Regulation FD Policy for more details.</w:t>
      </w:r>
    </w:p>
    <w:p>
      <w:pPr>
        <w:spacing w:after="0" w:line="237" w:lineRule="exact"/>
        <w:rPr>
          <w:sz w:val="20"/>
          <w:szCs w:val="20"/>
          <w:color w:val="auto"/>
        </w:rPr>
      </w:pPr>
    </w:p>
    <w:p>
      <w:pPr>
        <w:ind w:left="360" w:hanging="360"/>
        <w:spacing w:after="0"/>
        <w:tabs>
          <w:tab w:leader="none" w:pos="36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Protected Activity Not Prohibited</w:t>
      </w:r>
    </w:p>
    <w:p>
      <w:pPr>
        <w:spacing w:after="0" w:line="245"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080"/>
          </w:cols>
          <w:pgMar w:left="1080" w:top="1079" w:right="1080" w:bottom="155" w:gutter="0" w:footer="0" w:header="0"/>
          <w:type w:val="continuous"/>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EXCEPTIONS TO THIS POLICY</w:t>
      </w:r>
    </w:p>
    <w:p>
      <w:pPr>
        <w:spacing w:after="0" w:line="244"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“short-swing” trading restrictions under Section 16, to the extent applicable). You are responsible for complying with applicable law at all times.</w:t>
      </w:r>
    </w:p>
    <w:p>
      <w:pPr>
        <w:spacing w:after="0" w:line="234" w:lineRule="exact"/>
        <w:rPr>
          <w:sz w:val="20"/>
          <w:szCs w:val="20"/>
          <w:color w:val="auto"/>
        </w:rPr>
      </w:pPr>
    </w:p>
    <w:p>
      <w:pPr>
        <w:ind w:left="360" w:hanging="360"/>
        <w:spacing w:after="0"/>
        <w:tabs>
          <w:tab w:leader="none" w:pos="36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Transactions Pursuant to a Trading Plan that Complies with SEC Rules</w:t>
      </w:r>
    </w:p>
    <w:p>
      <w:pPr>
        <w:spacing w:after="0" w:line="244"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SEC has enacted rules that provide an affirmative defense against alleged violations of U.S. federal insider trading laws for transactions pursuant to trading plans that meet certain requirements. In general, these rules, as set forth in Rule 10b5-1 under the Securities Exchange Act of 1934, as amended,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p>
    <w:p>
      <w:pPr>
        <w:spacing w:after="0" w:line="24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auto"/>
        </w:rPr>
        <w:t>Transactions made pursuant to a written trading plan that (i) complies with the affirmative defense set forth in Rule 10b5-1 and (ii) is approved by the Compliance Officer are not subject to the restrictions in this Policy against trades made while aware of material nonpublic information or to the blackout periods established under this Policy. In approving a trading plan, the Compliance Officer may, in furtherance of the objectives expressed in this Policy, impose criteria in addition to those set forth in Rule 10b5-1. You should therefore confer with the Compliance Officer prior to entering into any trading plan.</w:t>
      </w:r>
    </w:p>
    <w:p>
      <w:pPr>
        <w:spacing w:after="0" w:line="230"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The SEC rules regarding trading plans are complex and must be complied with completely to be effective. The description provided above is only a summary, and the Company strongly advises that you consult with your legal advisor if you intend to adopt a trading plan. While trading plans are subject to review and approval by the Company, the individual adopting the trading plan is ultimately responsible for compliance with Rule 10b5-1 and ensuring that the trading plan complies with this Policy.</w:t>
      </w:r>
    </w:p>
    <w:p>
      <w:pPr>
        <w:spacing w:after="0" w:line="247"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The Company will determine which individuals may use trading plans. Trading plans must (1) be filed with the Compliance Officer, (2) comply with the requirements of Rule 10b5-1, and (3) be accompanied with an executed certificate stating that the trading plan complies with Rule 10b5-1 and any other criteria established by the Company. If the Compliance Officer is the requester, then the Company’s Chief Executive Officer must approve the written 10b5-1 trading plan. The Company may publicly disclose information regarding trading plans.</w:t>
      </w:r>
    </w:p>
    <w:p>
      <w:pPr>
        <w:spacing w:after="0" w:line="236" w:lineRule="exact"/>
        <w:rPr>
          <w:sz w:val="20"/>
          <w:szCs w:val="20"/>
          <w:color w:val="auto"/>
        </w:rPr>
      </w:pPr>
    </w:p>
    <w:p>
      <w:pPr>
        <w:ind w:left="360" w:hanging="360"/>
        <w:spacing w:after="0"/>
        <w:tabs>
          <w:tab w:leader="none" w:pos="360"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Receipt and Vesting of Stock Options, Restricted Stock, Restricted Stock Units and Stock Appreciation Rights</w:t>
      </w:r>
    </w:p>
    <w:p>
      <w:pPr>
        <w:spacing w:after="0" w:line="244"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acceptance or purchase of stock options, restricted stock, restricted stock units or stock appreciation rights issued or offered by the Company. The trading restrictions under this Policy also do not apply to the vesting, cancellation or forfeiture of stock options, restricted stock, restricted stock units or stock appreciation rights in accordance with applicable plans and agreements.</w:t>
      </w:r>
    </w:p>
    <w:p>
      <w:pPr>
        <w:spacing w:after="0" w:line="233" w:lineRule="exact"/>
        <w:rPr>
          <w:sz w:val="20"/>
          <w:szCs w:val="20"/>
          <w:color w:val="auto"/>
        </w:rPr>
      </w:pPr>
    </w:p>
    <w:p>
      <w:pPr>
        <w:ind w:left="360" w:hanging="360"/>
        <w:spacing w:after="0"/>
        <w:tabs>
          <w:tab w:leader="none" w:pos="36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Exercise of Stock Options for Cash; Net Share Withholding</w:t>
      </w:r>
    </w:p>
    <w:p>
      <w:pPr>
        <w:spacing w:after="0" w:line="244"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trading restrictions under this Policy do not apply to the exercise of stock options for cash under the Company’s equity incentive plans. Likewise, the trading restrictions under this Policy do not apply to the exercise of stock options in a stock-for-stock exercise with the Company or an election to have the Company withhold securities to cover tax obligations in connection with an option exercise (x) as required by either the Company’s board of directors (or a committee thereof) or the award agreement governing such equity award or (y) as you elect, if permitted by the Company, so long as that election is irrevocable and made in writing at a time when a trading blackout is not in place and the individual is not in possession of material nonpublic information. However, the trading restrictions under this Policy do apply to (i) the sale of any securities issued upon the exercise of a stock option, (ii) a cashless exercise of a stock option through a broker, since this involves selling a portion of the underlying shares to cover the costs of exercise, and (iii) any other market sale for the purpose of generating the cash needed to pay the exercise price of an option.</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080"/>
          </w:cols>
          <w:pgMar w:left="1080" w:top="1079" w:right="1080" w:bottom="155" w:gutter="0" w:footer="0" w:header="0"/>
          <w:type w:val="continuous"/>
        </w:sectPr>
      </w:pPr>
    </w:p>
    <w:bookmarkStart w:id="149" w:name="page150"/>
    <w:bookmarkEnd w:id="149"/>
    <w:p>
      <w:pPr>
        <w:ind w:left="360" w:hanging="360"/>
        <w:spacing w:after="0"/>
        <w:tabs>
          <w:tab w:leader="none" w:pos="36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Purchases from an Employee Stock Purchase Plan</w:t>
      </w:r>
    </w:p>
    <w:p>
      <w:pPr>
        <w:spacing w:after="0" w:line="243"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The trading restrictions in this Policy do not apply to elections with respect to participation in any employee stock purchase plan that the Company adopts or to purchases of securities under the plan. However, the trading restrictions do apply to any subsequent sales of any such securities. However, no employee may alter their instructions regarding the purchase or sale of Company Securities in such plans when in possession of material non-public information.</w:t>
      </w:r>
    </w:p>
    <w:p>
      <w:pPr>
        <w:spacing w:after="0" w:line="235" w:lineRule="exact"/>
        <w:rPr>
          <w:sz w:val="20"/>
          <w:szCs w:val="20"/>
          <w:color w:val="auto"/>
        </w:rPr>
      </w:pPr>
    </w:p>
    <w:p>
      <w:pPr>
        <w:ind w:left="360" w:hanging="360"/>
        <w:spacing w:after="0"/>
        <w:tabs>
          <w:tab w:leader="none" w:pos="36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Certain 401(k) Plan Transactions</w:t>
      </w:r>
    </w:p>
    <w:p>
      <w:pPr>
        <w:spacing w:after="0" w:line="243"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trading restrictions in this Policy do not apply to purchases of Company stock in a 401(k) plan resulting from periodic contributions to the plan based on your payroll contribution election. The trading restrictions do apply, however, to elections you make under the 401(k) plan to (i) increase or decrease the amount of your contributions under a 401(k) plan, if such increase or decrease will increase or decrease the amount of your contributions that will be allocated to a Company stock fund (ii) increase or decrease the percentage of your contributions that will be allocated to a Company stock fund, (iii) move balances into or out of a Company stock fund, (iv) borrow money against a 401(k) plan account if the loan will result in liquidation of some or all of your Company stock fund balance, and (v) pre-pay a plan loan if the pre-payment will result in the allocation of loan proceeds to a Company stock fund.</w:t>
      </w:r>
    </w:p>
    <w:p>
      <w:pPr>
        <w:spacing w:after="0" w:line="237" w:lineRule="exact"/>
        <w:rPr>
          <w:sz w:val="20"/>
          <w:szCs w:val="20"/>
          <w:color w:val="auto"/>
        </w:rPr>
      </w:pPr>
    </w:p>
    <w:p>
      <w:pPr>
        <w:ind w:left="360" w:hanging="360"/>
        <w:spacing w:after="0"/>
        <w:tabs>
          <w:tab w:leader="none" w:pos="360" w:val="left"/>
        </w:tabs>
        <w:numPr>
          <w:ilvl w:val="0"/>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Certain Transfers by Will and for Tax Planning Purposes</w:t>
      </w:r>
    </w:p>
    <w:p>
      <w:pPr>
        <w:spacing w:after="0" w:line="244"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The trading restrictions in this Policy do not apply to 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w:t>
      </w:r>
    </w:p>
    <w:p>
      <w:pPr>
        <w:spacing w:after="0" w:line="233" w:lineRule="exact"/>
        <w:rPr>
          <w:sz w:val="20"/>
          <w:szCs w:val="20"/>
          <w:color w:val="auto"/>
        </w:rPr>
      </w:pPr>
    </w:p>
    <w:p>
      <w:pPr>
        <w:ind w:left="360" w:hanging="360"/>
        <w:spacing w:after="0"/>
        <w:tabs>
          <w:tab w:leader="none" w:pos="36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 Exceptions</w:t>
      </w:r>
    </w:p>
    <w:p>
      <w:pPr>
        <w:spacing w:after="0" w:line="244"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i w:val="1"/>
          <w:iCs w:val="1"/>
          <w:color w:val="auto"/>
        </w:rPr>
        <w:t xml:space="preserve">Stock splits, stock dividends and similar transactions. </w:t>
      </w:r>
      <w:r>
        <w:rPr>
          <w:rFonts w:ascii="Times New Roman" w:cs="Times New Roman" w:eastAsia="Times New Roman" w:hAnsi="Times New Roman"/>
          <w:sz w:val="20"/>
          <w:szCs w:val="20"/>
          <w:color w:val="auto"/>
        </w:rPr>
        <w:t>The trading restrictions under this Policy do not apply to a 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number of securities held as a result of a stock split or stock dividend applying equally to all securities of a class, or similar transactions.</w:t>
      </w:r>
    </w:p>
    <w:p>
      <w:pPr>
        <w:spacing w:after="0" w:line="247"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i w:val="1"/>
          <w:iCs w:val="1"/>
          <w:color w:val="auto"/>
        </w:rPr>
        <w:t xml:space="preserve">Change in form of ownership. </w:t>
      </w:r>
      <w:r>
        <w:rPr>
          <w:rFonts w:ascii="Times New Roman" w:cs="Times New Roman" w:eastAsia="Times New Roman" w:hAnsi="Times New Roman"/>
          <w:sz w:val="20"/>
          <w:szCs w:val="20"/>
          <w:color w:val="auto"/>
        </w:rPr>
        <w:t>Transactions that involve merely a change in the form in which you own securities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permissible. For example, you may transfer shares to an </w:t>
      </w:r>
      <w:r>
        <w:rPr>
          <w:rFonts w:ascii="Times New Roman" w:cs="Times New Roman" w:eastAsia="Times New Roman" w:hAnsi="Times New Roman"/>
          <w:sz w:val="20"/>
          <w:szCs w:val="20"/>
          <w:i w:val="1"/>
          <w:iCs w:val="1"/>
          <w:color w:val="auto"/>
        </w:rPr>
        <w:t>inter vivos</w:t>
      </w:r>
      <w:r>
        <w:rPr>
          <w:rFonts w:ascii="Times New Roman" w:cs="Times New Roman" w:eastAsia="Times New Roman" w:hAnsi="Times New Roman"/>
          <w:sz w:val="20"/>
          <w:szCs w:val="20"/>
          <w:color w:val="auto"/>
        </w:rPr>
        <w:t xml:space="preserve"> trust of which you are the sole beneficiary during your lifetime.</w:t>
      </w:r>
    </w:p>
    <w:p>
      <w:pPr>
        <w:spacing w:after="0" w:line="246"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i w:val="1"/>
          <w:iCs w:val="1"/>
          <w:color w:val="auto"/>
        </w:rPr>
        <w:t xml:space="preserve">Other. </w:t>
      </w:r>
      <w:r>
        <w:rPr>
          <w:rFonts w:ascii="Times New Roman" w:cs="Times New Roman" w:eastAsia="Times New Roman" w:hAnsi="Times New Roman"/>
          <w:sz w:val="20"/>
          <w:szCs w:val="20"/>
          <w:color w:val="auto"/>
        </w:rPr>
        <w:t>Any other exception from this Policy must be approved by the Compliance Officer, in consultation with the Board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Directors or an independent committee of the Board of Directors.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080"/>
          </w:cols>
          <w:pgMar w:left="1080" w:top="1079" w:right="1080" w:bottom="155"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IV</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COMPLIANCE WITH SECTION 16</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w:t>
      </w:r>
    </w:p>
    <w:p>
      <w:pPr>
        <w:spacing w:after="0" w:line="234" w:lineRule="exact"/>
        <w:rPr>
          <w:sz w:val="20"/>
          <w:szCs w:val="20"/>
          <w:color w:val="auto"/>
        </w:rPr>
      </w:pPr>
    </w:p>
    <w:p>
      <w:pPr>
        <w:ind w:left="360" w:hanging="360"/>
        <w:spacing w:after="0"/>
        <w:tabs>
          <w:tab w:leader="none" w:pos="36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Obligations Under Section 16</w:t>
      </w:r>
    </w:p>
    <w:p>
      <w:pPr>
        <w:spacing w:after="0" w:line="24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Section 16 and the related rules and regulations set forth (i) reporting obligations, (ii) limitations on “short-swing” transactions and (iii) limitations on short sales and other transactions applicable to directors, officers, large shareholders and certain other persons. The Company has provided, or will provide, memoranda and other materials addressing these matters.</w:t>
      </w:r>
    </w:p>
    <w:p>
      <w:pPr>
        <w:spacing w:after="0" w:line="243"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The Company has designated certain persons as being required to comply with Section 16 and the related rules and regulations because of their positions with the Company. The persons subject to Section 16 may change from time to time as appropriate to reflect the election of new officers or directors, any change in the responsibilities of officers or other employees and any promotions, demotions, resignations or departures.</w:t>
      </w:r>
    </w:p>
    <w:p>
      <w:pPr>
        <w:spacing w:after="0" w:line="244"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auto"/>
        </w:rPr>
        <w:t>Even if you are not designated by the Company as being required to comply with Section 16, you may be subject to Section 16 reporting obligations because of, for example, your shareholdings.</w:t>
      </w:r>
    </w:p>
    <w:p>
      <w:pPr>
        <w:spacing w:after="0" w:line="235" w:lineRule="exact"/>
        <w:rPr>
          <w:sz w:val="20"/>
          <w:szCs w:val="20"/>
          <w:color w:val="auto"/>
        </w:rPr>
      </w:pPr>
    </w:p>
    <w:p>
      <w:pPr>
        <w:ind w:left="360" w:hanging="360"/>
        <w:spacing w:after="0"/>
        <w:tabs>
          <w:tab w:leader="none" w:pos="36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Notification Requirements to Facilitate Section 16 Reporting</w:t>
      </w:r>
    </w:p>
    <w:p>
      <w:pPr>
        <w:spacing w:after="0" w:line="244"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To facilitate timely reporting of transactions pursuant to Section 16 requirements, each person subject to Section 16 reporting requirements must provide, or must ensure that his or her broker provides, the Company with detailed information (e.g., trade date, number of shares, exact price, etc.) regarding his or her transactions involving the Company’s securities, including gifts, transfers, pledges and transactions pursuant to a trading plan, both prior to (to confirm compliance with pre-clearance procedures, if applicable) and promptly following execution.</w:t>
      </w:r>
    </w:p>
    <w:p>
      <w:pPr>
        <w:spacing w:after="0" w:line="236" w:lineRule="exact"/>
        <w:rPr>
          <w:sz w:val="20"/>
          <w:szCs w:val="20"/>
          <w:color w:val="auto"/>
        </w:rPr>
      </w:pPr>
    </w:p>
    <w:p>
      <w:pPr>
        <w:ind w:left="360" w:hanging="360"/>
        <w:spacing w:after="0"/>
        <w:tabs>
          <w:tab w:leader="none" w:pos="36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Personal Responsibility Under Section 16</w:t>
      </w:r>
    </w:p>
    <w:p>
      <w:pPr>
        <w:spacing w:after="0" w:line="244"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auto"/>
        </w:rPr>
        <w:t>The obligation to file Section 16 reports, and to otherwise comply with Section 16, is personal. The Company is not responsible for the failure to comply with Section 16 requirements.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080"/>
          </w:cols>
          <w:pgMar w:left="1080" w:top="1079" w:right="1080" w:bottom="155" w:gutter="0" w:footer="0" w:header="0"/>
          <w:type w:val="continuous"/>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LIST OF SUBSIDIARIES OF DRAGONFLY ENERGY HOLDINGS CORP.</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20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Jurisdiction of Incorporation or Organization</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Dragonfly Energy Corp.</w:t>
            </w: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Nevada</w:t>
            </w:r>
          </w:p>
        </w:tc>
      </w:tr>
      <w:tr>
        <w:trPr>
          <w:trHeight w:val="232"/>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Dragonfly CellTech Inc.</w:t>
            </w: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Ontario, Canada</w:t>
            </w:r>
          </w:p>
        </w:tc>
      </w:tr>
      <w:tr>
        <w:trPr>
          <w:trHeight w:val="232"/>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Battle Born Battery Products, LLC</w:t>
            </w: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Nevada</w:t>
            </w:r>
          </w:p>
        </w:tc>
      </w:tr>
    </w:tbl>
    <w:p>
      <w:pPr>
        <w:sectPr>
          <w:pgSz w:w="12240" w:h="15840" w:orient="portrait"/>
          <w:cols w:equalWidth="0" w:num="1">
            <w:col w:w="10080"/>
          </w:cols>
          <w:pgMar w:left="1080" w:top="1079" w:right="1080" w:bottom="1440" w:gutter="0" w:footer="0" w:header="0"/>
        </w:sectPr>
      </w:pPr>
    </w:p>
    <w:bookmarkStart w:id="152" w:name="page153"/>
    <w:bookmarkEnd w:id="152"/>
    <w:p>
      <w:pPr>
        <w:ind w:left="9040"/>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Independent Registered Public Accounting Firm’s Consent</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on Forms S-8 (Nos. 333-280173, 333-268784 and 333-274277), on Form S-3 (No. 333-275559) and on Post-Effective Amendment No. 1 to Form S-1 on Form S-3 (No. 333-272401) of our report dated March 31, 2025 relating to the financial statements of Dragonfly Energy Holdings Corp. appearing in this Annual Report on Form 10-K for the year ended December 31,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 Marcum </w:t>
      </w:r>
      <w:r>
        <w:rPr>
          <w:rFonts w:ascii="Times New Roman" w:cs="Times New Roman" w:eastAsia="Times New Roman" w:hAnsi="Times New Roman"/>
          <w:sz w:val="15"/>
          <w:szCs w:val="15"/>
          <w:color w:val="auto"/>
        </w:rPr>
        <w:t>LLP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2025</w:t>
      </w:r>
    </w:p>
    <w:p>
      <w:pPr>
        <w:sectPr>
          <w:pgSz w:w="12240" w:h="15840" w:orient="portrait"/>
          <w:cols w:equalWidth="0" w:num="1">
            <w:col w:w="10080"/>
          </w:cols>
          <w:pgMar w:left="1080" w:top="1079" w:right="1080" w:bottom="1440" w:gutter="0" w:footer="0" w:header="0"/>
        </w:sectPr>
      </w:pPr>
    </w:p>
    <w:bookmarkStart w:id="153" w:name="page154"/>
    <w:bookmarkEnd w:id="153"/>
    <w:p>
      <w:pPr>
        <w:ind w:left="904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43" w:lineRule="exact"/>
        <w:rPr>
          <w:sz w:val="20"/>
          <w:szCs w:val="20"/>
          <w:color w:val="auto"/>
        </w:rPr>
      </w:pPr>
    </w:p>
    <w:p>
      <w:pPr>
        <w:jc w:val="center"/>
        <w:ind w:left="1240" w:right="100"/>
        <w:spacing w:after="0" w:line="257" w:lineRule="auto"/>
        <w:rPr>
          <w:sz w:val="20"/>
          <w:szCs w:val="20"/>
          <w:color w:val="auto"/>
        </w:rPr>
      </w:pPr>
      <w:r>
        <w:rPr>
          <w:rFonts w:ascii="Times New Roman" w:cs="Times New Roman" w:eastAsia="Times New Roman" w:hAnsi="Times New Roman"/>
          <w:sz w:val="19"/>
          <w:szCs w:val="19"/>
          <w:b w:val="1"/>
          <w:bCs w:val="1"/>
          <w:color w:val="auto"/>
        </w:rPr>
        <w:t>CERTIFICATION PURSUANT TO RULES 13a-14(a) AND 15d-14(a) UNDER THE SECURITIES EXCHANGE ACT OF 1934, AS ADOPTED PURSUANT TO SECTION 302 OF THE SARBANES-OXLEY ACT OF 2002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Denis Phares, certify that:</w:t>
      </w:r>
    </w:p>
    <w:p>
      <w:pPr>
        <w:spacing w:after="0" w:line="245" w:lineRule="exact"/>
        <w:rPr>
          <w:sz w:val="20"/>
          <w:szCs w:val="20"/>
          <w:color w:val="auto"/>
        </w:rPr>
      </w:pPr>
    </w:p>
    <w:p>
      <w:pPr>
        <w:ind w:left="360" w:hanging="360"/>
        <w:spacing w:after="0" w:line="235" w:lineRule="auto"/>
        <w:tabs>
          <w:tab w:leader="none" w:pos="3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for the period ended December 31, 2024 of Dragonfly Energy Holdings Corp.;</w:t>
      </w:r>
    </w:p>
    <w:p>
      <w:pPr>
        <w:spacing w:after="0" w:line="244"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3"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243" w:lineRule="exact"/>
        <w:rPr>
          <w:rFonts w:ascii="Times New Roman" w:cs="Times New Roman" w:eastAsia="Times New Roman" w:hAnsi="Times New Roman"/>
          <w:sz w:val="20"/>
          <w:szCs w:val="20"/>
          <w:color w:val="auto"/>
        </w:rPr>
      </w:pPr>
    </w:p>
    <w:p>
      <w:pPr>
        <w:jc w:val="both"/>
        <w:ind w:left="1080" w:hanging="360"/>
        <w:spacing w:after="0" w:line="239" w:lineRule="auto"/>
        <w:tabs>
          <w:tab w:leader="none" w:pos="108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4" w:lineRule="exact"/>
        <w:rPr>
          <w:rFonts w:ascii="Times New Roman" w:cs="Times New Roman" w:eastAsia="Times New Roman" w:hAnsi="Times New Roman"/>
          <w:sz w:val="20"/>
          <w:szCs w:val="20"/>
          <w:color w:val="auto"/>
        </w:rPr>
      </w:pPr>
    </w:p>
    <w:p>
      <w:pPr>
        <w:jc w:val="both"/>
        <w:ind w:left="1080" w:hanging="360"/>
        <w:spacing w:after="0" w:line="238" w:lineRule="auto"/>
        <w:tabs>
          <w:tab w:leader="none" w:pos="108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7" w:lineRule="exact"/>
        <w:rPr>
          <w:rFonts w:ascii="Times New Roman" w:cs="Times New Roman" w:eastAsia="Times New Roman" w:hAnsi="Times New Roman"/>
          <w:sz w:val="20"/>
          <w:szCs w:val="20"/>
          <w:color w:val="auto"/>
        </w:rPr>
      </w:pPr>
    </w:p>
    <w:p>
      <w:pPr>
        <w:jc w:val="both"/>
        <w:ind w:left="1080" w:hanging="360"/>
        <w:spacing w:after="0" w:line="237" w:lineRule="auto"/>
        <w:tabs>
          <w:tab w:leader="none" w:pos="108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6" w:lineRule="exact"/>
        <w:rPr>
          <w:rFonts w:ascii="Times New Roman" w:cs="Times New Roman" w:eastAsia="Times New Roman" w:hAnsi="Times New Roman"/>
          <w:sz w:val="20"/>
          <w:szCs w:val="20"/>
          <w:color w:val="auto"/>
        </w:rPr>
      </w:pPr>
    </w:p>
    <w:p>
      <w:pPr>
        <w:jc w:val="both"/>
        <w:ind w:left="1080" w:hanging="360"/>
        <w:spacing w:after="0" w:line="239" w:lineRule="auto"/>
        <w:tabs>
          <w:tab w:leader="none" w:pos="108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3"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3" w:lineRule="exact"/>
        <w:rPr>
          <w:rFonts w:ascii="Times New Roman" w:cs="Times New Roman" w:eastAsia="Times New Roman" w:hAnsi="Times New Roman"/>
          <w:sz w:val="20"/>
          <w:szCs w:val="20"/>
          <w:color w:val="auto"/>
        </w:rPr>
      </w:pPr>
    </w:p>
    <w:p>
      <w:pPr>
        <w:jc w:val="both"/>
        <w:ind w:left="1080" w:hanging="360"/>
        <w:spacing w:after="0" w:line="238" w:lineRule="auto"/>
        <w:tabs>
          <w:tab w:leader="none" w:pos="108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3"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3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Date: March 31, 2025</w:t>
      </w:r>
    </w:p>
    <w:p>
      <w:pPr>
        <w:spacing w:after="0" w:line="23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i w:val="1"/>
          <w:iCs w:val="1"/>
          <w:color w:val="auto"/>
        </w:rPr>
        <w:t>/s/ Denis Phares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3200400</wp:posOffset>
                </wp:positionH>
                <wp:positionV relativeFrom="paragraph">
                  <wp:posOffset>8255</wp:posOffset>
                </wp:positionV>
                <wp:extent cx="320103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103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pt,0.65pt" to="504.05pt,0.65pt" o:allowincell="f" strokecolor="#000000" strokeweight="0.96pt"/>
            </w:pict>
          </mc:Fallback>
        </mc:AlternateContent>
      </w:r>
    </w:p>
    <w:p>
      <w:pPr>
        <w:spacing w:after="0" w:line="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Denis Phares</w:t>
      </w:r>
    </w:p>
    <w:p>
      <w:pPr>
        <w:spacing w:after="0" w:line="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2240" w:h="15840" w:orient="portrait"/>
          <w:cols w:equalWidth="0" w:num="1">
            <w:col w:w="10080"/>
          </w:cols>
          <w:pgMar w:left="1080" w:top="1079" w:right="1080" w:bottom="727" w:gutter="0" w:footer="0" w:header="0"/>
        </w:sectPr>
      </w:pPr>
    </w:p>
    <w:bookmarkStart w:id="154" w:name="page155"/>
    <w:bookmarkEnd w:id="154"/>
    <w:p>
      <w:pPr>
        <w:ind w:left="9040"/>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0"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9"/>
          <w:szCs w:val="19"/>
          <w:b w:val="1"/>
          <w:bCs w:val="1"/>
          <w:color w:val="auto"/>
        </w:rPr>
        <w:t>CERTIFICATION PURSUANT TO RULES 13a-14(a) AND 15d-14(a) UNDER THE SECURITIES EXCHANGE ACT OF 1934, AS ADOPTED PURSUANT TO SECTION 302 OF THE SARBANES-OXLEY ACT OF 2002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Denis Phares, certify that:</w:t>
      </w:r>
    </w:p>
    <w:p>
      <w:pPr>
        <w:spacing w:after="0" w:line="221" w:lineRule="exact"/>
        <w:rPr>
          <w:sz w:val="20"/>
          <w:szCs w:val="20"/>
          <w:color w:val="auto"/>
        </w:rPr>
      </w:pPr>
    </w:p>
    <w:p>
      <w:pPr>
        <w:ind w:left="560" w:hanging="200"/>
        <w:spacing w:after="0"/>
        <w:tabs>
          <w:tab w:leader="none" w:pos="56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for the period ended December 31, 2024 of Dragonfly Energy Holdings</w:t>
      </w:r>
    </w:p>
    <w:p>
      <w:pPr>
        <w:spacing w:after="0" w:line="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Corp.;</w:t>
      </w:r>
    </w:p>
    <w:p>
      <w:pPr>
        <w:spacing w:after="0" w:line="220" w:lineRule="exact"/>
        <w:rPr>
          <w:rFonts w:ascii="Times New Roman" w:cs="Times New Roman" w:eastAsia="Times New Roman" w:hAnsi="Times New Roman"/>
          <w:sz w:val="19"/>
          <w:szCs w:val="19"/>
          <w:color w:val="auto"/>
        </w:rPr>
      </w:pPr>
    </w:p>
    <w:p>
      <w:pPr>
        <w:jc w:val="both"/>
        <w:ind w:firstLine="360"/>
        <w:spacing w:after="0" w:line="238" w:lineRule="auto"/>
        <w:tabs>
          <w:tab w:leader="none" w:pos="56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Times New Roman" w:cs="Times New Roman" w:eastAsia="Times New Roman" w:hAnsi="Times New Roman"/>
          <w:sz w:val="20"/>
          <w:szCs w:val="20"/>
          <w:color w:val="auto"/>
        </w:rPr>
      </w:pPr>
    </w:p>
    <w:p>
      <w:pPr>
        <w:jc w:val="both"/>
        <w:ind w:firstLine="360"/>
        <w:spacing w:after="0" w:line="237" w:lineRule="auto"/>
        <w:tabs>
          <w:tab w:leader="none" w:pos="56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3" w:lineRule="exact"/>
        <w:rPr>
          <w:rFonts w:ascii="Times New Roman" w:cs="Times New Roman" w:eastAsia="Times New Roman" w:hAnsi="Times New Roman"/>
          <w:sz w:val="20"/>
          <w:szCs w:val="20"/>
          <w:color w:val="auto"/>
        </w:rPr>
      </w:pPr>
    </w:p>
    <w:p>
      <w:pPr>
        <w:jc w:val="both"/>
        <w:ind w:firstLine="360"/>
        <w:spacing w:after="0" w:line="237" w:lineRule="auto"/>
        <w:tabs>
          <w:tab w:leader="none" w:pos="569"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222" w:lineRule="exact"/>
        <w:rPr>
          <w:rFonts w:ascii="Times New Roman" w:cs="Times New Roman" w:eastAsia="Times New Roman" w:hAnsi="Times New Roman"/>
          <w:sz w:val="20"/>
          <w:szCs w:val="20"/>
          <w:color w:val="auto"/>
        </w:rPr>
      </w:pPr>
    </w:p>
    <w:p>
      <w:pPr>
        <w:jc w:val="both"/>
        <w:ind w:left="1080" w:hanging="360"/>
        <w:spacing w:after="0" w:line="239" w:lineRule="auto"/>
        <w:tabs>
          <w:tab w:leader="none" w:pos="108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Times New Roman" w:cs="Times New Roman" w:eastAsia="Times New Roman" w:hAnsi="Times New Roman"/>
          <w:sz w:val="20"/>
          <w:szCs w:val="20"/>
          <w:color w:val="auto"/>
        </w:rPr>
      </w:pPr>
    </w:p>
    <w:p>
      <w:pPr>
        <w:jc w:val="both"/>
        <w:ind w:left="1080" w:hanging="360"/>
        <w:spacing w:after="0" w:line="239" w:lineRule="auto"/>
        <w:tabs>
          <w:tab w:leader="none" w:pos="108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Times New Roman" w:cs="Times New Roman" w:eastAsia="Times New Roman" w:hAnsi="Times New Roman"/>
          <w:sz w:val="20"/>
          <w:szCs w:val="20"/>
          <w:color w:val="auto"/>
        </w:rPr>
      </w:pPr>
    </w:p>
    <w:p>
      <w:pPr>
        <w:jc w:val="both"/>
        <w:ind w:left="1080" w:hanging="360"/>
        <w:spacing w:after="0" w:line="238" w:lineRule="auto"/>
        <w:tabs>
          <w:tab w:leader="none" w:pos="108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Times New Roman" w:cs="Times New Roman" w:eastAsia="Times New Roman" w:hAnsi="Times New Roman"/>
          <w:sz w:val="20"/>
          <w:szCs w:val="20"/>
          <w:color w:val="auto"/>
        </w:rPr>
      </w:pPr>
    </w:p>
    <w:p>
      <w:pPr>
        <w:jc w:val="both"/>
        <w:ind w:left="1080" w:hanging="360"/>
        <w:spacing w:after="0" w:line="238" w:lineRule="auto"/>
        <w:tabs>
          <w:tab w:leader="none" w:pos="108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4" w:lineRule="exact"/>
        <w:rPr>
          <w:rFonts w:ascii="Times New Roman" w:cs="Times New Roman" w:eastAsia="Times New Roman" w:hAnsi="Times New Roman"/>
          <w:sz w:val="20"/>
          <w:szCs w:val="20"/>
          <w:color w:val="auto"/>
        </w:rPr>
      </w:pPr>
    </w:p>
    <w:p>
      <w:pPr>
        <w:jc w:val="both"/>
        <w:ind w:firstLine="360"/>
        <w:spacing w:after="0" w:line="237" w:lineRule="auto"/>
        <w:tabs>
          <w:tab w:leader="none" w:pos="57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2" w:lineRule="exact"/>
        <w:rPr>
          <w:rFonts w:ascii="Times New Roman" w:cs="Times New Roman" w:eastAsia="Times New Roman" w:hAnsi="Times New Roman"/>
          <w:sz w:val="20"/>
          <w:szCs w:val="20"/>
          <w:color w:val="auto"/>
        </w:rPr>
      </w:pPr>
    </w:p>
    <w:p>
      <w:pPr>
        <w:jc w:val="both"/>
        <w:ind w:left="1080" w:hanging="360"/>
        <w:spacing w:after="0" w:line="238" w:lineRule="auto"/>
        <w:tabs>
          <w:tab w:leader="none" w:pos="108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Date: March 31, 2025</w:t>
      </w:r>
    </w:p>
    <w:p>
      <w:pPr>
        <w:spacing w:after="0" w:line="23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i w:val="1"/>
          <w:iCs w:val="1"/>
          <w:color w:val="auto"/>
        </w:rPr>
        <w:t>/s/ Denis Phares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3200400</wp:posOffset>
                </wp:positionH>
                <wp:positionV relativeFrom="paragraph">
                  <wp:posOffset>6985</wp:posOffset>
                </wp:positionV>
                <wp:extent cx="320103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103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pt,0.55pt" to="504.05pt,0.55pt" o:allowincell="f" strokecolor="#000000" strokeweight="0.96pt"/>
            </w:pict>
          </mc:Fallback>
        </mc:AlternateContent>
      </w:r>
    </w:p>
    <w:p>
      <w:pPr>
        <w:spacing w:after="0" w:line="23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Denis Phares</w:t>
      </w:r>
    </w:p>
    <w:p>
      <w:pPr>
        <w:spacing w:after="0" w:line="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Interim Chief Financial Officer</w:t>
      </w:r>
    </w:p>
    <w:p>
      <w:pPr>
        <w:spacing w:after="0" w:line="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ectPr>
          <w:pgSz w:w="12240" w:h="15840" w:orient="portrait"/>
          <w:cols w:equalWidth="0" w:num="1">
            <w:col w:w="10080"/>
          </w:cols>
          <w:pgMar w:left="1080" w:top="1079" w:right="1080" w:bottom="819" w:gutter="0" w:footer="0" w:header="0"/>
        </w:sectPr>
      </w:pPr>
    </w:p>
    <w:bookmarkStart w:id="155" w:name="page156"/>
    <w:bookmarkEnd w:id="155"/>
    <w:p>
      <w:pPr>
        <w:ind w:left="9040"/>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43"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CERTIFICATION OF CHIEF EXECUTIVE OFFICER AND CHIEF FINANCIAL OFFICER PURSUANT TO 18 U.S.C. SECTION 1350, AS ADOPTED PURSUANT TO SECTION 906 OF THE SARBANES-OXLEY ACT OF 2002</w:t>
      </w:r>
    </w:p>
    <w:p>
      <w:pPr>
        <w:spacing w:after="0" w:line="244" w:lineRule="exact"/>
        <w:rPr>
          <w:sz w:val="20"/>
          <w:szCs w:val="20"/>
          <w:color w:val="auto"/>
        </w:rPr>
      </w:pPr>
    </w:p>
    <w:p>
      <w:pPr>
        <w:jc w:val="both"/>
        <w:ind w:hanging="9"/>
        <w:spacing w:after="0"/>
        <w:rPr>
          <w:sz w:val="20"/>
          <w:szCs w:val="20"/>
          <w:color w:val="auto"/>
        </w:rPr>
      </w:pPr>
      <w:r>
        <w:rPr>
          <w:rFonts w:ascii="Times New Roman" w:cs="Times New Roman" w:eastAsia="Times New Roman" w:hAnsi="Times New Roman"/>
          <w:sz w:val="20"/>
          <w:szCs w:val="20"/>
          <w:color w:val="auto"/>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Annual Report on Form 10-K of Dragonfly Energy Holdings Corp. (the “Company”) for the year ended December 31, 2024 (the “Annual Report”), Denis Phares, as Chief Executive Officer and as Interim Chief Financial Officer, certifies in his capacity as such officer of the Company, that to his knowledge:</w:t>
      </w:r>
    </w:p>
    <w:p>
      <w:pPr>
        <w:spacing w:after="0" w:line="244" w:lineRule="exact"/>
        <w:rPr>
          <w:sz w:val="20"/>
          <w:szCs w:val="20"/>
          <w:color w:val="auto"/>
        </w:rPr>
      </w:pPr>
    </w:p>
    <w:p>
      <w:pPr>
        <w:ind w:left="360" w:hanging="360"/>
        <w:spacing w:after="0" w:line="235" w:lineRule="auto"/>
        <w:tabs>
          <w:tab w:leader="none" w:pos="36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fully complies with the requirements of Section 13(a) or 15(d) of the Securities Exchange Act of 1934; and</w:t>
      </w:r>
    </w:p>
    <w:p>
      <w:pPr>
        <w:spacing w:after="0" w:line="245"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Annual Report fairly presents, in all material respects, the financial condition and results of operations of the Company.</w:t>
      </w:r>
    </w:p>
    <w:p>
      <w:pPr>
        <w:spacing w:after="0" w:line="236"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20"/>
          <w:szCs w:val="20"/>
          <w:color w:val="auto"/>
        </w:rPr>
        <w:t>Dated: March 31, 2025</w:t>
      </w:r>
      <w:r>
        <w:rPr>
          <w:sz w:val="20"/>
          <w:szCs w:val="20"/>
          <w:color w:val="auto"/>
        </w:rPr>
        <w:tab/>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i w:val="1"/>
          <w:iCs w:val="1"/>
          <w:color w:val="auto"/>
        </w:rPr>
        <w:t>/s/ Denis Phares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3392805</wp:posOffset>
                </wp:positionH>
                <wp:positionV relativeFrom="paragraph">
                  <wp:posOffset>7620</wp:posOffset>
                </wp:positionV>
                <wp:extent cx="300863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863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15pt,0.6pt" to="504.05pt,0.6pt" o:allowincell="f" strokecolor="#000000" strokeweight="0.96pt"/>
            </w:pict>
          </mc:Fallback>
        </mc:AlternateConten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Denis Phares</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9"/>
          <w:szCs w:val="19"/>
          <w:color w:val="auto"/>
        </w:rPr>
        <w:t>Chief Executive Officer and Interim Chief Financial Officer</w:t>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(Principal Executive Office and Principal Financial and</w: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Accounting Officer)</w:t>
      </w:r>
    </w:p>
    <w:p>
      <w:pPr>
        <w:spacing w:after="0" w:line="244" w:lineRule="exact"/>
        <w:rPr>
          <w:sz w:val="20"/>
          <w:szCs w:val="20"/>
          <w:color w:val="auto"/>
        </w:rPr>
      </w:pPr>
    </w:p>
    <w:p>
      <w:pPr>
        <w:ind w:hanging="9"/>
        <w:spacing w:after="0" w:line="235" w:lineRule="auto"/>
        <w:rPr>
          <w:sz w:val="20"/>
          <w:szCs w:val="20"/>
          <w:color w:val="auto"/>
        </w:rPr>
      </w:pPr>
      <w:r>
        <w:rPr>
          <w:rFonts w:ascii="Times New Roman" w:cs="Times New Roman" w:eastAsia="Times New Roman" w:hAnsi="Times New Roman"/>
          <w:sz w:val="20"/>
          <w:szCs w:val="20"/>
          <w:color w:val="auto"/>
        </w:rPr>
        <w:t>This certification shall not be deemed “filed” for any purpose, nor shall it be deemed to be incorporated by reference into any filing under the Securities Act of 1933 or the Exchange Act.</w:t>
      </w:r>
    </w:p>
    <w:sectPr>
      <w:pgSz w:w="12240" w:h="15840" w:orient="portrait"/>
      <w:cols w:equalWidth="0" w:num="1">
        <w:col w:w="10080"/>
      </w:cols>
      <w:pgMar w:left="1080" w:top="1079" w:right="10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1."/>
      <w:numFmt w:val="decimal"/>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1)"/>
      <w:numFmt w:val="lowerRoman"/>
      <w:start w:val="5"/>
    </w:lvl>
  </w:abstractNum>
  <w:abstractNum w:abstractNumId="41">
    <w:nsid w:val="42963E5A"/>
    <w:multiLevelType w:val="hybridMultilevel"/>
    <w:lvl w:ilvl="0">
      <w:lvlJc w:val="left"/>
      <w:lvlText w:val="%1."/>
      <w:numFmt w:val="decimal"/>
      <w:start w:val="1"/>
    </w:lvl>
  </w:abstractNum>
  <w:abstractNum w:abstractNumId="42">
    <w:nsid w:val="A0382C5"/>
    <w:multiLevelType w:val="hybridMultilevel"/>
    <w:lvl w:ilvl="0">
      <w:lvlJc w:val="left"/>
      <w:lvlText w:val="(%1)"/>
      <w:numFmt w:val="decimal"/>
      <w:start w:val="1"/>
    </w:lvl>
  </w:abstractNum>
  <w:abstractNum w:abstractNumId="43">
    <w:nsid w:val="8F2B15E"/>
    <w:multiLevelType w:val="hybridMultilevel"/>
    <w:lvl w:ilvl="0">
      <w:lvlJc w:val="left"/>
      <w:lvlText w:val="(%1)"/>
      <w:numFmt w:val="lowerRoman"/>
      <w:start w:val="2"/>
    </w:lvl>
  </w:abstractNum>
  <w:abstractNum w:abstractNumId="44">
    <w:nsid w:val="1A32234B"/>
    <w:multiLevelType w:val="hybridMultilevel"/>
    <w:lvl w:ilvl="0">
      <w:lvlJc w:val="left"/>
      <w:lvlText w:val="(%1)"/>
      <w:numFmt w:val="lowerRoman"/>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1)"/>
      <w:numFmt w:val="lowerLetter"/>
      <w:start w:val="1"/>
    </w:lvl>
    <w:lvl w:ilvl="1">
      <w:lvlJc w:val="left"/>
      <w:lvlText w:val="(%2)"/>
      <w:numFmt w:val="lowerLetter"/>
      <w:start w:val="2"/>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1)"/>
      <w:numFmt w:val="decimal"/>
      <w:start w:val="1"/>
    </w:lvl>
  </w:abstractNum>
  <w:abstractNum w:abstractNumId="49">
    <w:nsid w:val="6A5EE64"/>
    <w:multiLevelType w:val="hybridMultilevel"/>
    <w:lvl w:ilvl="0">
      <w:lvlJc w:val="left"/>
      <w:lvlText w:val="(%1)"/>
      <w:numFmt w:val="decimal"/>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1)"/>
      <w:numFmt w:val="decimal"/>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1)"/>
      <w:numFmt w:val="decimal"/>
      <w:start w:val="1"/>
    </w:lvl>
  </w:abstractNum>
  <w:abstractNum w:abstractNumId="54">
    <w:nsid w:val="100F59DC"/>
    <w:multiLevelType w:val="hybridMultilevel"/>
    <w:lvl w:ilvl="0">
      <w:lvlJc w:val="left"/>
      <w:lvlText w:val="(%1)"/>
      <w:numFmt w:val="decimal"/>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1)"/>
      <w:numFmt w:val="lowerRoman"/>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1)"/>
      <w:numFmt w:val="decimal"/>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1."/>
      <w:numFmt w:val="decimal"/>
      <w:start w:val="1"/>
    </w:lvl>
  </w:abstractNum>
  <w:abstractNum w:abstractNumId="61">
    <w:nsid w:val="4C04A8AF"/>
    <w:multiLevelType w:val="hybridMultilevel"/>
    <w:lvl w:ilvl="0">
      <w:lvlJc w:val="left"/>
      <w:lvlText w:val="%1."/>
      <w:numFmt w:val="decimal"/>
      <w:start w:val="2"/>
    </w:lvl>
  </w:abstractNum>
  <w:abstractNum w:abstractNumId="62">
    <w:nsid w:val="1716703B"/>
    <w:multiLevelType w:val="hybridMultilevel"/>
    <w:lvl w:ilvl="0">
      <w:lvlJc w:val="left"/>
      <w:lvlText w:val="%1."/>
      <w:numFmt w:val="decimal"/>
      <w:start w:val="3"/>
    </w:lvl>
  </w:abstractNum>
  <w:abstractNum w:abstractNumId="63">
    <w:nsid w:val="14E17E3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4">
    <w:nsid w:val="3222E7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
      <w:numFmt w:val="bullet"/>
      <w:start w:val="1"/>
    </w:lvl>
  </w:abstractNum>
  <w:abstractNum w:abstractNumId="67">
    <w:nsid w:val="2DF6D648"/>
    <w:multiLevelType w:val="hybridMultilevel"/>
    <w:lvl w:ilvl="0">
      <w:lvlJc w:val="left"/>
      <w:lvlText w:val="(%1)"/>
      <w:numFmt w:val="decimal"/>
      <w:start w:val="1"/>
    </w:lvl>
  </w:abstractNum>
  <w:abstractNum w:abstractNumId="68">
    <w:nsid w:val="46B7D447"/>
    <w:multiLevelType w:val="hybridMultilevel"/>
    <w:lvl w:ilvl="0">
      <w:lvlJc w:val="left"/>
      <w:lvlText w:val="%1."/>
      <w:numFmt w:val="decimal"/>
      <w:start w:val="40"/>
    </w:lvl>
  </w:abstractNum>
  <w:abstractNum w:abstractNumId="69">
    <w:nsid w:val="4A2AC315"/>
    <w:multiLevelType w:val="hybridMultilevel"/>
    <w:lvl w:ilvl="0">
      <w:lvlJc w:val="left"/>
      <w:lvlText w:val="(%1)"/>
      <w:numFmt w:val="decimal"/>
      <w:start w:val="1"/>
    </w:lvl>
  </w:abstractNum>
  <w:abstractNum w:abstractNumId="70">
    <w:nsid w:val="39EE015C"/>
    <w:multiLevelType w:val="hybridMultilevel"/>
    <w:lvl w:ilvl="0">
      <w:lvlJc w:val="left"/>
      <w:lvlText w:val="(%1)"/>
      <w:numFmt w:val="decimal"/>
      <w:start w:val="4"/>
    </w:lvl>
  </w:abstractNum>
  <w:abstractNum w:abstractNumId="71">
    <w:nsid w:val="57FC4FBB"/>
    <w:multiLevelType w:val="hybridMultilevel"/>
    <w:lvl w:ilvl="0">
      <w:lvlJc w:val="left"/>
      <w:lvlText w:val="(%1)"/>
      <w:numFmt w:val="decimal"/>
      <w:start w:val="1"/>
    </w:lvl>
  </w:abstractNum>
  <w:abstractNum w:abstractNumId="72">
    <w:nsid w:val="CC1016F"/>
    <w:multiLevelType w:val="hybridMultilevel"/>
    <w:lvl w:ilvl="0">
      <w:lvlJc w:val="left"/>
      <w:lvlText w:val="(%1)"/>
      <w:numFmt w:val="lowerLetter"/>
      <w:start w:val="7"/>
    </w:lvl>
  </w:abstractNum>
  <w:abstractNum w:abstractNumId="73">
    <w:nsid w:val="43F18422"/>
    <w:multiLevelType w:val="hybridMultilevel"/>
    <w:lvl w:ilvl="0">
      <w:lvlJc w:val="left"/>
      <w:lvlText w:val="%1)"/>
      <w:numFmt w:val="upperLetter"/>
      <w:start w:val="24"/>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
      <w:numFmt w:val="bullet"/>
      <w:start w:val="1"/>
    </w:lvl>
  </w:abstractNum>
  <w:abstractNum w:abstractNumId="77">
    <w:nsid w:val="49DA307D"/>
    <w:multiLevelType w:val="hybridMultilevel"/>
    <w:lvl w:ilvl="0">
      <w:lvlJc w:val="left"/>
      <w:lvlText w:val="%1."/>
      <w:numFmt w:val="decimal"/>
      <w:start w:val="1"/>
    </w:lvl>
  </w:abstractNum>
  <w:abstractNum w:abstractNumId="78">
    <w:nsid w:val="7055A5F5"/>
    <w:multiLevelType w:val="hybridMultilevel"/>
    <w:lvl w:ilvl="0">
      <w:lvlJc w:val="left"/>
      <w:lvlText w:val="%1."/>
      <w:numFmt w:val="decimal"/>
      <w:start w:val="2"/>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1."/>
      <w:numFmt w:val="decimal"/>
      <w:start w:val="3"/>
    </w:lvl>
  </w:abstractNum>
  <w:abstractNum w:abstractNumId="81">
    <w:nsid w:val="488AC1A"/>
    <w:multiLevelType w:val="hybridMultilevel"/>
    <w:lvl w:ilvl="0">
      <w:lvlJc w:val="left"/>
      <w:lvlText w:val="●"/>
      <w:numFmt w:val="bullet"/>
      <w:start w:val="1"/>
    </w:lvl>
  </w:abstractNum>
  <w:abstractNum w:abstractNumId="82">
    <w:nsid w:val="5FB8011C"/>
    <w:multiLevelType w:val="hybridMultilevel"/>
    <w:lvl w:ilvl="0">
      <w:lvlJc w:val="left"/>
      <w:lvlText w:val="●"/>
      <w:numFmt w:val="bullet"/>
      <w:start w:val="1"/>
    </w:lvl>
  </w:abstractNum>
  <w:abstractNum w:abstractNumId="83">
    <w:nsid w:val="6AA78F7F"/>
    <w:multiLevelType w:val="hybridMultilevel"/>
    <w:lvl w:ilvl="0">
      <w:lvlJc w:val="left"/>
      <w:lvlText w:val="%1."/>
      <w:numFmt w:val="decimal"/>
      <w:start w:val="4"/>
    </w:lvl>
  </w:abstractNum>
  <w:abstractNum w:abstractNumId="84">
    <w:nsid w:val="7672BD23"/>
    <w:multiLevelType w:val="hybridMultilevel"/>
    <w:lvl w:ilvl="0">
      <w:lvlJc w:val="left"/>
      <w:lvlText w:val="●"/>
      <w:numFmt w:val="bullet"/>
      <w:start w:val="1"/>
    </w:lvl>
  </w:abstractNum>
  <w:abstractNum w:abstractNumId="85">
    <w:nsid w:val="6FC75AF8"/>
    <w:multiLevelType w:val="hybridMultilevel"/>
    <w:lvl w:ilvl="0">
      <w:lvlJc w:val="left"/>
      <w:lvlText w:val="%1."/>
      <w:numFmt w:val="decimal"/>
      <w:start w:val="5"/>
    </w:lvl>
  </w:abstractNum>
  <w:abstractNum w:abstractNumId="86">
    <w:nsid w:val="6A5F7029"/>
    <w:multiLevelType w:val="hybridMultilevel"/>
    <w:lvl w:ilvl="0">
      <w:lvlJc w:val="left"/>
      <w:lvlText w:val="%1."/>
      <w:numFmt w:val="decimal"/>
      <w:start w:val="6"/>
    </w:lvl>
  </w:abstractNum>
  <w:abstractNum w:abstractNumId="87">
    <w:nsid w:val="7D5E18F8"/>
    <w:multiLevelType w:val="hybridMultilevel"/>
    <w:lvl w:ilvl="0">
      <w:lvlJc w:val="left"/>
      <w:lvlText w:val="%1."/>
      <w:numFmt w:val="decimal"/>
      <w:start w:val="7"/>
    </w:lvl>
  </w:abstractNum>
  <w:abstractNum w:abstractNumId="88">
    <w:nsid w:val="5F3534A4"/>
    <w:multiLevelType w:val="hybridMultilevel"/>
    <w:lvl w:ilvl="0">
      <w:lvlJc w:val="left"/>
      <w:lvlText w:val="%1."/>
      <w:numFmt w:val="decimal"/>
      <w:start w:val="8"/>
    </w:lvl>
  </w:abstractNum>
  <w:abstractNum w:abstractNumId="89">
    <w:nsid w:val="73A1821B"/>
    <w:multiLevelType w:val="hybridMultilevel"/>
    <w:lvl w:ilvl="0">
      <w:lvlJc w:val="left"/>
      <w:lvlText w:val="%1."/>
      <w:numFmt w:val="decimal"/>
      <w:start w:val="9"/>
    </w:lvl>
  </w:abstractNum>
  <w:abstractNum w:abstractNumId="90">
    <w:nsid w:val="7DE67713"/>
    <w:multiLevelType w:val="hybridMultilevel"/>
    <w:lvl w:ilvl="0">
      <w:lvlJc w:val="left"/>
      <w:lvlText w:val="%1."/>
      <w:numFmt w:val="decimal"/>
      <w:start w:val="10"/>
    </w:lvl>
  </w:abstractNum>
  <w:abstractNum w:abstractNumId="91">
    <w:nsid w:val="555C55B5"/>
    <w:multiLevelType w:val="hybridMultilevel"/>
    <w:lvl w:ilvl="0">
      <w:lvlJc w:val="left"/>
      <w:lvlText w:val="%1."/>
      <w:numFmt w:val="decimal"/>
      <w:start w:val="1"/>
    </w:lvl>
  </w:abstractNum>
  <w:abstractNum w:abstractNumId="92">
    <w:nsid w:val="3FA62ACA"/>
    <w:multiLevelType w:val="hybridMultilevel"/>
    <w:lvl w:ilvl="0">
      <w:lvlJc w:val="left"/>
      <w:lvlText w:val="●"/>
      <w:numFmt w:val="bullet"/>
      <w:start w:val="1"/>
    </w:lvl>
  </w:abstractNum>
  <w:abstractNum w:abstractNumId="93">
    <w:nsid w:val="14FCE74E"/>
    <w:multiLevelType w:val="hybridMultilevel"/>
    <w:lvl w:ilvl="0">
      <w:lvlJc w:val="left"/>
      <w:lvlText w:val="●"/>
      <w:numFmt w:val="bullet"/>
      <w:start w:val="1"/>
    </w:lvl>
  </w:abstractNum>
  <w:abstractNum w:abstractNumId="94">
    <w:nsid w:val="6A3DD3E8"/>
    <w:multiLevelType w:val="hybridMultilevel"/>
    <w:lvl w:ilvl="0">
      <w:lvlJc w:val="left"/>
      <w:lvlText w:val="%1."/>
      <w:numFmt w:val="decimal"/>
      <w:start w:val="2"/>
    </w:lvl>
  </w:abstractNum>
  <w:abstractNum w:abstractNumId="95">
    <w:nsid w:val="71C91298"/>
    <w:multiLevelType w:val="hybridMultilevel"/>
    <w:lvl w:ilvl="0">
      <w:lvlJc w:val="left"/>
      <w:lvlText w:val="%1."/>
      <w:numFmt w:val="decimal"/>
      <w:start w:val="3"/>
    </w:lvl>
  </w:abstractNum>
  <w:abstractNum w:abstractNumId="96">
    <w:nsid w:val="9DAF632"/>
    <w:multiLevelType w:val="hybridMultilevel"/>
    <w:lvl w:ilvl="0">
      <w:lvlJc w:val="left"/>
      <w:lvlText w:val="%1."/>
      <w:numFmt w:val="decimal"/>
      <w:start w:val="4"/>
    </w:lvl>
  </w:abstractNum>
  <w:abstractNum w:abstractNumId="97">
    <w:nsid w:val="53299938"/>
    <w:multiLevelType w:val="hybridMultilevel"/>
    <w:lvl w:ilvl="0">
      <w:lvlJc w:val="left"/>
      <w:lvlText w:val="%1."/>
      <w:numFmt w:val="decimal"/>
      <w:start w:val="5"/>
    </w:lvl>
  </w:abstractNum>
  <w:abstractNum w:abstractNumId="98">
    <w:nsid w:val="1FBFE8E0"/>
    <w:multiLevelType w:val="hybridMultilevel"/>
    <w:lvl w:ilvl="0">
      <w:lvlJc w:val="left"/>
      <w:lvlText w:val="%1."/>
      <w:numFmt w:val="decimal"/>
      <w:start w:val="6"/>
    </w:lvl>
  </w:abstractNum>
  <w:abstractNum w:abstractNumId="99">
    <w:nsid w:val="5092CA79"/>
    <w:multiLevelType w:val="hybridMultilevel"/>
    <w:lvl w:ilvl="0">
      <w:lvlJc w:val="left"/>
      <w:lvlText w:val="%1."/>
      <w:numFmt w:val="decimal"/>
      <w:start w:val="7"/>
    </w:lvl>
  </w:abstractNum>
  <w:abstractNum w:abstractNumId="100">
    <w:nsid w:val="1D545C4D"/>
    <w:multiLevelType w:val="hybridMultilevel"/>
    <w:lvl w:ilvl="0">
      <w:lvlJc w:val="left"/>
      <w:lvlText w:val="%1."/>
      <w:numFmt w:val="decimal"/>
      <w:start w:val="1"/>
    </w:lvl>
  </w:abstractNum>
  <w:abstractNum w:abstractNumId="101">
    <w:nsid w:val="59ADEA3D"/>
    <w:multiLevelType w:val="hybridMultilevel"/>
    <w:lvl w:ilvl="0">
      <w:lvlJc w:val="left"/>
      <w:lvlText w:val="%1."/>
      <w:numFmt w:val="decimal"/>
      <w:start w:val="2"/>
    </w:lvl>
  </w:abstractNum>
  <w:abstractNum w:abstractNumId="102">
    <w:nsid w:val="288F1A34"/>
    <w:multiLevelType w:val="hybridMultilevel"/>
    <w:lvl w:ilvl="0">
      <w:lvlJc w:val="left"/>
      <w:lvlText w:val="%1."/>
      <w:numFmt w:val="decimal"/>
      <w:start w:val="3"/>
    </w:lvl>
  </w:abstractNum>
  <w:abstractNum w:abstractNumId="103">
    <w:nsid w:val="2A155DBC"/>
    <w:multiLevelType w:val="hybridMultilevel"/>
    <w:lvl w:ilvl="0">
      <w:lvlJc w:val="left"/>
      <w:lvlText w:val="%1."/>
      <w:numFmt w:val="decimal"/>
      <w:start w:val="4"/>
    </w:lvl>
  </w:abstractNum>
  <w:abstractNum w:abstractNumId="104">
    <w:nsid w:val="1D9F6E5F"/>
    <w:multiLevelType w:val="hybridMultilevel"/>
    <w:lvl w:ilvl="0">
      <w:lvlJc w:val="left"/>
      <w:lvlText w:val="%1."/>
      <w:numFmt w:val="decimal"/>
      <w:start w:val="5"/>
    </w:lvl>
  </w:abstractNum>
  <w:abstractNum w:abstractNumId="105">
    <w:nsid w:val="97E1B4E"/>
    <w:multiLevelType w:val="hybridMultilevel"/>
    <w:lvl w:ilvl="0">
      <w:lvlJc w:val="left"/>
      <w:lvlText w:val="%1."/>
      <w:numFmt w:val="decimal"/>
      <w:start w:val="6"/>
    </w:lvl>
  </w:abstractNum>
  <w:abstractNum w:abstractNumId="106">
    <w:nsid w:val="51088277"/>
    <w:multiLevelType w:val="hybridMultilevel"/>
    <w:lvl w:ilvl="0">
      <w:lvlJc w:val="left"/>
      <w:lvlText w:val="%1."/>
      <w:numFmt w:val="decimal"/>
      <w:start w:val="7"/>
    </w:lvl>
  </w:abstractNum>
  <w:abstractNum w:abstractNumId="107">
    <w:nsid w:val="1CA0C5FA"/>
    <w:multiLevelType w:val="hybridMultilevel"/>
    <w:lvl w:ilvl="0">
      <w:lvlJc w:val="left"/>
      <w:lvlText w:val="%1."/>
      <w:numFmt w:val="decimal"/>
      <w:start w:val="1"/>
    </w:lvl>
  </w:abstractNum>
  <w:abstractNum w:abstractNumId="108">
    <w:nsid w:val="53584BCB"/>
    <w:multiLevelType w:val="hybridMultilevel"/>
    <w:lvl w:ilvl="0">
      <w:lvlJc w:val="left"/>
      <w:lvlText w:val="%1."/>
      <w:numFmt w:val="decimal"/>
      <w:start w:val="2"/>
    </w:lvl>
  </w:abstractNum>
  <w:abstractNum w:abstractNumId="109">
    <w:nsid w:val="415E286C"/>
    <w:multiLevelType w:val="hybridMultilevel"/>
    <w:lvl w:ilvl="0">
      <w:lvlJc w:val="left"/>
      <w:lvlText w:val="%1."/>
      <w:numFmt w:val="decimal"/>
      <w:start w:val="3"/>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lvl w:ilvl="1">
      <w:lvlJc w:val="left"/>
      <w:lvlText w:val="%2)"/>
      <w:numFmt w:val="lowerLetter"/>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2025-09-15T15:17:26Z</dcterms:created>
  <dcterms:modified xsi:type="dcterms:W3CDTF">2025-09-15T15:17:26Z</dcterms:modified>
</cp:coreProperties>
</file>