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6, 2026</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3803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41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 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DRAGONFLY ENERGY HOLDINGS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5500" w:type="dxa"/>
            <w:vAlign w:val="bottom"/>
          </w:tcPr>
          <w:p>
            <w:pPr>
              <w:jc w:val="right"/>
              <w:ind w:right="2254"/>
              <w:spacing w:after="0"/>
              <w:rPr>
                <w:sz w:val="20"/>
                <w:szCs w:val="20"/>
                <w:color w:val="auto"/>
              </w:rPr>
            </w:pPr>
            <w:r>
              <w:rPr>
                <w:rFonts w:ascii="Times New Roman" w:cs="Times New Roman" w:eastAsia="Times New Roman" w:hAnsi="Times New Roman"/>
                <w:sz w:val="17"/>
                <w:szCs w:val="17"/>
                <w:b w:val="1"/>
                <w:bCs w:val="1"/>
                <w:color w:val="auto"/>
              </w:rPr>
              <w:t>85-1873463</w:t>
            </w:r>
          </w:p>
        </w:tc>
      </w:tr>
      <w:tr>
        <w:trPr>
          <w:trHeight w:val="180"/>
        </w:trPr>
        <w:tc>
          <w:tcPr>
            <w:tcW w:w="552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220" w:type="dxa"/>
            <w:vAlign w:val="bottom"/>
          </w:tcPr>
          <w:p>
            <w:pPr>
              <w:spacing w:after="0"/>
              <w:rPr>
                <w:sz w:val="15"/>
                <w:szCs w:val="15"/>
                <w:color w:val="auto"/>
              </w:rPr>
            </w:pPr>
          </w:p>
        </w:tc>
        <w:tc>
          <w:tcPr>
            <w:tcW w:w="550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9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12915 Old Virginia Road</w:t>
            </w:r>
          </w:p>
        </w:tc>
        <w:tc>
          <w:tcPr>
            <w:tcW w:w="5500" w:type="dxa"/>
            <w:vAlign w:val="bottom"/>
          </w:tcPr>
          <w:p>
            <w:pPr>
              <w:spacing w:after="0"/>
              <w:rPr>
                <w:sz w:val="24"/>
                <w:szCs w:val="24"/>
                <w:color w:val="auto"/>
              </w:rPr>
            </w:pPr>
          </w:p>
        </w:tc>
      </w:tr>
      <w:tr>
        <w:trPr>
          <w:trHeight w:val="22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Reno, Nevada</w:t>
            </w:r>
          </w:p>
        </w:tc>
        <w:tc>
          <w:tcPr>
            <w:tcW w:w="5500" w:type="dxa"/>
            <w:vAlign w:val="bottom"/>
          </w:tcPr>
          <w:p>
            <w:pPr>
              <w:jc w:val="right"/>
              <w:ind w:right="2454"/>
              <w:spacing w:after="0"/>
              <w:rPr>
                <w:sz w:val="20"/>
                <w:szCs w:val="20"/>
                <w:color w:val="auto"/>
              </w:rPr>
            </w:pPr>
            <w:r>
              <w:rPr>
                <w:rFonts w:ascii="Times New Roman" w:cs="Times New Roman" w:eastAsia="Times New Roman" w:hAnsi="Times New Roman"/>
                <w:sz w:val="17"/>
                <w:szCs w:val="17"/>
                <w:b w:val="1"/>
                <w:bCs w:val="1"/>
                <w:color w:val="auto"/>
              </w:rPr>
              <w:t>89521</w:t>
            </w:r>
          </w:p>
        </w:tc>
      </w:tr>
      <w:tr>
        <w:trPr>
          <w:trHeight w:val="221"/>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 2022 Equity Incentive Plan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(Full title of the plan)</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Denis Phares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12915 Old Virginia Road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Reno, Nevada 89521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(775) 662 - 3448</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Please send copies of all communications to:</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Steven M. Skolnick,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Lowenstein Sandler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1251 Avenue of the Americas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10020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(212) 262-6700</w:t>
      </w:r>
    </w:p>
    <w:p>
      <w:pPr>
        <w:spacing w:after="0" w:line="198"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14"/>
        </w:trPr>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40" w:type="dxa"/>
            <w:vAlign w:val="bottom"/>
          </w:tcPr>
          <w:p>
            <w:pPr>
              <w:ind w:left="15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713803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412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444500</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1"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This Registration Statement on Form S-8 is filed by Dragonfly Energy Holdings Corp.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the purpose of registering additional shares of the Company’s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under the Company’s 2022 Equity Incentive Plan (the “</w:t>
      </w:r>
      <w:r>
        <w:rPr>
          <w:rFonts w:ascii="Times New Roman" w:cs="Times New Roman" w:eastAsia="Times New Roman" w:hAnsi="Times New Roman"/>
          <w:sz w:val="17"/>
          <w:szCs w:val="17"/>
          <w:u w:val="single" w:color="auto"/>
          <w:color w:val="auto"/>
        </w:rPr>
        <w:t>2022 Plan</w:t>
      </w:r>
      <w:r>
        <w:rPr>
          <w:rFonts w:ascii="Times New Roman" w:cs="Times New Roman" w:eastAsia="Times New Roman" w:hAnsi="Times New Roman"/>
          <w:sz w:val="17"/>
          <w:szCs w:val="17"/>
          <w:color w:val="auto"/>
        </w:rPr>
        <w:t>”) and the Company’s Employee Stock Purchase Plan (the “</w:t>
      </w:r>
      <w:r>
        <w:rPr>
          <w:rFonts w:ascii="Times New Roman" w:cs="Times New Roman" w:eastAsia="Times New Roman" w:hAnsi="Times New Roman"/>
          <w:sz w:val="17"/>
          <w:szCs w:val="17"/>
          <w:u w:val="single" w:color="auto"/>
          <w:color w:val="auto"/>
        </w:rPr>
        <w:t>ESPP</w:t>
      </w:r>
      <w:r>
        <w:rPr>
          <w:rFonts w:ascii="Times New Roman" w:cs="Times New Roman" w:eastAsia="Times New Roman" w:hAnsi="Times New Roman"/>
          <w:sz w:val="17"/>
          <w:szCs w:val="17"/>
          <w:color w:val="auto"/>
        </w:rPr>
        <w:t>”). The number of shares of Common Stock available for grant and issuance under the 2022 Plan is subject to an automatic annual increase on January 1 of each year beginning in 2023 by an amount equal to the lesser of (i) 4% of the total number of shares of Common Stock outstanding on December 31 of the preceding calendar year; or (ii) a number of shares of Common Stock determined by the Board of Directors of the Company (the “</w:t>
      </w:r>
      <w:r>
        <w:rPr>
          <w:rFonts w:ascii="Times New Roman" w:cs="Times New Roman" w:eastAsia="Times New Roman" w:hAnsi="Times New Roman"/>
          <w:sz w:val="17"/>
          <w:szCs w:val="17"/>
          <w:u w:val="single" w:color="auto"/>
          <w:color w:val="auto"/>
        </w:rPr>
        <w:t>2022 Plan Evergreen Provision</w:t>
      </w:r>
      <w:r>
        <w:rPr>
          <w:rFonts w:ascii="Times New Roman" w:cs="Times New Roman" w:eastAsia="Times New Roman" w:hAnsi="Times New Roman"/>
          <w:sz w:val="17"/>
          <w:szCs w:val="17"/>
          <w:color w:val="auto"/>
        </w:rPr>
        <w:t>”). On January 1, 2026, the number of shares of Common Stock available for grant and issuance under the 2022 Plan increased by 483,148 shares of Common Stock.</w:t>
      </w:r>
    </w:p>
    <w:p>
      <w:pPr>
        <w:spacing w:after="0" w:line="175"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number of shares of Common Stock available for grant and issuance under the ESPP is subject to an automatic annual increase on January 1 of each year by an amount equal to the lesser of (i) 1% of the total number of shares of Common Stock outstanding on December 31 of the preceding calendar year; (ii) 166,666 shares of Common Stock; or (iii) a number of shares of Common Stock determined by the Board of Directors of the Company (the “</w:t>
      </w:r>
      <w:r>
        <w:rPr>
          <w:rFonts w:ascii="Times New Roman" w:cs="Times New Roman" w:eastAsia="Times New Roman" w:hAnsi="Times New Roman"/>
          <w:sz w:val="17"/>
          <w:szCs w:val="17"/>
          <w:u w:val="single" w:color="auto"/>
          <w:color w:val="auto"/>
        </w:rPr>
        <w:t>ESPP Evergreen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Provision</w:t>
      </w:r>
      <w:r>
        <w:rPr>
          <w:rFonts w:ascii="Times New Roman" w:cs="Times New Roman" w:eastAsia="Times New Roman" w:hAnsi="Times New Roman"/>
          <w:sz w:val="17"/>
          <w:szCs w:val="17"/>
          <w:color w:val="auto"/>
        </w:rPr>
        <w:t>”). On January 1, 2026, the number of shares of Common Stock available for grant and issuance under the ESPP increased by 120,787 shares of Common Stock.</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This Registration Statement registers a total of 603,935 shares of Common Stock comprised of: (i) 483,148 shares of Common Stock which were available for grant and issuance under the 2022 Plan pursuant to the 2022 Plan Evergreen Provision as of January 1, 2026; and (ii) 120,787 shares of Common Stock which were available for grant and issuance under the ESPP pursuant to the ESPP Evergreen Provision as of January 1, 2026.</w:t>
      </w:r>
    </w:p>
    <w:p>
      <w:pPr>
        <w:spacing w:after="0" w:line="162"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The shares of Common Stock registered pursuant to this Registration Statement are of the same class of securities as (i) the 28,955 shares of Common Stock registered for issuance under the 2022 Plan and the 27,382 shares of Common Stock registered for issuance under the ESPP pursuant to the currently effective Registration Statement on Form S-8 (Registration No. 333-268784) filed on December 13 2022, and subsequently amended by Post-Effective Amendment No. 1 filed on August 30, 2023, (ii) the 19,232 shares of Common Stock registered for issuance under the 2022 Plan and the 8,141 shares of Common Stock registered for issuance under the ESPP pursuant to the currently effective Registration Statement on Form S-8 (Registration No. 333-274277) filed on August 30, 2023, (iii) the 26,782 shares of Common Stock registered for issuance under the 2022 Plan and 6,695 shares of Common Stock registered for issuance under the ESPP pursuant to the currently effective Registration Statement on Form S-8 (Registration No. 333-280173) filed on June 13, 2024, (iv) the 28,930 shares of Common Stock registered for issuance under the 2022 Plan and 7,232 shares of Common Stock registered for issuance under the ESPP pursuant to the currently effective Registration Statement on Form S-8 (Registration No. 333-286400) filed on April 4, 2025 and (v) the 900,000 shares of Common Stock registered for issuance under the 2022 Plan pursuant to the currently effective Registration Statement on Form S-8 (Registration No. 333-291627) filed on November 18, 2025.</w:t>
      </w:r>
    </w:p>
    <w:p>
      <w:pPr>
        <w:spacing w:after="0" w:line="38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Pursuant to General Instruction E of Form S-8, the contents of the Company’s Registration Statements on Form S-8 (Registration Nos. 333-268784, 333-274277, 333-280173, 333-286400 and 333-291627), including any amendments thereto or filings incorporated therein, are incorporated herein by this reference to the extent not replaced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u w:val="single" w:color="auto"/>
          <w:color w:val="auto"/>
        </w:rPr>
        <w:t>Incorporation of Documents by Reference</w:t>
      </w:r>
      <w:r>
        <w:rPr>
          <w:rFonts w:ascii="Times New Roman" w:cs="Times New Roman" w:eastAsia="Times New Roman" w:hAnsi="Times New Roman"/>
          <w:sz w:val="17"/>
          <w:szCs w:val="17"/>
          <w:b w:val="1"/>
          <w:bCs w:val="1"/>
          <w:color w:val="auto"/>
        </w:rPr>
        <w:t>.</w:t>
      </w:r>
    </w:p>
    <w:p>
      <w:pPr>
        <w:spacing w:after="0" w:line="221"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The following documents filed by the Company with the Commission pursuant to the Securities Act and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are incorporated herein by reference:</w:t>
      </w:r>
    </w:p>
    <w:p>
      <w:pPr>
        <w:spacing w:after="0" w:line="148" w:lineRule="exact"/>
        <w:rPr>
          <w:sz w:val="20"/>
          <w:szCs w:val="20"/>
          <w:color w:val="auto"/>
        </w:rPr>
      </w:pPr>
    </w:p>
    <w:p>
      <w:pPr>
        <w:ind w:left="620" w:hanging="306"/>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2024 (the “</w:t>
      </w:r>
      <w:r>
        <w:rPr>
          <w:rFonts w:ascii="Times New Roman" w:cs="Times New Roman" w:eastAsia="Times New Roman" w:hAnsi="Times New Roman"/>
          <w:sz w:val="17"/>
          <w:szCs w:val="17"/>
          <w:u w:val="single" w:color="auto"/>
          <w:color w:val="auto"/>
        </w:rPr>
        <w:t>Form 10-K</w:t>
      </w:r>
      <w:r>
        <w:rPr>
          <w:rFonts w:ascii="Times New Roman" w:cs="Times New Roman" w:eastAsia="Times New Roman" w:hAnsi="Times New Roman"/>
          <w:sz w:val="17"/>
          <w:szCs w:val="17"/>
          <w:color w:val="auto"/>
        </w:rPr>
        <w:t xml:space="preserve">”) filed with the SEC on </w:t>
      </w:r>
      <w:hyperlink r:id="rId15">
        <w:r>
          <w:rPr>
            <w:rFonts w:ascii="Times New Roman" w:cs="Times New Roman" w:eastAsia="Times New Roman" w:hAnsi="Times New Roman"/>
            <w:sz w:val="17"/>
            <w:szCs w:val="17"/>
            <w:u w:val="single" w:color="auto"/>
            <w:color w:val="0000EE"/>
          </w:rPr>
          <w:t>March 31, 2025</w:t>
        </w:r>
      </w:hyperlink>
      <w:r>
        <w:rPr>
          <w:rFonts w:ascii="Times New Roman" w:cs="Times New Roman" w:eastAsia="Times New Roman" w:hAnsi="Times New Roman"/>
          <w:sz w:val="17"/>
          <w:szCs w:val="17"/>
          <w:color w:val="auto"/>
        </w:rPr>
        <w:t>;</w:t>
      </w:r>
    </w:p>
    <w:p>
      <w:pPr>
        <w:spacing w:after="0" w:line="218"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Quarterly Reports on Form 10-Q for the fiscal quarters ended March 31, 2025, June 30, 2025 and September 30, 2025, filed with the SEC on </w:t>
      </w:r>
      <w:hyperlink r:id="rId16">
        <w:r>
          <w:rPr>
            <w:rFonts w:ascii="Times New Roman" w:cs="Times New Roman" w:eastAsia="Times New Roman" w:hAnsi="Times New Roman"/>
            <w:sz w:val="17"/>
            <w:szCs w:val="17"/>
            <w:u w:val="single" w:color="auto"/>
            <w:color w:val="0000EE"/>
          </w:rPr>
          <w:t>May 16, 2025</w:t>
        </w:r>
      </w:hyperlink>
      <w:r>
        <w:rPr>
          <w:rFonts w:ascii="Times New Roman" w:cs="Times New Roman" w:eastAsia="Times New Roman" w:hAnsi="Times New Roman"/>
          <w:sz w:val="17"/>
          <w:szCs w:val="17"/>
          <w:color w:val="auto"/>
        </w:rPr>
        <w:t xml:space="preserve">, </w:t>
      </w:r>
      <w:hyperlink r:id="rId17">
        <w:r>
          <w:rPr>
            <w:rFonts w:ascii="Times New Roman" w:cs="Times New Roman" w:eastAsia="Times New Roman" w:hAnsi="Times New Roman"/>
            <w:sz w:val="17"/>
            <w:szCs w:val="17"/>
            <w:u w:val="single" w:color="auto"/>
            <w:color w:val="0000EE"/>
          </w:rPr>
          <w:t>August 14,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8">
        <w:r>
          <w:rPr>
            <w:rFonts w:ascii="Times New Roman" w:cs="Times New Roman" w:eastAsia="Times New Roman" w:hAnsi="Times New Roman"/>
            <w:sz w:val="17"/>
            <w:szCs w:val="17"/>
            <w:u w:val="single" w:color="auto"/>
            <w:color w:val="0000EE"/>
          </w:rPr>
          <w:t>November 14, 2025</w:t>
        </w:r>
      </w:hyperlink>
      <w:r>
        <w:rPr>
          <w:rFonts w:ascii="Times New Roman" w:cs="Times New Roman" w:eastAsia="Times New Roman" w:hAnsi="Times New Roman"/>
          <w:sz w:val="17"/>
          <w:szCs w:val="17"/>
          <w:color w:val="auto"/>
        </w:rPr>
        <w:t>, respectively;</w:t>
      </w:r>
    </w:p>
    <w:p>
      <w:pPr>
        <w:spacing w:after="0" w:line="147" w:lineRule="exact"/>
        <w:rPr>
          <w:rFonts w:ascii="Times New Roman" w:cs="Times New Roman" w:eastAsia="Times New Roman" w:hAnsi="Times New Roman"/>
          <w:sz w:val="17"/>
          <w:szCs w:val="17"/>
          <w:color w:val="auto"/>
        </w:rPr>
      </w:pPr>
    </w:p>
    <w:p>
      <w:pPr>
        <w:jc w:val="both"/>
        <w:ind w:left="620" w:hanging="306"/>
        <w:spacing w:after="0" w:line="263" w:lineRule="auto"/>
        <w:tabs>
          <w:tab w:leader="none" w:pos="620" w:val="left"/>
        </w:tabs>
        <w:numPr>
          <w:ilvl w:val="0"/>
          <w:numId w:val="1"/>
        </w:numPr>
        <w:rPr>
          <w:rFonts w:ascii="Times New Roman" w:cs="Times New Roman" w:eastAsia="Times New Roman" w:hAnsi="Times New Roman"/>
          <w:sz w:val="17"/>
          <w:szCs w:val="17"/>
          <w:color w:val="000000"/>
        </w:rPr>
      </w:pPr>
      <w:hyperlink r:id="rId19">
        <w:r>
          <w:rPr>
            <w:rFonts w:ascii="Times New Roman" w:cs="Times New Roman" w:eastAsia="Times New Roman" w:hAnsi="Times New Roman"/>
            <w:sz w:val="17"/>
            <w:szCs w:val="17"/>
            <w:color w:val="auto"/>
          </w:rPr>
          <w:t xml:space="preserve">the Company’s Current Reports on Form 8-K filed with the SEC on </w:t>
        </w:r>
        <w:r>
          <w:rPr>
            <w:rFonts w:ascii="Times New Roman" w:cs="Times New Roman" w:eastAsia="Times New Roman" w:hAnsi="Times New Roman"/>
            <w:sz w:val="17"/>
            <w:szCs w:val="17"/>
            <w:u w:val="single" w:color="auto"/>
            <w:color w:val="0000EE"/>
          </w:rPr>
          <w:t>January 3,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5,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27,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10,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March 24,</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April 28,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1">
        <w:r>
          <w:rPr>
            <w:rFonts w:ascii="Times New Roman" w:cs="Times New Roman" w:eastAsia="Times New Roman" w:hAnsi="Times New Roman"/>
            <w:sz w:val="17"/>
            <w:szCs w:val="17"/>
            <w:u w:val="single" w:color="auto"/>
            <w:color w:val="0000EE"/>
          </w:rPr>
          <w:t>May 8,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June 3,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June 13,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June 24, 2025</w:t>
        </w:r>
      </w:hyperlink>
      <w:hyperlink r:id="rId19">
        <w:r>
          <w:rPr>
            <w:rFonts w:ascii="Times New Roman" w:cs="Times New Roman" w:eastAsia="Times New Roman" w:hAnsi="Times New Roman"/>
            <w:sz w:val="17"/>
            <w:szCs w:val="17"/>
            <w:color w:val="000000"/>
          </w:rPr>
          <w:t>,</w:t>
        </w:r>
      </w:hyperlink>
      <w:hyperlink r:id="rId25">
        <w:r>
          <w:rPr>
            <w:rFonts w:ascii="Times New Roman" w:cs="Times New Roman" w:eastAsia="Times New Roman" w:hAnsi="Times New Roman"/>
            <w:sz w:val="17"/>
            <w:szCs w:val="17"/>
            <w:u w:val="single" w:color="auto"/>
            <w:color w:val="0000EE"/>
          </w:rPr>
          <w:t>June 27,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6">
        <w:r>
          <w:rPr>
            <w:rFonts w:ascii="Times New Roman" w:cs="Times New Roman" w:eastAsia="Times New Roman" w:hAnsi="Times New Roman"/>
            <w:sz w:val="17"/>
            <w:szCs w:val="17"/>
            <w:u w:val="single" w:color="auto"/>
            <w:color w:val="0000EE"/>
          </w:rPr>
          <w:t>July 7,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7">
        <w:r>
          <w:rPr>
            <w:rFonts w:ascii="Times New Roman" w:cs="Times New Roman" w:eastAsia="Times New Roman" w:hAnsi="Times New Roman"/>
            <w:sz w:val="17"/>
            <w:szCs w:val="17"/>
            <w:u w:val="single" w:color="auto"/>
            <w:color w:val="0000EE"/>
          </w:rPr>
          <w:t>July 21,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8">
        <w:r>
          <w:rPr>
            <w:rFonts w:ascii="Times New Roman" w:cs="Times New Roman" w:eastAsia="Times New Roman" w:hAnsi="Times New Roman"/>
            <w:sz w:val="17"/>
            <w:szCs w:val="17"/>
            <w:u w:val="single" w:color="auto"/>
            <w:color w:val="0000EE"/>
          </w:rPr>
          <w:t>July 29,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9">
        <w:r>
          <w:rPr>
            <w:rFonts w:ascii="Times New Roman" w:cs="Times New Roman" w:eastAsia="Times New Roman" w:hAnsi="Times New Roman"/>
            <w:sz w:val="17"/>
            <w:szCs w:val="17"/>
            <w:u w:val="single" w:color="auto"/>
            <w:color w:val="0000EE"/>
          </w:rPr>
          <w:t>July 30, 2025</w:t>
        </w:r>
      </w:hyperlink>
      <w:hyperlink r:id="rId19">
        <w:r>
          <w:rPr>
            <w:rFonts w:ascii="Times New Roman" w:cs="Times New Roman" w:eastAsia="Times New Roman" w:hAnsi="Times New Roman"/>
            <w:sz w:val="17"/>
            <w:szCs w:val="17"/>
            <w:color w:val="000000"/>
          </w:rPr>
          <w:t>,</w:t>
        </w:r>
      </w:hyperlink>
      <w:r>
        <w:rPr>
          <w:rFonts w:ascii="Times New Roman" w:cs="Times New Roman" w:eastAsia="Times New Roman" w:hAnsi="Times New Roman"/>
          <w:sz w:val="17"/>
          <w:szCs w:val="17"/>
          <w:color w:val="0000EE"/>
        </w:rPr>
        <w:t xml:space="preserve"> </w:t>
      </w:r>
      <w:hyperlink r:id="rId30">
        <w:r>
          <w:rPr>
            <w:rFonts w:ascii="Times New Roman" w:cs="Times New Roman" w:eastAsia="Times New Roman" w:hAnsi="Times New Roman"/>
            <w:sz w:val="17"/>
            <w:szCs w:val="17"/>
            <w:u w:val="single" w:color="auto"/>
            <w:color w:val="0000EE"/>
          </w:rPr>
          <w:t>September 4,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1">
        <w:r>
          <w:rPr>
            <w:rFonts w:ascii="Times New Roman" w:cs="Times New Roman" w:eastAsia="Times New Roman" w:hAnsi="Times New Roman"/>
            <w:sz w:val="17"/>
            <w:szCs w:val="17"/>
            <w:u w:val="single" w:color="auto"/>
            <w:color w:val="0000EE"/>
          </w:rPr>
          <w:t>October 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2">
        <w:r>
          <w:rPr>
            <w:rFonts w:ascii="Times New Roman" w:cs="Times New Roman" w:eastAsia="Times New Roman" w:hAnsi="Times New Roman"/>
            <w:sz w:val="17"/>
            <w:szCs w:val="17"/>
            <w:u w:val="single" w:color="auto"/>
            <w:color w:val="0000EE"/>
          </w:rPr>
          <w:t>October 15,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3">
        <w:r>
          <w:rPr>
            <w:rFonts w:ascii="Times New Roman" w:cs="Times New Roman" w:eastAsia="Times New Roman" w:hAnsi="Times New Roman"/>
            <w:sz w:val="17"/>
            <w:szCs w:val="17"/>
            <w:u w:val="single" w:color="auto"/>
            <w:color w:val="0000EE"/>
          </w:rPr>
          <w:t>October 16,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4">
        <w:r>
          <w:rPr>
            <w:rFonts w:ascii="Times New Roman" w:cs="Times New Roman" w:eastAsia="Times New Roman" w:hAnsi="Times New Roman"/>
            <w:sz w:val="17"/>
            <w:szCs w:val="17"/>
            <w:u w:val="single" w:color="auto"/>
            <w:color w:val="0000EE"/>
          </w:rPr>
          <w:t>October 20,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October 21,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November 5,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December 18, 2025</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and </w:t>
      </w:r>
      <w:hyperlink r:id="rId38">
        <w:r>
          <w:rPr>
            <w:rFonts w:ascii="Times New Roman" w:cs="Times New Roman" w:eastAsia="Times New Roman" w:hAnsi="Times New Roman"/>
            <w:sz w:val="17"/>
            <w:szCs w:val="17"/>
            <w:u w:val="single" w:color="auto"/>
            <w:color w:val="0000EE"/>
          </w:rPr>
          <w:t>January 30, 2026</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and on Form 8-K/A filed with the SEC on </w:t>
      </w:r>
      <w:hyperlink r:id="rId39">
        <w:r>
          <w:rPr>
            <w:rFonts w:ascii="Times New Roman" w:cs="Times New Roman" w:eastAsia="Times New Roman" w:hAnsi="Times New Roman"/>
            <w:sz w:val="17"/>
            <w:szCs w:val="17"/>
            <w:u w:val="single" w:color="auto"/>
            <w:color w:val="0000EE"/>
          </w:rPr>
          <w:t>October 16,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(in each case, excluding any information deemed furnished under Items 2.02 or 7.01 of Form 8-K, including the related exhibits, which information is not incorporated by reference herein); and</w:t>
      </w:r>
    </w:p>
    <w:p>
      <w:pPr>
        <w:spacing w:after="0" w:line="172" w:lineRule="exact"/>
        <w:rPr>
          <w:rFonts w:ascii="Times New Roman" w:cs="Times New Roman" w:eastAsia="Times New Roman" w:hAnsi="Times New Roman"/>
          <w:sz w:val="17"/>
          <w:szCs w:val="17"/>
          <w:color w:val="000000"/>
        </w:rPr>
      </w:pPr>
    </w:p>
    <w:p>
      <w:pPr>
        <w:jc w:val="both"/>
        <w:ind w:left="620" w:hanging="306"/>
        <w:spacing w:after="0" w:line="284"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Common Stock of the Company contained in its Registration Statement on </w:t>
      </w:r>
      <w:hyperlink r:id="rId40">
        <w:r>
          <w:rPr>
            <w:rFonts w:ascii="Times New Roman" w:cs="Times New Roman" w:eastAsia="Times New Roman" w:hAnsi="Times New Roman"/>
            <w:sz w:val="17"/>
            <w:szCs w:val="17"/>
            <w:u w:val="single" w:color="auto"/>
            <w:color w:val="0000EE"/>
          </w:rPr>
          <w:t>Form 8-A</w:t>
        </w:r>
      </w:hyperlink>
      <w:r>
        <w:rPr>
          <w:rFonts w:ascii="Times New Roman" w:cs="Times New Roman" w:eastAsia="Times New Roman" w:hAnsi="Times New Roman"/>
          <w:sz w:val="17"/>
          <w:szCs w:val="17"/>
          <w:color w:val="auto"/>
        </w:rPr>
        <w:t xml:space="preserve">, filed on August 10, 2021 under Section 12(b) of the Exchange Act including any amendments or reports filed for the purpose of updating such description, including </w:t>
      </w:r>
      <w:hyperlink r:id="rId41">
        <w:r>
          <w:rPr>
            <w:rFonts w:ascii="Times New Roman" w:cs="Times New Roman" w:eastAsia="Times New Roman" w:hAnsi="Times New Roman"/>
            <w:sz w:val="17"/>
            <w:szCs w:val="17"/>
            <w:u w:val="single" w:color="auto"/>
            <w:color w:val="0000EE"/>
          </w:rPr>
          <w:t>Exhibit 4.18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Form 10-K.</w:t>
      </w:r>
    </w:p>
    <w:p>
      <w:pPr>
        <w:spacing w:after="0" w:line="366" w:lineRule="exact"/>
        <w:rPr>
          <w:rFonts w:ascii="Times New Roman" w:cs="Times New Roman" w:eastAsia="Times New Roman" w:hAnsi="Times New Roman"/>
          <w:sz w:val="17"/>
          <w:szCs w:val="17"/>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auto"/>
              </w:rPr>
              <w:t>Item 8. Exhibits.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0" w:type="dxa"/>
            <w:vAlign w:val="bottom"/>
          </w:tcPr>
          <w:p>
            <w:pPr>
              <w:spacing w:after="0" w:line="20" w:lineRule="exact"/>
              <w:rPr>
                <w:sz w:val="1"/>
                <w:szCs w:val="1"/>
                <w:color w:val="auto"/>
              </w:rPr>
            </w:pPr>
          </w:p>
        </w:tc>
      </w:tr>
      <w:tr>
        <w:trPr>
          <w:trHeight w:val="438"/>
        </w:trPr>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7660" w:type="dxa"/>
            <w:vAlign w:val="bottom"/>
            <w:gridSpan w:val="16"/>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Pr>
          <w:p>
            <w:pPr>
              <w:spacing w:after="0"/>
              <w:rPr>
                <w:sz w:val="24"/>
                <w:szCs w:val="24"/>
                <w:color w:val="auto"/>
              </w:rPr>
            </w:pPr>
          </w:p>
        </w:tc>
        <w:tc>
          <w:tcPr>
            <w:tcW w:w="2400" w:type="dxa"/>
            <w:vAlign w:val="bottom"/>
            <w:tcBorders>
              <w:bottom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60" w:type="dxa"/>
            <w:vAlign w:val="bottom"/>
            <w:gridSpan w:val="4"/>
            <w:vMerge w:val="continue"/>
          </w:tcPr>
          <w:p>
            <w:pPr>
              <w:spacing w:after="0"/>
              <w:rPr>
                <w:sz w:val="17"/>
                <w:szCs w:val="17"/>
                <w:color w:val="auto"/>
              </w:rPr>
            </w:pPr>
          </w:p>
        </w:tc>
        <w:tc>
          <w:tcPr>
            <w:tcW w:w="7660" w:type="dxa"/>
            <w:vAlign w:val="bottom"/>
            <w:gridSpan w:val="16"/>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Form</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rPr>
              <w:t>4.1</w:t>
            </w: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Borders>
              <w:top w:val="single" w:sz="8" w:color="auto"/>
              <w:bottom w:val="single" w:sz="8" w:color="0000EE"/>
            </w:tcBorders>
            <w:gridSpan w:val="8"/>
          </w:tcPr>
          <w:p>
            <w:pPr>
              <w:spacing w:after="0" w:line="162" w:lineRule="exact"/>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Articles of Incorporation of Dragonfly Energy Holdings Corp.</w:t>
              </w:r>
            </w:hyperlink>
          </w:p>
        </w:tc>
        <w:tc>
          <w:tcPr>
            <w:tcW w:w="3360" w:type="dxa"/>
            <w:vAlign w:val="bottom"/>
            <w:tcBorders>
              <w:top w:val="single" w:sz="8" w:color="auto"/>
            </w:tcBorders>
            <w:gridSpan w:val="8"/>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rPr>
              <w:t>8-K</w:t>
            </w:r>
          </w:p>
        </w:tc>
        <w:tc>
          <w:tcPr>
            <w:tcW w:w="120" w:type="dxa"/>
            <w:vAlign w:val="bottom"/>
          </w:tcPr>
          <w:p>
            <w:pPr>
              <w:spacing w:after="0"/>
              <w:rPr>
                <w:sz w:val="14"/>
                <w:szCs w:val="14"/>
                <w:color w:val="auto"/>
              </w:rPr>
            </w:pPr>
          </w:p>
        </w:tc>
        <w:tc>
          <w:tcPr>
            <w:tcW w:w="62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7"/>
                <w:szCs w:val="17"/>
                <w:color w:val="auto"/>
              </w:rPr>
              <w:t>03/31/2023</w:t>
            </w: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Certificate of Amendment to the Articles of Incorporation of Dragonfly Energy Holdings Corp., dated</w:t>
              </w:r>
            </w:hyperlink>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11/29/2023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November 29, 2023.</w:t>
              </w:r>
            </w:hyperlink>
          </w:p>
        </w:tc>
        <w:tc>
          <w:tcPr>
            <w:tcW w:w="622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0000EE"/>
            </w:tcBorders>
            <w:gridSpan w:val="2"/>
          </w:tcPr>
          <w:p>
            <w:pPr>
              <w:spacing w:after="0" w:line="187" w:lineRule="exact"/>
              <w:rPr>
                <w:rFonts w:ascii="Times New Roman" w:cs="Times New Roman" w:eastAsia="Times New Roman" w:hAnsi="Times New Roman"/>
                <w:sz w:val="17"/>
                <w:szCs w:val="17"/>
                <w:color w:val="0000EE"/>
                <w:w w:val="97"/>
              </w:rPr>
            </w:pPr>
            <w:hyperlink r:id="rId45">
              <w:r>
                <w:rPr>
                  <w:rFonts w:ascii="Times New Roman" w:cs="Times New Roman" w:eastAsia="Times New Roman" w:hAnsi="Times New Roman"/>
                  <w:sz w:val="17"/>
                  <w:szCs w:val="17"/>
                  <w:color w:val="0000EE"/>
                  <w:w w:val="97"/>
                </w:rPr>
                <w:t>Bylaws.</w:t>
              </w:r>
            </w:hyperlink>
          </w:p>
        </w:tc>
        <w:tc>
          <w:tcPr>
            <w:tcW w:w="7100" w:type="dxa"/>
            <w:vAlign w:val="bottom"/>
            <w:gridSpan w:val="14"/>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03/31/2023</w:t>
            </w: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tcBorders>
              <w:bottom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Specimen Common Stock Certificate of Dragonfly Energy Holdings Corp.</w:t>
              </w:r>
            </w:hyperlink>
          </w:p>
        </w:tc>
        <w:tc>
          <w:tcPr>
            <w:tcW w:w="25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10/11/2022</w:t>
            </w: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Certificate of Amendment to the Articles of Incorporation of Dragonfly Energy Holdings Corp., dated</w:t>
              </w:r>
            </w:hyperlink>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11/22/2024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rPr>
            </w:pPr>
            <w:hyperlink r:id="rId47">
              <w:r>
                <w:rPr>
                  <w:rFonts w:ascii="Times New Roman" w:cs="Times New Roman" w:eastAsia="Times New Roman" w:hAnsi="Times New Roman"/>
                  <w:sz w:val="17"/>
                  <w:szCs w:val="17"/>
                  <w:color w:val="0000EE"/>
                </w:rPr>
                <w:t>November 19, 2024.</w:t>
              </w:r>
            </w:hyperlink>
          </w:p>
        </w:tc>
        <w:tc>
          <w:tcPr>
            <w:tcW w:w="622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4.6</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tcBorders>
              <w:bottom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48">
              <w:r>
                <w:rPr>
                  <w:rFonts w:ascii="Times New Roman" w:cs="Times New Roman" w:eastAsia="Times New Roman" w:hAnsi="Times New Roman"/>
                  <w:sz w:val="17"/>
                  <w:szCs w:val="17"/>
                  <w:color w:val="0000EE"/>
                </w:rPr>
                <w:t>Certificate of Amendment to the Articles of Incorporation of Dragonfly Energy Holdings Corp., dated April</w:t>
              </w:r>
            </w:hyperlink>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04/28/2025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0000EE"/>
            </w:tcBorders>
            <w:gridSpan w:val="3"/>
          </w:tcPr>
          <w:p>
            <w:pPr>
              <w:spacing w:after="0" w:line="187" w:lineRule="exact"/>
              <w:rPr>
                <w:rFonts w:ascii="Times New Roman" w:cs="Times New Roman" w:eastAsia="Times New Roman" w:hAnsi="Times New Roman"/>
                <w:sz w:val="17"/>
                <w:szCs w:val="17"/>
                <w:color w:val="0000EE"/>
                <w:w w:val="97"/>
              </w:rPr>
            </w:pPr>
            <w:hyperlink r:id="rId48">
              <w:r>
                <w:rPr>
                  <w:rFonts w:ascii="Times New Roman" w:cs="Times New Roman" w:eastAsia="Times New Roman" w:hAnsi="Times New Roman"/>
                  <w:sz w:val="17"/>
                  <w:szCs w:val="17"/>
                  <w:color w:val="0000EE"/>
                  <w:w w:val="97"/>
                </w:rPr>
                <w:t>25, 2025.</w:t>
              </w:r>
            </w:hyperlink>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4.7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Certificate of Amendment to the Articles of Incorporation of Dragonfly Energy Holdings Corp., as filed with</w:t>
              </w:r>
            </w:hyperlink>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12/18/2025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40" w:type="dxa"/>
            <w:vAlign w:val="bottom"/>
            <w:tcBorders>
              <w:top w:val="single" w:sz="8" w:color="0000EE"/>
            </w:tcBorders>
            <w:gridSpan w:val="15"/>
          </w:tcPr>
          <w:p>
            <w:pPr>
              <w:spacing w:after="0" w:line="187" w:lineRule="exact"/>
              <w:rPr>
                <w:rFonts w:ascii="Times New Roman" w:cs="Times New Roman" w:eastAsia="Times New Roman" w:hAnsi="Times New Roman"/>
                <w:sz w:val="17"/>
                <w:szCs w:val="17"/>
                <w:color w:val="0000EE"/>
              </w:rPr>
            </w:pPr>
            <w:hyperlink r:id="rId49">
              <w:r>
                <w:rPr>
                  <w:rFonts w:ascii="Times New Roman" w:cs="Times New Roman" w:eastAsia="Times New Roman" w:hAnsi="Times New Roman"/>
                  <w:sz w:val="17"/>
                  <w:szCs w:val="17"/>
                  <w:color w:val="0000EE"/>
                </w:rPr>
                <w:t>the Secretary of State of the State of Nevada, dated December 15, 2025.</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5.1*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top w:val="single" w:sz="8" w:color="0000EE"/>
              <w:bottom w:val="single" w:sz="8" w:color="0000EE"/>
            </w:tcBorders>
            <w:gridSpan w:val="7"/>
          </w:tcPr>
          <w:p>
            <w:pPr>
              <w:spacing w:after="0" w:line="187" w:lineRule="exact"/>
              <w:rPr>
                <w:sz w:val="20"/>
                <w:szCs w:val="20"/>
                <w:color w:val="auto"/>
              </w:rPr>
            </w:pPr>
            <w:r>
              <w:rPr>
                <w:rFonts w:ascii="Times New Roman" w:cs="Times New Roman" w:eastAsia="Times New Roman" w:hAnsi="Times New Roman"/>
                <w:sz w:val="17"/>
                <w:szCs w:val="17"/>
                <w:color w:val="0000EE"/>
              </w:rPr>
              <w:t>Opinion of Parsons Behle &amp; Latimer.</w:t>
            </w:r>
          </w:p>
        </w:tc>
        <w:tc>
          <w:tcPr>
            <w:tcW w:w="2380" w:type="dxa"/>
            <w:vAlign w:val="bottom"/>
            <w:tcBorders>
              <w:top w:val="single" w:sz="8" w:color="0000EE"/>
            </w:tcBorders>
            <w:gridSpan w:val="5"/>
          </w:tcPr>
          <w:p>
            <w:pPr>
              <w:spacing w:after="0"/>
              <w:rPr>
                <w:sz w:val="16"/>
                <w:szCs w:val="16"/>
                <w:color w:val="auto"/>
              </w:rPr>
            </w:pPr>
          </w:p>
        </w:tc>
        <w:tc>
          <w:tcPr>
            <w:tcW w:w="2700" w:type="dxa"/>
            <w:vAlign w:val="bottom"/>
            <w:gridSpan w:val="4"/>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23.1*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0000EE"/>
              </w:rPr>
              <w:t>Consent of Marcum LLP.</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23.3*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Borders>
              <w:bottom w:val="single" w:sz="8" w:color="0000EE"/>
            </w:tcBorders>
            <w:gridSpan w:val="10"/>
          </w:tcPr>
          <w:p>
            <w:pPr>
              <w:spacing w:after="0" w:line="187" w:lineRule="exact"/>
              <w:rPr>
                <w:sz w:val="20"/>
                <w:szCs w:val="20"/>
                <w:color w:val="auto"/>
              </w:rPr>
            </w:pPr>
            <w:r>
              <w:rPr>
                <w:rFonts w:ascii="Times New Roman" w:cs="Times New Roman" w:eastAsia="Times New Roman" w:hAnsi="Times New Roman"/>
                <w:sz w:val="17"/>
                <w:szCs w:val="17"/>
                <w:color w:val="0000EE"/>
              </w:rPr>
              <w:t>Consent of Parsons Behle &amp; Latimer (included in Exhibit 5.1).</w:t>
            </w:r>
          </w:p>
        </w:tc>
        <w:tc>
          <w:tcPr>
            <w:tcW w:w="332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24.1*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0000EE"/>
              </w:rPr>
              <w:t>Power of Attorney (contained on the signature page of this Registration Statement).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99.1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50">
              <w:r>
                <w:rPr>
                  <w:rFonts w:ascii="Times New Roman" w:cs="Times New Roman" w:eastAsia="Times New Roman" w:hAnsi="Times New Roman"/>
                  <w:sz w:val="17"/>
                  <w:szCs w:val="17"/>
                  <w:color w:val="0000EE"/>
                </w:rPr>
                <w:t>Dragonfly Energy Holdings Corp. 2022 Equity Incentive Plan.</w:t>
              </w:r>
            </w:hyperlink>
          </w:p>
        </w:tc>
        <w:tc>
          <w:tcPr>
            <w:tcW w:w="1440" w:type="dxa"/>
            <w:vAlign w:val="bottom"/>
            <w:tcBorders>
              <w:top w:val="single" w:sz="8" w:color="0000EE"/>
            </w:tcBorders>
            <w:gridSpan w:val="5"/>
          </w:tcPr>
          <w:p>
            <w:pPr>
              <w:spacing w:after="0"/>
              <w:rPr>
                <w:sz w:val="16"/>
                <w:szCs w:val="16"/>
                <w:color w:val="auto"/>
              </w:rPr>
            </w:pPr>
          </w:p>
        </w:tc>
        <w:tc>
          <w:tcPr>
            <w:tcW w:w="19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10/11/2022</w:t>
            </w: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99.2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16"/>
          </w:tcPr>
          <w:p>
            <w:pPr>
              <w:spacing w:after="0" w:line="187" w:lineRule="exact"/>
              <w:rPr>
                <w:rFonts w:ascii="Times New Roman" w:cs="Times New Roman" w:eastAsia="Times New Roman" w:hAnsi="Times New Roman"/>
                <w:sz w:val="17"/>
                <w:szCs w:val="17"/>
                <w:color w:val="0000EE"/>
              </w:rPr>
            </w:pPr>
            <w:hyperlink r:id="rId51">
              <w:r>
                <w:rPr>
                  <w:rFonts w:ascii="Times New Roman" w:cs="Times New Roman" w:eastAsia="Times New Roman" w:hAnsi="Times New Roman"/>
                  <w:sz w:val="17"/>
                  <w:szCs w:val="17"/>
                  <w:color w:val="0000EE"/>
                </w:rPr>
                <w:t>Dragonfly Energy Holdings Corp. Employee Stock Purchase Plan.</w:t>
              </w:r>
            </w:hyperlink>
          </w:p>
        </w:tc>
        <w:tc>
          <w:tcPr>
            <w:tcW w:w="120" w:type="dxa"/>
            <w:vAlign w:val="bottom"/>
          </w:tcPr>
          <w:p>
            <w:pPr>
              <w:spacing w:after="0"/>
              <w:rPr>
                <w:sz w:val="16"/>
                <w:szCs w:val="16"/>
                <w:color w:val="auto"/>
              </w:rPr>
            </w:pPr>
          </w:p>
        </w:tc>
        <w:tc>
          <w:tcPr>
            <w:tcW w:w="62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8-K</w:t>
            </w:r>
          </w:p>
        </w:tc>
        <w:tc>
          <w:tcPr>
            <w:tcW w:w="740" w:type="dxa"/>
            <w:vAlign w:val="bottom"/>
            <w:gridSpan w:val="2"/>
          </w:tcPr>
          <w:p>
            <w:pPr>
              <w:ind w:left="120"/>
              <w:spacing w:after="0" w:line="187" w:lineRule="exact"/>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6"/>
                <w:szCs w:val="16"/>
                <w:color w:val="auto"/>
              </w:rPr>
            </w:pPr>
          </w:p>
        </w:tc>
        <w:tc>
          <w:tcPr>
            <w:tcW w:w="9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10/11/2022</w:t>
            </w:r>
          </w:p>
        </w:tc>
        <w:tc>
          <w:tcPr>
            <w:tcW w:w="0" w:type="dxa"/>
            <w:vAlign w:val="bottom"/>
          </w:tcPr>
          <w:p>
            <w:pPr>
              <w:spacing w:after="0"/>
              <w:rPr>
                <w:sz w:val="1"/>
                <w:szCs w:val="1"/>
                <w:color w:val="auto"/>
              </w:rPr>
            </w:pPr>
          </w:p>
        </w:tc>
      </w:tr>
      <w:tr>
        <w:trPr>
          <w:trHeight w:val="187"/>
        </w:trPr>
        <w:tc>
          <w:tcPr>
            <w:tcW w:w="5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107*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Borders>
              <w:top w:val="single" w:sz="8" w:color="0000EE"/>
            </w:tcBorders>
            <w:gridSpan w:val="11"/>
          </w:tcPr>
          <w:p>
            <w:pPr>
              <w:spacing w:after="0" w:line="187" w:lineRule="exact"/>
              <w:rPr>
                <w:sz w:val="20"/>
                <w:szCs w:val="20"/>
                <w:color w:val="auto"/>
              </w:rPr>
            </w:pPr>
            <w:r>
              <w:rPr>
                <w:rFonts w:ascii="Times New Roman" w:cs="Times New Roman" w:eastAsia="Times New Roman" w:hAnsi="Times New Roman"/>
                <w:sz w:val="17"/>
                <w:szCs w:val="17"/>
                <w:color w:val="0000EE"/>
              </w:rPr>
              <w:t>Filing Fee Table.</w:t>
            </w:r>
          </w:p>
        </w:tc>
        <w:tc>
          <w:tcPr>
            <w:tcW w:w="3080" w:type="dxa"/>
            <w:vAlign w:val="bottom"/>
            <w:gridSpan w:val="5"/>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March 6, 2026.</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20320</wp:posOffset>
            </wp:positionV>
            <wp:extent cx="33470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Denis Phares</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President, Chief Executive Officer and Interim Chief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constitutes and appoints Denis Phares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and filed pursuant to Rule 462 under the Securities Act of 1933, as amended,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or his or their substitute or substitutes, may lawfully do or cause to be done by virtue hereof.</w:t>
      </w:r>
    </w:p>
    <w:p>
      <w:pPr>
        <w:spacing w:after="0" w:line="17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40" w:type="dxa"/>
            <w:vAlign w:val="bottom"/>
          </w:tcPr>
          <w:p>
            <w:pPr>
              <w:spacing w:after="0"/>
              <w:rPr>
                <w:sz w:val="19"/>
                <w:szCs w:val="19"/>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2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89"/>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Chairman, President, Chief Executive Officer and Interim Chief Financial</w:t>
            </w:r>
          </w:p>
        </w:tc>
        <w:tc>
          <w:tcPr>
            <w:tcW w:w="2240" w:type="dxa"/>
            <w:vAlign w:val="bottom"/>
          </w:tcPr>
          <w:p>
            <w:pPr>
              <w:spacing w:after="0"/>
              <w:rPr>
                <w:sz w:val="24"/>
                <w:szCs w:val="24"/>
                <w:color w:val="auto"/>
              </w:rPr>
            </w:pPr>
          </w:p>
        </w:tc>
      </w:tr>
      <w:tr>
        <w:trPr>
          <w:trHeight w:val="205"/>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Officer</w:t>
            </w:r>
          </w:p>
        </w:tc>
        <w:tc>
          <w:tcPr>
            <w:tcW w:w="2240" w:type="dxa"/>
            <w:vAlign w:val="bottom"/>
          </w:tcPr>
          <w:p>
            <w:pPr>
              <w:spacing w:after="0"/>
              <w:rPr>
                <w:sz w:val="17"/>
                <w:szCs w:val="17"/>
                <w:color w:val="auto"/>
              </w:rPr>
            </w:pPr>
          </w:p>
        </w:tc>
      </w:tr>
      <w:tr>
        <w:trPr>
          <w:trHeight w:val="207"/>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2240" w:type="dxa"/>
            <w:vAlign w:val="bottom"/>
          </w:tcPr>
          <w:p>
            <w:pPr>
              <w:spacing w:after="0"/>
              <w:rPr>
                <w:sz w:val="18"/>
                <w:szCs w:val="18"/>
                <w:color w:val="auto"/>
              </w:rPr>
            </w:pPr>
          </w:p>
        </w:tc>
      </w:tr>
      <w:tr>
        <w:trPr>
          <w:trHeight w:val="22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Denis Phares</w:t>
            </w:r>
          </w:p>
        </w:tc>
        <w:tc>
          <w:tcPr>
            <w:tcW w:w="240" w:type="dxa"/>
            <w:vAlign w:val="bottom"/>
          </w:tcPr>
          <w:p>
            <w:pPr>
              <w:spacing w:after="0"/>
              <w:rPr>
                <w:sz w:val="19"/>
                <w:szCs w:val="19"/>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Denis Phares</w:t>
            </w:r>
          </w:p>
        </w:tc>
        <w:tc>
          <w:tcPr>
            <w:tcW w:w="2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Luisa Ingargiola</w:t>
            </w:r>
          </w:p>
        </w:tc>
        <w:tc>
          <w:tcPr>
            <w:tcW w:w="240" w:type="dxa"/>
            <w:vAlign w:val="bottom"/>
          </w:tcPr>
          <w:p>
            <w:pPr>
              <w:spacing w:after="0"/>
              <w:rPr>
                <w:sz w:val="24"/>
                <w:szCs w:val="24"/>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Luisa Ingargiola</w:t>
            </w:r>
          </w:p>
        </w:tc>
        <w:tc>
          <w:tcPr>
            <w:tcW w:w="2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Brian Nelson</w:t>
            </w:r>
          </w:p>
        </w:tc>
        <w:tc>
          <w:tcPr>
            <w:tcW w:w="240" w:type="dxa"/>
            <w:vAlign w:val="bottom"/>
          </w:tcPr>
          <w:p>
            <w:pPr>
              <w:spacing w:after="0"/>
              <w:rPr>
                <w:sz w:val="24"/>
                <w:szCs w:val="24"/>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Brian Nelson</w:t>
            </w:r>
          </w:p>
        </w:tc>
        <w:tc>
          <w:tcPr>
            <w:tcW w:w="2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/s/ Perry Boyle</w:t>
            </w:r>
          </w:p>
        </w:tc>
        <w:tc>
          <w:tcPr>
            <w:tcW w:w="240" w:type="dxa"/>
            <w:vAlign w:val="bottom"/>
          </w:tcPr>
          <w:p>
            <w:pPr>
              <w:spacing w:after="0"/>
              <w:rPr>
                <w:sz w:val="24"/>
                <w:szCs w:val="24"/>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Perry Boyle</w:t>
            </w:r>
          </w:p>
        </w:tc>
        <w:tc>
          <w:tcPr>
            <w:tcW w:w="2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96"/>
        </w:trPr>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6,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12915 Old Virginia Road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Reno, NV 89521</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Dragonfly Energy Holdings Corp. – Registration Statement on Form S-8</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7" w:lineRule="exact"/>
        <w:rPr>
          <w:sz w:val="20"/>
          <w:szCs w:val="20"/>
          <w:color w:val="auto"/>
        </w:rPr>
      </w:pPr>
    </w:p>
    <w:p>
      <w:pPr>
        <w:jc w:val="both"/>
        <w:ind w:firstLine="622"/>
        <w:spacing w:after="0" w:line="274" w:lineRule="auto"/>
        <w:rPr>
          <w:sz w:val="20"/>
          <w:szCs w:val="20"/>
          <w:color w:val="auto"/>
        </w:rPr>
      </w:pPr>
      <w:r>
        <w:rPr>
          <w:rFonts w:ascii="Times New Roman" w:cs="Times New Roman" w:eastAsia="Times New Roman" w:hAnsi="Times New Roman"/>
          <w:sz w:val="17"/>
          <w:szCs w:val="17"/>
          <w:color w:val="auto"/>
        </w:rPr>
        <w:t>We have acted as special Nevada counsel to Dragonfly Energy Holdings Corp.,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being filed on even date herewith by the Company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ind w:firstLine="622"/>
        <w:spacing w:after="0" w:line="262" w:lineRule="auto"/>
        <w:rPr>
          <w:sz w:val="20"/>
          <w:szCs w:val="20"/>
          <w:color w:val="auto"/>
        </w:rPr>
      </w:pPr>
      <w:r>
        <w:rPr>
          <w:rFonts w:ascii="Times New Roman" w:cs="Times New Roman" w:eastAsia="Times New Roman" w:hAnsi="Times New Roman"/>
          <w:sz w:val="17"/>
          <w:szCs w:val="17"/>
          <w:color w:val="auto"/>
        </w:rPr>
        <w:t>We are rendering this opinion letter in connection with the Registration Statement to be filed by the Company for the purpose of registering 603,935 additional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comprised of: (i) 483,148 shares of Common Stock which were available for grant and issuance under the Company’s 2022 Equity Incentive Plan (the “</w:t>
      </w:r>
      <w:r>
        <w:rPr>
          <w:rFonts w:ascii="Times New Roman" w:cs="Times New Roman" w:eastAsia="Times New Roman" w:hAnsi="Times New Roman"/>
          <w:sz w:val="17"/>
          <w:szCs w:val="17"/>
          <w:b w:val="1"/>
          <w:bCs w:val="1"/>
          <w:color w:val="auto"/>
        </w:rPr>
        <w:t>2022 Plan</w:t>
      </w:r>
      <w:r>
        <w:rPr>
          <w:rFonts w:ascii="Times New Roman" w:cs="Times New Roman" w:eastAsia="Times New Roman" w:hAnsi="Times New Roman"/>
          <w:sz w:val="17"/>
          <w:szCs w:val="17"/>
          <w:color w:val="auto"/>
        </w:rPr>
        <w:t>”) as of January 1, 2026 as a result of the “evergreen” provision in the 2022 Plan; and (ii) 120,787 shares of Common Stock which were available for grant and issuance under the Company’s Employee Stock Purchase Plan (the “</w:t>
      </w:r>
      <w:r>
        <w:rPr>
          <w:rFonts w:ascii="Times New Roman" w:cs="Times New Roman" w:eastAsia="Times New Roman" w:hAnsi="Times New Roman"/>
          <w:sz w:val="17"/>
          <w:szCs w:val="17"/>
          <w:b w:val="1"/>
          <w:bCs w:val="1"/>
          <w:color w:val="auto"/>
        </w:rPr>
        <w:t>ESPP</w:t>
      </w:r>
      <w:r>
        <w:rPr>
          <w:rFonts w:ascii="Times New Roman" w:cs="Times New Roman" w:eastAsia="Times New Roman" w:hAnsi="Times New Roman"/>
          <w:sz w:val="17"/>
          <w:szCs w:val="17"/>
          <w:color w:val="auto"/>
        </w:rPr>
        <w:t>,” and together with the 2022 Plan,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 as a result of the “evergreen” provision in the ESPP as of January 1, 2026.</w:t>
      </w:r>
    </w:p>
    <w:p>
      <w:pPr>
        <w:spacing w:after="0" w:line="383"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As counsel to the Company, we have reviewed the Registration Statement and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Based upon such examination, it is our opinion that the Shares have been duly authorized by all requisite corporate action on the part of the Company and, upon their issuance, delivery and payment therefor in the manner contemplated by the Registration Statement and the Plans, as applicable,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Two</w:t>
      </w:r>
    </w:p>
    <w:p>
      <w:pPr>
        <w:spacing w:after="0" w:line="200"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No opinion is expressed herein as to any matter pertaining to the contents of the Registration Statement. In connection with this opinion letter,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opinion letter is given as of the date hereof. We assume no obligation to advise you of changes that may hereafter be brought to our attention.</w:t>
      </w:r>
    </w:p>
    <w:p>
      <w:pPr>
        <w:spacing w:after="0" w:line="21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We consent to the inclusion of this opinion letter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Commission.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PARSONS BEHLE &amp; LATIMER</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REGISTERED PUBLIC ACCOUNTING FIRM</w:t>
      </w:r>
    </w:p>
    <w:p>
      <w:pPr>
        <w:spacing w:after="0" w:line="22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March 31, 2025 with respect to the financial statements of Dragonfly Energy Holdings Corp. for the year ended December 31, 2024 included in the Annual Report on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w:t>
      </w:r>
      <w:r>
        <w:rPr>
          <w:rFonts w:ascii="Times New Roman" w:cs="Times New Roman" w:eastAsia="Times New Roman" w:hAnsi="Times New Roman"/>
          <w:sz w:val="11"/>
          <w:szCs w:val="11"/>
          <w:color w:val="auto"/>
        </w:rPr>
        <w:t>arcum</w:t>
      </w:r>
      <w:r>
        <w:rPr>
          <w:rFonts w:ascii="Times New Roman" w:cs="Times New Roman" w:eastAsia="Times New Roman" w:hAnsi="Times New Roman"/>
          <w:sz w:val="17"/>
          <w:szCs w:val="17"/>
          <w:color w:val="auto"/>
        </w:rPr>
        <w:t xml:space="preserv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8" w:name="page9"/>
    <w:bookmarkEnd w:id="8"/>
    <w:p>
      <w:pPr>
        <w:ind w:left="242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35"/>
          <w:szCs w:val="35"/>
          <w:b w:val="1"/>
          <w:bCs w:val="1"/>
          <w:color w:val="auto"/>
        </w:rPr>
        <w:t>Dragonfly Energy Holdings Corp.</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4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Per Unit</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483,148</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$ 2.54</w:t>
            </w: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$ 1,227,195.92</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$ 169.46</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120,787</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$ 2.54</w:t>
            </w: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$ 306,798.98</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$ 42.37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$ 1,533,994.90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$ 211.83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$ 211.83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260" w:right="100" w:firstLine="6"/>
        <w:spacing w:after="0" w:line="235" w:lineRule="auto"/>
        <w:tabs>
          <w:tab w:leader="none" w:pos="571" w:val="left"/>
        </w:tabs>
        <w:numPr>
          <w:ilvl w:val="0"/>
          <w:numId w:val="2"/>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Registrant's common stock that become issuable under the Registrant's 2022 Omnibus Equity Incentive Plan (the "2022 Plan") and under the Registrant's Employee Stock Purchase Plan (the "ESPP")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p>
      <w:pPr>
        <w:spacing w:after="0" w:line="199" w:lineRule="exact"/>
        <w:rPr>
          <w:rFonts w:ascii="Arial" w:cs="Arial" w:eastAsia="Arial" w:hAnsi="Arial"/>
          <w:sz w:val="21"/>
          <w:szCs w:val="21"/>
          <w:color w:val="auto"/>
        </w:rPr>
      </w:pPr>
    </w:p>
    <w:p>
      <w:pPr>
        <w:ind w:left="580" w:hanging="314"/>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Pursuant to Rules 457(c) and (h) under the Securities Act, the proposed maximum offering price per</w:t>
      </w:r>
    </w:p>
    <w:p>
      <w:pPr>
        <w:spacing w:after="0" w:line="11" w:lineRule="exact"/>
        <w:rPr>
          <w:rFonts w:ascii="Arial" w:cs="Arial" w:eastAsia="Arial" w:hAnsi="Arial"/>
          <w:sz w:val="21"/>
          <w:szCs w:val="21"/>
          <w:color w:val="auto"/>
        </w:rPr>
      </w:pPr>
    </w:p>
    <w:p>
      <w:pPr>
        <w:ind w:left="260" w:right="120"/>
        <w:spacing w:after="0" w:line="236" w:lineRule="auto"/>
        <w:rPr>
          <w:rFonts w:ascii="Arial" w:cs="Arial" w:eastAsia="Arial" w:hAnsi="Arial"/>
          <w:sz w:val="21"/>
          <w:szCs w:val="21"/>
          <w:color w:val="auto"/>
        </w:rPr>
      </w:pPr>
      <w:r>
        <w:rPr>
          <w:rFonts w:ascii="Arial" w:cs="Arial" w:eastAsia="Arial" w:hAnsi="Arial"/>
          <w:sz w:val="21"/>
          <w:szCs w:val="21"/>
          <w:color w:val="auto"/>
        </w:rPr>
        <w:t>share and the proposed maximum aggregate offering price are estimated for the purpose of calculating the amount of the registration fee and are based on the average of the high and low sales price, $2.61 and $2.47, respectively, of the Registrant's common stock as reported on the Nasdaq Capital Market on February 27, 2025.</w:t>
      </w:r>
    </w:p>
    <w:p>
      <w:pPr>
        <w:spacing w:after="0" w:line="195" w:lineRule="exact"/>
        <w:rPr>
          <w:rFonts w:ascii="Arial" w:cs="Arial" w:eastAsia="Arial" w:hAnsi="Arial"/>
          <w:sz w:val="21"/>
          <w:szCs w:val="21"/>
          <w:color w:val="auto"/>
        </w:rPr>
      </w:pPr>
    </w:p>
    <w:p>
      <w:pPr>
        <w:ind w:left="260" w:right="200" w:firstLine="6"/>
        <w:spacing w:after="0" w:line="247" w:lineRule="auto"/>
        <w:tabs>
          <w:tab w:leader="none" w:pos="571"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Represents an automatic annual increase on January 1, 2026, to the number of shares of the Registrant's common stock reserved for issuance under the 2022 Plan, which annual increase is provided for in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220980</wp:posOffset>
            </wp:positionV>
            <wp:extent cx="6398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260" w:right="100" w:firstLine="6"/>
        <w:spacing w:after="0" w:line="235" w:lineRule="auto"/>
        <w:tabs>
          <w:tab w:leader="none" w:pos="571" w:val="left"/>
        </w:tabs>
        <w:numPr>
          <w:ilvl w:val="0"/>
          <w:numId w:val="3"/>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Registrant's common stock that become issuable under the Registrant's 2022 Omnibus Equity Incentive Plan (the "2022 Plan") and under the Registrant's Employee Stock Purchase Plan (the "ESPP")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p>
      <w:pPr>
        <w:spacing w:after="0" w:line="199" w:lineRule="exact"/>
        <w:rPr>
          <w:rFonts w:ascii="Arial" w:cs="Arial" w:eastAsia="Arial" w:hAnsi="Arial"/>
          <w:sz w:val="21"/>
          <w:szCs w:val="21"/>
          <w:color w:val="auto"/>
        </w:rPr>
      </w:pPr>
    </w:p>
    <w:p>
      <w:pPr>
        <w:ind w:left="580" w:hanging="314"/>
        <w:spacing w:after="0"/>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color w:val="auto"/>
        </w:rPr>
        <w:t>Pursuant to Rules 457(c) and (h) under the Securities Act, the proposed maximum offering price per</w:t>
      </w:r>
    </w:p>
    <w:p>
      <w:pPr>
        <w:spacing w:after="0" w:line="11" w:lineRule="exact"/>
        <w:rPr>
          <w:rFonts w:ascii="Arial" w:cs="Arial" w:eastAsia="Arial" w:hAnsi="Arial"/>
          <w:sz w:val="21"/>
          <w:szCs w:val="21"/>
          <w:color w:val="auto"/>
        </w:rPr>
      </w:pPr>
    </w:p>
    <w:p>
      <w:pPr>
        <w:ind w:left="260" w:right="120"/>
        <w:spacing w:after="0" w:line="236" w:lineRule="auto"/>
        <w:rPr>
          <w:rFonts w:ascii="Arial" w:cs="Arial" w:eastAsia="Arial" w:hAnsi="Arial"/>
          <w:sz w:val="21"/>
          <w:szCs w:val="21"/>
          <w:color w:val="auto"/>
        </w:rPr>
      </w:pPr>
      <w:r>
        <w:rPr>
          <w:rFonts w:ascii="Arial" w:cs="Arial" w:eastAsia="Arial" w:hAnsi="Arial"/>
          <w:sz w:val="21"/>
          <w:szCs w:val="21"/>
          <w:color w:val="auto"/>
        </w:rPr>
        <w:t>share and the proposed maximum aggregate offering price are estimated for the purpose of calculating the amount of the registration fee and are based on the average of the high and low sales price, $2.61 and $2.47, respectively, of the Registrant's common stock as reported on the Nasdaq Capital Market on February 27, 2025.</w:t>
      </w:r>
    </w:p>
    <w:p>
      <w:pPr>
        <w:sectPr>
          <w:pgSz w:w="11900" w:h="16838" w:orient="portrait"/>
          <w:cols w:equalWidth="0" w:num="1">
            <w:col w:w="10140"/>
          </w:cols>
          <w:pgMar w:left="880" w:top="141" w:right="879" w:bottom="0" w:gutter="0" w:footer="0" w:header="0"/>
        </w:sectPr>
      </w:pPr>
    </w:p>
    <w:bookmarkStart w:id="9" w:name="page10"/>
    <w:bookmarkEnd w:id="9"/>
    <w:p>
      <w:pPr>
        <w:ind w:left="780" w:right="680" w:firstLine="6"/>
        <w:spacing w:after="0" w:line="247" w:lineRule="auto"/>
        <w:tabs>
          <w:tab w:leader="none" w:pos="109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an automatic annual increase on January 1, 2026, to the number of shares of the Registrant's common stock reserved for issuance under the ESPP, which annual increase is provided for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73025</wp:posOffset>
            </wp:positionV>
            <wp:extent cx="6398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line="242" w:lineRule="exact"/>
        <w:tabs>
          <w:tab w:leader="none" w:pos="952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63500</wp:posOffset>
            </wp:positionV>
            <wp:extent cx="7200900" cy="2389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7200900" cy="2389505"/>
                    </a:xfrm>
                    <a:prstGeom prst="rect">
                      <a:avLst/>
                    </a:prstGeom>
                    <a:noFill/>
                  </pic:spPr>
                </pic:pic>
              </a:graphicData>
            </a:graphic>
          </wp:anchor>
        </w:drawing>
      </w:r>
    </w:p>
    <w:p>
      <w:pPr>
        <w:sectPr>
          <w:pgSz w:w="11900" w:h="16838" w:orient="portrait"/>
          <w:cols w:equalWidth="0" w:num="1">
            <w:col w:w="11240"/>
          </w:cols>
          <w:pgMar w:left="360" w:top="34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Registrant</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auto"/>
        </w:rPr>
        <w:t>or Filer</w:t>
      </w:r>
    </w:p>
    <w:p>
      <w:pPr>
        <w:jc w:val="center"/>
        <w:ind w:left="124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142"/>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2"/>
                <w:szCs w:val="12"/>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2"/>
                <w:szCs w:val="12"/>
                <w:color w:val="auto"/>
              </w:rPr>
            </w:pPr>
          </w:p>
        </w:tc>
        <w:tc>
          <w:tcPr>
            <w:tcW w:w="58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0" w:type="dxa"/>
            <w:vAlign w:val="bottom"/>
          </w:tcPr>
          <w:p>
            <w:pPr>
              <w:spacing w:after="0"/>
              <w:rPr>
                <w:sz w:val="1"/>
                <w:szCs w:val="1"/>
                <w:color w:val="auto"/>
              </w:rPr>
            </w:pPr>
          </w:p>
        </w:tc>
      </w:tr>
      <w:tr>
        <w:trPr>
          <w:trHeight w:val="137"/>
        </w:trPr>
        <w:tc>
          <w:tcPr>
            <w:tcW w:w="6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jc w:val="center"/>
              <w:spacing w:after="0" w:line="137" w:lineRule="exact"/>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1"/>
                <w:szCs w:val="11"/>
                <w:color w:val="auto"/>
              </w:rPr>
            </w:pPr>
          </w:p>
        </w:tc>
        <w:tc>
          <w:tcPr>
            <w:tcW w:w="58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33"/>
        </w:trPr>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17"/>
        </w:trPr>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208"/>
        </w:trPr>
        <w:tc>
          <w:tcPr>
            <w:tcW w:w="8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2"/>
        </w:trPr>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0" w:type="dxa"/>
            <w:vAlign w:val="bottom"/>
          </w:tcPr>
          <w:p>
            <w:pPr>
              <w:spacing w:after="0"/>
              <w:rPr>
                <w:sz w:val="1"/>
                <w:szCs w:val="1"/>
                <w:color w:val="auto"/>
              </w:rPr>
            </w:pPr>
          </w:p>
        </w:tc>
      </w:tr>
      <w:tr>
        <w:trPr>
          <w:trHeight w:val="272"/>
        </w:trPr>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Rule 457(p)</w:t>
      </w:r>
    </w:p>
    <w:p>
      <w:pPr>
        <w:spacing w:after="0" w:line="35" w:lineRule="exact"/>
        <w:rPr>
          <w:sz w:val="20"/>
          <w:szCs w:val="20"/>
          <w:color w:val="auto"/>
        </w:rPr>
      </w:pPr>
    </w:p>
    <w:p>
      <w:pPr>
        <w:sectPr>
          <w:pgSz w:w="11900" w:h="16838" w:orient="portrait"/>
          <w:cols w:equalWidth="0" w:num="3">
            <w:col w:w="2260" w:space="40"/>
            <w:col w:w="2640" w:space="40"/>
            <w:col w:w="6260"/>
          </w:cols>
          <w:pgMar w:left="360" w:top="346" w:right="29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1"/>
                <w:szCs w:val="21"/>
                <w:color w:val="auto"/>
              </w:rPr>
            </w:pPr>
          </w:p>
        </w:tc>
        <w:tc>
          <w:tcPr>
            <w:tcW w:w="3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spacing w:after="0"/>
              <w:rPr>
                <w:sz w:val="21"/>
                <w:szCs w:val="21"/>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60" w:top="34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42" Type="http://schemas.openxmlformats.org/officeDocument/2006/relationships/image" Target="media/image8.png"/><Relationship Id="rId52" Type="http://schemas.openxmlformats.org/officeDocument/2006/relationships/image" Target="media/image9.png"/><Relationship Id="rId53" Type="http://schemas.openxmlformats.org/officeDocument/2006/relationships/image" Target="media/image10.png"/><Relationship Id="rId54" Type="http://schemas.openxmlformats.org/officeDocument/2006/relationships/image" Target="media/image11.png"/><Relationship Id="rId55" Type="http://schemas.openxmlformats.org/officeDocument/2006/relationships/image" Target="media/image12.png"/><Relationship Id="rId56" Type="http://schemas.openxmlformats.org/officeDocument/2006/relationships/image" Target="media/image13.png"/><Relationship Id="rId57" Type="http://schemas.openxmlformats.org/officeDocument/2006/relationships/image" Target="media/image14.png"/><Relationship Id="rId58" Type="http://schemas.openxmlformats.org/officeDocument/2006/relationships/image" Target="media/image15.png"/><Relationship Id="rId59" Type="http://schemas.openxmlformats.org/officeDocument/2006/relationships/image" Target="media/image16.png"/><Relationship Id="rId15" Type="http://schemas.openxmlformats.org/officeDocument/2006/relationships/hyperlink" Target="https://www.sec.gov/Archives/edgar/data/1847986/000164117225001755/form10-k.htm" TargetMode="External"/><Relationship Id="rId16" Type="http://schemas.openxmlformats.org/officeDocument/2006/relationships/hyperlink" Target="https://www.sec.gov/Archives/edgar/data/1847986/000164117225011280/form10-q.htm" TargetMode="External"/><Relationship Id="rId17" Type="http://schemas.openxmlformats.org/officeDocument/2006/relationships/hyperlink" Target="https://www.sec.gov/Archives/edgar/data/1847986/000149315225011982/form10-q.htm" TargetMode="External"/><Relationship Id="rId18" Type="http://schemas.openxmlformats.org/officeDocument/2006/relationships/hyperlink" Target="https://www.sec.gov/Archives/edgar/data/1847986/000149315225023502/form10-q.htm" TargetMode="External"/><Relationship Id="rId19" Type="http://schemas.openxmlformats.org/officeDocument/2006/relationships/hyperlink" Target="https://www.sec.gov/Archives/edgar/data/1847986/000164117225000298/form8-k.htm" TargetMode="External"/><Relationship Id="rId20" Type="http://schemas.openxmlformats.org/officeDocument/2006/relationships/hyperlink" Target="https://www.sec.gov/Archives/edgar/data/1847986/000164117225006463/form8-k.htm" TargetMode="External"/><Relationship Id="rId21" Type="http://schemas.openxmlformats.org/officeDocument/2006/relationships/hyperlink" Target="https://www.sec.gov/Archives/edgar/data/1847986/000164117225009296/form8-k.htm" TargetMode="External"/><Relationship Id="rId22" Type="http://schemas.openxmlformats.org/officeDocument/2006/relationships/hyperlink" Target="https://www.sec.gov/Archives/edgar/data/1847986/000164117225013480/form8-k.htm" TargetMode="External"/><Relationship Id="rId23" Type="http://schemas.openxmlformats.org/officeDocument/2006/relationships/hyperlink" Target="https://www.sec.gov/Archives/edgar/data/1847986/000164117225015095/form8-k.htm" TargetMode="External"/><Relationship Id="rId24" Type="http://schemas.openxmlformats.org/officeDocument/2006/relationships/hyperlink" Target="https://www.sec.gov/Archives/edgar/data/1847986/000164117225016196/form8-k.htm" TargetMode="External"/><Relationship Id="rId25" Type="http://schemas.openxmlformats.org/officeDocument/2006/relationships/hyperlink" Target="https://www.sec.gov/Archives/edgar/data/1847986/000164117225016938/form8-k.htm" TargetMode="External"/><Relationship Id="rId26" Type="http://schemas.openxmlformats.org/officeDocument/2006/relationships/hyperlink" Target="https://www.sec.gov/Archives/edgar/data/1847986/000164117225017928/form8-k.htm" TargetMode="External"/><Relationship Id="rId27" Type="http://schemas.openxmlformats.org/officeDocument/2006/relationships/hyperlink" Target="https://www.sec.gov/Archives/edgar/data/1847986/000164117225020360/form8-k.htm" TargetMode="External"/><Relationship Id="rId28" Type="http://schemas.openxmlformats.org/officeDocument/2006/relationships/hyperlink" Target="https://www.sec.gov/Archives/edgar/data/1847986/000164117225021256/form8-k.htm" TargetMode="External"/><Relationship Id="rId29" Type="http://schemas.openxmlformats.org/officeDocument/2006/relationships/hyperlink" Target="https://www.sec.gov/Archives/edgar/data/1847986/000164117225021587/form8-k.htm" TargetMode="External"/><Relationship Id="rId30" Type="http://schemas.openxmlformats.org/officeDocument/2006/relationships/hyperlink" Target="https://www.sec.gov/Archives/edgar/data/1847986/000149315225012605/form8-k.htm" TargetMode="External"/><Relationship Id="rId31" Type="http://schemas.openxmlformats.org/officeDocument/2006/relationships/hyperlink" Target="https://www.sec.gov/Archives/edgar/data/1847986/000149315225017102/form8-k.htm" TargetMode="External"/><Relationship Id="rId32" Type="http://schemas.openxmlformats.org/officeDocument/2006/relationships/hyperlink" Target="https://www.sec.gov/Archives/edgar/data/1847986/000149315225018142/form8-k.htm" TargetMode="External"/><Relationship Id="rId33" Type="http://schemas.openxmlformats.org/officeDocument/2006/relationships/hyperlink" Target="https://www.sec.gov/Archives/edgar/data/1847986/000149315225018249/form8-k.htm" TargetMode="External"/><Relationship Id="rId34" Type="http://schemas.openxmlformats.org/officeDocument/2006/relationships/hyperlink" Target="https://www.sec.gov/Archives/edgar/data/1847986/000149315225018691/form8-k.htm" TargetMode="External"/><Relationship Id="rId35" Type="http://schemas.openxmlformats.org/officeDocument/2006/relationships/hyperlink" Target="https://www.sec.gov/Archives/edgar/data/1847986/000149315225018720/form8-k.htm" TargetMode="External"/><Relationship Id="rId36" Type="http://schemas.openxmlformats.org/officeDocument/2006/relationships/hyperlink" Target="https://www.sec.gov/Archives/edgar/data/1847986/000149315225020907/form8-k.htm" TargetMode="External"/><Relationship Id="rId37" Type="http://schemas.openxmlformats.org/officeDocument/2006/relationships/hyperlink" Target="https://www.sec.gov/Archives/edgar/data/1847986/000149315225028282/form8-k.htm" TargetMode="External"/><Relationship Id="rId38" Type="http://schemas.openxmlformats.org/officeDocument/2006/relationships/hyperlink" Target="https://www.sec.gov/Archives/edgar/data/1847986/000149315226004495/form8-k.htm" TargetMode="External"/><Relationship Id="rId39" Type="http://schemas.openxmlformats.org/officeDocument/2006/relationships/hyperlink" Target="https://www.sec.gov/Archives/edgar/data/1847986/000149315225018340/form8-ka.htm" TargetMode="External"/><Relationship Id="rId40" Type="http://schemas.openxmlformats.org/officeDocument/2006/relationships/hyperlink" Target="https://www.sec.gov/Archives/edgar/data/1847986/000110465921102670/tm2124648d1_8a12b.htm" TargetMode="External"/><Relationship Id="rId41" Type="http://schemas.openxmlformats.org/officeDocument/2006/relationships/hyperlink" Target="https://www.sec.gov/Archives/edgar/data/1847986/000164117225001755/ex4-18.htm" TargetMode="External"/><Relationship Id="rId43" Type="http://schemas.openxmlformats.org/officeDocument/2006/relationships/hyperlink" Target="https://www.sec.gov/Archives/edgar/data/1847986/000149315223010262/ex3-1.htm" TargetMode="External"/><Relationship Id="rId44" Type="http://schemas.openxmlformats.org/officeDocument/2006/relationships/hyperlink" Target="https://www.sec.gov/Archives/edgar/data/1847986/000149315223043109/ex3-1.htm" TargetMode="External"/><Relationship Id="rId45" Type="http://schemas.openxmlformats.org/officeDocument/2006/relationships/hyperlink" Target="https://www.sec.gov/Archives/edgar/data/1847986/000149315223010262/ex3-2.htm" TargetMode="External"/><Relationship Id="rId46" Type="http://schemas.openxmlformats.org/officeDocument/2006/relationships/hyperlink" Target="https://www.sec.gov/Archives/edgar/data/1847986/000110465922107212/tm2222125d3_ex4-1.htm" TargetMode="External"/><Relationship Id="rId47" Type="http://schemas.openxmlformats.org/officeDocument/2006/relationships/hyperlink" Target="https://www.sec.gov/Archives/edgar/data/1847986/000149315224047295/ex3-1.htm" TargetMode="External"/><Relationship Id="rId48" Type="http://schemas.openxmlformats.org/officeDocument/2006/relationships/hyperlink" Target="https://www.sec.gov/Archives/edgar/data/1847986/000164117225006463/ex3-1.htm" TargetMode="External"/><Relationship Id="rId49" Type="http://schemas.openxmlformats.org/officeDocument/2006/relationships/hyperlink" Target="https://www.sec.gov/Archives/edgar/data/1847986/000149315225028282/ex3-1.htm" TargetMode="External"/><Relationship Id="rId50" Type="http://schemas.openxmlformats.org/officeDocument/2006/relationships/hyperlink" Target="https://www.sec.gov/Archives/edgar/data/1847986/000110465922107212/tm2222125d3_ex10-5.htm" TargetMode="External"/><Relationship Id="rId51" Type="http://schemas.openxmlformats.org/officeDocument/2006/relationships/hyperlink" Target="https://www.sec.gov/Archives/edgar/data/1847986/000110465922107212/tm2222125d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2026-03-06T15:24:42Z</dcterms:created>
  <dcterms:modified xsi:type="dcterms:W3CDTF">2026-03-06T15:24:42Z</dcterms:modified>
</cp:coreProperties>
</file>