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30515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May 15, 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8_edei--EntityRegistrantName_c2023"/>
      <w:bookmarkEnd w:id="4"/>
      <w:r>
        <w:rPr>
          <w:rFonts w:ascii="Times New Roman;Times;Serif" w:hAnsi="Times New Roman;Times;Serif"/>
          <w:b/>
          <w:i w:val="false"/>
          <w:caps w:val="false"/>
          <w:smallCaps w:val="false"/>
          <w:sz w:val="36"/>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28" w:type="dxa"/>
          <w:right w:w="0" w:type="dxa"/>
        </w:tblCellMar>
      </w:tblPr>
      <w:tblGrid>
        <w:gridCol w:w="2270"/>
        <w:gridCol w:w="60"/>
        <w:gridCol w:w="1145"/>
        <w:gridCol w:w="60"/>
        <w:gridCol w:w="156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30515"/>
            <w:bookmarkEnd w:id="6"/>
            <w:r>
              <w:rPr>
                <w:rFonts w:ascii="Times New Roman;Times;Serif" w:hAnsi="Times New Roman;Times;Serif"/>
                <w:b/>
                <w:i w:val="false"/>
                <w:caps w:val="false"/>
                <w:smallCaps w:val="false"/>
                <w:sz w:val="20"/>
              </w:rPr>
              <w:t>001-40730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85-1873463</w:t>
            </w:r>
          </w:p>
        </w:tc>
      </w:tr>
      <w:tr>
        <w:trPr/>
        <w:tc>
          <w:tcPr>
            <w:tcW w:w="227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(IRS Employer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1190 Trademark Drive, </w:t>
            </w:r>
            <w:bookmarkStart w:id="9" w:name="xdx_905_edei--EntityAddressAddressLine2_"/>
            <w:bookmarkEnd w:id="9"/>
            <w:r>
              <w:rPr>
                <w:rFonts w:ascii="Times New Roman;Times;Serif" w:hAnsi="Times New Roman;Times;Serif"/>
                <w:b/>
                <w:i w:val="false"/>
                <w:caps w:val="false"/>
                <w:smallCaps w:val="false"/>
                <w:sz w:val="20"/>
              </w:rPr>
              <w:t>#108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Reno, </w:t>
            </w:r>
            <w:bookmarkStart w:id="11" w:name="xdx_90D_edei--EntityAddressStateOrProvin"/>
            <w:bookmarkEnd w:id="11"/>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E_edei--EntityAddressPostalZipCode"/>
            <w:bookmarkEnd w:id="12"/>
            <w:r>
              <w:rPr>
                <w:rFonts w:ascii="Times New Roman;Times;Serif" w:hAnsi="Times New Roman;Times;Serif"/>
                <w:b/>
                <w:i w:val="false"/>
                <w:caps w:val="false"/>
                <w:smallCaps w:val="false"/>
                <w:sz w:val="20"/>
              </w:rPr>
              <w:t>89521</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13" w:name="xdx_90D_edei--CityAreaCode_c20230515__20"/>
      <w:bookmarkEnd w:id="13"/>
      <w:r>
        <w:rPr>
          <w:rFonts w:ascii="Times New Roman;Times;Serif" w:hAnsi="Times New Roman;Times;Serif"/>
          <w:b/>
          <w:i w:val="false"/>
          <w:caps w:val="false"/>
          <w:smallCaps w:val="false"/>
          <w:sz w:val="20"/>
          <w:u w:val="single"/>
        </w:rPr>
        <w:t xml:space="preserve">(775) </w:t>
      </w:r>
      <w:bookmarkStart w:id="14" w:name="xdx_902_edei--LocalPhoneNumber_c20230515"/>
      <w:bookmarkEnd w:id="14"/>
      <w:r>
        <w:rPr>
          <w:rFonts w:ascii="Times New Roman;Times;Serif" w:hAnsi="Times New Roman;Times;Serif"/>
          <w:b/>
          <w:i w:val="false"/>
          <w:caps w:val="false"/>
          <w:smallCaps w:val="false"/>
          <w:sz w:val="20"/>
          <w:u w:val="single"/>
        </w:rPr>
        <w:t>622-3448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3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0_edei--SolicitingMaterial_c202305"/>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B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0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240.13e- 4(c))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9450" w:type="dxa"/>
        <w:jc w:val="left"/>
        <w:tblInd w:w="0" w:type="dxa"/>
        <w:tblLayout w:type="fixed"/>
        <w:tblCellMar>
          <w:top w:w="0" w:type="dxa"/>
          <w:left w:w="0" w:type="dxa"/>
          <w:bottom w:w="28" w:type="dxa"/>
          <w:right w:w="0" w:type="dxa"/>
        </w:tblCellMar>
      </w:tblPr>
      <w:tblGrid>
        <w:gridCol w:w="4010"/>
        <w:gridCol w:w="60"/>
        <w:gridCol w:w="1610"/>
        <w:gridCol w:w="60"/>
        <w:gridCol w:w="3710"/>
      </w:tblGrid>
      <w:tr>
        <w:trPr/>
        <w:tc>
          <w:tcPr>
            <w:tcW w:w="40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B_edei--Security12bTitle_c20230515"/>
            <w:bookmarkEnd w:id="19"/>
            <w:r>
              <w:rPr>
                <w:rFonts w:ascii="Times New Roman;Times;Serif" w:hAnsi="Times New Roman;Times;Serif"/>
                <w:b/>
                <w:i w:val="false"/>
                <w:caps w:val="false"/>
                <w:smallCaps w:val="false"/>
                <w:sz w:val="20"/>
              </w:rPr>
              <w:t>Common stock, par value $0.0001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E_edei--TradingSymbol_c20230515__2"/>
            <w:bookmarkEnd w:id="20"/>
            <w:r>
              <w:rPr>
                <w:rFonts w:ascii="Times New Roman;Times;Serif" w:hAnsi="Times New Roman;Times;Serif"/>
                <w:b/>
                <w:i w:val="false"/>
                <w:caps w:val="false"/>
                <w:smallCaps w:val="false"/>
                <w:sz w:val="20"/>
              </w:rPr>
              <w:t>DFLI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1" w:name="xdx_900_edei--SecurityExchangeName_c2023"/>
            <w:bookmarkEnd w:id="21"/>
            <w:r>
              <w:rPr>
                <w:rFonts w:ascii="Times New Roman;Times;Serif" w:hAnsi="Times New Roman;Times;Serif"/>
                <w:b/>
                <w:i w:val="false"/>
                <w:caps w:val="false"/>
                <w:smallCaps w:val="false"/>
                <w:sz w:val="20"/>
              </w:rPr>
              <w:t>Nasdaq Global Market</w:t>
            </w:r>
          </w:p>
        </w:tc>
      </w:tr>
      <w:tr>
        <w:trPr/>
        <w:tc>
          <w:tcPr>
            <w:tcW w:w="4010" w:type="dxa"/>
            <w:tcBorders/>
            <w:shd w:fill="FFFFFF" w:val="clear"/>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22" w:name="xdx_901_edei--Security12bTitle_c20230515"/>
            <w:bookmarkEnd w:id="22"/>
            <w:r>
              <w:rPr>
                <w:rFonts w:ascii="Times New Roman;Times;Serif" w:hAnsi="Times New Roman;Times;Serif"/>
                <w:b/>
                <w:i w:val="false"/>
                <w:caps w:val="false"/>
                <w:smallCaps w:val="false"/>
                <w:sz w:val="20"/>
              </w:rPr>
              <w:t>Redeemable warrants, exercisable for common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at an exercise price of $11.50 per share,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to adjustment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3" w:name="xdx_906_edei--TradingSymbol_c20230515__2"/>
            <w:bookmarkEnd w:id="23"/>
            <w:r>
              <w:rPr>
                <w:rFonts w:ascii="Times New Roman;Times;Serif" w:hAnsi="Times New Roman;Times;Serif"/>
                <w:b/>
                <w:i w:val="false"/>
                <w:caps w:val="false"/>
                <w:smallCaps w:val="false"/>
                <w:sz w:val="20"/>
              </w:rPr>
              <w:t>DFLIW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4" w:name="xdx_900_edei--SecurityExchangeName_c2023"/>
            <w:bookmarkEnd w:id="24"/>
            <w:r>
              <w:rPr>
                <w:rFonts w:ascii="Times New Roman;Times;Serif" w:hAnsi="Times New Roman;Times;Serif"/>
                <w:b/>
                <w:i w:val="false"/>
                <w:caps w:val="false"/>
                <w:smallCaps w:val="false"/>
                <w:sz w:val="20"/>
              </w:rPr>
              <w:t>Nasdaq Capital Market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6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D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2023, Dragonfly Energy Holdings Corp.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issued an earnings disclosing certain information regarding its results of operations for the first quarter </w:t>
      </w:r>
      <w:r>
        <w:rPr>
          <w:rFonts w:ascii="Times New Roman;Times;Serif" w:hAnsi="Times New Roman;Times;Serif"/>
          <w:b w:val="false"/>
          <w:i w:val="false"/>
          <w:caps w:val="false"/>
          <w:smallCaps w:val="false"/>
          <w:sz w:val="20"/>
          <w:shd w:fill="FFFFFF" w:val="clear"/>
        </w:rPr>
        <w:t>ended March 31, 2023. Following the publication of the press release, the Company will host a earnings call at 5:00 p.m. (Eastern Time) on May 15, 2023, via a webcast. During the webcast, the Company’s financial results for the first quarter ended March 31, 2023 will be discussed. A copy of the press release is attached as Exhibit 99.1 to this Current Report on Form 8-K.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2.02 Results of Operation and Financial Condition”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Items 2.02 and 7.01, including the information contained in Exhibit 99.1, is being furnished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shall not be deemed to be “filed” for the purposes of Section 18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FFFFFF" w:val="clear"/>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of Dragonfly Energy Holdings Corp., dated May 15, 2023.</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3919" w:type="dxa"/>
        <w:jc w:val="left"/>
        <w:tblInd w:w="0" w:type="dxa"/>
        <w:tblLayout w:type="fixed"/>
        <w:tblCellMar>
          <w:top w:w="0" w:type="dxa"/>
          <w:left w:w="0" w:type="dxa"/>
          <w:bottom w:w="0" w:type="dxa"/>
          <w:right w:w="0" w:type="dxa"/>
        </w:tblCellMar>
      </w:tblPr>
      <w:tblGrid>
        <w:gridCol w:w="75"/>
        <w:gridCol w:w="818"/>
        <w:gridCol w:w="30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tcBorders/>
            <w:vAlign w:val="center"/>
          </w:tcPr>
          <w:p>
            <w:pPr>
              <w:pStyle w:val="TableContents"/>
              <w:bidi w:val="0"/>
              <w:spacing w:before="0" w:after="283"/>
              <w:jc w:val="left"/>
              <w:rPr>
                <w:caps w:val="false"/>
                <w:smallCaps w:val="false"/>
              </w:rPr>
            </w:pPr>
            <w:r>
              <w:rPr>
                <w:caps w:val="false"/>
                <w:smallCaps w:val="false"/>
              </w:rPr>
              <w:t> </w:t>
            </w:r>
          </w:p>
        </w:tc>
        <w:tc>
          <w:tcPr>
            <w:tcW w:w="302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26"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26"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2023</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71600" cy="9232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92329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Reports First Quarter 2023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Quarter 2023 Revenue Grew 2.7% Year-over-Year to $18.8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RENO, NEVADA (May 15, 2023)</w:t>
      </w:r>
      <w:r>
        <w:rPr>
          <w:rFonts w:ascii="Times New Roman;Times;Serif" w:hAnsi="Times New Roman;Times;Serif"/>
          <w:b w:val="false"/>
          <w:i w:val="false"/>
          <w:caps w:val="false"/>
          <w:smallCaps w:val="false"/>
          <w:sz w:val="20"/>
        </w:rPr>
        <w:t xml:space="preserve"> — Dragonfly Energy Holdings Corp. (“Dragonfly Energy” or the “Company”) (Nasdaq: DFLI), an industry leader in energy storage and producer of deep cycle lithium-ion storage batteries, today reported its financial and operational results for the first quarter of 2023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First Quarter 2023 Financial Highlights </w:t>
      </w:r>
    </w:p>
    <w:p>
      <w:pPr>
        <w:pStyle w:val="TextBody"/>
        <w:bidi w:val="0"/>
        <w:spacing w:before="0" w:after="0"/>
        <w:ind w:left="720" w:right="0" w:hanging="360"/>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60"/>
        <w:gridCol w:w="230"/>
        <w:gridCol w:w="726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7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$18.8 million increased 2.7% from $18.3 million in Q1 2022</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7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of $4.7 million decreased $0.8 million from $5.5 million in Q1 2022</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7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of $(14.6) million were higher compared to $(7.1) million in Q1 2022</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7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of $4.9 million, compared to a Net Loss of $(2.3) million in Q1 2022</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7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of $0.10 compared to $(0.06) in Q1 2022</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7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EBITDA of $9.0 million, compared to $(1.4) million in Q1 2022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and Business Highlights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the launch of Dragonfly IntelLigence™ providing reliable communication capabilities via unique mesh network, enabling accurate remote monitoring for entire lithium battery banks via the Dragonfly Energy Mobile App</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partnership with Airstream, which will provide Battle Born batteries as standard equipment across multiple models</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a Commercial Offtake Agreement with Ioneer Ltd., a Nevada-based lithium-boron producer, providing Dragonfly Energy with a future source of domestic supply of lithium carbonate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delivered a solid start to 2023, with healthy sales and record growth within the OEM segment, while effectively managing headwinds that challenged the wider industry,” said Denis Phares, CEO of Dragonfly Energy. “In addition to our healthy core business, we have a strong and growing patent portfolio ranging from innovative new products, like our IntelLigence™ line of battery packs, to groundbreaking new cell manufacturing and design technologies that we believe offer significant upside and long-term competitive advantages within the energy storage market. We are excited to execute on our plan for the next 18 months and we look forward to sharing our progress in the coming quarters.”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2023 Financial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 2023 Net Sales of $18.8 million increased 2.7% compared to the first quarter of 2022. This increase was primarily due to higher original equipment manufacturer (OEM) battery and accessory sales partially offset by lower direct to consumer (DTC)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 2023 Gross Profit was $4.7 million, a decrease of $0.8 million compared to $5.5 million in the same period a year ago. The decrease in gross profit was primarily due to a change in revenue mix that included a larger percentage of lower margin OEM sales and a lower percentage of higher margin DTC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 2023 Operating Expenses of $(14.6) million, an increase compared to $(7.1) million in the first quarter of 2022. The operating expenses for the quarter ended March 31, 2023, included approximately $3.6 million in higher stock-based compensation expenses due to the granting of Restricted Stock Units (RSUs) associated with year-end awards, as well as higher public company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 2023 Net Income was $4.9 million, or $0.10 per diluted share, compared to a Net Loss of $(2.3) million or $(0.06) per diluted share in the first quarter of 2022. Net Income in the first quarter of 2023 benefited from an increase in other income due to an $18.5 million change in the fair market value of the Company’s warrants.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 2023 EBITDA was $9.0 million, compared to EBITDA of $(1.4) million in the first quarter of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 2023 Adjusted EBITDA, excluding stock-based compensation, the change in fair market value of the warrants and one-time items, was $(5.0) million, compared to $(0.4) million in the first quarter of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ended the first quarter of 2023 with $15.8 million in cash and $77.4 million in debt. Dragonfly Energy retains strong financial flexibility with access to a $150 million equity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2Q 2023 Outlook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Sales are expected to range between $18 - $22 million, as softer demand within the DTC segment is expected to be more than offset by growth within the OEM segment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Gross Margin is expected to remain relatively flat on a sequential basis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Expenses are expected to be in a range of $10.5 - $13.5 million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Income (Expense) is expected be an expense in the range of $(3.6) - $(4.0) million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Losses are expected to be between $(9.5) - $(12.5) million for the quarter, or $(0.21) - $(0.27) per share based on 46.0 million shares outstanding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Dragonfly Energy management team will host a conference call to discuss its first quarter 2023 financial results this afternoon, Monday, May 15, 2023, at 5:00 pm ET. The call can also be accessed live via telephone by dialing (888) 886-7786 or for international callers (416) 764-8658, and referencing Dragonfly Energy. Please log in to the webcast or dial in to the call at least 10 minutes prior to the start of the event. The live webcast of the conference will also be available at </w:t>
      </w:r>
      <w:r>
        <w:rPr>
          <w:rFonts w:ascii="Times New Roman;Times;Serif" w:hAnsi="Times New Roman;Times;Serif"/>
          <w:b w:val="false"/>
          <w:i w:val="false"/>
          <w:caps w:val="false"/>
          <w:smallCaps w:val="false"/>
          <w:sz w:val="20"/>
          <w:u w:val="single"/>
        </w:rPr>
        <w:t xml:space="preserve">https://investors.dragonflyenergy.com/events-and-presentations/default.aspx </w:t>
      </w:r>
      <w:r>
        <w:rPr>
          <w:rFonts w:ascii="Times New Roman;Times;Serif" w:hAnsi="Times New Roman;Times;Serif"/>
          <w:b w:val="false"/>
          <w:i w:val="false"/>
          <w:caps w:val="false"/>
          <w:smallCaps w:val="false"/>
          <w:sz w:val="20"/>
        </w:rPr>
        <w:t>on the Events and Presentations page on the Investor Relations section of Dragonfly’s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(Nasdaq: DFLI) headquartered in Reno, Nevada, is a leading supplier of deep cycle lithium-ion batteries. Dragonfly Energy’s research and development initiatives are revolutionizing the energy storage industry through innovative technologies and manufacturing processes. Today, Dragonfly Energy’s non-toxic deep cycle lithium-ion batteries are displacing lead-acid batteries across a wide range of end-markets, including RVs, marine vessels, off-grid installations, and other storage applications. Dragonfly Energy is also focused on delivering an energy storage solution to enable a more sustainable and reliable smart grid through the future deployment of the Company’s proprietary and patented solid-state cell technology. To learn more, visit www.dragonflyenergy.com/investors.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2023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the Company’s ability to recognize the anticipated benefits of the Company’s recent business combination with Chardan NexTech Acquisition 2 Corp. and related transactions; the Company’s ability to successfully increase market penetration into target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access capital as and when needed under its $150 million ChEF Equity Facility; the Company’s ability to protect its patents and other intellectual property; the Company’s ability to successfully optimize solid state cells and to produce commercially viable solid state cells in a timely manner or at all, and to scale to mass production; the Company’s ability to achieve the anticipated benefits of its customer arrangements with THOR Industries and THOR Industries’ affiliated brands (including Keystone RV Company); the impact of the coronavirus disease pandemic, including any mutations or variants thereof and/or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2022 and in the Company’s subsequent filings with the SEC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Sioban Hickie, ICR, Inc.</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DragonflyIR@icrinc.com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428"/>
        <w:gridCol w:w="60"/>
        <w:gridCol w:w="176"/>
        <w:gridCol w:w="951"/>
        <w:gridCol w:w="95"/>
        <w:gridCol w:w="60"/>
        <w:gridCol w:w="206"/>
        <w:gridCol w:w="1117"/>
        <w:gridCol w:w="112"/>
      </w:tblGrid>
      <w:tr>
        <w:trPr/>
        <w:tc>
          <w:tcPr>
            <w:tcW w:w="74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5" w:type="dxa"/>
            <w:gridSpan w:val="6"/>
            <w:tcBorders>
              <w:bottom w:val="single" w:sz="12" w:space="0" w:color="000000"/>
            </w:tcBorders>
            <w:tcMar>
              <w:bottom w:w="28" w:type="dxa"/>
            </w:tcMar>
            <w:vAlign w:val="center"/>
          </w:tcPr>
          <w:p>
            <w:pPr>
              <w:pStyle w:val="TableContents"/>
              <w:bidi w:val="0"/>
              <w:spacing w:before="0" w:after="283"/>
              <w:jc w:val="center"/>
              <w:rPr/>
            </w:pPr>
            <w:r>
              <w:rPr/>
              <w:t>As of</w:t>
            </w:r>
          </w:p>
        </w:tc>
        <w:tc>
          <w:tcPr>
            <w:tcW w:w="112" w:type="dxa"/>
            <w:tcBorders/>
            <w:vAlign w:val="center"/>
          </w:tcPr>
          <w:p>
            <w:pPr>
              <w:pStyle w:val="TableContents"/>
              <w:bidi w:val="0"/>
              <w:spacing w:before="0" w:after="283"/>
              <w:jc w:val="left"/>
              <w:rPr/>
            </w:pPr>
            <w:r>
              <w:rPr/>
              <w:t> </w:t>
            </w:r>
          </w:p>
        </w:tc>
      </w:tr>
      <w:tr>
        <w:trPr/>
        <w:tc>
          <w:tcPr>
            <w:tcW w:w="74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7"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bottom w:val="single" w:sz="12" w:space="0" w:color="000000"/>
            </w:tcBorders>
            <w:tcMar>
              <w:bottom w:w="28" w:type="dxa"/>
            </w:tcMar>
            <w:vAlign w:val="center"/>
          </w:tcPr>
          <w:p>
            <w:pPr>
              <w:pStyle w:val="TableContents"/>
              <w:bidi w:val="0"/>
              <w:spacing w:before="0" w:after="283"/>
              <w:jc w:val="center"/>
              <w:rPr/>
            </w:pPr>
            <w:r>
              <w:rPr/>
              <w:t>December 31, 2022</w:t>
            </w:r>
          </w:p>
        </w:tc>
        <w:tc>
          <w:tcPr>
            <w:tcW w:w="112" w:type="dxa"/>
            <w:tcBorders/>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951" w:type="dxa"/>
            <w:tcBorders/>
            <w:shd w:fill="FFFFFF" w:val="clear"/>
            <w:vAlign w:val="center"/>
          </w:tcPr>
          <w:p>
            <w:pPr>
              <w:pStyle w:val="TableContents"/>
              <w:bidi w:val="0"/>
              <w:spacing w:before="0" w:after="283"/>
              <w:jc w:val="right"/>
              <w:rPr/>
            </w:pPr>
            <w:r>
              <w:rPr/>
              <w:t>15,791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117" w:type="dxa"/>
            <w:tcBorders/>
            <w:shd w:fill="FFFFFF" w:val="clear"/>
            <w:vAlign w:val="center"/>
          </w:tcPr>
          <w:p>
            <w:pPr>
              <w:pStyle w:val="TableContents"/>
              <w:bidi w:val="0"/>
              <w:spacing w:before="0" w:after="283"/>
              <w:jc w:val="right"/>
              <w:rPr/>
            </w:pPr>
            <w:r>
              <w:rPr/>
              <w:t>17,781</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Accounts receivable, net of allowance for doubtful accounts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2,969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1,444</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51,812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49,846</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1,624</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1,703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2,002</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525</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267</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75,016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73,489</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b/>
              </w:rPr>
            </w:pPr>
            <w:r>
              <w:rPr>
                <w:b/>
              </w:rPr>
              <w:t>Property and Equipment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11,288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10,760</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Operating lease right of use asset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4,205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4,513</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90,509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88,762</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951" w:type="dxa"/>
            <w:tcBorders/>
            <w:shd w:fill="FFFFFF" w:val="clear"/>
            <w:vAlign w:val="center"/>
          </w:tcPr>
          <w:p>
            <w:pPr>
              <w:pStyle w:val="TableContents"/>
              <w:bidi w:val="0"/>
              <w:spacing w:before="0" w:after="283"/>
              <w:jc w:val="right"/>
              <w:rPr/>
            </w:pPr>
            <w:r>
              <w:rPr/>
              <w:t>18,824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117" w:type="dxa"/>
            <w:tcBorders/>
            <w:shd w:fill="FFFFFF" w:val="clear"/>
            <w:vAlign w:val="center"/>
          </w:tcPr>
          <w:p>
            <w:pPr>
              <w:pStyle w:val="TableContents"/>
              <w:bidi w:val="0"/>
              <w:spacing w:before="0" w:after="283"/>
              <w:jc w:val="right"/>
              <w:rPr/>
            </w:pPr>
            <w:r>
              <w:rPr/>
              <w:t>13,475</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8,199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6,295</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238</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128</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Notes payable, net of deferred financing fees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20,699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19,242</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Notes payable, related party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1,215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1,188</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50,483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40,566</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4,141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32,831</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Accrued expenses, long-term</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361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492</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3,209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3,541</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7,711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36,864</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58,194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77,430</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Common stock, 170,000,000 shares at $0.0001 par value, authorized, 45,795,502 and 43,272,728 shares issued and outstanding as of March 31,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Preferred stock, 5,000,000 shares at $0.0001 par value, authorized, no shares issued and outstanding as of March 31,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54,551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38,461</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Retained deficit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(22,241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(27,133</w:t>
            </w:r>
          </w:p>
        </w:tc>
        <w:tc>
          <w:tcPr>
            <w:tcW w:w="112" w:type="dxa"/>
            <w:tcBorders/>
            <w:shd w:fill="CCEEFF" w:val="clear"/>
            <w:vAlign w:val="center"/>
          </w:tcPr>
          <w:p>
            <w:pPr>
              <w:pStyle w:val="TableContents"/>
              <w:bidi w:val="0"/>
              <w:spacing w:before="0" w:after="283"/>
              <w:jc w:val="left"/>
              <w:rPr/>
            </w:pPr>
            <w:r>
              <w:rPr/>
              <w:t>)</w:t>
            </w:r>
          </w:p>
        </w:tc>
      </w:tr>
      <w:tr>
        <w:trPr/>
        <w:tc>
          <w:tcPr>
            <w:tcW w:w="7428"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32,315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11,332</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90,509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88,762</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Interim Consolidated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2023, and 2022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283"/>
        <w:jc w:val="left"/>
        <w:rPr/>
      </w:pPr>
      <w:r>
        <w:rPr/>
        <w:t> </w:t>
      </w:r>
    </w:p>
    <w:tbl>
      <w:tblPr>
        <w:tblW w:w="7265" w:type="dxa"/>
        <w:jc w:val="left"/>
        <w:tblInd w:w="0" w:type="dxa"/>
        <w:tblLayout w:type="fixed"/>
        <w:tblCellMar>
          <w:top w:w="0" w:type="dxa"/>
          <w:left w:w="0" w:type="dxa"/>
          <w:bottom w:w="0" w:type="dxa"/>
          <w:right w:w="0" w:type="dxa"/>
        </w:tblCellMar>
      </w:tblPr>
      <w:tblGrid>
        <w:gridCol w:w="4460"/>
        <w:gridCol w:w="60"/>
        <w:gridCol w:w="140"/>
        <w:gridCol w:w="1100"/>
        <w:gridCol w:w="95"/>
        <w:gridCol w:w="60"/>
        <w:gridCol w:w="140"/>
        <w:gridCol w:w="1100"/>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18,303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12,808</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5,495</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339</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3,626</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3,092</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7,057</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(Loss) 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(1,562</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(1,263</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(1,263</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(2,825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(527</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(2,298</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Income (Loss) Per Share-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Income (Loss) Per Share-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Weighted Average Number of Shares-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45,104,515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36,542,944</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Weighted Average Number of Shares-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48,455,996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36,542,944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2023, and 2022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283"/>
        <w:jc w:val="left"/>
        <w:rPr/>
      </w:pPr>
      <w:r>
        <w:rPr/>
        <w:t> </w:t>
      </w:r>
    </w:p>
    <w:tbl>
      <w:tblPr>
        <w:tblW w:w="7595" w:type="dxa"/>
        <w:jc w:val="left"/>
        <w:tblInd w:w="0" w:type="dxa"/>
        <w:tblLayout w:type="fixed"/>
        <w:tblCellMar>
          <w:top w:w="0" w:type="dxa"/>
          <w:left w:w="0" w:type="dxa"/>
          <w:bottom w:w="0" w:type="dxa"/>
          <w:right w:w="0" w:type="dxa"/>
        </w:tblCellMar>
      </w:tblPr>
      <w:tblGrid>
        <w:gridCol w:w="5480"/>
        <w:gridCol w:w="60"/>
        <w:gridCol w:w="140"/>
        <w:gridCol w:w="755"/>
        <w:gridCol w:w="95"/>
        <w:gridCol w:w="60"/>
        <w:gridCol w:w="140"/>
        <w:gridCol w:w="755"/>
        <w:gridCol w:w="110"/>
      </w:tblGrid>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(2,298</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Adjustments to Reconcile Net Income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288</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613</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(527</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Non-cash interest expense (paid-in-kind)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Provision for doubtful accounts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(1,217</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(5,946</w:t>
            </w:r>
          </w:p>
        </w:tc>
        <w:tc>
          <w:tcPr>
            <w:tcW w:w="11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(502</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Prepaid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2,425</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(637</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274</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(4,119</w:t>
            </w:r>
          </w:p>
        </w:tc>
        <w:tc>
          <w:tcPr>
            <w:tcW w:w="11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293</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Total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(8,812</w:t>
            </w:r>
          </w:p>
        </w:tc>
        <w:tc>
          <w:tcPr>
            <w:tcW w:w="11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(3,838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(11,110</w:t>
            </w:r>
          </w:p>
        </w:tc>
        <w:tc>
          <w:tcPr>
            <w:tcW w:w="110" w:type="dxa"/>
            <w:tcBorders/>
            <w:shd w:fill="FFFFFF" w:val="clear"/>
            <w:vAlign w:val="center"/>
          </w:tcPr>
          <w:p>
            <w:pPr>
              <w:pStyle w:val="TableContents"/>
              <w:bidi w:val="0"/>
              <w:spacing w:before="0" w:after="283"/>
              <w:jc w:val="left"/>
              <w:rPr>
                <w:b/>
              </w:rPr>
            </w:pPr>
            <w:r>
              <w:rPr>
                <w:b/>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(4,524</w:t>
            </w:r>
          </w:p>
        </w:tc>
        <w:tc>
          <w:tcPr>
            <w:tcW w:w="11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(589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(4,524</w:t>
            </w:r>
          </w:p>
        </w:tc>
        <w:tc>
          <w:tcPr>
            <w:tcW w:w="110" w:type="dxa"/>
            <w:tcBorders/>
            <w:shd w:fill="FFFFFF" w:val="clear"/>
            <w:vAlign w:val="center"/>
          </w:tcPr>
          <w:p>
            <w:pPr>
              <w:pStyle w:val="TableContents"/>
              <w:bidi w:val="0"/>
              <w:spacing w:before="0" w:after="283"/>
              <w:jc w:val="left"/>
              <w:rPr>
                <w:b/>
              </w:rPr>
            </w:pPr>
            <w:r>
              <w:rPr>
                <w:b/>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Proceeds from public offering,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Proceeds from note payable,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Proceeds from exercise of 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Proceeds from exercise of options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111</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111</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Net (Decrease) / Increase in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(15,523</w:t>
            </w:r>
          </w:p>
        </w:tc>
        <w:tc>
          <w:tcPr>
            <w:tcW w:w="11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Beginning cash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17,781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28,630</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Ending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13,107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considered a non-GAAP financial measure under the rules of the SEC because it excludes certain amounts included in net loss calculated in accordance with GAAP. Specifically, the Company calculates Adjusted EBITDA by GAAP net loss adjusted to exclude stock-based compensation expense, business combination related expenses and other one-time,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included Adjusted EBITDA because it is a key measure used by Dragonfly’s management team to evaluate its operating performance, generate future operating plans, and make strategic decisions, including those relating to operating expenses. As such, the Company believes Adjusted EBITDA is helpful in highlighting trends in the ongoing core operating results of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it should not be considered in isolation or as a substitute for analysis of net loss or other results as reported under GAAP. Some of these limitations 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cash expenditures, future requirements for capital expenditures, or contractual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the Company’s working capital needs;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tax expense or the cash requirements to pay taxes;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amortization and depreciation are non-cash charges, the assets being amortized and depreciated will often have to be replaced in the future and Adjusted EBITDA does not reflect any cash requirements for such replacements;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should not be construed as an inference that the Company’s future results will be unaffected by unusual or non-recurring items for which the Company may adjust in historical periods;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the industry may calculate Adjusted EBITDA differently than the Company does, limiting its usefulness as a comparative measure.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Reconciliations of Non-GAAP Financial Measures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EBITDA and 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reconciliations of EBITDA and Adjusted EBITDA to the most directly comparable GAAP financial measure for each of the periods indicated.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2023, and 2022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283"/>
        <w:jc w:val="left"/>
        <w:rPr/>
      </w:pPr>
      <w:r>
        <w:rPr/>
        <w:t> </w:t>
      </w:r>
    </w:p>
    <w:tbl>
      <w:tblPr>
        <w:tblW w:w="6455" w:type="dxa"/>
        <w:jc w:val="center"/>
        <w:tblInd w:w="0" w:type="dxa"/>
        <w:tblLayout w:type="fixed"/>
        <w:tblCellMar>
          <w:top w:w="0" w:type="dxa"/>
          <w:left w:w="0" w:type="dxa"/>
          <w:bottom w:w="0" w:type="dxa"/>
          <w:right w:w="0" w:type="dxa"/>
        </w:tblCellMar>
      </w:tblPr>
      <w:tblGrid>
        <w:gridCol w:w="4460"/>
        <w:gridCol w:w="60"/>
        <w:gridCol w:w="140"/>
        <w:gridCol w:w="755"/>
        <w:gridCol w:w="95"/>
        <w:gridCol w:w="60"/>
        <w:gridCol w:w="140"/>
        <w:gridCol w:w="635"/>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EBITDA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(2,298</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1,263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(527</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9,004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(1,370</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Adjustments to EBITDA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288</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ERP Implementation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233</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Promissory Note Forgiveness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469</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(18,523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(5,032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(380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3342</Words>
  <Characters>18509</Characters>
  <CharactersWithSpaces>22270</CharactersWithSpaces>
  <Paragraphs>1453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