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5,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40" w:type="dxa"/>
            <w:vAlign w:val="bottom"/>
            <w:gridSpan w:val="6"/>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5"/>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80" w:type="dxa"/>
            <w:vAlign w:val="bottom"/>
            <w:gridSpan w:val="8"/>
          </w:tcPr>
          <w:p>
            <w:pPr>
              <w:jc w:val="center"/>
              <w:ind w:right="1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9"/>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1190 Trademark Drive #108</w:t>
            </w:r>
          </w:p>
        </w:tc>
        <w:tc>
          <w:tcPr>
            <w:tcW w:w="2820" w:type="dxa"/>
            <w:vAlign w:val="bottom"/>
          </w:tcPr>
          <w:p>
            <w:pPr>
              <w:spacing w:after="0"/>
              <w:rPr>
                <w:sz w:val="24"/>
                <w:szCs w:val="24"/>
                <w:color w:val="auto"/>
              </w:rPr>
            </w:pPr>
          </w:p>
        </w:tc>
      </w:tr>
      <w:tr>
        <w:trPr>
          <w:trHeight w:val="198"/>
        </w:trPr>
        <w:tc>
          <w:tcPr>
            <w:tcW w:w="2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80" w:type="dxa"/>
            <w:vAlign w:val="bottom"/>
            <w:gridSpan w:val="8"/>
          </w:tcPr>
          <w:p>
            <w:pPr>
              <w:jc w:val="center"/>
              <w:ind w:right="20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Reno, Nevada 89521</w:t>
            </w:r>
          </w:p>
        </w:tc>
        <w:tc>
          <w:tcPr>
            <w:tcW w:w="282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9"/>
          </w:tcPr>
          <w:p>
            <w:pPr>
              <w:jc w:val="center"/>
              <w:ind w:right="1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spacing w:after="0"/>
              <w:rPr>
                <w:sz w:val="20"/>
                <w:szCs w:val="20"/>
                <w:color w:val="auto"/>
              </w:rPr>
            </w:pPr>
          </w:p>
        </w:tc>
      </w:tr>
      <w:tr>
        <w:trPr>
          <w:trHeight w:val="392"/>
        </w:trPr>
        <w:tc>
          <w:tcPr>
            <w:tcW w:w="2960" w:type="dxa"/>
            <w:vAlign w:val="bottom"/>
          </w:tcPr>
          <w:p>
            <w:pPr>
              <w:spacing w:after="0"/>
              <w:rPr>
                <w:sz w:val="24"/>
                <w:szCs w:val="24"/>
                <w:color w:val="auto"/>
              </w:rPr>
            </w:pPr>
          </w:p>
        </w:tc>
        <w:tc>
          <w:tcPr>
            <w:tcW w:w="5460" w:type="dxa"/>
            <w:vAlign w:val="bottom"/>
            <w:gridSpan w:val="11"/>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(775) 622-3448</w:t>
            </w:r>
          </w:p>
        </w:tc>
        <w:tc>
          <w:tcPr>
            <w:tcW w:w="2820" w:type="dxa"/>
            <w:vAlign w:val="bottom"/>
          </w:tcPr>
          <w:p>
            <w:pPr>
              <w:spacing w:after="0"/>
              <w:rPr>
                <w:sz w:val="24"/>
                <w:szCs w:val="24"/>
                <w:color w:val="auto"/>
              </w:rPr>
            </w:pPr>
          </w:p>
        </w:tc>
      </w:tr>
      <w:tr>
        <w:trPr>
          <w:trHeight w:val="41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180" w:type="dxa"/>
            <w:vAlign w:val="bottom"/>
            <w:gridSpan w:val="2"/>
          </w:tcPr>
          <w:p>
            <w:pPr>
              <w:spacing w:after="0"/>
              <w:rPr>
                <w:sz w:val="24"/>
                <w:szCs w:val="24"/>
                <w:color w:val="auto"/>
              </w:rPr>
            </w:pPr>
          </w:p>
        </w:tc>
        <w:tc>
          <w:tcPr>
            <w:tcW w:w="1120" w:type="dxa"/>
            <w:vAlign w:val="bottom"/>
            <w:tcBorders>
              <w:top w:val="single" w:sz="8" w:color="auto"/>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7"/>
        </w:trPr>
        <w:tc>
          <w:tcPr>
            <w:tcW w:w="2960" w:type="dxa"/>
            <w:vAlign w:val="bottom"/>
          </w:tcPr>
          <w:p>
            <w:pPr>
              <w:spacing w:after="0"/>
              <w:rPr>
                <w:sz w:val="20"/>
                <w:szCs w:val="20"/>
                <w:color w:val="auto"/>
              </w:rPr>
            </w:pPr>
          </w:p>
        </w:tc>
        <w:tc>
          <w:tcPr>
            <w:tcW w:w="5460" w:type="dxa"/>
            <w:vAlign w:val="bottom"/>
            <w:gridSpan w:val="11"/>
          </w:tcPr>
          <w:p>
            <w:pPr>
              <w:jc w:val="center"/>
              <w:ind w:right="1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3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Global Market</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 an exercise price of $11.50 per share, subject to</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34"/>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2023,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an unsecured promissory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in the principal amount of $1,000,000 (the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to Brian Nelson, a director of the Company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in a private placement in exchange for cash in an equal amount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The Company intends to use the proceeds of the Private Placement for working capital and general corporate purposes.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 becomes due and payable in full on April 1, 2023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The Company is also obligated to pay $100,000 (the “</w:t>
      </w:r>
      <w:r>
        <w:rPr>
          <w:rFonts w:ascii="Times New Roman" w:cs="Times New Roman" w:eastAsia="Times New Roman" w:hAnsi="Times New Roman"/>
          <w:sz w:val="18"/>
          <w:szCs w:val="18"/>
          <w:u w:val="single" w:color="auto"/>
          <w:color w:val="auto"/>
        </w:rPr>
        <w:t>Loan Fee</w:t>
      </w:r>
      <w:r>
        <w:rPr>
          <w:rFonts w:ascii="Times New Roman" w:cs="Times New Roman" w:eastAsia="Times New Roman" w:hAnsi="Times New Roman"/>
          <w:sz w:val="18"/>
          <w:szCs w:val="18"/>
          <w:color w:val="auto"/>
        </w:rPr>
        <w:t>”) to the Holder on April 4, 2023 (the “</w:t>
      </w:r>
      <w:r>
        <w:rPr>
          <w:rFonts w:ascii="Times New Roman" w:cs="Times New Roman" w:eastAsia="Times New Roman" w:hAnsi="Times New Roman"/>
          <w:sz w:val="18"/>
          <w:szCs w:val="18"/>
          <w:u w:val="single" w:color="auto"/>
          <w:color w:val="auto"/>
        </w:rPr>
        <w:t>Loan Fee Payment Date</w:t>
      </w:r>
      <w:r>
        <w:rPr>
          <w:rFonts w:ascii="Times New Roman" w:cs="Times New Roman" w:eastAsia="Times New Roman" w:hAnsi="Times New Roman"/>
          <w:sz w:val="18"/>
          <w:szCs w:val="18"/>
          <w:color w:val="auto"/>
        </w:rPr>
        <w:t>”). If the Company does not pay the Loan Fee by the Loan Fee Payment Date, an additional $100,000 will accrue in full on April 5, 2023 (the “</w:t>
      </w:r>
      <w:r>
        <w:rPr>
          <w:rFonts w:ascii="Times New Roman" w:cs="Times New Roman" w:eastAsia="Times New Roman" w:hAnsi="Times New Roman"/>
          <w:sz w:val="18"/>
          <w:szCs w:val="18"/>
          <w:u w:val="single" w:color="auto"/>
          <w:color w:val="auto"/>
        </w:rPr>
        <w:t>Penalty Fee</w:t>
      </w:r>
      <w:r>
        <w:rPr>
          <w:rFonts w:ascii="Times New Roman" w:cs="Times New Roman" w:eastAsia="Times New Roman" w:hAnsi="Times New Roman"/>
          <w:sz w:val="18"/>
          <w:szCs w:val="18"/>
          <w:color w:val="auto"/>
        </w:rPr>
        <w:t>”). In addition, for so long as the Principal Amount, the Loan Fee and the Penalty Fee remain outstanding, an additional $100,000 will accrue in full on May 3, 2023. If the balance of the Note, including the outstanding Principal Amount and all accrued but unpaid fees, charges and expenses under the Note, has not been fully repaid by June 1, 2023, the Company will have the option to repay the balance with any combination of cash and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If the Company opts to repay the balance of the Note with shares of Common Stock, the amount of shares to be issued will be calculated at a price per share equal to the consolidated closing bid price of the Common Stock as reported by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on the date immediately prior to payment; however, such price will not be less than $4.18 per share.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contains customary events of default, including nonpayment of any amounts under the Note when due, upon which the payment of the Principal Amount, the Loan Fee and any other unpaid fees, expenses or other charges may be accelerated. The Company may, at any time, prepay the amount due under the Note without premium or penalty. In addition, the Company is obligated to repay all outstanding obligations under the Note within one business day upon the occurrence of a Change of Control (as defined in the Note)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 has represented to the Company that it is an “accredited investor” as that term is defined in Rule 501(a) of Regulation D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Company relied on the exemption from registration afforded by Section 4(2) of the Securities Act in connection with the issuance of the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the Note, which is attached hereto as Exhibit 4.1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response to Item 1.01 of this Current Report is incorporated by reference into this Item 2.03.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response to Item 1.01 of this Current Report is incorporated by reference into this Item 3.02.</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340" w:hanging="247"/>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19685</wp:posOffset>
            </wp:positionV>
            <wp:extent cx="6643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Promissory Note of the Company, dated March 5, 2023.</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NOTE AND ANY SECURITIES INTO WHICH THIS NOTE IS CONVERTIBLE HAVE NOT BEEN REGISTERED UNDER THE SECURITIES ACT OF 1933, AS AMENDED, OR ANY STATE SECURITIES LAWS. IT MAY NOT BE SOLD, OFFERED FOR SALE, PLEDGED OR HYPOTHECATED IN THE ABSENCE OF AN EFFECTIVE REGISTRATION STATEMENT AS TO THE SECURITIES UNDER SUCH ACT AND ANY APPLICABLE STATE SECURITIES LAWS, OR AN OPINION OF COUNSEL SATISFACTORY TO THE COMPANY THAT SUCH REGISTRATION IS NOT REQUIRED.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DRAGONFLY ENERGY HOLDINGS CORP.</w:t>
            </w:r>
          </w:p>
        </w:tc>
        <w:tc>
          <w:tcPr>
            <w:tcW w:w="3840" w:type="dxa"/>
            <w:vAlign w:val="bottom"/>
          </w:tcPr>
          <w:p>
            <w:pPr>
              <w:spacing w:after="0"/>
              <w:rPr>
                <w:sz w:val="17"/>
                <w:szCs w:val="17"/>
                <w:color w:val="auto"/>
              </w:rPr>
            </w:pPr>
          </w:p>
        </w:tc>
      </w:tr>
      <w:tr>
        <w:trPr>
          <w:trHeight w:val="453"/>
        </w:trPr>
        <w:tc>
          <w:tcPr>
            <w:tcW w:w="2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0" w:type="dxa"/>
            <w:vAlign w:val="bottom"/>
            <w:gridSpan w:val="2"/>
          </w:tcPr>
          <w:p>
            <w:pPr>
              <w:jc w:val="right"/>
              <w:ind w:right="4650"/>
              <w:spacing w:after="0"/>
              <w:rPr>
                <w:sz w:val="20"/>
                <w:szCs w:val="20"/>
                <w:color w:val="auto"/>
              </w:rPr>
            </w:pPr>
            <w:r>
              <w:rPr>
                <w:rFonts w:ascii="Times New Roman" w:cs="Times New Roman" w:eastAsia="Times New Roman" w:hAnsi="Times New Roman"/>
                <w:sz w:val="18"/>
                <w:szCs w:val="18"/>
                <w:b w:val="1"/>
                <w:bCs w:val="1"/>
                <w:color w:val="auto"/>
              </w:rPr>
              <w:t>PROMISSORY NOTE</w:t>
            </w:r>
          </w:p>
        </w:tc>
      </w:tr>
      <w:tr>
        <w:trPr>
          <w:trHeight w:val="414"/>
        </w:trPr>
        <w:tc>
          <w:tcPr>
            <w:tcW w:w="244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8"/>
              </w:rPr>
              <w:t>$1,000,000.00</w:t>
            </w:r>
          </w:p>
        </w:tc>
        <w:tc>
          <w:tcPr>
            <w:tcW w:w="1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5, 2023</w:t>
            </w:r>
          </w:p>
        </w:tc>
      </w:tr>
      <w:tr>
        <w:trPr>
          <w:trHeight w:val="234"/>
        </w:trPr>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Reno, Nevada</w:t>
            </w: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For value received, DRAGONFLY ENERGY HOLDINGS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unconditionally promises to pay to Brian Nelson, an individual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the principal sum of One Million Dollars ($1,000,000.00), or such lesser amount as shall then equal the outstanding principal amount hereunder, together with all other fees, charges or expenses set forth herein.</w:t>
      </w:r>
    </w:p>
    <w:p>
      <w:pPr>
        <w:spacing w:after="0" w:line="171" w:lineRule="exact"/>
        <w:rPr>
          <w:sz w:val="20"/>
          <w:szCs w:val="20"/>
          <w:color w:val="auto"/>
        </w:rPr>
      </w:pPr>
    </w:p>
    <w:p>
      <w:pPr>
        <w:jc w:val="both"/>
        <w:ind w:firstLine="656"/>
        <w:spacing w:after="0" w:line="268"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Maturity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outstanding principal and all accrued but unpaid fees, charges and expenses under this Note (collectively, the “</w:t>
      </w:r>
      <w:r>
        <w:rPr>
          <w:rFonts w:ascii="Times New Roman" w:cs="Times New Roman" w:eastAsia="Times New Roman" w:hAnsi="Times New Roman"/>
          <w:sz w:val="18"/>
          <w:szCs w:val="18"/>
          <w:b w:val="1"/>
          <w:bCs w:val="1"/>
          <w:i w:val="1"/>
          <w:iCs w:val="1"/>
          <w:color w:val="auto"/>
        </w:rPr>
        <w:t>Note Balance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due and payable in full in cash on April 1, 2023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or, if earlier, the date of acceleration of the obligations hereunder pursuant to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Loan Fee Payment and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execution of this Note and funding of the original principal sum, a payment of One Hundred Thousand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($100,000.00) (the “</w:t>
      </w:r>
      <w:r>
        <w:rPr>
          <w:rFonts w:ascii="Times New Roman" w:cs="Times New Roman" w:eastAsia="Times New Roman" w:hAnsi="Times New Roman"/>
          <w:sz w:val="18"/>
          <w:szCs w:val="18"/>
          <w:b w:val="1"/>
          <w:bCs w:val="1"/>
          <w:i w:val="1"/>
          <w:iCs w:val="1"/>
          <w:color w:val="auto"/>
        </w:rPr>
        <w:t>Loan Fee</w:t>
      </w:r>
      <w:r>
        <w:rPr>
          <w:rFonts w:ascii="Times New Roman" w:cs="Times New Roman" w:eastAsia="Times New Roman" w:hAnsi="Times New Roman"/>
          <w:sz w:val="18"/>
          <w:szCs w:val="18"/>
          <w:color w:val="auto"/>
        </w:rPr>
        <w:t xml:space="preserve">”) shall be fully earned as of the date hereof but due and payable in full in cash on April 4, 2023, or, if earlier, the date of acceleration of the obligations hereunder pursuant to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Loan Fee Payment Date</w:t>
      </w:r>
      <w:r>
        <w:rPr>
          <w:rFonts w:ascii="Times New Roman" w:cs="Times New Roman" w:eastAsia="Times New Roman" w:hAnsi="Times New Roman"/>
          <w:sz w:val="18"/>
          <w:szCs w:val="18"/>
          <w:color w:val="auto"/>
        </w:rPr>
        <w:t>”). If the Loan Fee is not received in full by the Loan Fee Payment Date, a penalty of an additional One Hundred Thousand Dollars ($100,000.00) (the “</w:t>
      </w:r>
      <w:r>
        <w:rPr>
          <w:rFonts w:ascii="Times New Roman" w:cs="Times New Roman" w:eastAsia="Times New Roman" w:hAnsi="Times New Roman"/>
          <w:sz w:val="18"/>
          <w:szCs w:val="18"/>
          <w:b w:val="1"/>
          <w:bCs w:val="1"/>
          <w:i w:val="1"/>
          <w:iCs w:val="1"/>
          <w:color w:val="auto"/>
        </w:rPr>
        <w:t>First Penalty Fee</w:t>
      </w:r>
      <w:r>
        <w:rPr>
          <w:rFonts w:ascii="Times New Roman" w:cs="Times New Roman" w:eastAsia="Times New Roman" w:hAnsi="Times New Roman"/>
          <w:sz w:val="18"/>
          <w:szCs w:val="18"/>
          <w:color w:val="auto"/>
        </w:rPr>
        <w:t>”) shall immediately accrue in full as of April 5, 2023, and so long as the principal, Loan Fee and First Penalty Fee remain unpaid thereafter, an additional One Hundred Thousand Dollars ($100,000.00) shall immediately accrue in full as of May 3, 2023. If the Note Balance has not been fully repaid by June 1, 2023, the Company will repay the Note Balance with any combination of (i) cash, and (ii) the granting of common stock of the Company to the Investor, in an amount equal to the Note Balance as of the date thereof; provided, however, if the Company opts to pay in whole or in part pursuant to clause (ii) herein, the amount payable shall be at a price per share equal to the Consolidated Closing Bid Price of the common stock as reported by Nasdaq on the date immediately prior to payment; provided, however that such price shall not be less than $4.18.</w:t>
      </w:r>
    </w:p>
    <w:p>
      <w:pPr>
        <w:spacing w:after="0" w:line="18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Payments</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Generally</w:t>
      </w:r>
      <w:r>
        <w:rPr>
          <w:rFonts w:ascii="Times New Roman" w:cs="Times New Roman" w:eastAsia="Times New Roman" w:hAnsi="Times New Roman"/>
          <w:sz w:val="18"/>
          <w:szCs w:val="18"/>
          <w:color w:val="auto"/>
        </w:rPr>
        <w:t>. All payments shall be made in lawful money of the United States of America at such place as the Investor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from time to time designate in writing to the Company. Any amount that is repaid or prepaid may not be re-borrowed. Any amounts due and payable hereunder will be sent by wire transfer in accordance with instructions delivered to the Company by the Investor. If any payment to be made by Borrower hereunder becomes due on a day which is not a Business Day (as defined below), such payment must be made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580" w:hanging="276"/>
        <w:spacing w:after="0"/>
        <w:tabs>
          <w:tab w:leader="none" w:pos="1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Prepayments</w:t>
      </w:r>
      <w:r>
        <w:rPr>
          <w:rFonts w:ascii="Times New Roman" w:cs="Times New Roman" w:eastAsia="Times New Roman" w:hAnsi="Times New Roman"/>
          <w:sz w:val="18"/>
          <w:szCs w:val="18"/>
          <w:color w:val="auto"/>
        </w:rPr>
        <w:t>. The Company may prepay all or any portion of the outstanding principal of the Note at any time without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or penalty.</w:t>
      </w:r>
    </w:p>
    <w:p>
      <w:pPr>
        <w:spacing w:after="0" w:line="204" w:lineRule="exact"/>
        <w:rPr>
          <w:rFonts w:ascii="Times New Roman" w:cs="Times New Roman" w:eastAsia="Times New Roman" w:hAnsi="Times New Roman"/>
          <w:sz w:val="18"/>
          <w:szCs w:val="18"/>
          <w:color w:val="auto"/>
        </w:rPr>
      </w:pPr>
    </w:p>
    <w:p>
      <w:pPr>
        <w:ind w:right="20" w:firstLine="1304"/>
        <w:spacing w:after="0" w:line="28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Prepayment</w:t>
      </w:r>
      <w:r>
        <w:rPr>
          <w:rFonts w:ascii="Times New Roman" w:cs="Times New Roman" w:eastAsia="Times New Roman" w:hAnsi="Times New Roman"/>
          <w:sz w:val="18"/>
          <w:szCs w:val="18"/>
          <w:color w:val="auto"/>
        </w:rPr>
        <w:t>. Within one Business Day after the occurrence of a Change of Control (as defined below), the Company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all outstanding obligations under the Note in full.</w:t>
      </w:r>
    </w:p>
    <w:p>
      <w:pPr>
        <w:spacing w:after="0" w:line="156" w:lineRule="exact"/>
        <w:rPr>
          <w:rFonts w:ascii="Times New Roman" w:cs="Times New Roman" w:eastAsia="Times New Roman" w:hAnsi="Times New Roman"/>
          <w:sz w:val="18"/>
          <w:szCs w:val="18"/>
          <w:color w:val="auto"/>
        </w:rPr>
      </w:pPr>
    </w:p>
    <w:p>
      <w:pPr>
        <w:jc w:val="both"/>
        <w:ind w:firstLine="656"/>
        <w:spacing w:after="0" w:line="256" w:lineRule="auto"/>
        <w:tabs>
          <w:tab w:leader="none" w:pos="8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Interest Rate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this Note, the interest paid or agreed to be paid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shall not exceed the maximum rate of non-usurious interest permitted by applicable law (the “</w:t>
      </w:r>
      <w:r>
        <w:rPr>
          <w:rFonts w:ascii="Times New Roman" w:cs="Times New Roman" w:eastAsia="Times New Roman" w:hAnsi="Times New Roman"/>
          <w:sz w:val="18"/>
          <w:szCs w:val="18"/>
          <w:b w:val="1"/>
          <w:bCs w:val="1"/>
          <w:i w:val="1"/>
          <w:iCs w:val="1"/>
          <w:color w:val="auto"/>
        </w:rPr>
        <w:t>Maximum Rate</w:t>
      </w:r>
      <w:r>
        <w:rPr>
          <w:rFonts w:ascii="Times New Roman" w:cs="Times New Roman" w:eastAsia="Times New Roman" w:hAnsi="Times New Roman"/>
          <w:sz w:val="18"/>
          <w:szCs w:val="18"/>
          <w:color w:val="auto"/>
        </w:rPr>
        <w:t>”). If the Investor shall receive interest in an amount that exceeds the Maximum Rate, the excess interest shall be applied to the principal remaining owed under this Note or, if it exceeds such unpaid principal, refunded to the Company. In determining whether the interest contracted for, charged, or received by the Investor exceeds the Maximum Rate, the Investor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this Note.</w:t>
      </w:r>
    </w:p>
    <w:p>
      <w:pPr>
        <w:spacing w:after="0" w:line="18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shall constitute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under this Note:</w:t>
      </w:r>
    </w:p>
    <w:p>
      <w:pPr>
        <w:spacing w:after="0" w:line="229" w:lineRule="exact"/>
        <w:rPr>
          <w:rFonts w:ascii="Times New Roman" w:cs="Times New Roman" w:eastAsia="Times New Roman" w:hAnsi="Times New Roman"/>
          <w:sz w:val="18"/>
          <w:szCs w:val="18"/>
          <w:color w:val="auto"/>
        </w:rPr>
      </w:pPr>
    </w:p>
    <w:p>
      <w:pPr>
        <w:ind w:firstLine="1952"/>
        <w:spacing w:after="0" w:line="282" w:lineRule="auto"/>
        <w:tabs>
          <w:tab w:leader="none" w:pos="217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observe or perform any other material covenant, obligation, condition or agreement contained in this Note, including the failure to pay any amounts under this Note when due;</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3"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petition is filed against the Company (unless such petition is dismissed or discharged within 45 days under any bankruptcy statute now or hereafter in effect, or a custodian, receiver, trustee, assignee for the benefit of creditors (or other similar official) is appointed to take possession, custody or control of any property of the Company).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the Investor upon the occurrence of an Event of Default or if the Company has knowledge of or becomes aware of a pending or potential Event of Default.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shall be any Event of Default hereunder, automatically upon the occurrence and during the continuation of an Event of Default under </w:t>
      </w:r>
      <w:r>
        <w:rPr>
          <w:rFonts w:ascii="Times New Roman" w:cs="Times New Roman" w:eastAsia="Times New Roman" w:hAnsi="Times New Roman"/>
          <w:sz w:val="18"/>
          <w:szCs w:val="18"/>
          <w:u w:val="single" w:color="auto"/>
          <w:color w:val="auto"/>
        </w:rPr>
        <w:t>Section 5(a)(ii)</w:t>
      </w:r>
      <w:r>
        <w:rPr>
          <w:rFonts w:ascii="Times New Roman" w:cs="Times New Roman" w:eastAsia="Times New Roman" w:hAnsi="Times New Roman"/>
          <w:sz w:val="18"/>
          <w:szCs w:val="18"/>
          <w:color w:val="auto"/>
        </w:rPr>
        <w:t xml:space="preserve"> or 5</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and at the option of the Investor and upon written notice to the Company upon the occurrence and during the continuation of any other Event of Default, this Note shall accelerate and all principal and unpaid fees, expenses and other charges shall become promptly due and payable.</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represents and warrants to the Investor, as of the date hereof, that (a) the Company is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and validly existing, with all the requisite power and authority to execute, deliver and perform all of its obligations under this Note, (b) the Company’s obligations under this Note have been duly authorized and approved by all necessary actions, (c) this Note constitutes a valid and binding obligation of the Company, enforceable against the Company in accordance with its terms, except as such enforceability may be limited by bankruptcy, insolvency, reorganization, moratorium or other similar laws relating to or affecting the rights and remedies of creditors or by general equitable principles, and (d) the Company has total assets of at least two million dollars ($2,000,000) according to its most recent financial statements, which are dated not more than 90 days before the date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 w:name="page6"/>
    <w:bookmarkEnd w:id="5"/>
    <w:p>
      <w:pPr>
        <w:jc w:val="both"/>
        <w:ind w:firstLine="656"/>
        <w:spacing w:after="0" w:line="252"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of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represents and warrants to the Company, as of the date hereof, that (a) the Note will be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investment for the Investor’s own account, not as a nominee or agent, and not with a view to the public resale or distribution thereof within the meaning of the Securities Act, and the Investor has no present intention of selling, granting any participation in, or otherwise distributing the same, (b) the Investor has not directly or indirectly, including through a broker or finder (i) engaged in any general solicitation with respect to the offer and sale of the Note, or (ii) published any advertisement in connection with the offer and sale of the Note, (c) the Investor has received or has had full access to all the information the Investor considers necessary or appropriate to make an informed investment decision with respect to the Note, (d) the Investor further has had an opportunity to ask questions and receive answers from the Company regarding the terms and conditions of the offering of the Note and to obtain additional information (to the extent the Company possessed such information or could acquire it without unreasonable effort or expense) necessary to verify any information furnished to the Investor or to which the Investor had access (it being understood that the foregoing, however, does not in any way limit or modify the representations and warranties made by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 the Investor understands that the purchase of the Note involves substantial risk and the Investor has experience as an investor in securities of companies in the development stage and acknowledges that the Investor is able to fend for itself, can bear the economic risk of the Investor’s investment in the Note(s), (f) the Investor either (i) has such knowledge and experience in financial or business matters that the Investor is capable of evaluating the merits and risks of this investment in the Note and protecting the Investor’s own interests in connection with this investment in the Note or (ii) has a preexisting personal or business relationship with the Company and certain of its officers, directors or controlling persons of a nature and duration that enables the Investor to be aware of the character, business acumen and financial circumstances of such persons, (g) the Investor is familiar with the definition of, and qualifies as, an “accredited investor” within the meaning of Regulation D promulgated under the Securities Act, and (h) the Investor understands and agrees that the Note will bear a legend that may be required by applicable law, the Company’s Charter or Bylaws or any other agreement between the Company and the Investor.</w:t>
      </w:r>
    </w:p>
    <w:p>
      <w:pPr>
        <w:spacing w:after="0" w:line="191" w:lineRule="exact"/>
        <w:rPr>
          <w:rFonts w:ascii="Times New Roman" w:cs="Times New Roman" w:eastAsia="Times New Roman" w:hAnsi="Times New Roman"/>
          <w:sz w:val="18"/>
          <w:szCs w:val="18"/>
          <w:color w:val="auto"/>
        </w:rPr>
      </w:pPr>
    </w:p>
    <w:p>
      <w:pPr>
        <w:jc w:val="both"/>
        <w:ind w:firstLine="656"/>
        <w:spacing w:after="0" w:line="257" w:lineRule="auto"/>
        <w:tabs>
          <w:tab w:leader="none" w:pos="8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this Note shall inure to the benefit of and be binding upon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of the parties. Notwithstanding the foregoing, the Investor may not assign, pledge, or otherwise transfer this Note without the prior written consent of the Company, except for transfers to affiliates. Subject to the preceding sentence, this Note may be transferred only upon surrender of the original Note for registration of transfer, duly endorsed, or accompanied by a duly executed written instrument of transfer in form satisfactory to the Company. Thereupon, a new note for the same principal amount and interest will be issued to, and registered in the name of, the transferee. Fees, charges, expenses and principal are payable only to the registered holder of this Note.</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and all acts and transactions pursuant hereto and the rights and obligations of the parties hereto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interpreted in accordance with the laws of the State of Nevada, without giving effect to principles of conflicts of law. All disputes and controversies arising out of or in connection with this Note shall be resolved exclusively by the applicable state court for the city of Reno in the State of Nevada or any court of the United States located in the State of Nevada, and each party hereto agrees to submit to the jurisdiction of said courts and agrees that venue shall lie exclusively with such courts.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both"/>
        <w:ind w:firstLine="656"/>
        <w:spacing w:after="0" w:line="262" w:lineRule="auto"/>
        <w:tabs>
          <w:tab w:leader="none" w:pos="93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demand or request required or permitted to be given under this Note shall be given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term of this Note may be amended only with the written consent of the Company and the Investor.</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Loss of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receipt by the Company of evidence satisfactory to it of the loss, theft, destruction or mutilation of this Note or any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exchanged for it, and indemnity satisfactory to the Company (in case of loss, theft or destruction) or surrender and cancellation of this Note (in the case of mutilation), the Company will make and deliver in lieu of this Note a new Note of like tenor.</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93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Stockholders, Officers and Directors Not Liable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 event shall any stockholder, officer or director of the Company be liable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due or payable pursuant to this Note.</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may be executed in two or more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93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Action to Collect on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action is instituted to collect on this Note, the Company promises to pay all costs and expenses,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attorney’s fees, incurred in connection with such action.</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of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obligations under this Note shall be the absolute and unconditional duty and obligation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independent of any rights of set-off, recoupment or counterclaim that the Company might otherwise have against the Investor. The Company shall pay absolutely the payments of principal, the Final Payment, fees and expenses as and when required hereunder, free of any deductions and without abatement, diminution or set-off.</w:t>
      </w:r>
    </w:p>
    <w:p>
      <w:pPr>
        <w:spacing w:after="0" w:line="17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those terms defined elsewhere in this Note, as used in this Note, the following terms shall have the following</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meanings:</w:t>
      </w:r>
    </w:p>
    <w:p>
      <w:pPr>
        <w:spacing w:after="0" w:line="20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that (i) the Company leases, licenses, sells or otherwise disposes of all or substantially all of its assets;</w:t>
      </w:r>
    </w:p>
    <w:p>
      <w:pPr>
        <w:spacing w:after="0" w:line="31"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Sections 13(d) and 14(d) of the Exchange Act) becomes the beneficial owner (as defined in Rule 13d-3 under the Exchange Act), directly or indirectly, of 50%, or more, of the capital stock of the Company, other than the majority holders of the Company’s capital stock as of the date hereof; or (iii) following a merger or consolidation, the holders of the capital stock of the Company as of the date hereof and any holders permitted under clause (ii)(B) above shall cease to own, on a fully diluted basis, more than 50% of the capital stock of the Company.</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weekday on which banks are open for general banking business in Reno, Nevada.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the page left intentionally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executed this Note as of the date first set forth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3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Notice Information: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1190 Trademark Drive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Reno, NV 89521</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John Marchetti and Nicole Harvey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Brian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27305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BRIAN NELSON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Notice Information:</w:t>
      </w:r>
    </w:p>
    <w:p>
      <w:pPr>
        <w:spacing w:after="0" w:line="225" w:lineRule="exact"/>
        <w:rPr>
          <w:sz w:val="20"/>
          <w:szCs w:val="20"/>
          <w:color w:val="auto"/>
        </w:rPr>
      </w:pPr>
    </w:p>
    <w:p>
      <w:pPr>
        <w:jc w:val="right"/>
        <w:ind w:right="919"/>
        <w:spacing w:after="0"/>
        <w:rPr>
          <w:sz w:val="20"/>
          <w:szCs w:val="20"/>
          <w:color w:val="auto"/>
        </w:rPr>
      </w:pPr>
      <w:r>
        <w:rPr>
          <w:rFonts w:ascii="Times New Roman" w:cs="Times New Roman" w:eastAsia="Times New Roman" w:hAnsi="Times New Roman"/>
          <w:sz w:val="18"/>
          <w:szCs w:val="18"/>
          <w:color w:val="auto"/>
        </w:rPr>
        <w:t>SIGNATURE PAGE TO PROMISSORY NOTE OF 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
    <w:nsid w:val="2EB141F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
    <w:nsid w:val="41B71EFB"/>
    <w:multiLevelType w:val="hybridMultilevel"/>
    <w:lvl w:ilvl="0">
      <w:lvlJc w:val="left"/>
      <w:lvlText w:val="%1."/>
      <w:numFmt w:val="decimal"/>
      <w:start w:val="7"/>
    </w:lvl>
  </w:abstractNum>
  <w:abstractNum w:abstractNumId="6">
    <w:nsid w:val="79E2A9E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7">
    <w:nsid w:val="7545E14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2023-03-09T17:35:20Z</dcterms:created>
  <dcterms:modified xsi:type="dcterms:W3CDTF">2023-03-09T17:35:20Z</dcterms:modified>
</cp:coreProperties>
</file>