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Filed by Chardan NexTech Acquisition 2 Corp. pursuant to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Rule 425 under the Securities Act of 1933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and deemed filed pursuant to Rule 14a-12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under the Securities Exchange Act of 1934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Subject Company: Chardan NexTech Acquisition 2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142875</wp:posOffset>
            </wp:positionV>
            <wp:extent cx="7132320" cy="66433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64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225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698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698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2022-08-02T11:53:56Z</dcterms:created>
  <dcterms:modified xsi:type="dcterms:W3CDTF">2022-08-02T11:53:56Z</dcterms:modified>
</cp:coreProperties>
</file>