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Section 13 or 15(d) of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June 11, 2024</w:t>
      </w:r>
    </w:p>
    <w:p>
      <w:pPr>
        <w:spacing w:after="0" w:line="2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DRAGONFLY ENERGY HOLDINGS CORP.</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4660" w:type="dxa"/>
            <w:vAlign w:val="bottom"/>
            <w:gridSpan w:val="3"/>
          </w:tcPr>
          <w:p>
            <w:pPr>
              <w:jc w:val="center"/>
              <w:ind w:right="1040"/>
              <w:spacing w:after="0"/>
              <w:rPr>
                <w:sz w:val="20"/>
                <w:szCs w:val="20"/>
                <w:color w:val="auto"/>
              </w:rPr>
            </w:pPr>
            <w:r>
              <w:rPr>
                <w:rFonts w:ascii="Times New Roman" w:cs="Times New Roman" w:eastAsia="Times New Roman" w:hAnsi="Times New Roman"/>
                <w:sz w:val="18"/>
                <w:szCs w:val="18"/>
                <w:b w:val="1"/>
                <w:bCs w:val="1"/>
                <w:color w:val="auto"/>
                <w:w w:val="99"/>
              </w:rPr>
              <w:t>Nevada</w:t>
            </w:r>
          </w:p>
        </w:tc>
        <w:tc>
          <w:tcPr>
            <w:tcW w:w="2780" w:type="dxa"/>
            <w:vAlign w:val="bottom"/>
            <w:gridSpan w:val="3"/>
          </w:tcPr>
          <w:p>
            <w:pPr>
              <w:jc w:val="center"/>
              <w:ind w:right="840"/>
              <w:spacing w:after="0"/>
              <w:rPr>
                <w:sz w:val="20"/>
                <w:szCs w:val="20"/>
                <w:color w:val="auto"/>
              </w:rPr>
            </w:pPr>
            <w:r>
              <w:rPr>
                <w:rFonts w:ascii="Times New Roman" w:cs="Times New Roman" w:eastAsia="Times New Roman" w:hAnsi="Times New Roman"/>
                <w:sz w:val="18"/>
                <w:szCs w:val="18"/>
                <w:b w:val="1"/>
                <w:bCs w:val="1"/>
                <w:color w:val="auto"/>
                <w:w w:val="99"/>
              </w:rPr>
              <w:t>001-40730</w:t>
            </w:r>
          </w:p>
        </w:tc>
        <w:tc>
          <w:tcPr>
            <w:tcW w:w="3800" w:type="dxa"/>
            <w:vAlign w:val="bottom"/>
            <w:gridSpan w:val="2"/>
          </w:tcPr>
          <w:p>
            <w:pPr>
              <w:jc w:val="center"/>
              <w:ind w:left="110"/>
              <w:spacing w:after="0"/>
              <w:rPr>
                <w:sz w:val="20"/>
                <w:szCs w:val="20"/>
                <w:color w:val="auto"/>
              </w:rPr>
            </w:pPr>
            <w:r>
              <w:rPr>
                <w:rFonts w:ascii="Times New Roman" w:cs="Times New Roman" w:eastAsia="Times New Roman" w:hAnsi="Times New Roman"/>
                <w:sz w:val="18"/>
                <w:szCs w:val="18"/>
                <w:b w:val="1"/>
                <w:bCs w:val="1"/>
                <w:color w:val="auto"/>
              </w:rPr>
              <w:t>85-1873463</w:t>
            </w:r>
          </w:p>
        </w:tc>
      </w:tr>
      <w:tr>
        <w:trPr>
          <w:trHeight w:val="198"/>
        </w:trPr>
        <w:tc>
          <w:tcPr>
            <w:tcW w:w="362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rPr>
              <w:t>(State or other jurisdiction</w:t>
            </w:r>
          </w:p>
        </w:tc>
        <w:tc>
          <w:tcPr>
            <w:tcW w:w="220" w:type="dxa"/>
            <w:vAlign w:val="bottom"/>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2780" w:type="dxa"/>
            <w:vAlign w:val="bottom"/>
            <w:tcBorders>
              <w:top w:val="single" w:sz="8" w:color="auto"/>
            </w:tcBorders>
            <w:gridSpan w:val="3"/>
          </w:tcPr>
          <w:p>
            <w:pPr>
              <w:jc w:val="center"/>
              <w:ind w:right="820"/>
              <w:spacing w:after="0" w:line="198" w:lineRule="exact"/>
              <w:rPr>
                <w:sz w:val="20"/>
                <w:szCs w:val="20"/>
                <w:color w:val="auto"/>
              </w:rPr>
            </w:pPr>
            <w:r>
              <w:rPr>
                <w:rFonts w:ascii="Times New Roman" w:cs="Times New Roman" w:eastAsia="Times New Roman" w:hAnsi="Times New Roman"/>
                <w:sz w:val="18"/>
                <w:szCs w:val="18"/>
                <w:color w:val="auto"/>
                <w:w w:val="98"/>
              </w:rPr>
              <w:t>(Commission</w:t>
            </w:r>
          </w:p>
        </w:tc>
        <w:tc>
          <w:tcPr>
            <w:tcW w:w="200" w:type="dxa"/>
            <w:vAlign w:val="bottom"/>
          </w:tcPr>
          <w:p>
            <w:pPr>
              <w:spacing w:after="0"/>
              <w:rPr>
                <w:sz w:val="17"/>
                <w:szCs w:val="17"/>
                <w:color w:val="auto"/>
              </w:rPr>
            </w:pPr>
          </w:p>
        </w:tc>
        <w:tc>
          <w:tcPr>
            <w:tcW w:w="360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4660" w:type="dxa"/>
            <w:vAlign w:val="bottom"/>
            <w:gridSpan w:val="3"/>
          </w:tcPr>
          <w:p>
            <w:pPr>
              <w:jc w:val="center"/>
              <w:ind w:right="1040"/>
              <w:spacing w:after="0"/>
              <w:rPr>
                <w:sz w:val="20"/>
                <w:szCs w:val="20"/>
                <w:color w:val="auto"/>
              </w:rPr>
            </w:pPr>
            <w:r>
              <w:rPr>
                <w:rFonts w:ascii="Times New Roman" w:cs="Times New Roman" w:eastAsia="Times New Roman" w:hAnsi="Times New Roman"/>
                <w:sz w:val="18"/>
                <w:szCs w:val="18"/>
                <w:color w:val="auto"/>
                <w:w w:val="99"/>
              </w:rPr>
              <w:t>of incorporation)</w:t>
            </w:r>
          </w:p>
        </w:tc>
        <w:tc>
          <w:tcPr>
            <w:tcW w:w="2780" w:type="dxa"/>
            <w:vAlign w:val="bottom"/>
            <w:gridSpan w:val="3"/>
          </w:tcPr>
          <w:p>
            <w:pPr>
              <w:jc w:val="center"/>
              <w:ind w:right="820"/>
              <w:spacing w:after="0"/>
              <w:rPr>
                <w:sz w:val="20"/>
                <w:szCs w:val="20"/>
                <w:color w:val="auto"/>
              </w:rPr>
            </w:pPr>
            <w:r>
              <w:rPr>
                <w:rFonts w:ascii="Times New Roman" w:cs="Times New Roman" w:eastAsia="Times New Roman" w:hAnsi="Times New Roman"/>
                <w:sz w:val="18"/>
                <w:szCs w:val="18"/>
                <w:color w:val="auto"/>
                <w:w w:val="98"/>
              </w:rPr>
              <w:t>File Number)</w:t>
            </w:r>
          </w:p>
        </w:tc>
        <w:tc>
          <w:tcPr>
            <w:tcW w:w="200" w:type="dxa"/>
            <w:vAlign w:val="bottom"/>
          </w:tcPr>
          <w:p>
            <w:pPr>
              <w:spacing w:after="0"/>
              <w:rPr>
                <w:sz w:val="20"/>
                <w:szCs w:val="20"/>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10"/>
        </w:trPr>
        <w:tc>
          <w:tcPr>
            <w:tcW w:w="4660" w:type="dxa"/>
            <w:vAlign w:val="bottom"/>
            <w:gridSpan w:val="3"/>
          </w:tcPr>
          <w:p>
            <w:pPr>
              <w:jc w:val="center"/>
              <w:ind w:left="770"/>
              <w:spacing w:after="0"/>
              <w:rPr>
                <w:sz w:val="20"/>
                <w:szCs w:val="20"/>
                <w:color w:val="auto"/>
              </w:rPr>
            </w:pPr>
            <w:r>
              <w:rPr>
                <w:rFonts w:ascii="Times New Roman" w:cs="Times New Roman" w:eastAsia="Times New Roman" w:hAnsi="Times New Roman"/>
                <w:sz w:val="18"/>
                <w:szCs w:val="18"/>
                <w:b w:val="1"/>
                <w:bCs w:val="1"/>
                <w:color w:val="auto"/>
                <w:w w:val="99"/>
              </w:rPr>
              <w:t>1190 Trademark Drive #108</w:t>
            </w: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245"/>
        </w:trPr>
        <w:tc>
          <w:tcPr>
            <w:tcW w:w="4660" w:type="dxa"/>
            <w:vAlign w:val="bottom"/>
            <w:tcBorders>
              <w:bottom w:val="single" w:sz="8" w:color="auto"/>
            </w:tcBorders>
            <w:gridSpan w:val="3"/>
          </w:tcPr>
          <w:p>
            <w:pPr>
              <w:jc w:val="center"/>
              <w:ind w:left="770"/>
              <w:spacing w:after="0"/>
              <w:rPr>
                <w:sz w:val="20"/>
                <w:szCs w:val="20"/>
                <w:color w:val="auto"/>
              </w:rPr>
            </w:pPr>
            <w:r>
              <w:rPr>
                <w:rFonts w:ascii="Times New Roman" w:cs="Times New Roman" w:eastAsia="Times New Roman" w:hAnsi="Times New Roman"/>
                <w:sz w:val="18"/>
                <w:szCs w:val="18"/>
                <w:b w:val="1"/>
                <w:bCs w:val="1"/>
                <w:color w:val="auto"/>
              </w:rPr>
              <w:t>Reno, Nevada</w:t>
            </w:r>
          </w:p>
        </w:tc>
        <w:tc>
          <w:tcPr>
            <w:tcW w:w="86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1700" w:type="dxa"/>
            <w:vAlign w:val="bottom"/>
            <w:tcBorders>
              <w:bottom w:val="single" w:sz="8" w:color="auto"/>
            </w:tcBorders>
          </w:tcPr>
          <w:p>
            <w:pPr>
              <w:spacing w:after="0"/>
              <w:rPr>
                <w:sz w:val="21"/>
                <w:szCs w:val="21"/>
                <w:color w:val="auto"/>
              </w:rPr>
            </w:pPr>
          </w:p>
        </w:tc>
        <w:tc>
          <w:tcPr>
            <w:tcW w:w="3800" w:type="dxa"/>
            <w:vAlign w:val="bottom"/>
            <w:tcBorders>
              <w:bottom w:val="single" w:sz="8" w:color="auto"/>
            </w:tcBorders>
            <w:gridSpan w:val="2"/>
          </w:tcPr>
          <w:p>
            <w:pPr>
              <w:jc w:val="right"/>
              <w:ind w:right="2430"/>
              <w:spacing w:after="0"/>
              <w:rPr>
                <w:sz w:val="20"/>
                <w:szCs w:val="20"/>
                <w:color w:val="auto"/>
              </w:rPr>
            </w:pPr>
            <w:r>
              <w:rPr>
                <w:rFonts w:ascii="Times New Roman" w:cs="Times New Roman" w:eastAsia="Times New Roman" w:hAnsi="Times New Roman"/>
                <w:sz w:val="18"/>
                <w:szCs w:val="18"/>
                <w:b w:val="1"/>
                <w:bCs w:val="1"/>
                <w:color w:val="auto"/>
              </w:rPr>
              <w:t>89521</w:t>
            </w:r>
          </w:p>
        </w:tc>
      </w:tr>
      <w:tr>
        <w:trPr>
          <w:trHeight w:val="234"/>
        </w:trPr>
        <w:tc>
          <w:tcPr>
            <w:tcW w:w="4660" w:type="dxa"/>
            <w:vAlign w:val="bottom"/>
            <w:gridSpan w:val="3"/>
          </w:tcPr>
          <w:p>
            <w:pPr>
              <w:jc w:val="center"/>
              <w:ind w:left="770"/>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jc w:val="center"/>
              <w:ind w:right="1810"/>
              <w:spacing w:after="0"/>
              <w:rPr>
                <w:sz w:val="20"/>
                <w:szCs w:val="20"/>
                <w:color w:val="auto"/>
              </w:rPr>
            </w:pPr>
            <w:r>
              <w:rPr>
                <w:rFonts w:ascii="Times New Roman" w:cs="Times New Roman" w:eastAsia="Times New Roman" w:hAnsi="Times New Roman"/>
                <w:sz w:val="18"/>
                <w:szCs w:val="18"/>
                <w:color w:val="auto"/>
                <w:w w:val="98"/>
              </w:rPr>
              <w:t>(Zip Code)</w:t>
            </w:r>
          </w:p>
        </w:tc>
      </w:tr>
    </w:tbl>
    <w:p>
      <w:pPr>
        <w:spacing w:after="0" w:line="17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u w:val="single" w:color="auto"/>
          <w:color w:val="auto"/>
        </w:rPr>
        <w:t>(775) 622-3448</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N/A</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7"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500" w:lineRule="auto"/>
        <w:tabs>
          <w:tab w:leader="none" w:pos="3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2" w:lineRule="exact"/>
        <w:rPr>
          <w:sz w:val="24"/>
          <w:szCs w:val="24"/>
          <w:color w:val="auto"/>
        </w:rPr>
      </w:pPr>
    </w:p>
    <w:tbl>
      <w:tblPr>
        <w:tblLayout w:type="fixed"/>
        <w:tblInd w:w="0" w:type="dxa"/>
        <w:tblCellMar>
          <w:top w:w="0" w:type="dxa"/>
          <w:left w:w="0" w:type="dxa"/>
          <w:bottom w:w="0" w:type="dxa"/>
          <w:right w:w="0" w:type="dxa"/>
        </w:tblCellMar>
      </w:tblPr>
      <w:tr>
        <w:trPr>
          <w:trHeight w:val="241"/>
        </w:trPr>
        <w:tc>
          <w:tcPr>
            <w:tcW w:w="4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40" w:type="dxa"/>
            <w:vAlign w:val="bottom"/>
          </w:tcPr>
          <w:p>
            <w:pPr>
              <w:spacing w:after="0"/>
              <w:rPr>
                <w:sz w:val="20"/>
                <w:szCs w:val="20"/>
                <w:color w:val="auto"/>
              </w:rPr>
            </w:pPr>
          </w:p>
        </w:tc>
        <w:tc>
          <w:tcPr>
            <w:tcW w:w="2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Trading Symbol(s)</w:t>
            </w:r>
          </w:p>
        </w:tc>
        <w:tc>
          <w:tcPr>
            <w:tcW w:w="220" w:type="dxa"/>
            <w:vAlign w:val="bottom"/>
          </w:tcPr>
          <w:p>
            <w:pPr>
              <w:spacing w:after="0"/>
              <w:rPr>
                <w:sz w:val="20"/>
                <w:szCs w:val="20"/>
                <w:color w:val="auto"/>
              </w:rPr>
            </w:pPr>
          </w:p>
        </w:tc>
        <w:tc>
          <w:tcPr>
            <w:tcW w:w="4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Name of each exchange on which registered</w:t>
            </w:r>
          </w:p>
        </w:tc>
      </w:tr>
      <w:tr>
        <w:trPr>
          <w:trHeight w:val="198"/>
        </w:trPr>
        <w:tc>
          <w:tcPr>
            <w:tcW w:w="428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rPr>
              <w:t>Common Stock, par value $0.0001 per share</w:t>
            </w:r>
          </w:p>
        </w:tc>
        <w:tc>
          <w:tcPr>
            <w:tcW w:w="240" w:type="dxa"/>
            <w:vAlign w:val="bottom"/>
          </w:tcPr>
          <w:p>
            <w:pPr>
              <w:spacing w:after="0"/>
              <w:rPr>
                <w:sz w:val="17"/>
                <w:szCs w:val="17"/>
                <w:color w:val="auto"/>
              </w:rPr>
            </w:pPr>
          </w:p>
        </w:tc>
        <w:tc>
          <w:tcPr>
            <w:tcW w:w="202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DFLI</w:t>
            </w:r>
          </w:p>
        </w:tc>
        <w:tc>
          <w:tcPr>
            <w:tcW w:w="220" w:type="dxa"/>
            <w:vAlign w:val="bottom"/>
          </w:tcPr>
          <w:p>
            <w:pPr>
              <w:spacing w:after="0"/>
              <w:rPr>
                <w:sz w:val="17"/>
                <w:szCs w:val="17"/>
                <w:color w:val="auto"/>
              </w:rPr>
            </w:pPr>
          </w:p>
        </w:tc>
        <w:tc>
          <w:tcPr>
            <w:tcW w:w="448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The Nasdaq Global Market</w:t>
            </w:r>
          </w:p>
        </w:tc>
      </w:tr>
      <w:tr>
        <w:trPr>
          <w:trHeight w:val="216"/>
        </w:trPr>
        <w:tc>
          <w:tcPr>
            <w:tcW w:w="4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Redeemable warrants, exercisable for common stock at an</w:t>
            </w:r>
          </w:p>
        </w:tc>
        <w:tc>
          <w:tcPr>
            <w:tcW w:w="240" w:type="dxa"/>
            <w:vAlign w:val="bottom"/>
          </w:tcPr>
          <w:p>
            <w:pPr>
              <w:spacing w:after="0"/>
              <w:rPr>
                <w:sz w:val="18"/>
                <w:szCs w:val="18"/>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DFLIW</w:t>
            </w:r>
          </w:p>
        </w:tc>
        <w:tc>
          <w:tcPr>
            <w:tcW w:w="220" w:type="dxa"/>
            <w:vAlign w:val="bottom"/>
          </w:tcPr>
          <w:p>
            <w:pPr>
              <w:spacing w:after="0"/>
              <w:rPr>
                <w:sz w:val="18"/>
                <w:szCs w:val="18"/>
                <w:color w:val="auto"/>
              </w:rPr>
            </w:pPr>
          </w:p>
        </w:tc>
        <w:tc>
          <w:tcPr>
            <w:tcW w:w="44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The Nasdaq Capital Market</w:t>
            </w:r>
          </w:p>
        </w:tc>
      </w:tr>
      <w:tr>
        <w:trPr>
          <w:trHeight w:val="234"/>
        </w:trPr>
        <w:tc>
          <w:tcPr>
            <w:tcW w:w="4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exercise price of $11.50 per share, subject to adjustment</w:t>
            </w:r>
          </w:p>
        </w:tc>
        <w:tc>
          <w:tcPr>
            <w:tcW w:w="24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480" w:type="dxa"/>
            <w:vAlign w:val="bottom"/>
          </w:tcPr>
          <w:p>
            <w:pPr>
              <w:spacing w:after="0"/>
              <w:rPr>
                <w:sz w:val="20"/>
                <w:szCs w:val="20"/>
                <w:color w:val="auto"/>
              </w:rPr>
            </w:pPr>
          </w:p>
        </w:tc>
      </w:tr>
    </w:tbl>
    <w:p>
      <w:pPr>
        <w:spacing w:after="0" w:line="198"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471170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40"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225"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As previously disclosed on a Current Report on Form 8-K filed by Dragonfly Energy Holdings Corp.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on December 12, 2023, the Company received a written notice from the Listing Qualifications Department (the “</w:t>
      </w:r>
      <w:r>
        <w:rPr>
          <w:rFonts w:ascii="Times New Roman" w:cs="Times New Roman" w:eastAsia="Times New Roman" w:hAnsi="Times New Roman"/>
          <w:sz w:val="18"/>
          <w:szCs w:val="18"/>
          <w:b w:val="1"/>
          <w:bCs w:val="1"/>
          <w:color w:val="auto"/>
        </w:rPr>
        <w:t>Staff</w:t>
      </w:r>
      <w:r>
        <w:rPr>
          <w:rFonts w:ascii="Times New Roman" w:cs="Times New Roman" w:eastAsia="Times New Roman" w:hAnsi="Times New Roman"/>
          <w:sz w:val="18"/>
          <w:szCs w:val="18"/>
          <w:color w:val="auto"/>
        </w:rPr>
        <w:t>”) of The Nasdaq Stock Market LLC (“</w:t>
      </w:r>
      <w:r>
        <w:rPr>
          <w:rFonts w:ascii="Times New Roman" w:cs="Times New Roman" w:eastAsia="Times New Roman" w:hAnsi="Times New Roman"/>
          <w:sz w:val="18"/>
          <w:szCs w:val="18"/>
          <w:b w:val="1"/>
          <w:bCs w:val="1"/>
          <w:color w:val="auto"/>
        </w:rPr>
        <w:t>Nasdaq</w:t>
      </w:r>
      <w:r>
        <w:rPr>
          <w:rFonts w:ascii="Times New Roman" w:cs="Times New Roman" w:eastAsia="Times New Roman" w:hAnsi="Times New Roman"/>
          <w:sz w:val="18"/>
          <w:szCs w:val="18"/>
          <w:color w:val="auto"/>
        </w:rPr>
        <w:t>”) notifying the Company that, for the 30 consecutive business days preceding the receipt of the notice, the bid price for the Company’s common stock had closed below the minimum $1.00 per share requirement set forth in Nasdaq Listing Rule 5450(a)(1) for continued listing on The Nasdaq Global Market (the “</w:t>
      </w:r>
      <w:r>
        <w:rPr>
          <w:rFonts w:ascii="Times New Roman" w:cs="Times New Roman" w:eastAsia="Times New Roman" w:hAnsi="Times New Roman"/>
          <w:sz w:val="18"/>
          <w:szCs w:val="18"/>
          <w:b w:val="1"/>
          <w:bCs w:val="1"/>
          <w:color w:val="auto"/>
        </w:rPr>
        <w:t>Minimum Bid Price Requirement</w:t>
      </w:r>
      <w:r>
        <w:rPr>
          <w:rFonts w:ascii="Times New Roman" w:cs="Times New Roman" w:eastAsia="Times New Roman" w:hAnsi="Times New Roman"/>
          <w:sz w:val="18"/>
          <w:szCs w:val="18"/>
          <w:color w:val="auto"/>
        </w:rPr>
        <w:t>”). The Company was provided an initial period of 180 calendar days, or until June 10, 2024, to regain compliance with the Minimum Bid Price Requirement.</w:t>
      </w:r>
    </w:p>
    <w:p>
      <w:pPr>
        <w:spacing w:after="0" w:line="18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Upon receipt on June 7, 2024 of both the Company’s application to transfer from The Nasdaq Global Market to The Nasdaq Capital Market and written notification by the Company of its intent to regain compliance with the Minimum Bid Price Requirement, including by effecting a reverse stock split, if necessary, the Staff notified the Company in a letter dated June 11, 2024 (the “</w:t>
      </w:r>
      <w:r>
        <w:rPr>
          <w:rFonts w:ascii="Times New Roman" w:cs="Times New Roman" w:eastAsia="Times New Roman" w:hAnsi="Times New Roman"/>
          <w:sz w:val="18"/>
          <w:szCs w:val="18"/>
          <w:b w:val="1"/>
          <w:bCs w:val="1"/>
          <w:color w:val="auto"/>
        </w:rPr>
        <w:t>Second Nasdaq Notice</w:t>
      </w:r>
      <w:r>
        <w:rPr>
          <w:rFonts w:ascii="Times New Roman" w:cs="Times New Roman" w:eastAsia="Times New Roman" w:hAnsi="Times New Roman"/>
          <w:sz w:val="18"/>
          <w:szCs w:val="18"/>
          <w:color w:val="auto"/>
        </w:rPr>
        <w:t>”), that the Company is eligible for an additional 180 calendar day period, or until December 6, 2024, to regain compliance (the “</w:t>
      </w:r>
      <w:r>
        <w:rPr>
          <w:rFonts w:ascii="Times New Roman" w:cs="Times New Roman" w:eastAsia="Times New Roman" w:hAnsi="Times New Roman"/>
          <w:sz w:val="18"/>
          <w:szCs w:val="18"/>
          <w:b w:val="1"/>
          <w:bCs w:val="1"/>
          <w:color w:val="auto"/>
        </w:rPr>
        <w:t>Second Compliance Period</w:t>
      </w:r>
      <w:r>
        <w:rPr>
          <w:rFonts w:ascii="Times New Roman" w:cs="Times New Roman" w:eastAsia="Times New Roman" w:hAnsi="Times New Roman"/>
          <w:sz w:val="18"/>
          <w:szCs w:val="18"/>
          <w:color w:val="auto"/>
        </w:rPr>
        <w:t>”). If at any time during this period the bid price of the Company’s common stock closes at or above $1.00 per share for a minimum of ten, and generally not more than 20, consecutive business days, the Staff will provide the Company with written confirmation of compliance and the matter will be closed. The Staff’s determination was based, in part, on the Company meeting the applicable requirements for initial listing on The Nasdaq Capital Market except for the Minimum Bid Price Requirement. As of the opening of business on June 12, 2024, the Company’s common stock will be transferred to The Nasdaq Capital Market, where it will continue to trade under the symbol “DFLI”.</w:t>
      </w:r>
    </w:p>
    <w:p>
      <w:pPr>
        <w:spacing w:after="0" w:line="18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 intends to continue actively monitoring the bid price for its shares of common stock between now and the expiration of the Second Compliance Period and will consider all available options to resolve the deficiency including a reverse stock split, if necessary. However, there can be no assurance that the Company will be able to regain or maintain compliance with the Nasdaq listing criteria or meet the continued listing requirements of The Nasdaq Capital Market.</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If the Company does not regain compliance with the Minimum Bid Price Requirement by the end of the Second Compliance Period, Nasdaq will notify the Company that its common stock is subject to delisting. At that time, the Company may appeal the Staff’s delisting determination to a Nasdaq hearings panel. However, there can be no assurance that, if the Company receives a delisting notice and appeals the delisting determination, such an appeal would be successful. The Company’s receipt of the Second Nasdaq Notice does not affect the Company’s business, operations or reporting requirements with the Securities and Exchange Commission.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Safe Harbor for Forward-Looking Statements</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Certain statements contained in this communication may constitute forward-looking statements within the meaning of Section 27A of the Securities Act of 1933 and Section 21E of the Securities Exchange Act of 1934. All statements, other than statements of historical fact, are statements that could be deemed forward-looking statements, including statements containing the words “predicts,” “plans,” “expects,” “anticipates,” “believes,” “goal,” “target,” “estimate,” “potential,” “may,” “might,” “could,” “see,” “seek,” “forecast,” and similar words. Forward-looking statements are based on the Company’s current plans and expectations and involve risks and uncertainties which are, in many instances, beyond the Company’s control, and which could cause actual results to differ materially from those included in or contemplated or implied by the forward-looking statements. Such risks and uncertainties include, among others, the Company’s ability to regain compliance with the Minimum Bid Price Requirement, and the other risks, uncertainties and factors detailed in the Company’s filings with the SEC, including in the Company’s Annual Report on Form 10-K for the year ended December 31, 2023, which was filed with the SEC on April 16, 2024. As a result of such risks, uncertainties and factors, the Company’s actual results may differ materially from any future results, performance or achievements discussed in or implied by the forward-looking statements contained herein. The Company is providing the information in this communication as of this date and assumes no obligations to update the information included in this communication or revise any forward-looking statements, whether as a result of new information, future events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269240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80" w:type="dxa"/>
            <w:vAlign w:val="bottom"/>
          </w:tcPr>
          <w:p>
            <w:pPr>
              <w:spacing w:after="0"/>
              <w:rPr>
                <w:sz w:val="20"/>
                <w:szCs w:val="20"/>
                <w:color w:val="auto"/>
              </w:rPr>
            </w:pPr>
          </w:p>
        </w:tc>
        <w:tc>
          <w:tcPr>
            <w:tcW w:w="7660" w:type="dxa"/>
            <w:vAlign w:val="bottom"/>
            <w:gridSpan w:val="2"/>
          </w:tcPr>
          <w:p>
            <w:pPr>
              <w:ind w:left="2060"/>
              <w:spacing w:after="0"/>
              <w:rPr>
                <w:sz w:val="20"/>
                <w:szCs w:val="20"/>
                <w:color w:val="auto"/>
              </w:rPr>
            </w:pPr>
            <w:r>
              <w:rPr>
                <w:rFonts w:ascii="Times New Roman" w:cs="Times New Roman" w:eastAsia="Times New Roman" w:hAnsi="Times New Roman"/>
                <w:sz w:val="18"/>
                <w:szCs w:val="18"/>
                <w:b w:val="1"/>
                <w:bCs w:val="1"/>
                <w:color w:val="auto"/>
              </w:rPr>
              <w:t>DRAGONFLY ENERGY HOLDINGS CORP.</w:t>
            </w:r>
          </w:p>
        </w:tc>
      </w:tr>
      <w:tr>
        <w:trPr>
          <w:trHeight w:val="439"/>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Dated: June 11, 2024</w:t>
            </w:r>
          </w:p>
        </w:tc>
        <w:tc>
          <w:tcPr>
            <w:tcW w:w="2620" w:type="dxa"/>
            <w:vAlign w:val="bottom"/>
          </w:tcPr>
          <w:p>
            <w:pPr>
              <w:ind w:left="206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Denis Phares</w:t>
            </w:r>
          </w:p>
        </w:tc>
      </w:tr>
      <w:tr>
        <w:trPr>
          <w:trHeight w:val="198"/>
        </w:trPr>
        <w:tc>
          <w:tcPr>
            <w:tcW w:w="3580" w:type="dxa"/>
            <w:vAlign w:val="bottom"/>
          </w:tcPr>
          <w:p>
            <w:pPr>
              <w:spacing w:after="0"/>
              <w:rPr>
                <w:sz w:val="17"/>
                <w:szCs w:val="17"/>
                <w:color w:val="auto"/>
              </w:rPr>
            </w:pPr>
          </w:p>
        </w:tc>
        <w:tc>
          <w:tcPr>
            <w:tcW w:w="2620" w:type="dxa"/>
            <w:vAlign w:val="bottom"/>
          </w:tcPr>
          <w:p>
            <w:pPr>
              <w:ind w:left="2060"/>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Denis Phares</w:t>
            </w:r>
          </w:p>
        </w:tc>
      </w:tr>
      <w:tr>
        <w:trPr>
          <w:trHeight w:val="216"/>
        </w:trPr>
        <w:tc>
          <w:tcPr>
            <w:tcW w:w="3580" w:type="dxa"/>
            <w:vAlign w:val="bottom"/>
          </w:tcPr>
          <w:p>
            <w:pPr>
              <w:spacing w:after="0"/>
              <w:rPr>
                <w:sz w:val="18"/>
                <w:szCs w:val="18"/>
                <w:color w:val="auto"/>
              </w:rPr>
            </w:pPr>
          </w:p>
        </w:tc>
        <w:tc>
          <w:tcPr>
            <w:tcW w:w="2620" w:type="dxa"/>
            <w:vAlign w:val="bottom"/>
          </w:tcPr>
          <w:p>
            <w:pPr>
              <w:ind w:left="2060"/>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  Interim  Chief  Financial  Officer  and</w:t>
            </w:r>
          </w:p>
        </w:tc>
      </w:tr>
      <w:tr>
        <w:trPr>
          <w:trHeight w:val="234"/>
        </w:trPr>
        <w:tc>
          <w:tcPr>
            <w:tcW w:w="358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President</w:t>
            </w:r>
          </w:p>
        </w:tc>
      </w:tr>
      <w:tr>
        <w:trPr>
          <w:trHeight w:val="439"/>
        </w:trPr>
        <w:tc>
          <w:tcPr>
            <w:tcW w:w="3580" w:type="dxa"/>
            <w:vAlign w:val="bottom"/>
            <w:tcBorders>
              <w:bottom w:val="single" w:sz="8" w:color="auto"/>
            </w:tcBorders>
          </w:tcPr>
          <w:p>
            <w:pPr>
              <w:spacing w:after="0"/>
              <w:rPr>
                <w:sz w:val="24"/>
                <w:szCs w:val="24"/>
                <w:color w:val="auto"/>
              </w:rPr>
            </w:pPr>
          </w:p>
        </w:tc>
        <w:tc>
          <w:tcPr>
            <w:tcW w:w="262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68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2024-06-11T15:35:48Z</dcterms:created>
  <dcterms:modified xsi:type="dcterms:W3CDTF">2024-06-11T15:35:48Z</dcterms:modified>
</cp:coreProperties>
</file>