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(October 5, 2022) October 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840" w:type="dxa"/>
            <w:vAlign w:val="bottom"/>
          </w:tcPr>
          <w:p>
            <w:pPr>
              <w:spacing w:after="0"/>
              <w:rPr>
                <w:sz w:val="20"/>
                <w:szCs w:val="20"/>
                <w:color w:val="auto"/>
              </w:rPr>
            </w:pPr>
          </w:p>
        </w:tc>
      </w:tr>
      <w:tr>
        <w:trPr>
          <w:trHeight w:val="410"/>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504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16"/>
        </w:trPr>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w:t>
            </w:r>
          </w:p>
        </w:tc>
        <w:tc>
          <w:tcPr>
            <w:tcW w:w="5040" w:type="dxa"/>
            <w:vAlign w:val="bottom"/>
          </w:tcPr>
          <w:p>
            <w:pPr>
              <w:spacing w:after="0"/>
              <w:rPr>
                <w:sz w:val="18"/>
                <w:szCs w:val="18"/>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50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Chardan NexTech Acquisition 2 Corp., a Delaware corporation (“Chardan” or “the Company”), Bronco Merger Sub, Inc., a Nevada corporation and a wholly owned subsidiary of Chardan (“Merger Sub”) and Dragonfly Energy Corp., a Nevada corporation (“Dragonfly”), entered into an Agreement and Plan of Merger, dated May 15, 2022, as amended on July 12, 2022 (as it may be amended, supplemented or otherwise modified from time to time, the “Business Combination Agreement”), pursuant to which Merger Sub will merge with and into Dragonfly, the separate corporate existence of Merger Sub will cease and Dragonfly will be the surviving corporation and a wholly owned subsidiary of Chardan (the “Business Combination”). Upon the closing of the transactions contemplated by the Business Combination Agreement, Chardan will be renamed “Dragonfly Energy Holdings Corp.” and is referred to herein as “New Dragonfly.” A description of the Business Combination and the terms of the Business Combination Agreement are included in the proxy statement/prospectus, dated September 16, 2022 (the “Proxy Statement/Prospectus”) as filed with the Securities and Exchange Commission (the “SEC”) in the section entitled “Proposal No. 1 — The Business Combination Proposal” of the Proxy Statement/Prospectus.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5:00 p.m. ET on October 4, 2022 (i.e., the deadline for those Chardan stockholders who wished to redeem their shares for cash), Chardan stockholders elected to redeem 2,071,910 shares of Chardan common stock, representing approximately 79.4% of the issued and outstanding shares of Chardan common stock (excluding the 485,000 shares of Chardan common stock purchased in the open market by Chardan Capital Markets LLC, as disclosed in the public Current Report on Form 8-K filed with the SEC on October 3, 2022) and 16.3% of the issued outstanding Chardan Common Stock sold in the IPO, expected to result in the distribution of $21,430,584.81 from the trust account to the redeeming stockholders. Following such redemptions, approximately $10,565,137.34 remains in the trust account and 1,021,438 shares of Chardan common stock will remain issued and outstanding (including the 485,000 shares of Chardan common stock purchased in the open market by Chardan Capital Markets LLC, as disclosed in the Current Report on Form 8-K filed with the SEC on October 3,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United States Private Securities Litigation Reform Act of 1995, Section 27A of the Securities Act of 1933, as amended and Section 21E of the Securities Exchange Act of 1934, as amended, including certain financial forecasts and projections. All statements other than statements of historical fact contained in this current report ,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225" w:lineRule="exact"/>
        <w:rPr>
          <w:sz w:val="20"/>
          <w:szCs w:val="20"/>
          <w:color w:val="auto"/>
        </w:rPr>
      </w:pPr>
    </w:p>
    <w:p>
      <w:pPr>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Chardan, Dragonfly or others following announcement of the Business Combination and the transactions contemplated in the Business Combination Agreement;</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Agreement due to the failure to obtain approval of the stockholders of Chardan or other conditions to closing in the Business Combination Agreement;</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Dragonfly common stock on the Nasdaq following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44" w:right="20" w:hanging="644"/>
        <w:spacing w:after="0" w:line="261"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Business Combination that may be required or appropriate as a result of applicable laws or regulations or as a condition to obtaining regulatory approval of the Business Combination;</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Nasdaq’s listing standards following the consummation of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of Dragonfly as a result of the announcement and consummation of the Business Combination;</w:t>
      </w:r>
    </w:p>
    <w:p>
      <w:pPr>
        <w:jc w:val="both"/>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recognize the anticipated benefits of the Business Combination, which may be affected by, among other things, the ability of New Dragonfly to grow and manage growth profitably, maintain relationships with customers, compete within its industry and retain its key employees;</w:t>
      </w:r>
    </w:p>
    <w:p>
      <w:pPr>
        <w:spacing w:after="0" w:line="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Dragonfly to successfully increase market penetration into its target markets;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Dragonfly intends to target do not grow as expected;</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Dragonfly’s senior management team or other key personnel;</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Dragonfly’s patents and other intellectual property;</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Dragonfly or the combined company may be adversely affected by other economic, business and/or competitive factors (including an economic slowdown or inflationary pressures);</w:t>
      </w:r>
    </w:p>
    <w:p>
      <w:pPr>
        <w:ind w:left="644" w:right="20"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Dragonfly’s estimates of its growth and projected financial results for 2022 and 2023 and meeting or satisfying the underlying assumptions with respect thereto;</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may not be completed in a timely manner or at all, which may adversely affect the price of Chardan’s securities;</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may not be completed by Chardan’s Business Combination deadline (as may be extended pursuant to Chardan’s governing documents);</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the PIPE Investment, the Term Loan and equity line in connection with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Dragonfly’s failure to timely achieve the anticipated benefits of Dragonfly’s customer arrangements with THOR;</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raise additional capital to fund its operations;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generate revenue from future product sales and its ability to achieve and maintain profitability;</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New Dragonfly’s projections and estimates regarding its expenses, capital requirements, cash utilization, and need for additional financing;</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uses of the net proceeds from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New Dragonfly’s intellectual property and proprietary rights;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New Dragonfly’s competitors and its industry;</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engage target customers and successfully convert these customers into meaningful orders in the future;</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reliance on two suppliers for its LFP cells and a single supplier for the manufacture of its battery management system;</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likely dependence on a single manufacturing facility;</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increasing reliance on software and hardware that is highly complex and technical; and</w:t>
      </w:r>
    </w:p>
    <w:p>
      <w:pPr>
        <w:spacing w:after="0" w:line="9" w:lineRule="exact"/>
        <w:rPr>
          <w:rFonts w:ascii="Times New Roman" w:cs="Times New Roman" w:eastAsia="Times New Roman" w:hAnsi="Times New Roman"/>
          <w:sz w:val="18"/>
          <w:szCs w:val="18"/>
          <w:color w:val="auto"/>
        </w:rPr>
      </w:pPr>
    </w:p>
    <w:p>
      <w:pPr>
        <w:jc w:val="both"/>
        <w:ind w:left="644" w:hanging="644"/>
        <w:spacing w:after="0" w:line="26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the Proxy Statement/Prospectus,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Statement/Prospectus, and other filings that have been made or will be made with the SEC by Chardan and New Dragonfly,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current report are based on Chardan’s and Dragonfly’s current expectations and beliefs concerning future developments and their potential effects on the Business Combination and Dragonfly. There can be no assurance that future developments affecting Chardan and/or Dragonfly will be those that Chardan or Dragonfly has anticipated. These forward-looking statements involve a number of risks, uncertainties (some of which are beyond Chardan’s and/or Dragonfly’s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Chardan and Dragonfly will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relates to a proposed transaction between Chardan and Dragonfly. Chardan has filed the Proxy Statement/Prospectus with the SEC on September 16, 2022. The Proxy Statement/Prospectus was sent to all Chardan stockholders. Chardan has also filed other documents regarding the proposed transaction with the SEC. Before making any voting decision, investors and security holders of Chardan are urged to read the Proxy Statement/Prospectus and all other relevant documents filed or that will be filed with the SEC in connection with the proposed transaction because they contain important information about the proposed transaction.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PASSED UPON THE MERITS OR FAIRNESS OF THE BUSINESS COMBINATION OR RELATED TRANSACTIONS OR PASSED UPON THE ADEQUACY OR ACCURACY OF THE DISCLOSURE IN THIS CURRENT REPORT.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5, 2022</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1"/>
        </w:trPr>
        <w:tc>
          <w:tcPr>
            <w:tcW w:w="6200" w:type="dxa"/>
            <w:vAlign w:val="bottom"/>
          </w:tcPr>
          <w:p>
            <w:pPr>
              <w:ind w:left="5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2022-10-05T16:07:28Z</dcterms:created>
  <dcterms:modified xsi:type="dcterms:W3CDTF">2022-10-05T16:07:28Z</dcterms:modified>
</cp:coreProperties>
</file>