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August 8, 2022 ( 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Chardan NexTech Acquisition 2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p>
      <w:pPr>
        <w:spacing w:after="0" w:line="350"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001-40730</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85-1873463</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135" w:lineRule="exact"/>
        <w:rPr>
          <w:sz w:val="24"/>
          <w:szCs w:val="24"/>
          <w:color w:val="auto"/>
        </w:rPr>
      </w:pPr>
    </w:p>
    <w:p>
      <w:pPr>
        <w:sectPr>
          <w:pgSz w:w="11900" w:h="16838" w:orient="portrait"/>
          <w:cols w:equalWidth="0" w:num="3">
            <w:col w:w="4400" w:space="720"/>
            <w:col w:w="2840" w:space="720"/>
            <w:col w:w="2560"/>
          </w:cols>
          <w:pgMar w:left="320" w:top="583" w:right="33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17 State Street, 21st Floor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10004</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147" w:lineRule="exact"/>
        <w:rPr>
          <w:sz w:val="24"/>
          <w:szCs w:val="24"/>
          <w:color w:val="auto"/>
        </w:rPr>
      </w:pPr>
    </w:p>
    <w:p>
      <w:pPr>
        <w:sectPr>
          <w:pgSz w:w="11900" w:h="16838" w:orient="portrait"/>
          <w:cols w:equalWidth="0" w:num="2">
            <w:col w:w="7300" w:space="720"/>
            <w:col w:w="3220"/>
          </w:cols>
          <w:pgMar w:left="320" w:top="58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60" w:firstLine="8"/>
        <w:spacing w:after="0" w:line="420"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6420" w:type="dxa"/>
            <w:vAlign w:val="bottom"/>
            <w:gridSpan w:val="2"/>
            <w:vMerge w:val="continue"/>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191"/>
        </w:trPr>
        <w:tc>
          <w:tcPr>
            <w:tcW w:w="6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Common Stock, $0.0001 par value, and three-</w:t>
            </w:r>
          </w:p>
        </w:tc>
        <w:tc>
          <w:tcPr>
            <w:tcW w:w="1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quarters of one Redeemable Warrant</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CNTQU</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 Stock, par value $0.0001 per share, included as part of the Units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CNTQ</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16"/>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Redeemable Warrants included as part of the Units, each exercisable for one share of</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for $11.50 per share</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CNTQW</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8, 2022, Chardan NexTech Acquisition 2 Corp. (“CNTQ,” or, the “Company”) notified Continental Stock Transfer &amp; Trust Company (the “Trustee”) that it was extending the time available to the Company to consummate its initial business combination for an additional one (1) month from August 13, 2022 to September 13, 2022 (“Extension No. 1”). Extension No. 1 provides the Company with additional time to complete its proposed business combination with Dragonfly Energy Corp. (“Dragonfly”), a leader in energy storage and producer of deep cycle lithium-ion storage batteries. Extension No. 1 is the first of up to three (3) one-month extensions permitted under the Company’s Second A&amp;R Charter.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Extension No. 1, the Company’s officers, directors, initial stockholders and Chardan NexTech 2 Warrant Holdings, LLC (collectively, the “Insiders”), their affiliates or designees will deposit an aggregate of $200,000 (the “First Extension Payment”) into the Trust Account prior to August 13, 2022, on behalf of the Company. In connection with its First Extension Payment, the Insiders will receive a non-interest bearing, unsecured promissory note equal to the First Extension Payment that will not be repaid if the Company is unable to close a business combination, unless there are funds available outside its Trust Account to do so.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a press release regarding Extension No. 1 on August 8, 2022, which release is attached as Exhibit 99.1 and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(File No. 333-266273) filed with the SEC on July 22, 2022,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relates to the definitive proxy statement filed by CNTQ with the Securities and Exchange Commission (the “SEC”) on July 22, 2022 (the “Definitive Proxy Statement”). The Definitive Proxy Statement was mailed to all CNTQ stockholders on or around July 22, 2022. Before making any voting decision, investors and security holders of CNTQ are urged to read the Definitive Proxy Statement and all other relevant documents filed or that will be filed with the SEC because they contain important information. a proposed transaction between CNTQ and Dragonfly. CNTQ filed a registration statement on Form S-4 (File No. 333-266273) with the SEC on July 22, 2022,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the proxy statement/prospectus and all other relevant documents filed or that will be filed with the SEC by CNTQ through the website maintained by the SEC at www.sec.gov.</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 Exhibits.</w:t>
            </w:r>
          </w:p>
        </w:tc>
        <w:tc>
          <w:tcPr>
            <w:tcW w:w="10320" w:type="dxa"/>
            <w:vAlign w:val="bottom"/>
          </w:tcPr>
          <w:p>
            <w:pPr>
              <w:spacing w:after="0"/>
              <w:rPr>
                <w:sz w:val="24"/>
                <w:szCs w:val="24"/>
                <w:color w:val="auto"/>
              </w:rPr>
            </w:pPr>
          </w:p>
        </w:tc>
      </w:tr>
      <w:tr>
        <w:trPr>
          <w:trHeight w:val="410"/>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320" w:type="dxa"/>
            <w:vAlign w:val="bottom"/>
          </w:tcPr>
          <w:p>
            <w:pPr>
              <w:spacing w:after="0"/>
              <w:rPr>
                <w:sz w:val="24"/>
                <w:szCs w:val="24"/>
                <w:color w:val="auto"/>
              </w:rPr>
            </w:pPr>
          </w:p>
        </w:tc>
      </w:tr>
      <w:tr>
        <w:trPr>
          <w:trHeight w:val="238"/>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20"/>
                <w:szCs w:val="20"/>
                <w:color w:val="auto"/>
              </w:rPr>
            </w:pPr>
          </w:p>
        </w:tc>
        <w:tc>
          <w:tcPr>
            <w:tcW w:w="10320" w:type="dxa"/>
            <w:vAlign w:val="bottom"/>
            <w:tcBorders>
              <w:bottom w:val="single" w:sz="8" w:color="auto"/>
            </w:tcBorders>
          </w:tcPr>
          <w:p>
            <w:pPr>
              <w:ind w:left="4720"/>
              <w:spacing w:after="0"/>
              <w:rPr>
                <w:sz w:val="20"/>
                <w:szCs w:val="20"/>
                <w:color w:val="auto"/>
              </w:rPr>
            </w:pPr>
            <w:r>
              <w:rPr>
                <w:rFonts w:ascii="Times New Roman" w:cs="Times New Roman" w:eastAsia="Times New Roman" w:hAnsi="Times New Roman"/>
                <w:sz w:val="18"/>
                <w:szCs w:val="18"/>
                <w:b w:val="1"/>
                <w:bCs w:val="1"/>
                <w:color w:val="auto"/>
              </w:rPr>
              <w:t>Description</w:t>
            </w:r>
          </w:p>
        </w:tc>
      </w:tr>
    </w:tbl>
    <w:p>
      <w:pPr>
        <w:spacing w:after="0" w:line="1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August 8, 2022</w:t>
      </w:r>
    </w:p>
    <w:p>
      <w:pPr>
        <w:spacing w:after="0" w:line="27" w:lineRule="exact"/>
        <w:rPr>
          <w:sz w:val="20"/>
          <w:szCs w:val="20"/>
          <w:color w:val="auto"/>
        </w:rPr>
      </w:pPr>
    </w:p>
    <w:p>
      <w:pPr>
        <w:ind w:left="5580" w:right="4560" w:hanging="5572"/>
        <w:spacing w:after="0" w:line="761" w:lineRule="auto"/>
        <w:tabs>
          <w:tab w:leader="none" w:pos="9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Jonas Grossman</w:t>
            </w:r>
          </w:p>
        </w:tc>
      </w:tr>
      <w:tr>
        <w:trPr>
          <w:trHeight w:val="191"/>
        </w:trPr>
        <w:tc>
          <w:tcPr>
            <w:tcW w:w="6240" w:type="dxa"/>
            <w:vAlign w:val="bottom"/>
          </w:tcPr>
          <w:p>
            <w:pPr>
              <w:ind w:left="5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Jonas Grossman</w:t>
            </w:r>
          </w:p>
        </w:tc>
      </w:tr>
      <w:tr>
        <w:trPr>
          <w:trHeight w:val="234"/>
        </w:trPr>
        <w:tc>
          <w:tcPr>
            <w:tcW w:w="624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6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6</w:t>
            </w: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 Announces Extension of Business Combination Deadline</w:t>
      </w:r>
    </w:p>
    <w:p>
      <w:pPr>
        <w:spacing w:after="0" w:line="2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New York, NY, August 8, 2022 </w:t>
      </w:r>
      <w:r>
        <w:rPr>
          <w:rFonts w:ascii="Times New Roman" w:cs="Times New Roman" w:eastAsia="Times New Roman" w:hAnsi="Times New Roman"/>
          <w:sz w:val="18"/>
          <w:szCs w:val="18"/>
          <w:color w:val="auto"/>
        </w:rPr>
        <w:t>– Chardan NexTech Acquisition 2 Corp. (Nasdaq: CNTQ) (“CNTQ” or the “Company”) announced today that it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extending the time available to the Company to consummate its initial business combination for an additional one (1) month from August 13, 2022 to September 13, 2022 (“Extension No. 1”). Extension No. 1 provides the Company with additional time to complete its proposed business combination with Dragonfly Energy Corp. (“Dragonfly”). Extension No. 1 is the first of up to three (3) one-month extensions permitted under the Company’s Second A&amp;R Charter.</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previously announced on May 16, 2022, CNTQ has entered into a merger agreement, as amended on July 12, 2022, for a business combination transaction with Dragonfly. Dragonfly is a leader in energy storage and producer of deep cycle lithium-ion storage batteries. The transaction is currently expected to close in the second half of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Chardan NexTech Acquisition 2 Corp.</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visit </w:t>
      </w:r>
      <w:r>
        <w:rPr>
          <w:rFonts w:ascii="Times New Roman" w:cs="Times New Roman" w:eastAsia="Times New Roman" w:hAnsi="Times New Roman"/>
          <w:sz w:val="17"/>
          <w:szCs w:val="17"/>
          <w:u w:val="single" w:color="auto"/>
          <w:color w:val="auto"/>
        </w:rPr>
        <w:t>https://www.cnaq.com/</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Dragonfly Energy Corp., headquartered in Reno, Nevada, is a leading manufacturer of deep cycle lithium-ion batteries, which are sold direct-to-consumers under the Battle Born Batteries™ brand and to original equipment manufacturers, such as Keystone RV. Dragonfly’s battery products are designed and assembled in the USA, and the Company’s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www.dragonflyenergy.com/investors.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Dragonfly previously announced an agreement for a business combination with Chardan NexTech Acquisition 2 Corp. (“CNTQ”) (Nasdaq: CNTQ), which is expected to result in Dragonfly becoming a public company listed on the Nasdaq Stock Exchange under the new ticker symbol “DFLI” in the second half of 2022, subject to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March 31, 2022 and registration statement on Form S-4 (File No. 333-266273) filed with the SEC on July 22, 2022,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relates to the definitive proxy statement filed by CNTQ with the Securities and Exchange Commission (the “SEC”) on July 22, 2022 (the “Definitive Proxy Statement”). The Definitive Proxy Statement was mailed to all CNTQ stockholders on or around July 22, 2022. Before making any voting decision, investors and security holders of CNTQ are urged to read the Definitive Proxy Statement and all other relevant documents filed or that will be filed with the SEC because they contain important information. a proposed transaction between CNTQ and Dragonfly. CNTQ filed a registration statement on Form S-4 (File No. 333-266273) with the SEC on July 22, 2022,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8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the proxy statement/prospectus and all other relevant documents filed or that will be filed with the SEC by CNTQ through the website maintained by the SEC at www.sec.gov.</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press release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 Media – Dragonfly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 Gorin,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DragonflyPR@icrinc.com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2022-08-09T04:24:49Z</dcterms:created>
  <dcterms:modified xsi:type="dcterms:W3CDTF">2022-08-09T04:24:49Z</dcterms:modified>
</cp:coreProperties>
</file>