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Lutz Lukas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080" w:type="dxa"/>
            <w:vAlign w:val="bottom"/>
            <w:tcBorders>
              <w:top w:val="single" w:sz="8" w:color="0000EE"/>
              <w:bottom w:val="single" w:sz="8" w:color="9A9A9A"/>
            </w:tcBorders>
          </w:tcPr>
          <w:p>
            <w:pPr>
              <w:spacing w:after="0"/>
              <w:rPr>
                <w:sz w:val="16"/>
                <w:szCs w:val="16"/>
                <w:color w:val="auto"/>
              </w:rPr>
            </w:pPr>
          </w:p>
        </w:tc>
        <w:tc>
          <w:tcPr>
            <w:tcW w:w="19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Dragonfly Energy Holdings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DFLI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12915 OLD VIRGINIA ROAD</w:t>
            </w: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RENO</w:t>
            </w:r>
          </w:p>
        </w:tc>
        <w:tc>
          <w:tcPr>
            <w:tcW w:w="9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NV</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89521</w:t>
            </w: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Lukas Lutz</w:t>
            </w:r>
          </w:p>
        </w:tc>
        <w:tc>
          <w:tcPr>
            <w:tcW w:w="2440" w:type="dxa"/>
            <w:vAlign w:val="bottom"/>
            <w:gridSpan w:val="4"/>
          </w:tcPr>
          <w:p>
            <w:pPr>
              <w:jc w:val="right"/>
              <w:ind w:right="1280"/>
              <w:spacing w:after="0"/>
              <w:rPr>
                <w:sz w:val="20"/>
                <w:szCs w:val="20"/>
                <w:color w:val="auto"/>
              </w:rPr>
            </w:pPr>
            <w:r>
              <w:rPr>
                <w:rFonts w:ascii="Times New Roman" w:cs="Times New Roman" w:eastAsia="Times New Roman" w:hAnsi="Times New Roman"/>
                <w:sz w:val="20"/>
                <w:szCs w:val="20"/>
                <w:color w:val="0000FF"/>
              </w:rPr>
              <w:t>06/23/2026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 that the undersigned hereby constitutes and appoints each of Denis Phares, Sarah Cole and Chase Newman as their true and lawful attorney-in-fact to:</w:t>
      </w:r>
    </w:p>
    <w:p>
      <w:pPr>
        <w:spacing w:after="0" w:line="180" w:lineRule="exact"/>
        <w:rPr>
          <w:sz w:val="20"/>
          <w:szCs w:val="20"/>
          <w:color w:val="auto"/>
        </w:rPr>
      </w:pPr>
    </w:p>
    <w:p>
      <w:pPr>
        <w:ind w:left="1440" w:right="20" w:hanging="720"/>
        <w:spacing w:after="0" w:line="282"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and Forms 3, 4 and 5 in accordance with Sections 13 and 16(a) of the Securities Exchange Act of 1934 (the “Exchange Act”) and the rules thereunder;</w:t>
      </w:r>
    </w:p>
    <w:p>
      <w:pPr>
        <w:spacing w:after="0" w:line="179" w:lineRule="exact"/>
        <w:rPr>
          <w:rFonts w:ascii="Times New Roman" w:cs="Times New Roman" w:eastAsia="Times New Roman" w:hAnsi="Times New Roman"/>
          <w:sz w:val="20"/>
          <w:szCs w:val="20"/>
          <w:color w:val="auto"/>
        </w:rPr>
      </w:pPr>
    </w:p>
    <w:p>
      <w:pPr>
        <w:jc w:val="both"/>
        <w:ind w:left="1440" w:hanging="720"/>
        <w:spacing w:after="0" w:line="261"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the execution of any such Schedules 13D or 13G, Form ID application for EDGAR codes, and Forms 3, 4 or 5, and the timely filing of such Forms with the United States Securities and Exchange Commission and any other authority; and</w:t>
      </w:r>
    </w:p>
    <w:p>
      <w:pPr>
        <w:spacing w:after="0" w:line="200" w:lineRule="exact"/>
        <w:rPr>
          <w:rFonts w:ascii="Times New Roman" w:cs="Times New Roman" w:eastAsia="Times New Roman" w:hAnsi="Times New Roman"/>
          <w:sz w:val="20"/>
          <w:szCs w:val="20"/>
          <w:color w:val="auto"/>
        </w:rPr>
      </w:pPr>
    </w:p>
    <w:p>
      <w:pPr>
        <w:jc w:val="both"/>
        <w:ind w:left="1440" w:hanging="720"/>
        <w:spacing w:after="0" w:line="256"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including, without limitation, the execution and filing of a Form 4 with respect to a transaction which may be reported on a Form 5,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20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all and every act and thing whatsoever requisite, necessary and proper to be done in the exercise of any of the rights and powers herein granted, as fully and to all intents and purposes as he might or could do in person, with full power of substitution and resubstitution, hereby ratifying and confirming all that such attorney-in-fact, or his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Sections 13 and 16 of the Exchange Act.</w:t>
      </w:r>
    </w:p>
    <w:p>
      <w:pPr>
        <w:spacing w:after="0" w:line="210"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revoked by the undersigned in a signed writing delivered to the foregoing attorneys-in-fact.</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June 23, 2026.</w:t>
      </w:r>
    </w:p>
    <w:p>
      <w:pPr>
        <w:spacing w:after="0" w:line="2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Lukas Lutz</w:t>
      </w:r>
    </w:p>
    <w:p>
      <w:pPr>
        <w:spacing w:after="0" w:line="3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Lukas Lutz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32349"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2026-06-23T06:47:30Z</dcterms:created>
  <dcterms:modified xsi:type="dcterms:W3CDTF">2026-06-23T06:47:30Z</dcterms:modified>
</cp:coreProperties>
</file>