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2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1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6, 2025,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Canaccord Genuity LLC, as representative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20,000,000 shares (the “</w:t>
      </w:r>
      <w:r>
        <w:rPr>
          <w:rFonts w:ascii="Times New Roman" w:cs="Times New Roman" w:eastAsia="Times New Roman" w:hAnsi="Times New Roman"/>
          <w:sz w:val="18"/>
          <w:szCs w:val="18"/>
          <w:u w:val="single" w:color="auto"/>
          <w:color w:val="auto"/>
        </w:rPr>
        <w:t>Base Shares</w:t>
      </w:r>
      <w:r>
        <w:rPr>
          <w:rFonts w:ascii="Times New Roman" w:cs="Times New Roman" w:eastAsia="Times New Roman" w:hAnsi="Times New Roman"/>
          <w:sz w:val="18"/>
          <w:szCs w:val="18"/>
          <w:color w:val="auto"/>
        </w:rPr>
        <w:t>”) of the Company’s common stock, par value $0.0001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to the public of $1.25 per share. Pursuant to the terms of the Underwriting Agreement, the Company granted to the Underwriters a 30-day option to purchase up to an additional 3,000,000 shares of Common Stock in the Offering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and together with the Base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the public offering price. All of the Shares in the Offering are being sold by the Company. On October 6, 2025, the Underwriters exercised the option to purchase additional shares in full.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net proceeds to the Company from the Offering (giving effect to the exercise of the Underwriters’ option) are expected to be approximately $26.7 million, after deducting underwriting discounts and commissions and other estimated offering expenses payable by the Company. The Offering is expected to close on or about October 7, 2025, subject to customary closing conditions. The Company intends to use the net proceeds from the Offering for working capital and other general corporate purposes, including the prepayment of $4.0 million under its Term Loan, Guarantee and Security Agreement, dated October 7, 2022, with ALTER DOMUS (US) LLC, as agent, and certain lenders, continued investments in initiatives intended to drive near term revenue, and continued strategic investment in next generation battery technologies, including scaling the dry electrode process and its application to solid-state batteries.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are being offered and sold pursuant to a prospectus supplement, dated October 6,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6, 2025, and an accompanying base prospectus that forms a part of the Company’s Registration Statement on Form S-3 (File No. 333-275559), which was previously filed with the SEC on November 15, 2023 and declared effective on November 24,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Underwriting Agreement, the Company has agreed to certain restrictions on the issuance and sale of its Common Stock and securities convertible into shares of Common Stock during the 90 day period following the date of the Underwriting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of the Company, conditions to closing, and indemnification obligations of the Company and the Underwriters, including for liabilities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the Underwriting Agreement, a copy of which is filed as Exhibit 1.1 to this Current Report on Form 8-K and is incorporated herein by reference. A copy of the opinion of Parsons Behle &amp; Latimer relating to the legality of the issuance and sale of the Shares in the Offering is filed as Exhibit 5.1 to this Current Report on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6, 2025, the Company issued a press release announcing that it had priced the Offering (the “</w:t>
      </w:r>
      <w:r>
        <w:rPr>
          <w:rFonts w:ascii="Times New Roman" w:cs="Times New Roman" w:eastAsia="Times New Roman" w:hAnsi="Times New Roman"/>
          <w:sz w:val="18"/>
          <w:szCs w:val="18"/>
          <w:u w:val="single" w:color="auto"/>
          <w:color w:val="auto"/>
        </w:rPr>
        <w:t>Pricing Press Release</w:t>
      </w:r>
      <w:r>
        <w:rPr>
          <w:rFonts w:ascii="Times New Roman" w:cs="Times New Roman" w:eastAsia="Times New Roman" w:hAnsi="Times New Roman"/>
          <w:sz w:val="18"/>
          <w:szCs w:val="18"/>
          <w:color w:val="auto"/>
        </w:rPr>
        <w:t>”). A copy of the Pricing Press Release is furnished hereto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 7.01, including the information contained in Exhibit 99.1, is being furnished to the SEC and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or the Exchange Act, except as shall be expressly set forth by a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estimates, assumptions, risks and uncertainties. Forward-looking statements include, but are not limited to, statements related to the amount of proceeds expected from the Offering, the intended use of proceeds from the Offering and the timing and certainty of completion of the Offering. The risks and uncertainties relating to the Company and the Offering include general market conditions, the Company’s ability to complete the Offering on favorable terms, or at all, as well as other risks detailed from time to time in the Company’s filings with the SEC, including in its Annual Report on Form 10-K for the year ended December 31, 2024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9360" w:type="dxa"/>
            <w:vAlign w:val="bottom"/>
            <w:tcBorders>
              <w:top w:val="single" w:sz="8" w:color="auto"/>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Underwriting Agreement, dated October 6, 2025, by and between Dragonfly Energy Holdings Corp. and Canaccord Genuity LLC</w:t>
            </w:r>
          </w:p>
        </w:tc>
        <w:tc>
          <w:tcPr>
            <w:tcW w:w="780" w:type="dxa"/>
            <w:vAlign w:val="bottom"/>
            <w:tcBorders>
              <w:top w:val="single" w:sz="8" w:color="auto"/>
            </w:tcBorders>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2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Parsons, Behle &amp; Latimer.</w:t>
            </w:r>
          </w:p>
        </w:tc>
        <w:tc>
          <w:tcPr>
            <w:tcW w:w="74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Consent of Parsons Behle &amp; Latimer (contained in Exhibit 5.1)</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5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6, 2025</w:t>
            </w:r>
          </w:p>
        </w:tc>
        <w:tc>
          <w:tcPr>
            <w:tcW w:w="560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6,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proposes to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are acting as representative, (i) of 20,000,000 shares (the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of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and (ii) at the election of the Underwriters, up to 3,000,000 additional shares of Common Stock (the “</w:t>
      </w:r>
      <w:r>
        <w:rPr>
          <w:rFonts w:ascii="Times New Roman" w:cs="Times New Roman" w:eastAsia="Times New Roman" w:hAnsi="Times New Roman"/>
          <w:sz w:val="18"/>
          <w:szCs w:val="18"/>
          <w:u w:val="single" w:color="auto"/>
          <w:color w:val="auto"/>
        </w:rPr>
        <w:t>Optional Shares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To the extent there are no additional Underwriters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other than you, the term Representative as used herein shall mean you, as Underwriter, and the term Underwriters shall mean the singular as the context requires. Certain terms used herein are defined in Section 21 hereof. In the event that the Company has no subsidiaries, or only one subsidiary, then all references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“subsidiaries” of the Company shall be deemed to refer to no subsidiary, or such single subsidiary, mutatis mutandis.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in paragraph 1(a) hereof, including the exhibits, schedules and financial statements and any prospectus supplement relating to the Shares that is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Effective Date, and, in the event any post-effective amendment thereto or any registration statement and any amendments thereto filed pursuant to Rule 462(b) under the Securities Act (a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becomes effective prior to the Closing Date (as defined in Section 3 hereof), shall also mean such registration statement as so amended or such Rule 462(b) Registration Statement, as the case may be;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each date and time that the Registration Statement, any post-effective amendment or amendments thereto or any Rule 462(b) Registration Statement became or becomes effective;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base prospectus referred to in paragraph 1(a) hereof contained in the Registration Statement at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means any preliminary prospectus supplement to the Base Prospectus referred to in paragraph 1(a) hereof which is used prior to the filing of the Final Prospectus Supplement, together with the Base Prospectus; and the “</w:t>
      </w:r>
      <w:r>
        <w:rPr>
          <w:rFonts w:ascii="Times New Roman" w:cs="Times New Roman" w:eastAsia="Times New Roman" w:hAnsi="Times New Roman"/>
          <w:sz w:val="18"/>
          <w:szCs w:val="18"/>
          <w:u w:val="single" w:color="auto"/>
          <w:color w:val="auto"/>
        </w:rPr>
        <w:t>Final Prospectus Supplement</w:t>
      </w:r>
      <w:r>
        <w:rPr>
          <w:rFonts w:ascii="Times New Roman" w:cs="Times New Roman" w:eastAsia="Times New Roman" w:hAnsi="Times New Roman"/>
          <w:sz w:val="18"/>
          <w:szCs w:val="18"/>
          <w:color w:val="auto"/>
        </w:rPr>
        <w:t>” means the prospectus supplement relating to the Shares that is first filed pursuant to Rule 424(b) under the 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 together with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Base Prospectus, any Preliminary Prospectus Supplement or the Final Prospectus Supplement shall be deemed to refer to and include the documents incorporated by reference therein pursuant to Item 12 of Form S-3 which were filed under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Effective Date of the Registration Statement or the issue date of the Base Prospectus, any Preliminary Prospectus Supplement or the Final Prospectus Supplement, as the case may be; and any reference herein to the terms “amend,” “amendment” or “supplement” with respect to the Registration Statement, the Base Prospectus, any Preliminary Prospectus Supplement or the Final Prospectus Supplement shall be deemed to refer to and include the filing of any document under the Exchange Act after the Effective Date of the Registration Statement or the issue date of the Base Prospectus, any Preliminary Prospectus Supplement or the Final Prospectus Supplement, as the case may be, deemed to be incorporated therein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Pricing Disclosure Package</w:t>
      </w:r>
      <w:r>
        <w:rPr>
          <w:rFonts w:ascii="Times New Roman" w:cs="Times New Roman" w:eastAsia="Times New Roman" w:hAnsi="Times New Roman"/>
          <w:sz w:val="18"/>
          <w:szCs w:val="18"/>
          <w:color w:val="auto"/>
        </w:rPr>
        <w:t>” shall mean (i) the Base Prospectus, (ii) the Preliminary Prospectus Supplement used most recently prior to the Execution Time, (iii) any issuer free writing prospectus, as defined in Rule 433 under the Securities Act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identified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(iv) the pricing information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(v)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Pricing Disclosure Package.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Underwriter as set forth below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1304"/>
        <w:spacing w:after="0" w:line="252" w:lineRule="auto"/>
        <w:tabs>
          <w:tab w:leader="none" w:pos="15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met the requirements for use of Form S-3 under the Securities Act, including, but not limited to, General Instruction I.B.6 of Form S-3, if applicable, at the time it prepared and filed with the SEC a shelf registration statement, as defined in Rule 405 (file number 333-275559) on Form S-3, including a related Base Prospectus, for registration under the Securities Act of the offering and sale of the Shares. The Company may have filed one or more amendments thereto, and has prepared a Preliminary Prospectus Supplement, each of which has previously been furnished to you and has become effective upon filing. The Company will next file with the SEC a Final Prospectus Supplement relating to the Shares in accordance with Rule 424(b). As filed, such Final Prospectus Supplement shall contain all information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Supplement) as the Company has advised you, prior to the Execution Time, will be included or made therein. The Registration Statement, at the Execution Time, is effective and meets the requirements set forth in Rule 415(a)(1)(x). There is no order preventing or suspending the use of the Registration Statement, the Pricing Disclosure Package or the Final Prospectus Supplement, and, to the knowledge of the Company, no proceeding for that purpose or pursuant to Section 8A of the Securities Act against the Company or related to the offering has been initiated or threatened by the SEC and no notice of objection of the SEC to the use of such Registration Statement pursuant to Rule 401(g)(2) under the Securities Act has been received by the Company. As of the close of trading on Nasdaq on October 3, 2025,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u w:val="single" w:color="auto"/>
          <w:color w:val="auto"/>
        </w:rPr>
        <w:t>Non-Affiliate Shares</w:t>
      </w:r>
      <w:r>
        <w:rPr>
          <w:rFonts w:ascii="Times New Roman" w:cs="Times New Roman" w:eastAsia="Times New Roman" w:hAnsi="Times New Roman"/>
          <w:sz w:val="18"/>
          <w:szCs w:val="18"/>
          <w:color w:val="auto"/>
        </w:rPr>
        <w:t>”), was $113,255,050.23 (calculated by multiplying (x) the price at which the common equity of the Company was last sold on Nasdaq on October 3, 2025 times (y) the number of Non-Affiliate Shares outstanding on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left="-1120" w:firstLine="1304"/>
        <w:spacing w:after="0" w:line="253" w:lineRule="auto"/>
        <w:tabs>
          <w:tab w:leader="none" w:pos="4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the Registration Statement did, and when the Final Prospectus Supplement is first filed in accordance with Rule 424(b) and on the Closing Date, the Final Prospectus Supplement (and any amendment or supplement thereto) will, comply in all material respects with the applicable requirements of the Securities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Supplement (together with any amendment or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Final Prospectus Supplement (or any amendment or supplement thereto) in reliance upon and in conformity with information furnished in writing to the Company by or on behalf of any Underwriter through the Representative specifically for use in the Registration Statement or the Final Prospectus Supplement (or any amendment or supplement thereto), it being understood and agreed that the only such information furnished by the Underwriters consists of the information described as such in Section 8(b) hereof.</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Pricing Disclosure Package and each electronic road show does not, and as of the Closing Date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Pricing Disclosure Package based upon and in conformity with written information furnished to the Company by any Underwriter through the Representative specifically for use therein, it being understood and agreed that the only such information furnished by or on behalf of the Underwriters consists of the information described as such in Section 8(b) hereof.</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business combination pursuant to that certain agreement and plan of merger, dated as of May 15, 2022, by and among Chardan NexTech 2 Acquisition Corp., a Delaware Corporation and the Company’s predecessor, Dragonfly Energy Corp., a Nevada corporation, and Bronco Merger Sub, Inc., a Nevada corporation, through the Execution Time, the Company has been and is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as defined in Section 2(a) of the Securities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 w:name="page8"/>
    <w:bookmarkEnd w:id="7"/>
    <w:p>
      <w:pPr>
        <w:jc w:val="both"/>
        <w:ind w:left="-1120" w:firstLine="1304"/>
        <w:spacing w:after="0" w:line="254"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alone engaged in any Testing-the-Waters Communication other than Testing-the-Waters Communications with the consent of the Representative with entities that are reasonably believed to be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 “</w:t>
      </w:r>
      <w:r>
        <w:rPr>
          <w:rFonts w:ascii="Times New Roman" w:cs="Times New Roman" w:eastAsia="Times New Roman" w:hAnsi="Times New Roman"/>
          <w:sz w:val="18"/>
          <w:szCs w:val="18"/>
          <w:u w:val="single" w:color="auto"/>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including any presentation used in a Testing-the-Waters Communication.</w:t>
      </w:r>
    </w:p>
    <w:p>
      <w:pPr>
        <w:spacing w:after="0" w:line="19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used any Issuer Free Writing Prospectus.</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if any, does not include any information that conflicts with the information contained in the Registration Statement, the Base Prospectus, any Preliminary Prospectus Supplement or the Final Prospectus Supplement. The foregoing sentence does not apply to statements in or omissions from any Issuer Free Writing Prospectus based upon and in conformity with written information furnished to the Company by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and Inline XBRL included as an exhibit to the Registration Statement fairly presents the information called for in all material respects and has been prepared in accordance with the SEC’s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Pricing Disclosure Package and the Final Prospectus Supplement, and is duly qualified to do business as a foreign corporation and is in good standing under the laws of each jurisdiction which requires such qualification, except where the failure to be so qualified or in good standing would not reasonably be expected to have a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3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of the Company have been duly and validly authorized and issued and are fully paid and non-assessable, and all outstanding shares of capital stock of the subsidiaries are owned by the Company either directly or through wholly owned subsidiaries, and except as set forth in the Pricing Disclosure Package and the Final Prospectus Supplement, are free and clear of any perfected security interest or any other security interests, claims, liens or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 w:name="page9"/>
    <w:bookmarkEnd w:id="8"/>
    <w:p>
      <w:pPr>
        <w:jc w:val="both"/>
        <w:ind w:left="-1120" w:firstLine="1304"/>
        <w:spacing w:after="0" w:line="253"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equity capitalization is as set forth in the Pricing Disclosure Package and the Final Prospectus Supplement; the capital stock of the Company conforms in all material respects to the description thereof contained in the Pricing Disclosure Package and the Final Prospectus Supplement; the outstanding shares of Common Stock have been duly and validly authorized and issued and are fully paid and nonassessable; the Shares have been duly and validly authorized and, when issued and delivered to and paid for by the Underwriters pursuant to this Agreement, will be fully paid and nonassessable; the Shares in book-entry form are in valid and sufficient form; and the holders of outstanding shares of capital stock of the Company are not entitled to preemptive or other rights to subscribe for the Shares, except for any such rights as have been effectively waived; and, except as set forth in the Pricing Disclosure Package and the Final Prospectus Supplement, no options, warrants or other rights to purchase, agreements or other obligations to issue, or rights to convert any obligations into or exchange any securities for, shares of capital stock of or ownership interests in the Company are outstanding. The Company has reserved from its duly authorized capital stock the maximum number of shares of Common Stock issuable pursuant to this Agreement.</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or the Final Prospectus Supplement, or to be filed as an exhibit thereto, which is not described or filed as required (and the Preliminary Prospectus Supplement contains in all material respects the same description of the foregoing matters contained in the Final Prospectus Supplement); and the statements in the Preliminary Prospectus Supplement and the Final Prospectus Supplement insofar as such statements summarize legal matters, agreements, documents or proceedings discussed therein, are accurate and fair summaries of such legal matters, agreements, documents or proceedings in all material respects.</w:t>
      </w:r>
    </w:p>
    <w:p>
      <w:pPr>
        <w:spacing w:after="0" w:line="183"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Disclosure Package and the Final Prospectus Supplement, will not be an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as defined in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listing rules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blue sky laws of any jurisdiction in connection with the purchase and distribution of the Shares by the Underwriters in the manner contemplated herein and in the Pricing Disclosure Package and the 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 w:name="page10"/>
    <w:bookmarkEnd w:id="9"/>
    <w:p>
      <w:pPr>
        <w:jc w:val="both"/>
        <w:ind w:left="-1120" w:firstLine="1304"/>
        <w:spacing w:after="0" w:line="254" w:lineRule="auto"/>
        <w:tabs>
          <w:tab w:leader="none" w:pos="4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any such breach, violation or imposition as would not reasonably be expected to have a Material Adverse Effect and which would not reasonably be expected to have a material adverse effect on the performance of this Agreement or the consummation of any of the transactions contemplated hereby.</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as applicable, to file a registration statement under the Securities Act with respect to any securities of the Company or to require the Company to include such securities with the Shares registered pursuant to the Registration Statement, except as have been validly waived in connection with the issuance and sale of the Shares contemplated hereby or as have been described in the Preliminary Prospectus Supplement, and the holders of outstanding shares of capital stock of the Company are not entitled to statutory preemptive or other similar contractual rights to subscribe for the Shares.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Preliminary Prospectus Supplement, the Final Prospectus Supplement and the Registration Statement,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all material respects in compliance with the published requirements of the Securities Act and Exchange Act, as applicable and as in effect at the time of filing, and in conformity with generally accepted accounting principles in the United States (“GAAP”) as in effect at the time of filing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the Subsidiaries contained or incorporated by reference in the Preliminary Prospectus Supplement, the Final Prospectus Supplement and the Registration Statement,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Preliminary Prospectus Supplement, the Final Prospectus Supplement and the Registration Statement that are not included or incorporated by reference as required; the Company and the Subsidiaries do not have any material liabilities or obligations, direct or contingent (including any off balance sheet obligations), not described in the Preliminary Prospectus Supplement, the Final Prospectus Supplement or the Registration Statement which are required to be described in the Preliminary Prospectus Supplement, the Final Prospectus Supplement or the Registration Statement; and all disclosures contained or incorporated by reference in Preliminary Prospectus Supplement, the Final Prospectus Supplement and the Registration Statement,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 w:name="page11"/>
    <w:bookmarkEnd w:id="10"/>
    <w:p>
      <w:pPr>
        <w:jc w:val="both"/>
        <w:ind w:left="-1120" w:firstLine="1304"/>
        <w:spacing w:after="0" w:line="261" w:lineRule="auto"/>
        <w:tabs>
          <w:tab w:leader="none" w:pos="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owns or leases all such properties as are necessary to the conduct of its operations as presently conducted in all material respects.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any such violation or default as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CBIZ CPAs P.C., which has certified certain financial statements of the Company and its consolidated subsidiaries and delivered its report with respect to the audited consolidated financial statements and schedules included in the Pricing Disclosure Package and the Final Prospectus Supplement, are independent public accountants with respect to the Company within the meaning of the Securities Act and the applicable published rules and regulations thereunder.</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to the Underwriters of the Shares.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 w:name="page12"/>
    <w:bookmarkEnd w:id="11"/>
    <w:p>
      <w:pPr>
        <w:jc w:val="both"/>
        <w:ind w:left="-1120" w:firstLine="1304"/>
        <w:spacing w:after="0" w:line="266" w:lineRule="auto"/>
        <w:tabs>
          <w:tab w:leader="none" w:pos="4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reasonably believes are prudent and customary in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8" w:lineRule="exact"/>
        <w:rPr>
          <w:sz w:val="20"/>
          <w:szCs w:val="20"/>
          <w:color w:val="auto"/>
        </w:rPr>
      </w:pPr>
    </w:p>
    <w:p>
      <w:pPr>
        <w:jc w:val="both"/>
        <w:ind w:left="-1120" w:firstLine="1304"/>
        <w:spacing w:after="0" w:line="261" w:lineRule="auto"/>
        <w:tabs>
          <w:tab w:leader="none" w:pos="5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set forth in the Pricing Disclosure Package and the Final Prospectus Supplement.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required to conduct their respective businesses, except for any such failure to possess as would not reasonably be expected to have a Material Adverse Effect, and neither the Company nor any such subsidiary is in violation of, or in default under, any such Permit, except for any such violation as would not reasonably be expected to have a Material Adverse Effect,; neither the Company nor its subsidiaries has received any written notice of proceedings relating to the revocation or modification of any such Permit nor has any reason to believe that any such Permit will not be renewed in the ordinary course.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considered together as one entity, maintain a system of internal accounting controls (as contemplated under Rule 13a-15(f) of the Exchange Act)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in the Registration Statement, the Preliminary Prospectus Supplement and the Final Prospectus Supplement is in compliance with the SEC’s published rules, regulations and guidelines applicable thereto. The Company’s and its subsidiaries’ internal controls over financial reporting are effective and, except as set forth in the Pricing Disclosure Package and the Final Prospectus Supplement, the Company and its subsidiaries are not aware of any material weakness in their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jc w:val="both"/>
        <w:ind w:left="-1120" w:firstLine="1304"/>
        <w:spacing w:after="0" w:line="266" w:lineRule="auto"/>
        <w:tabs>
          <w:tab w:leader="none" w:pos="5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(as such term is defined in Rule 13a-15(e) under the Exchange Act); such disclosure controls and procedures are effective, except as set forth in the Pricing Disclosure Package and the Final Prospectus Supplement.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Neither the Company nor any of its subsidiaries has been named as a “</w:t>
      </w:r>
      <w:r>
        <w:rPr>
          <w:rFonts w:ascii="Times New Roman" w:cs="Times New Roman" w:eastAsia="Times New Roman" w:hAnsi="Times New Roman"/>
          <w:sz w:val="18"/>
          <w:szCs w:val="18"/>
          <w:u w:val="single" w:color="auto"/>
          <w:color w:val="auto"/>
        </w:rPr>
        <w:t>potentially responsible party</w:t>
      </w:r>
      <w:r>
        <w:rPr>
          <w:rFonts w:ascii="Times New Roman" w:cs="Times New Roman" w:eastAsia="Times New Roman" w:hAnsi="Times New Roman"/>
          <w:sz w:val="18"/>
          <w:szCs w:val="18"/>
          <w:color w:val="auto"/>
        </w:rPr>
        <w:t>” under the Comprehensive Environmental Response, Compensation, and Liability Act of 1980, as amended.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reasonably be expected to,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the Registration Statement, the Pricing Disclosure Package and the Final Prospectus Supplement is not based on or derived from sources that are reliable and accurate in all material respects, and, to the extent required by such sources, the Company has obtained the written consent to the use of such data from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 w:name="page14"/>
    <w:bookmarkEnd w:id="13"/>
    <w:p>
      <w:pPr>
        <w:jc w:val="both"/>
        <w:ind w:left="-8" w:firstLine="1304"/>
        <w:spacing w:after="0" w:line="252" w:lineRule="auto"/>
        <w:tabs>
          <w:tab w:leader="none" w:pos="15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w:t>
      </w:r>
      <w:r>
        <w:rPr>
          <w:rFonts w:ascii="Times New Roman" w:cs="Times New Roman" w:eastAsia="Times New Roman" w:hAnsi="Times New Roman"/>
          <w:sz w:val="18"/>
          <w:szCs w:val="18"/>
          <w:u w:val="single" w:color="auto"/>
          <w:color w:val="auto"/>
        </w:rPr>
        <w:t>accumulated post-retirement benefit obligations</w:t>
      </w:r>
      <w:r>
        <w:rPr>
          <w:rFonts w:ascii="Times New Roman" w:cs="Times New Roman" w:eastAsia="Times New Roman" w:hAnsi="Times New Roman"/>
          <w:sz w:val="18"/>
          <w:szCs w:val="18"/>
          <w:color w:val="auto"/>
        </w:rPr>
        <w:t>” (within the meaning of Statement of Financial Accounting Standards 106) of the Company and its subsidiaries compared to the amount of such obligations in the most recently completed fiscal year of the Company and its subsidiaries;</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89" w:lineRule="exact"/>
        <w:rPr>
          <w:sz w:val="20"/>
          <w:szCs w:val="20"/>
          <w:color w:val="auto"/>
        </w:rPr>
      </w:pPr>
    </w:p>
    <w:p>
      <w:pPr>
        <w:jc w:val="both"/>
        <w:ind w:left="-8" w:firstLine="1304"/>
        <w:spacing w:after="0" w:line="261" w:lineRule="auto"/>
        <w:tabs>
          <w:tab w:leader="none" w:pos="1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in effect and with which the Company is required to comply as of the Effective Date, including Section 402 relating to loans and Sections 302 and 906 relating to certifications.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has taken any action, directly or indirectly, (i) in furtherance of a corrupt offer, payment, promise to pay, or authorization or approval of the payment, giving or receipt of money, property, gifts or anything else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secure an unlawful business advantage, or (ii) in violation of the U.S. Foreign Corrupt Practices Act of 1977 or the U.K. Bribery Act 2010, each as amended, or similar applicable law of any other relevant jurisdiction, or the rules or regulations thereunder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and its subsidiaries have instituted and maintained policies and procedures reasonably designed to promote and achieve compliance with Anti-Corruption Laws. No part of the proceeds of the offering will be used by the Company, its subsidiaries, or its affiliates, directly or, to the knowledge of the Company, indirectly, in violation of the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 w:name="page15"/>
    <w:bookmarkEnd w:id="14"/>
    <w:p>
      <w:pPr>
        <w:jc w:val="both"/>
        <w:ind w:left="-1120" w:firstLine="1304"/>
        <w:spacing w:after="0" w:line="255" w:lineRule="auto"/>
        <w:tabs>
          <w:tab w:leader="none" w:pos="4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material compliance with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the anti-money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6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applicable sanctions authority where the Company or its subsidiaries operate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ordinarily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currently, Cuba, Iran, North Korea, Syria, Belarus, the so-called Donetsk People’s Republic, the so-called Luhansk People’s Republic, the Crimea region of Ukraine and other Covered Region (as defined in the Executive Order 14065) of Ukraine identified pursuant to the Executive Order 14065) or (iii) will, directly or knowingly indirectly, use the proceeds of this offering, or lend, contribute or otherwise make available such proceeds to any subsidiary, joint venture partner or other individual or entity to fund or facilitate any activities or business of or with a Sanctioned Person or Sanctioned Country, or in any other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knowingly engaged in any dealings or transactions with or for the benefit of a Sanctioned Person, or with or in a Sanctioned Country, in the preceding five (5) years, nor does the Company or any of its subsidiaries have any plans to engage in dealings or transactions with or for the benefit of a Sanctioned Person, or with or in a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jc w:val="both"/>
        <w:ind w:left="-1120" w:firstLine="1304"/>
        <w:spacing w:after="0" w:line="251" w:lineRule="auto"/>
        <w:tabs>
          <w:tab w:leader="none" w:pos="5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in all material respects as now conducted or as proposed to be conducted in the Pricing Disclosure Package and the Final Prospectus Supplement, and, to the Company’s knowledge, the conduct of the respective businesses of the Company does not and will not infringe, misappropriate, or otherwise conflict in any material respect with any intellectual property of another. The Company and its subsidiaries have not received any written notice of any claim of infringement, misappropriation or conflict with any intellectual property right of another in connection with its patents, patent applications, patent rights, licenses, inventions, trademarks, service marks, trade names, copyrights and know-how, which could reasonably be expected to result in a Material Adverse Effect, and the Company is unaware of any facts which would form a reasonable basis for any such claim. There are no rights of third parties to any Intellectual Property owned by the Company and its subsidiaries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including no liens, security interests, or other encumbrances. To the Company’s knowledge, (a) there is no material infringement by third parties of any Company Intellectual Property; (b) there is no pending or, to the Company’s knowledge, threatened action, suit, proceeding or claim by others challenging the Company’s rights in or to any such Company Intellectual Property, and the Company is unaware of any facts which would form a reasonable basis for any such action, suit, proceeding, or claim; (c) such Company Intellectual Property has not been adjudged by a court of competent jurisdiction invalid or unenforceable, in whole or in part, there is no pending or, to the Company’s knowledge, threatened action, suit, proceeding or claim by others challenging the validity or scope of any such Company Intellectual Property, including interferences, oppositions, reexaminations, or government proceedings, and the Company is unaware of any facts which would form a reasonable basis for any such action, suit, proceeding, or claim; (d) there is no pending or, to the Company’s knowledge, threatened action, suit, proceeding or claim by others that the Company infringes, misappropriates, or otherwise violates, or would, upon the commercialization of any product or service described in the Pricing Disclosure Package and the Final Prospectus Supplement as under development, infringe, misappropriate, or otherwise violate, any patent, trademark, copyright, trade secret or other proprietary rights of others, and the Company is unaware of any other fact which would form a reasonable basis for any such action, suit, proceeding, or claim; (e) to the Company’s knowledge, the Company and its subsidiaries have taken all reasonable steps to protect, maintain and safeguard their Intellectual Property, including the execution of commercially reasonable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(f) to the Company’s knowledge, there are no material defects in any of the patents or patent applications included in the Intellectual Property; (g) there is no patent or published patent application in the U.S. or other jurisdiction which contains claims that dominate or may dominate any Intellectual Property described in the Pricing Disclosure Package and the Final Prospectus Supplement as being owned by or licensed to the Company or that interferes with the issued or pending claims of any such Intellectual Property; (h) there is no prior art of which the Company is aware that may render any patent held by the Company invalid or any patent application held by the Company unpatentable; and (i)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All licenses to which the Company is a party relating to the Intellectual Property are in full force and effect and the Company is not in violation of any term of such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6" w:name="page17"/>
    <w:bookmarkEnd w:id="16"/>
    <w:p>
      <w:pPr>
        <w:ind w:left="1640" w:hanging="336"/>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does not have any material lending or other relationship with any bank or lending affiliate of the Underwriters and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intend to use any of the proceeds from the sale of the Shares hereunder to repay any outstanding debt owed to any affiliate of the Underwriters.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of the Company are set forth in the Pricing Disclosure Package and the Final Prospectus Supplement and are the only significant subsidiaries of the Company as defined by Rule 1-02 of Regulation S-X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security breach, unauthorized access, use, disclosure, modification, destruction or other incident or compromise of or relating to any of the Company’s or any of its subsidiaries’ information technology and computer systems, networks, hardware, software, data (including all personal information, personal data, personally identifiable information or similar information and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the Company and its subsidiaries have no knowledge of any specific event or condition that would reasonably be expected to result in, any such material security breach, unauthorized access, use, disclosure, modification, destruction or other compromise of their IT Systems and Data. The Company and its subsidiaries employ commercially reasonable physical, technical, and administrative security measures, controls, safeguards, policies and procedures designed to (a) protect all IT Systems and Data from and against material unauthorized access, use and/or disclosure and (b) maintain the integrity, continuous operation, redundancy and security of the IT Systems and Data. The Company and its subsidiaries are presently, and for the past four</w:t>
      </w:r>
    </w:p>
    <w:p>
      <w:pPr>
        <w:spacing w:after="0" w:line="6"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years have been, in compliance with all applicable laws, regulations and statutes, including to the extent applicable, the California Consumer Privacy Act and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(and all other applicable laws and regulations governing the data privacy and security of personal information or personal data), and all judgments, orders, rules, directives and decrees of any court or arbitrator or governmental or regulatory authority, company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and the Company and its subsidiaries have implemented backup and disaster recovery technology consistent with industry standards and practices.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proceeds received by the Company from the issuance, sale and delivery of the Shares as described in the Pricing Disclosure Package and the Final Prospectus Supplement will not violate Regulation T, U or X of the Board of Governors of the Federal Reserve system or any other regulation of such Board of Governors.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1304"/>
        <w:spacing w:after="0" w:line="261" w:lineRule="auto"/>
        <w:tabs>
          <w:tab w:leader="none" w:pos="1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Shares or any transaction contemplated by this Agreement, the Registration Statement, Pricing Disclosure Package or the Final Prospectus Supplement.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either the Pricing Disclosure Package or the Final Prospectus Supplement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Disclosure Package and the Final Prospectus Supplement, each of the Company and the subsidiaries, and, to the Company’s knowledge, each of their affiliates and any director, officer or employee of, or other person associated with or acting on behalf of, the Company has acted at all times in compliance in all material respects with applicable Export and Import Laws (as defined below) and there are no claims, complaints, charges, investigations or proceedings pending or, to the knowledge of the Company, threatened between the Company or any of the subsidiaries and any governmental authority under any Export or Import Laws. The term “Export and Import Laws”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neither the Company nor any of its affiliates (within the meaning of FINRA Rule 5121(f)(1)) directly or indirectly controls (within the meaning of FINRA Rule 5121(f)(6)), is controlled by, or is under common control with, or is an associated person (within the meaning of Article I, Section 1(ee) of the bylaws of FINRA) of, any member firm of FINRA.</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Underwriters in connection with the offering of the Shares shall be deemed a representation and warranty by the Company, as to matters covered thereby, to each Underwriter.</w:t>
      </w:r>
    </w:p>
    <w:p>
      <w:pPr>
        <w:spacing w:after="0" w:line="162" w:lineRule="exact"/>
        <w:rPr>
          <w:sz w:val="20"/>
          <w:szCs w:val="20"/>
          <w:color w:val="auto"/>
        </w:rPr>
      </w:pPr>
    </w:p>
    <w:p>
      <w:pPr>
        <w:jc w:val="both"/>
        <w:ind w:firstLine="656"/>
        <w:spacing w:after="0" w:line="254"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Company agrees to sell to each Underwriter, and each Underwriter agrees, severally and not jointly, to purchase from the Company, (a) at a purchase price per share of $1.175,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denominator of which is the maximum number of Optional Shares that all of the Underwriters are entitled to purchase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3,000,000 Optional Shares (subject to appropriate adjustment in the event of any stock dividend, stock split, combination or other similar recapitalization), at the purchase price per share set forth in the paragraph above (subject to appropriate adjustment in the event of any stock dividend, stock split, combination or other similar recapitalization), for the sole purpose of covering over-allotments made in connection with the offering of the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3 hereof) or, unless you and the Company otherwise agree in writing, earlier than two or later than ten business days after the date of such notice.</w:t>
      </w:r>
    </w:p>
    <w:p>
      <w:pPr>
        <w:spacing w:after="0" w:line="188" w:lineRule="exact"/>
        <w:rPr>
          <w:sz w:val="20"/>
          <w:szCs w:val="20"/>
          <w:color w:val="auto"/>
        </w:rPr>
      </w:pPr>
    </w:p>
    <w:p>
      <w:pPr>
        <w:jc w:val="both"/>
        <w:ind w:firstLine="656"/>
        <w:spacing w:after="0" w:line="253"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Firm Shares shall be made at 10:00 AM, New York City time, on October 7, 2025, or at such time on such later date not more than two Business Days after the foregoing date as the Representative shall designate, which date and time may be postponed by agreement between the Representative and the Company or as provided in Section 9 hereof. Delivery of and payment for the Optional Shares shall be made at 10:00 AM, New York City time, on the date specified by the Representative in each written notice given by the Representative of the Underwriters’ election to purchase such Optional Shares, or such other time and date as the Representative and the Company may agree upon in writing. Such time and date for delivery of the Firm Shares is herein called the “</w:t>
      </w:r>
      <w:r>
        <w:rPr>
          <w:rFonts w:ascii="Times New Roman" w:cs="Times New Roman" w:eastAsia="Times New Roman" w:hAnsi="Times New Roman"/>
          <w:sz w:val="18"/>
          <w:szCs w:val="18"/>
          <w:u w:val="single" w:color="auto"/>
          <w:color w:val="auto"/>
        </w:rPr>
        <w:t>First Time of Delivery</w:t>
      </w:r>
      <w:r>
        <w:rPr>
          <w:rFonts w:ascii="Times New Roman" w:cs="Times New Roman" w:eastAsia="Times New Roman" w:hAnsi="Times New Roman"/>
          <w:sz w:val="18"/>
          <w:szCs w:val="18"/>
          <w:color w:val="auto"/>
        </w:rPr>
        <w:t>”, such time and date for delivery of the Optional Shares, if not the First Time of Delivery, is herein called the “</w:t>
      </w:r>
      <w:r>
        <w:rPr>
          <w:rFonts w:ascii="Times New Roman" w:cs="Times New Roman" w:eastAsia="Times New Roman" w:hAnsi="Times New Roman"/>
          <w:sz w:val="18"/>
          <w:szCs w:val="18"/>
          <w:u w:val="single" w:color="auto"/>
          <w:color w:val="auto"/>
        </w:rPr>
        <w:t>Second Time of Delivery</w:t>
      </w:r>
      <w:r>
        <w:rPr>
          <w:rFonts w:ascii="Times New Roman" w:cs="Times New Roman" w:eastAsia="Times New Roman" w:hAnsi="Times New Roman"/>
          <w:sz w:val="18"/>
          <w:szCs w:val="18"/>
          <w:color w:val="auto"/>
        </w:rPr>
        <w:t>”, and each such time and date for delivery is herein called a “</w:t>
      </w:r>
      <w:r>
        <w:rPr>
          <w:rFonts w:ascii="Times New Roman" w:cs="Times New Roman" w:eastAsia="Times New Roman" w:hAnsi="Times New Roman"/>
          <w:sz w:val="18"/>
          <w:szCs w:val="18"/>
          <w:u w:val="single" w:color="auto"/>
          <w:color w:val="auto"/>
        </w:rPr>
        <w:t>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Delivery of the Shares shall be made to the Representative for the respective accounts of the several Underwriters against payment by the several Underwriters through the Representative of the purchase price thereof to or upon the order of the Company by wire transfer payable in same-day funds to an account specified by the Company. Delivery of the Shares shall be made through the facilities of The Depository Trust Company unless the Representative shall otherwise instruct.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Shares for sale to the public as set forth in the 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9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Shares, the Company will not file any amendment of the Registration Statement or supplement (including any Preliminary Prospectus Supplement or the Final Prospectus Supplement) to the Base Prospectus or any Rule 462(b) Registration Statement unless the Company has furnished you a copy for your review prior to filing and will not file any such proposed amendment or supplement to which you reasonably object. The Company will cause the Final Prospectus Supplement, properly completed, and any supplement thereto to be filed in a form approved by the Representative with the SEC pursuant to the applicable paragraph of Rule 424(b) within the time period prescribed and will provide evidence satisfactory to the Representative of such timely filing. The Company will promptly advise the Representative (i) when the Final Prospectus Supplement, and any supplement thereto, shall have been filed (if required) with the SEC pursuant to Rule 424(b) or when any Rule 462(b) Registration Statement shall have been filed with the SEC, (ii) when, prior to termination of the offering of the Shares, any amendment to the Registration Statement shall have been filed or become effective, (iii) of any request by the SEC or its staff for any amendment of the Registration Statement, or any Rule 462(b) Registration Statement, or for any supplement to the Final Prospectus Supplement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93"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Final Prospectus Supplement pursuant to Rule 424(b), any event occurs as a result of which the Pricing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any use of the Pricing Disclosure Package may cease until it is amended or supplemented; (ii) amend or supplement the Pricing Disclosure Package to correct such statement or omission; and (iii) supply any amendment or supplement to you in such quantities as you may reasonably request.</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Shares is required to be delivered under the Securities Act (including in circumstances where such requirement may be satisfied pursuant to Rule 172), any event occurs as a result of which the Final Prospectus Supplement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Supplement to comply with the Securities Act or the Exchange Act or the respective rules thereunder, including in connection with use or delivery of the Final Prospectus Supplement, the Company promptly will (i) notify the Representative of any such event, (ii) prepare and file with the SEC,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Supplement and (iv) supply any supplemented Final Prospectus Supplement to you in such quantities as you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0" w:name="page21"/>
    <w:bookmarkEnd w:id="20"/>
    <w:p>
      <w:pPr>
        <w:jc w:val="both"/>
        <w:ind w:left="-1120" w:firstLine="1304"/>
        <w:spacing w:after="0" w:line="266" w:lineRule="auto"/>
        <w:tabs>
          <w:tab w:leader="none" w:pos="4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 an earnings statement or statements of the Company and its subsidiaries which will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Supplement, the Final Prospectus Supplement and each Issuer Free Writing Prospectus and any supplement thereto as the Representative may reasonably request. The Company will pay the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Shares for sale under the laws of such jurisdictions as the Representative may reasonably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 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90 days after the date of this Agreement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(i) effect the transactions contemplated hereby, (ii) issue and sell Common Stock pursuant to any employee stock option plan, stock incentive plan, stock ownership plan or dividend reinvestment plan of the Company in effect at the Execution Time and as described in the Registration Statement, the Pricing Disclosure Package and the Final Prospectus Supplement (including the issuance of Common Stock issuable upon the exercise of options to purchase shares of Common Stock granted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newly appointed director or executive officer that is appointed during the Restricted Period and that is a recipient of such securities shall execute and deliver to the Representative a lock-up agreement substantially in the form of the lock-up letter described in Section 6(m) hereof covering the remainder of the Restricted Period, (iii) issue Common Stock issuable upon the conversion of securities or the exercise of warrants outstanding at the Execution Time, or (iv) Common Stock, or securities convertible into or exercisable for Common Stock, issued to the Company’s lenders in exchange for outstanding amounts under the Company’s loan agreements which are set forth in the Pricing Disclosure Package and the Final Prospectus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Company’s lenders shall execute and deliver to the Representative a lock-up agreement substantially in the form of the lock-up letter described in Section 6(m)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 w:name="page22"/>
    <w:bookmarkEnd w:id="21"/>
    <w:p>
      <w:pPr>
        <w:jc w:val="both"/>
        <w:ind w:left="-8" w:firstLine="1304"/>
        <w:spacing w:after="0" w:line="254" w:lineRule="auto"/>
        <w:tabs>
          <w:tab w:leader="none" w:pos="15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the Company will use its best efforts to enforce the terms of all existing agreements, plans and arrangements restricting the transfer by any holder of such holder’s shares of Common Stock or securities convertible into or exercisable or exchangeable for Common Stock. The Company will issue stop-transfer instructions to the transfer agent with respect to any transaction that would constitute a breach of, or default under, such provisions. During the Restricted Period, the Company will use its best efforts to enforce, and not waive or amend, such stop-transfer instructions and any transfer restriction, including any “market standoff,” “holdback” or similar agreement or provision, applicable to any such securities unless the Company shall have obtained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5(h) shall not prohibit the Company from effecting such a waiver or amendment to permit a transfer of securities which is permissible under the terms of the existing agreements, plans and arrangements restricting such transfers.</w:t>
      </w:r>
    </w:p>
    <w:p>
      <w:pPr>
        <w:spacing w:after="0" w:line="191" w:lineRule="exact"/>
        <w:rPr>
          <w:rFonts w:ascii="Times New Roman" w:cs="Times New Roman" w:eastAsia="Times New Roman" w:hAnsi="Times New Roman"/>
          <w:sz w:val="18"/>
          <w:szCs w:val="18"/>
          <w:color w:val="auto"/>
        </w:rPr>
      </w:pPr>
    </w:p>
    <w:p>
      <w:pPr>
        <w:ind w:left="1512" w:hanging="216"/>
        <w:spacing w:after="0"/>
        <w:tabs>
          <w:tab w:leader="none" w:pos="15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maintain the listing for the Shares issued and sold by the Company on Nasdaq.</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5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(without giving effect to activities by the Underwriters),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1"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the costs and expenses relating to the following matters: (i) the preparation, printing or reproduction and filing with the SEC of the Registration Statement (including financial statements and exhibits thereto), each Preliminary Prospectus Supplement, the Final Prospectus Supplement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Supplement, the Final Prospectus Supplement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to the Underwriters (but not any such stamp or transfer taxes imposed on a subsequent transfer of the Shares, which taxes shall not be subject to indemnification pursuant to this clause);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Underwriters relating to such registration and qualification); (vii) any filings required to be made with FINRA (including filing fees and the reasonable fees and expenses of counsel for the Underwriters relating to such filings); (viii) the reasonable fees and expenses of counsel for the Underwriters relating to the offering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fees and expenses of counsel for the Underwriters with respect to clauses (vi), (vii) and (viii) shall not exceed $80,000 in the aggregate;</w:t>
      </w:r>
    </w:p>
    <w:p>
      <w:pPr>
        <w:spacing w:after="0" w:line="1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and other expenses incurred by or on behalf of Company representatives in connection with presentations to prospective purchasers of the Shares; (x) the fees and expenses of the Company’s accountants and the fees and expenses of counsel (including local and special counsel) for the Company; (xi) certain out of pocket expenses of the Underwriters in an amount not to exceed $20,000; and (xii) all other costs and expenses incident to the performance by the Company of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22" w:name="page23"/>
    <w:bookmarkEnd w:id="22"/>
    <w:p>
      <w:pPr>
        <w:jc w:val="both"/>
        <w:ind w:left="-1120" w:firstLine="1304"/>
        <w:spacing w:after="0" w:line="253" w:lineRule="auto"/>
        <w:tabs>
          <w:tab w:leader="none" w:pos="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required to be filed by the Company with the SEC or retained by the Company under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the parties hereto shall be deemed to have been given in respect of the Free Writing Prospectuses included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and any electronic road show. Any such free writing prospectus consented to by the Representative or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 filing with the SEC, legending and record keeping.</w:t>
      </w:r>
    </w:p>
    <w:p>
      <w:pPr>
        <w:spacing w:after="0" w:line="194" w:lineRule="exact"/>
        <w:rPr>
          <w:rFonts w:ascii="Times New Roman" w:cs="Times New Roman" w:eastAsia="Times New Roman" w:hAnsi="Times New Roman"/>
          <w:sz w:val="18"/>
          <w:szCs w:val="18"/>
          <w:color w:val="auto"/>
        </w:rPr>
      </w:pPr>
    </w:p>
    <w:p>
      <w:pPr>
        <w:ind w:left="-1120" w:firstLine="1304"/>
        <w:spacing w:after="0" w:line="282" w:lineRule="auto"/>
        <w:tabs>
          <w:tab w:leader="none" w:pos="4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 if the Company ceases to be an Emerging Growth Company at any time prior to the later of (a) completion of the distribution of the Shares within the meaning of the Securities Act and (b) completion of the Restricted Period.</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3" w:name="page24"/>
    <w:bookmarkEnd w:id="23"/>
    <w:p>
      <w:pPr>
        <w:jc w:val="both"/>
        <w:ind w:left="-656" w:firstLine="656"/>
        <w:spacing w:after="0" w:line="261"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Shares shall be subject to the accuracy of the representations and warranties on the part of the Company contained herein as of the Execution Time and each Time of Delivery, to the accuracy of the statements of the Company made in any certificates pursuant to the provisions hereof, to the performance by the Company of its obligations hereunder and to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(i) Lowenstein Sandler LLP, counsel for the Company, to have furnished to the Representative their opinion and negative assurance letter, dated each Time of Delivery, and addressed to the Representative, in a form reasonably acceptable to the Representative and (ii) Parsons Behle &amp; Latimer, Nevada counsel for the Company, to have furnished to the Representative their opinion, dated each Time of Delivery, and addressed to the Representative, in a form reasonably acceptable to the Representative.</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 of the Company shall have delivered to the Representative a certificate, at the Execution Time and at each Time of Delivery, letters, dated respectively as of the Execution Time and as of each Time of Delivery,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Mintz, Levin, Cohn, Ferris, Glovsky and Popeo, P.C., counsel for the Underwriters, such opinion and negative assurance letter, dated each Time of Delivery and addressed to the Representative, with respect to the issuance and sale of the Shares, the Registration Statement, the Pricing Disclosure Package, the Final Prospectus Supplement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8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Wolf, Greenfield &amp; Sacks, P.C., intellectual property counsel for the Company, to have furnished to the Representative their opinion, dated each Time of Delivery, and addressed to the Representative,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of the Company, signed by the Chief Executive Officer and the Chief Financial Officer of the Company, dated each Time of Delivery, to the effect that the signers of such certificate have carefully examined the Registration Statement, the Pricing Disclosure Package, the Final Prospectus Supplement and any amendment or supplement thereto, as well as each electronic road show used in connection with the offering of the Shares, and this Agreement and that:</w:t>
      </w:r>
    </w:p>
    <w:p>
      <w:pPr>
        <w:spacing w:after="0" w:line="179" w:lineRule="exact"/>
        <w:rPr>
          <w:rFonts w:ascii="Times New Roman" w:cs="Times New Roman" w:eastAsia="Times New Roman" w:hAnsi="Times New Roman"/>
          <w:sz w:val="18"/>
          <w:szCs w:val="18"/>
          <w:color w:val="auto"/>
        </w:rPr>
      </w:pPr>
    </w:p>
    <w:p>
      <w:pPr>
        <w:jc w:val="both"/>
        <w:ind w:left="-656" w:firstLine="1952"/>
        <w:spacing w:after="0" w:line="266" w:lineRule="auto"/>
        <w:tabs>
          <w:tab w:leader="none" w:pos="150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on and as of such Time of Delivery with the same effect as if made on such Time of Delivery and the Company has complied with all the agreements and satisfied all the conditions on its part to be performed or satisfied at or prior to such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4" w:name="page25"/>
    <w:bookmarkEnd w:id="24"/>
    <w:p>
      <w:pPr>
        <w:ind w:left="-1120" w:firstLine="1952"/>
        <w:spacing w:after="0" w:line="282" w:lineRule="auto"/>
        <w:tabs>
          <w:tab w:leader="none" w:pos="11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1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Pricing Disclosure Package and the Final Prospectus Supplement (exclusive of any amendment or supplement thereto), there has been no Material Adverse Effect.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CBIZ CPAs P.C. to have furnished to the Representative, at the Execution Time and at each Time of Delivery, letters, dated respectively as of the Execution Time and as of each Time of Delivery, in form and substance reasonably satisfactory to the Representative, containing statements and information of the type ordinarily included in accountants “comfort letters” to underwriters.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thereof) and the Final Prospectus Supplement (exclusive of any amendment or supplement thereto),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the effect of which, in any case referred to in clause (i) or (ii) above, is, in the sole judgment of the Representative, so material and adverse as to make it impractical or inadvisable to proceed with the offering or delivery of the Shares as contemplated by the Registration Statement (exclusive of any amendment thereof), the Pricing Disclosure Package and the Final Prospectus Supplement (exclusive of any amendment or supplement thereto).</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a Secretary’s Certificate, in form and substance reasonably satisfactory to the Representative and customary for the type of offering contemplated by this Agreement.</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4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such further information, certificates and documents as the Representative may reasonably request.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prior to each Time of Delivery, will be) no debt securities, convertible securities or preferred stock issued or guaranteed by the Company or any of its subsidiaries that are rated by a “nationally recognized statistical rating organization” (as defined for purposes of Rule 3(a)(62) under the Exchange Act).</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3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 listing of additional shares covering the Shares with Nasdaq, and satisfactory evidence of such actions shall have been provided to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5" w:name="page26"/>
    <w:bookmarkEnd w:id="25"/>
    <w:p>
      <w:pPr>
        <w:jc w:val="both"/>
        <w:ind w:firstLine="1304"/>
        <w:spacing w:after="0" w:line="266"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Execution Time, the Company shall have furnished to the Representative a letter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executive officer and director of the Company and certain stockholders of the Company identified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addressed to the Representative.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respective Time of Delivery by the Representative. Notice of such cancellation shall be given to the Company in writing or by telephone or facsimile confirmed in writing.</w:t>
      </w:r>
    </w:p>
    <w:p>
      <w:pPr>
        <w:spacing w:after="0" w:line="183" w:lineRule="exact"/>
        <w:rPr>
          <w:sz w:val="20"/>
          <w:szCs w:val="20"/>
          <w:color w:val="auto"/>
        </w:rPr>
      </w:pPr>
    </w:p>
    <w:p>
      <w:pPr>
        <w:jc w:val="both"/>
        <w:ind w:firstLine="656"/>
        <w:spacing w:after="0" w:line="256" w:lineRule="auto"/>
        <w:tabs>
          <w:tab w:leader="none" w:pos="8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Shares provided for herein is not consummated because any condition to the obligations of the Underwriters set forth in Section 6 hereof is not satisfied, because of any termination pursuant to Section 9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and documented expenses (including reasonable fees and disbursements of counsel for the Underwriters) that shall have been incurred by them in connection with the proposed purchase and sale of the Shares, subject to the limitations set forth in Section 5(k).</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any Preliminary Prospectus Supplement, the Pricing Disclosure Package or the Final Prospectus Supplement, any Issuer Free Writing Prospectus (including, for the avoidance of doubt, in any road show as defined in Rule 433(h) under the Securities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documented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left="-8" w:firstLine="1304"/>
        <w:spacing w:after="0" w:line="253" w:lineRule="auto"/>
        <w:tabs>
          <w:tab w:leader="none" w:pos="15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in the paragraphs under the headings “– Discretionary Accounts,” “– Stabilization,” “– Passive Market Making,” and “– Electronic Offer, Sale and Distribution of Securities” in the “Underwriting” section of the Preliminary Prospectus Supplement and the Final Prospectus Supplement constitute the only information furnished in writing by or on behalf of the several Underwriters for inclusion in the Preliminary Prospectus Supplement, the Pricing Disclosure Package, the Final Prospectus Supplement or any Issuer Free Writing Prospectus or any Written Testing-the-Waters Communication.</w:t>
      </w:r>
    </w:p>
    <w:p>
      <w:pPr>
        <w:spacing w:after="0" w:line="194"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5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(it being understood, however, that the indemnifying party shall not be liable for the expenses of more than one separate counsel in addition to local counsel)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27" w:name="page28"/>
    <w:bookmarkEnd w:id="27"/>
    <w:p>
      <w:pPr>
        <w:jc w:val="both"/>
        <w:ind w:left="-1120" w:firstLine="1304"/>
        <w:spacing w:after="0" w:line="251" w:lineRule="auto"/>
        <w:tabs>
          <w:tab w:leader="none" w:pos="4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one or more of the Underwriters may be subject in such proportion as is appropriate to reflect the relative benefits received by the Company on the one hand and by the Underwriters on the other from the offering of the Shares.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Supplement.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8" w:name="page29"/>
    <w:bookmarkEnd w:id="28"/>
    <w:p>
      <w:pPr>
        <w:jc w:val="both"/>
        <w:ind w:left="-656" w:firstLine="656"/>
        <w:spacing w:after="0" w:line="253" w:lineRule="auto"/>
        <w:tabs>
          <w:tab w:leader="none" w:pos="1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Shares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Shares set forth opposite their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amount of Shares set forth opposite the names of all the remaining Underwriters) the Shares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aggregate amount of Shares which the defaulting Underwriter or Underwriters agreed but failed to purchase shall exceed 10% of the aggregate amount of Shares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remaining Underwriters shall have the right to purchase all, but shall not be under any obligation to purchase any, of the Shares, and if such non-defaulting Underwriters do not purchase all the Shares,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Final Prospectus Supplement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 by notice given to the Company prior to delivery of and payment for the Shares, if at any time prior to such delivery and payment (i) trading in the Company’s Common Stock shall have been suspended by the SEC or Nasdaq or trading in securities generally on Nasdaq shall have been suspended or limited or minimum prices shall have been established on such exchange,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or escalation thereof the effect of which on financial markets is such as to make it, in the sole judgment of the Representative, impractical or inadvisable to proceed with the offering or delivery of the Shares as contemplated by the Preliminary Prospectus Supplement or the Final Prospectus Supplement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Shares. The provisions of Sections 7 and 8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 will be mailed, delivered or telefaxed Canaccord Genuity LLC, As Representative of the Several Underwriters, 1 Post Office Square, 30th Floor, Boston, MA 02109, Attention: Equity Capital Markets; or, if sent to the Company, will be mailed, delivered or telefaxed to 1190 Trademark Drive, #108, Reno, Nevada 89521, Attention: Dominic Sinnott,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29" w:name="page30"/>
    <w:bookmarkEnd w:id="29"/>
    <w:p>
      <w:pPr>
        <w:ind w:firstLine="656"/>
        <w:spacing w:after="0" w:line="282" w:lineRule="auto"/>
        <w:tabs>
          <w:tab w:leader="none" w:pos="9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Underwriters and any affiliate through which it may be acting, on the other,</w:t>
      </w:r>
    </w:p>
    <w:p>
      <w:pPr>
        <w:jc w:val="both"/>
        <w:ind w:firstLine="8"/>
        <w:spacing w:after="0" w:line="252" w:lineRule="auto"/>
        <w:tabs>
          <w:tab w:leader="none" w:pos="2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Section 15,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firstLine="656"/>
        <w:spacing w:after="0" w:line="282" w:lineRule="auto"/>
        <w:tabs>
          <w:tab w:leader="none" w:pos="9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Agreement and your acceptance shall represent a binding agreement among the Company and the several Underwriters.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itself and the other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foregoing Agreement.</w:t>
      </w:r>
    </w:p>
    <w:p>
      <w:pPr>
        <w:spacing w:after="0" w:line="223"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I</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434"/>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Number of Firm Shares to be</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Optional Shares to be</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Purchased</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3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33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2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197"/>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20,000,000</w:t>
            </w:r>
          </w:p>
        </w:tc>
        <w:tc>
          <w:tcPr>
            <w:tcW w:w="3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432"/>
        </w:trPr>
        <w:tc>
          <w:tcPr>
            <w:tcW w:w="4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r>
      <w:tr>
        <w:trPr>
          <w:trHeight w:val="45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Information</w:t>
            </w:r>
          </w:p>
        </w:tc>
        <w:tc>
          <w:tcPr>
            <w:tcW w:w="18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Firm Shares to be sold:</w:t>
            </w: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20,000,000 shares of Common Stock</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Optional Shares to be sold:</w:t>
            </w: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3,000,000 shares of Common Stock</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$1.25 per share of Common Stock</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3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35" w:name="page36"/>
    <w:bookmarkEnd w:id="35"/>
    <w:p>
      <w:pPr>
        <w:jc w:val="right"/>
        <w:ind w:right="3939"/>
        <w:spacing w:after="0"/>
        <w:rPr>
          <w:sz w:val="20"/>
          <w:szCs w:val="20"/>
          <w:color w:val="auto"/>
        </w:rPr>
      </w:pPr>
      <w:r>
        <w:rPr>
          <w:rFonts w:ascii="Times New Roman" w:cs="Times New Roman" w:eastAsia="Times New Roman" w:hAnsi="Times New Roman"/>
          <w:sz w:val="18"/>
          <w:szCs w:val="18"/>
          <w:u w:val="single" w:color="auto"/>
          <w:color w:val="auto"/>
        </w:rPr>
        <w:t>SCHEDULE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6" w:name="page37"/>
    <w:bookmarkEnd w:id="36"/>
    <w:p>
      <w:pPr>
        <w:jc w:val="right"/>
        <w:ind w:right="3919"/>
        <w:spacing w:after="0"/>
        <w:rPr>
          <w:sz w:val="20"/>
          <w:szCs w:val="20"/>
          <w:color w:val="auto"/>
        </w:rPr>
      </w:pPr>
      <w:r>
        <w:rPr>
          <w:rFonts w:ascii="Times New Roman" w:cs="Times New Roman" w:eastAsia="Times New Roman" w:hAnsi="Times New Roman"/>
          <w:sz w:val="18"/>
          <w:szCs w:val="18"/>
          <w:u w:val="single" w:color="auto"/>
          <w:color w:val="auto"/>
        </w:rPr>
        <w:t>SCHEDULE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Wade Seaburg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Bourns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Vickram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Luisa Ingargiola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7" w:name="page38"/>
    <w:bookmarkEnd w:id="37"/>
    <w:p>
      <w:pPr>
        <w:ind w:left="1036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Proposed Registered Follow-On Offering by Dragonfly Energy Holdings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 securityholder and/or officer and/or a director of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Canaccord Genuity LLC (“</w:t>
      </w:r>
      <w:r>
        <w:rPr>
          <w:rFonts w:ascii="Times New Roman" w:cs="Times New Roman" w:eastAsia="Times New Roman" w:hAnsi="Times New Roman"/>
          <w:sz w:val="18"/>
          <w:szCs w:val="18"/>
          <w:u w:val="single" w:color="auto"/>
          <w:color w:val="auto"/>
        </w:rPr>
        <w:t>Canaccord</w:t>
      </w:r>
      <w:r>
        <w:rPr>
          <w:rFonts w:ascii="Times New Roman" w:cs="Times New Roman" w:eastAsia="Times New Roman" w:hAnsi="Times New Roman"/>
          <w:sz w:val="18"/>
          <w:szCs w:val="18"/>
          <w:color w:val="auto"/>
        </w:rPr>
        <w:t>”) and certain other underwriters propose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relating to the proposed registered follow-on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Canaccord will act as the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the several underwriters. The undersigned acknowledges that the underwriters are relying on the representations and agreements of the undersigned contained in this lock-up agreement in conducting the Offering and, at a subsequent date, in entering into the Underwriting Agreement and other underwriting arrangements with the Company with respect to the Offering.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recognition of the benefit that the Offering will confer upon the undersigned as a securityholder and/or officer and/or a director of the Company, and for other good and valuable consideration, the receipt and sufficiency of which are hereby acknowledged, the undersigned agrees that, during the period beginning on the date hereof and ending on the date that is 90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(and will cause any immediate family member not to), without the prior written consent of the Representative, which may withhold its consent in its sole discretion, directly or indirectly, (i) sell, offer to sell, contract to sell or lend, effect any short sale or establish or increase a Put Equivalent Position (as defined in Rule 16a-1(h)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 in each case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(ii) make any demand for, or exercise any right with respect to the registration of any of the Lock-Up Securities, or the filing of any registration statement, prospectus or prospectus supplement (or an amendment or supplement thereto) in connection therewith, under the Securities Act of 1933, as amended, (iii) enter into any swap, hedge or any other agreement or any transaction that transfers, in whole or in part, the economic consequence of ownership of the Lock-Up Securities, whether any such swap or transaction is to be settled by delivery of Common Stock or other securities, in cash or otherwise, or (iv) publicly announce the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below, the undersigned may transfer the Lock-Up Securities pursuant to clauses (i) through (vi) below without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in the case of clauses (i) through (v), prior to any such transfer, the Representative receives a signed lock-up agreement, substantially in the form of this lock-up agreement, for the balance of the Lock-Up Period from each donee, trustee, distributee or transferee, as the case may be, (2) in the case of clauses (i) through (v), any such transfer shall not involve a disposition for value, (3) any required public filings or report under Section 16 of the Exchange Act during the Lock-Up Period shall clearly indicate in the footnotes thereto that the such transfer is being made pursuant to the circumstances described below, and (4) the undersigned does not otherwise voluntarily effect any public filing or report regarding such transfers:</w:t>
      </w:r>
    </w:p>
    <w:p>
      <w:pPr>
        <w:spacing w:after="0" w:line="187" w:lineRule="exact"/>
        <w:rPr>
          <w:sz w:val="20"/>
          <w:szCs w:val="20"/>
          <w:color w:val="auto"/>
        </w:rPr>
      </w:pPr>
    </w:p>
    <w:p>
      <w:pPr>
        <w:ind w:firstLine="656"/>
        <w:spacing w:after="0" w:line="284" w:lineRule="auto"/>
        <w:tabs>
          <w:tab w:leader="none" w:pos="8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bona fide gift or gifts, including, without limitation, to a charitable organization or educational institution,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or</w:t>
      </w:r>
    </w:p>
    <w:p>
      <w:pPr>
        <w:spacing w:after="0" w:line="160"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(defined below) of the undersigned, or if the undersigned is a trust, to a trustor, trustee or beneficiary of the trust or to the estate of a trustor, trustee, or beneficiary of such trust;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permitted transferee (defined below);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settlement related to the distribution of assets in connection with the dissolution of marriage or civil union;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to the legal representative, heir, beneficiary or immediate family of the undersigned upon the death of the undersigned; or</w:t>
      </w:r>
    </w:p>
    <w:p>
      <w:pPr>
        <w:spacing w:after="0" w:line="159" w:lineRule="exact"/>
        <w:rPr>
          <w:rFonts w:ascii="Times New Roman" w:cs="Times New Roman" w:eastAsia="Times New Roman" w:hAnsi="Times New Roman"/>
          <w:sz w:val="18"/>
          <w:szCs w:val="18"/>
          <w:color w:val="auto"/>
        </w:rPr>
      </w:pPr>
    </w:p>
    <w:p>
      <w:pPr>
        <w:jc w:val="both"/>
        <w:ind w:firstLine="656"/>
        <w:spacing w:after="0" w:line="258"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merger, consolidation or other similar transaction made to all holders of Common Stock that has been approved by the Company’s board of directors, which results in any person or group of persons becoming the beneficial owners (as defined in Rules 13d-3 and 13d-5 of the Exchange Act) of more than 50%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Common Stock shall remain subject to the provisions of this lock-up agreement.</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further agrees that the foregoing provisions shall be equally applicable to any Common Stock the undersigned may purchase or otherwise receive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Furthermore, notwithstanding the restrictions imposed by this lock-up agreement, the undersigned may, without the prior written consent of the Representative: (a) exercise an option to purchase shares of Common Stock granted under any stock incentive plan of the Company, which plan is described in the prospectus supplement related to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of Common Stock shall continue to be subject to the restrictions on transfer set forth in this lock-up agreement and if the undersigned is required to file a report under Section 16 of the Exchange Act reporting a reduction in beneficial ownership of shares of Common Stock during the Lock-Up Period, the undersigned shall clearly indicate in the footnotes thereto the nature and conditions of such exercise or transfer and no other filing or public announcement shall be made voluntarily during the Lock-Up Period in connection with such exercise or transfer; (b) establish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Common Stock during the Lock-Up Period; (c) transfer or dispose of shares of Common Stock purchased in the Offering from the underwriters or on the open market following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the Exchange Act reporting a reduction in beneficial ownership of shares of Common Stock shall be voluntarily made during the Lock-Up Period; or (d) sell Lock-Up Securities for tax withholding purposes in connection with the vesting of equity awards that are subject to a taxable event upon vesting of the Company’s securities, it being understood that all shares of Common Stock received upon such vesting or transfer will remain subject to the restrictions of this lock-up agreement during the Lock-Up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file a report under the Exchange Act reporting a reduction in beneficial ownership of the undersigned’s Common Stock during the Lock-Up Period related to such disposition, the undersigned shall include a statement in such report to the effect that the filing relates to the satisfaction of tax withholding obligations of the undersigned in connection with such vesting event and no other filing or public announcement shall be made voluntarily during the Lock-Up Period in connection with such vesting or transfer.</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of Common Stock and/or any options or warrants or other rights to acquire Common Stock or any securities exchangeable or exercisable for or convertible into Common Stock, or to acquire other securities or rights ultimately exchangeable or exercisable for or convertible into Common Stock, owned either of record or beneficially by the undersigned, including any rights to receive notice of the Offering.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immediate family member has, directly or indirectly, taken any action designed to or that might reasonably be expected to cause or result in the stabilization or manipulation of the price of any security of the Company to facilitate the sale of the Common Stock The undersigned will not, and will cause any immediate family member not to take, directly or indirectly, any such action.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“permitted transferee” shall mean (a) the members of the undersigned’s immediate family (for purposes of this lock-up agreement, “immediate family” shall mean the spouse, domestic partner, lineal descendant (including adopted and step-children) and his or her spouse, father, mother, the siblings of such person and his or her spouse, or any other person with whom the undersigned has a relationship by blood, marriage or adoption not more remote than first cousin), (b) if the undersigned is a corporation, limited liability company, partnership or other entity, its partners, shareholders, members of, or owners of similar equity interests in the undersigned by way of distribution upon the liquidation and dissolution of the undersigned or (c) any affiliate of the undersigned.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Representative.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its obligations hereunder, upon the earliest to occur, if any, of (i) the Company advising the Representative in writing, prior to the execution of the Underwriting Agreement, that it has determined not to proceed with the Offering, (ii) the executed Underwriting Agreement being terminated prior to the closing of the Offering (other than the provisions thereof that survive termination), and (iii) October 31, 2025, in the event that the Underwriting Agreement has not been executed by such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Securityholder/Director/Officer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-126365</wp:posOffset>
            </wp:positionV>
            <wp:extent cx="3557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line="260" w:lineRule="auto"/>
        <w:rPr>
          <w:sz w:val="20"/>
          <w:szCs w:val="20"/>
          <w:color w:val="auto"/>
        </w:rPr>
      </w:pPr>
      <w:r>
        <w:rPr>
          <w:rFonts w:ascii="Times New Roman" w:cs="Times New Roman" w:eastAsia="Times New Roman" w:hAnsi="Times New Roman"/>
          <w:sz w:val="18"/>
          <w:szCs w:val="18"/>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156845</wp:posOffset>
            </wp:positionV>
            <wp:extent cx="822960" cy="822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50 West Liberty Street, Suite 750</w:t>
            </w:r>
          </w:p>
        </w:tc>
        <w:tc>
          <w:tcPr>
            <w:tcW w:w="25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Reno, Nevada 89501</w:t>
            </w:r>
          </w:p>
        </w:tc>
        <w:tc>
          <w:tcPr>
            <w:tcW w:w="25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A Professional</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Main 775.323.1601</w:t>
            </w:r>
          </w:p>
        </w:tc>
        <w:tc>
          <w:tcPr>
            <w:tcW w:w="25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Law Corporation</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Fax 775.348.7250</w:t>
            </w:r>
          </w:p>
        </w:tc>
        <w:tc>
          <w:tcPr>
            <w:tcW w:w="2540" w:type="dxa"/>
            <w:vAlign w:val="bottom"/>
          </w:tcPr>
          <w:p>
            <w:pPr>
              <w:spacing w:after="0"/>
              <w:rPr>
                <w:sz w:val="20"/>
                <w:szCs w:val="20"/>
                <w:color w:val="auto"/>
              </w:rPr>
            </w:pPr>
          </w:p>
        </w:tc>
      </w:tr>
    </w:tbl>
    <w:p>
      <w:pPr>
        <w:spacing w:after="0" w:line="19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October 6,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Prospectus Supplement to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 the Registration Statement on Form S-3 (Registration No. 333-275559), which was declared effective on November 24, 2023,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 the prospectus supplement to the Registration Statement, dated October 6,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issuance and sale by the Company of 23,000,000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(including 3,000,000 shares of Common Stock issuable by the Company upon exercise of an option to purchase additional shares granted by the Company to the underwriters).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to be sold pursuant to an Underwriting Agreement, dated October 6, 2025, by and between the Company and Canaccord Genuity LLC, as representative of the several underwriters named therein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We have been requested by the Company to render this opinion in connection with the filing of the Form 8-K with respect to the sale and issuance by the Company of the Shares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the opinions in this opinion letter, we have assumed that the issuance of the Shares will not exceed the number of authorized shares. In rendering the opinions expressed below,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such examination, and subject to the qualifications, assumptions and limitations stated herein, it is our opinion that the Shares have been duly authorized by all requisite corporate action on the part of the Company and, upon their issuance, delivery and payment therefor in the manner contemplated by the Registration Statement, Base Prospectus and Prospectus Supplement, and pursuant to the terms of the Underwriting Agreement, the Shares will be validly issued, fully paid and non-assessable.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the opinions in this opinion letter, we have examined and relied on the representations and warranties as to factual matters contained in the Registration Statement, and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in this opinion letter are given as of the date hereof. We assume no obligation to advise you of changes that may hereafter be brought to our attention.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letter as Exhibit 5. 1 to the Form 8-K and further consent to all references to us under the caption “Legal Matters” in the Prospectus Supplement. In giving this consent, we do not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Pricing of $25.0 Million Underwritten Offering of Common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RENO, Nev. (October 6, 2025) — </w:t>
      </w:r>
      <w:r>
        <w:rPr>
          <w:rFonts w:ascii="Times New Roman" w:cs="Times New Roman" w:eastAsia="Times New Roman" w:hAnsi="Times New Roman"/>
          <w:sz w:val="18"/>
          <w:szCs w:val="18"/>
          <w:color w:val="auto"/>
        </w:rPr>
        <w:t>Dragonfly Energy Holdings Corp. (“Dragonfly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today announced the pricing of an underwritten offering of 20,000,000 shares of common stock at a price to the public of $1.25 per share, for gross proceeds of approximately $25.0 million, before deducting underwriting discounts and commissions and other estimated offering expenses. All shares of common stock are being offered by Dragonfly Energy. In addition, Dragonfly Energy has granted the underwriters a 30-day option to purchase up to an additional 3,000,000 shares of its common stock at the public offering price for the common stock, less underwriting discounts and commissions. The offering is expected to close on or about October 7, 2025, subject to the satisfaction of customary closing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the sole bookrunner for the offering. Roth Capital Partners is acting as co-manager for 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intends to use the net proceeds from the offering for working capital and other general corporate purposes, including the repayment of $4.0 million under its term loan agreement, continued investments in initiatives intended to drive near term revenue, and continued strategic investment in next generation battery technologies, including scaling the dry electrode process and its application to solid-state batteries.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(File No. 333-275559) that was declared effective by the Securities and Exchange Commission (“SEC”) on November 24, 2023. A preliminary prospectus supplement and accompanying prospectus relating to the offering has been filed with the SEC and a final prospectus supplement with the final terms of the offering will be filed with the SEC and will be available for free on the SEC’s website, located at www.sec.gov. Copies of the final prospectus supplement and the accompanying prospectus relating to the offering may be obtained, when available, from Canaccord Genuity LLC, Attention: Syndication Department, One Post Office Square, Suite 3000, Boston, Massachusetts 02109, or by telephone at (617) 371-3900, or by email at prospectus@cgf.com.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about the Company’s expectations regarding the satisfaction of customary closing conditions related to the offering and the anticipated use of proceeds therefrom.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Words such as “believe,” “anticipate,” “plan,” “expect,” “intend,” “may,” “goal,” “potential” and similar expressions are intended to identify forward-looking statements, though not all forward-looking statements necessarily contain these identifying words. Among the factors that could cause actual results to differ materially from those indicated in the forward-looking statements are risks and uncertainties associated with market conditions and the satisfaction of customary closing conditions related to the offering, as well as risks and uncertainties associated with the Company’s business and finances in general, including the risks and uncertainties in the section captioned “Risk Factors” in the preliminary prospectus supplement related to the offering that will be filed with the SEC, the Company’s most recently filed Annual Report on Form 10-K and subsequently filed Quarterly Report on Form 10-Q. There can be no assurances that we will be able to complete the offering on the anticipated terms, or at all.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of this press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5"/>
    </w:lvl>
  </w:abstractNum>
  <w:abstractNum w:abstractNumId="4">
    <w:nsid w:val="333AB105"/>
    <w:multiLevelType w:val="hybridMultilevel"/>
    <w:lvl w:ilvl="0">
      <w:lvlJc w:val="left"/>
      <w:lvlText w:val="(%1)"/>
      <w:numFmt w:val="lowerLetter"/>
      <w:start w:val="11"/>
    </w:lvl>
  </w:abstractNum>
  <w:abstractNum w:abstractNumId="5">
    <w:nsid w:val="721DA317"/>
    <w:multiLevelType w:val="hybridMultilevel"/>
    <w:lvl w:ilvl="0">
      <w:lvlJc w:val="left"/>
      <w:lvlText w:val="(%1)"/>
      <w:numFmt w:val="lowerLetter"/>
      <w:start w:val="16"/>
    </w:lvl>
  </w:abstractNum>
  <w:abstractNum w:abstractNumId="6">
    <w:nsid w:val="2443A858"/>
    <w:multiLevelType w:val="hybridMultilevel"/>
    <w:lvl w:ilvl="0">
      <w:lvlJc w:val="left"/>
      <w:lvlText w:val="(%1)"/>
      <w:numFmt w:val="lowerLetter"/>
      <w:start w:val="19"/>
    </w:lvl>
  </w:abstractNum>
  <w:abstractNum w:abstractNumId="7">
    <w:nsid w:val="2D1D5AE9"/>
    <w:multiLevelType w:val="hybridMultilevel"/>
    <w:lvl w:ilvl="0">
      <w:lvlJc w:val="left"/>
      <w:lvlText w:val="(%1)"/>
      <w:numFmt w:val="lowerLetter"/>
      <w:start w:val="25"/>
    </w:lvl>
  </w:abstractNum>
  <w:abstractNum w:abstractNumId="8">
    <w:nsid w:val="6763845E"/>
    <w:multiLevelType w:val="hybridMultilevel"/>
    <w:lvl w:ilvl="0">
      <w:lvlJc w:val="left"/>
      <w:lvlText w:val="(%1)"/>
      <w:numFmt w:val="lowerLetter"/>
      <w:start w:val="27"/>
    </w:lvl>
  </w:abstractNum>
  <w:abstractNum w:abstractNumId="9">
    <w:nsid w:val="75A2A8D4"/>
    <w:multiLevelType w:val="hybridMultilevel"/>
    <w:lvl w:ilvl="0">
      <w:lvlJc w:val="left"/>
      <w:lvlText w:val="(%1)"/>
      <w:numFmt w:val="lowerLetter"/>
      <w:start w:val="30"/>
    </w:lvl>
  </w:abstractNum>
  <w:abstractNum w:abstractNumId="10">
    <w:nsid w:val="8EDBDAB"/>
    <w:multiLevelType w:val="hybridMultilevel"/>
    <w:lvl w:ilvl="0">
      <w:lvlJc w:val="left"/>
      <w:lvlText w:val="%1"/>
      <w:numFmt w:val="lowerRoman"/>
      <w:start w:val="1"/>
    </w:lvl>
    <w:lvl w:ilvl="1">
      <w:lvlJc w:val="left"/>
      <w:lvlText w:val="(%2)"/>
      <w:numFmt w:val="lowerRoman"/>
      <w:start w:val="2"/>
    </w:lvl>
  </w:abstractNum>
  <w:abstractNum w:abstractNumId="11">
    <w:nsid w:val="79838CB2"/>
    <w:multiLevelType w:val="hybridMultilevel"/>
    <w:lvl w:ilvl="0">
      <w:lvlJc w:val="left"/>
      <w:lvlText w:val="(%1)"/>
      <w:numFmt w:val="lowerRoman"/>
      <w:start w:val="3"/>
    </w:lvl>
    <w:lvl w:ilvl="1">
      <w:lvlJc w:val="left"/>
      <w:lvlText w:val="%2"/>
      <w:numFmt w:val="lowerRoman"/>
      <w:start w:val="1"/>
    </w:lvl>
  </w:abstractNum>
  <w:abstractNum w:abstractNumId="12">
    <w:nsid w:val="4353D0CD"/>
    <w:multiLevelType w:val="hybridMultilevel"/>
    <w:lvl w:ilvl="0">
      <w:lvlJc w:val="left"/>
      <w:lvlText w:val="(%1)"/>
      <w:numFmt w:val="lowerLetter"/>
      <w:start w:val="36"/>
    </w:lvl>
  </w:abstractNum>
  <w:abstractNum w:abstractNumId="13">
    <w:nsid w:val="B03E0C6"/>
    <w:multiLevelType w:val="hybridMultilevel"/>
    <w:lvl w:ilvl="0">
      <w:lvlJc w:val="left"/>
      <w:lvlText w:val="(%1)"/>
      <w:numFmt w:val="lowerLetter"/>
      <w:start w:val="38"/>
    </w:lvl>
  </w:abstractNum>
  <w:abstractNum w:abstractNumId="14">
    <w:nsid w:val="189A769B"/>
    <w:multiLevelType w:val="hybridMultilevel"/>
    <w:lvl w:ilvl="0">
      <w:lvlJc w:val="left"/>
      <w:lvlText w:val="(%1)"/>
      <w:numFmt w:val="lowerLetter"/>
      <w:start w:val="41"/>
    </w:lvl>
  </w:abstractNum>
  <w:abstractNum w:abstractNumId="15">
    <w:nsid w:val="54E49EB4"/>
    <w:multiLevelType w:val="hybridMultilevel"/>
    <w:lvl w:ilvl="0">
      <w:lvlJc w:val="left"/>
      <w:lvlText w:val="%1"/>
      <w:numFmt w:val="lowerLetter"/>
      <w:start w:val="1"/>
    </w:lvl>
    <w:lvl w:ilvl="1">
      <w:lvlJc w:val="left"/>
      <w:lvlText w:val="(%2)"/>
      <w:numFmt w:val="lowerLetter"/>
      <w:start w:val="42"/>
    </w:lvl>
  </w:abstractNum>
  <w:abstractNum w:abstractNumId="16">
    <w:nsid w:val="71F32454"/>
    <w:multiLevelType w:val="hybridMultilevel"/>
    <w:lvl w:ilvl="0">
      <w:lvlJc w:val="left"/>
      <w:lvlText w:val="(%1)"/>
      <w:numFmt w:val="lowerLetter"/>
      <w:start w:val="35"/>
    </w:lvl>
    <w:lvl w:ilvl="1">
      <w:lvlJc w:val="left"/>
      <w:lvlText w:val="(%2)"/>
      <w:numFmt w:val="lowerLetter"/>
      <w:start w:val="43"/>
    </w:lvl>
  </w:abstractNum>
  <w:abstractNum w:abstractNumId="17">
    <w:nsid w:val="2CA88611"/>
    <w:multiLevelType w:val="hybridMultilevel"/>
    <w:lvl w:ilvl="0">
      <w:lvlJc w:val="left"/>
      <w:lvlText w:val="(%1)"/>
      <w:numFmt w:val="lowerLetter"/>
      <w:start w:val="46"/>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3"/>
    </w:lvl>
  </w:abstractNum>
  <w:abstractNum w:abstractNumId="20">
    <w:nsid w:val="3A95F874"/>
    <w:multiLevelType w:val="hybridMultilevel"/>
    <w:lvl w:ilvl="0">
      <w:lvlJc w:val="left"/>
      <w:lvlText w:val="%1."/>
      <w:numFmt w:val="decimal"/>
      <w:start w:val="5"/>
    </w:lvl>
    <w:lvl w:ilvl="1">
      <w:lvlJc w:val="left"/>
      <w:lvlText w:val="(%2)"/>
      <w:numFmt w:val="lowerLetter"/>
      <w:start w:val="1"/>
    </w:lvl>
  </w:abstractNum>
  <w:abstractNum w:abstractNumId="21">
    <w:nsid w:val="8138641"/>
    <w:multiLevelType w:val="hybridMultilevel"/>
    <w:lvl w:ilvl="0">
      <w:lvlJc w:val="left"/>
      <w:lvlText w:val="(%1)"/>
      <w:numFmt w:val="lowerLetter"/>
      <w:start w:val="4"/>
    </w:lvl>
  </w:abstractNum>
  <w:abstractNum w:abstractNumId="22">
    <w:nsid w:val="1E7FF521"/>
    <w:multiLevelType w:val="hybridMultilevel"/>
    <w:lvl w:ilvl="0">
      <w:lvlJc w:val="left"/>
      <w:lvlText w:val="%1"/>
      <w:numFmt w:val="lowerRoman"/>
      <w:start w:val="1"/>
    </w:lvl>
    <w:lvl w:ilvl="1">
      <w:lvlJc w:val="left"/>
      <w:lvlText w:val="(%2)"/>
      <w:numFmt w:val="lowerLetter"/>
      <w:start w:val="8"/>
    </w:lvl>
  </w:abstractNum>
  <w:abstractNum w:abstractNumId="23">
    <w:nsid w:val="7C3DBD3D"/>
    <w:multiLevelType w:val="hybridMultilevel"/>
    <w:lvl w:ilvl="0">
      <w:lvlJc w:val="left"/>
      <w:lvlText w:val="(%1)"/>
      <w:numFmt w:val="lowerRoman"/>
      <w:start w:val="9"/>
    </w:lvl>
    <w:lvl w:ilvl="1">
      <w:lvlJc w:val="left"/>
      <w:lvlText w:val="%2"/>
      <w:numFmt w:val="lowerLetter"/>
      <w:start w:val="1"/>
    </w:lvl>
  </w:abstractNum>
  <w:abstractNum w:abstractNumId="24">
    <w:nsid w:val="737B8DDC"/>
    <w:multiLevelType w:val="hybridMultilevel"/>
    <w:lvl w:ilvl="0">
      <w:lvlJc w:val="left"/>
      <w:lvlText w:val="(%1)"/>
      <w:numFmt w:val="lowerLetter"/>
      <w:start w:val="12"/>
    </w:lvl>
  </w:abstractNum>
  <w:abstractNum w:abstractNumId="25">
    <w:nsid w:val="6CEAF08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6">
    <w:nsid w:val="22221A70"/>
    <w:multiLevelType w:val="hybridMultilevel"/>
    <w:lvl w:ilvl="0">
      <w:lvlJc w:val="left"/>
      <w:lvlText w:val="%1"/>
      <w:numFmt w:val="lowerLetter"/>
      <w:start w:val="1"/>
    </w:lvl>
    <w:lvl w:ilvl="1">
      <w:lvlJc w:val="left"/>
      <w:lvlText w:val="(%2)"/>
      <w:numFmt w:val="lowerRoman"/>
      <w:start w:val="2"/>
    </w:lvl>
  </w:abstractNum>
  <w:abstractNum w:abstractNumId="27">
    <w:nsid w:val="4516DDE9"/>
    <w:multiLevelType w:val="hybridMultilevel"/>
    <w:lvl w:ilvl="0">
      <w:lvlJc w:val="left"/>
      <w:lvlText w:val="(%1)"/>
      <w:numFmt w:val="lowerLetter"/>
      <w:start w:val="7"/>
    </w:lvl>
    <w:lvl w:ilvl="1">
      <w:lvlJc w:val="left"/>
      <w:lvlText w:val="%2"/>
      <w:numFmt w:val="lowerRoman"/>
      <w:start w:val="1"/>
    </w:lvl>
  </w:abstractNum>
  <w:abstractNum w:abstractNumId="28">
    <w:nsid w:val="3006C83E"/>
    <w:multiLevelType w:val="hybridMultilevel"/>
    <w:lvl w:ilvl="0">
      <w:lvlJc w:val="left"/>
      <w:lvlText w:val="(%1)"/>
      <w:numFmt w:val="lowerLetter"/>
      <w:start w:val="13"/>
    </w:lvl>
  </w:abstractNum>
  <w:abstractNum w:abstractNumId="29">
    <w:nsid w:val="614FD4A1"/>
    <w:multiLevelType w:val="hybridMultilevel"/>
    <w:lvl w:ilvl="0">
      <w:lvlJc w:val="left"/>
      <w:lvlText w:val="%1."/>
      <w:numFmt w:val="decimal"/>
      <w:start w:val="7"/>
    </w:lvl>
    <w:lvl w:ilvl="1">
      <w:lvlJc w:val="left"/>
      <w:lvlText w:val="(%2)"/>
      <w:numFmt w:val="lowerLetter"/>
      <w:start w:val="1"/>
    </w:lvl>
  </w:abstractNum>
  <w:abstractNum w:abstractNumId="30">
    <w:nsid w:val="419AC241"/>
    <w:multiLevelType w:val="hybridMultilevel"/>
    <w:lvl w:ilvl="0">
      <w:lvlJc w:val="left"/>
      <w:lvlText w:val="%1"/>
      <w:numFmt w:val="lowerLetter"/>
      <w:start w:val="1"/>
    </w:lvl>
    <w:lvl w:ilvl="1">
      <w:lvlJc w:val="left"/>
      <w:lvlText w:val="(%2)"/>
      <w:numFmt w:val="lowerLetter"/>
      <w:start w:val="2"/>
    </w:lvl>
  </w:abstractNum>
  <w:abstractNum w:abstractNumId="31">
    <w:nsid w:val="5577F8E1"/>
    <w:multiLevelType w:val="hybridMultilevel"/>
    <w:lvl w:ilvl="0">
      <w:lvlJc w:val="left"/>
      <w:lvlText w:val="(%1)"/>
      <w:numFmt w:val="lowerLetter"/>
      <w:start w:val="35"/>
    </w:lvl>
    <w:lvl w:ilvl="1">
      <w:lvlJc w:val="left"/>
      <w:lvlText w:val="%2"/>
      <w:numFmt w:val="lowerLetter"/>
      <w:start w:val="1"/>
    </w:lvl>
  </w:abstractNum>
  <w:abstractNum w:abstractNumId="32">
    <w:nsid w:val="440BADFC"/>
    <w:multiLevelType w:val="hybridMultilevel"/>
    <w:lvl w:ilvl="0">
      <w:lvlJc w:val="left"/>
      <w:lvlText w:val="(%1)"/>
      <w:numFmt w:val="lowerLetter"/>
      <w:start w:val="4"/>
    </w:lvl>
  </w:abstractNum>
  <w:abstractNum w:abstractNumId="33">
    <w:nsid w:val="5072367"/>
    <w:multiLevelType w:val="hybridMultilevel"/>
    <w:lvl w:ilvl="0">
      <w:lvlJc w:val="left"/>
      <w:lvlText w:val="%1."/>
      <w:numFmt w:val="decimal"/>
      <w:start w:val="9"/>
    </w:lvl>
  </w:abstractNum>
  <w:abstractNum w:abstractNumId="34">
    <w:nsid w:val="3804823E"/>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5">
    <w:nsid w:val="77465F01"/>
    <w:multiLevelType w:val="hybridMultilevel"/>
    <w:lvl w:ilvl="0">
      <w:lvlJc w:val="left"/>
      <w:lvlText w:val="(%1)"/>
      <w:numFmt w:val="lowerLetter"/>
      <w:start w:val="2"/>
    </w:lvl>
    <w:lvl w:ilvl="1">
      <w:lvlJc w:val="left"/>
      <w:lvlText w:val="%2."/>
      <w:numFmt w:val="decimal"/>
      <w:start w:val="15"/>
    </w:lvl>
    <w:lvl w:ilvl="2">
      <w:lvlJc w:val="left"/>
      <w:lvlText w:val="(%3)"/>
      <w:numFmt w:val="lowerLetter"/>
      <w:start w:val="1"/>
    </w:lvl>
  </w:abstractNum>
  <w:abstractNum w:abstractNumId="36">
    <w:nsid w:val="7724C67E"/>
    <w:multiLevelType w:val="hybridMultilevel"/>
    <w:lvl w:ilvl="0">
      <w:lvlJc w:val="left"/>
      <w:lvlText w:val="%1."/>
      <w:numFmt w:val="decimal"/>
      <w:start w:val="16"/>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2025-10-06T16:10:39Z</dcterms:created>
  <dcterms:modified xsi:type="dcterms:W3CDTF">2025-10-06T16:10:39Z</dcterms:modified>
</cp:coreProperties>
</file>