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3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ectPr>
          <w:pgSz w:w="11900" w:h="16838" w:orient="portrait"/>
          <w:cols w:equalWidth="0" w:num="1">
            <w:col w:w="10380"/>
          </w:cols>
          <w:pgMar w:left="320" w:top="740" w:right="1199" w:bottom="1440" w:gutter="0" w:footer="0" w:header="0"/>
        </w:sectPr>
      </w:pP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(Check one):</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10-K</w:t>
      </w:r>
    </w:p>
    <w:p>
      <w:pPr>
        <w:spacing w:after="0" w:line="70"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N-CEN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w:t>
      </w:r>
    </w:p>
    <w:p>
      <w:pPr>
        <w:spacing w:after="0" w:line="70"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N-CSR</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Form 11-K</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Form 10-Q</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Form 10-D</w:t>
      </w:r>
    </w:p>
    <w:p>
      <w:pPr>
        <w:spacing w:after="0" w:line="435" w:lineRule="exact"/>
        <w:rPr>
          <w:sz w:val="24"/>
          <w:szCs w:val="24"/>
          <w:color w:val="auto"/>
        </w:rPr>
      </w:pPr>
    </w:p>
    <w:p>
      <w:pPr>
        <w:sectPr>
          <w:pgSz w:w="11900" w:h="16838" w:orient="portrait"/>
          <w:cols w:equalWidth="0" w:num="9">
            <w:col w:w="1160" w:space="720"/>
            <w:col w:w="1180" w:space="680"/>
            <w:col w:w="1160" w:space="720"/>
            <w:col w:w="160" w:space="40"/>
            <w:col w:w="940" w:space="720"/>
            <w:col w:w="160" w:space="60"/>
            <w:col w:w="940" w:space="720"/>
            <w:col w:w="160" w:space="60"/>
            <w:col w:w="800"/>
          </w:cols>
          <w:pgMar w:left="320" w:top="740" w:right="1199" w:bottom="1440" w:gutter="0" w:footer="0" w:header="0"/>
          <w:type w:val="continuous"/>
        </w:sectPr>
      </w:pP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Period Ended: March 31, 2025</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Transition Period Ended: _______________________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12915 Old Virginia 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Address of Principal Executive Office </w:t>
      </w:r>
      <w:r>
        <w:rPr>
          <w:rFonts w:ascii="Times New Roman" w:cs="Times New Roman" w:eastAsia="Times New Roman" w:hAnsi="Times New Roman"/>
          <w:sz w:val="18"/>
          <w:szCs w:val="18"/>
          <w:i w:val="1"/>
          <w:iCs w:val="1"/>
          <w:color w:val="auto"/>
        </w:rPr>
        <w:t>(Street and Number)</w:t>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Reno, Nevada 89521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80"/>
          </w:cols>
          <w:pgMar w:left="320" w:top="740" w:right="11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 portion</w:t>
      </w:r>
    </w:p>
    <w:p>
      <w:pPr>
        <w:spacing w:after="0" w:line="27" w:lineRule="exact"/>
        <w:rPr>
          <w:rFonts w:ascii="Times New Roman" w:cs="Times New Roman" w:eastAsia="Times New Roman" w:hAnsi="Times New Roman"/>
          <w:sz w:val="18"/>
          <w:szCs w:val="18"/>
          <w:color w:val="auto"/>
        </w:rPr>
      </w:pPr>
    </w:p>
    <w:p>
      <w:pPr>
        <w:jc w:val="both"/>
        <w:ind w:left="660" w:hanging="652"/>
        <w:spacing w:after="0" w:line="200" w:lineRule="auto"/>
        <w:tabs>
          <w:tab w:leader="none" w:pos="66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00" w:lineRule="exact"/>
        <w:rPr>
          <w:rFonts w:ascii="MS PGothic" w:cs="MS PGothic" w:eastAsia="MS PGothic" w:hAnsi="MS PGothic"/>
          <w:sz w:val="36"/>
          <w:szCs w:val="36"/>
          <w:color w:val="auto"/>
          <w:vertAlign w:val="subscript"/>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 (Attach extra Sheets if Needed)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Dragonfly Energy Holdings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determined that it is unable to file the Form 10-Q for the quarter ended March 31, 2025 (the “</w:t>
      </w:r>
      <w:r>
        <w:rPr>
          <w:rFonts w:ascii="Times New Roman" w:cs="Times New Roman" w:eastAsia="Times New Roman" w:hAnsi="Times New Roman"/>
          <w:sz w:val="18"/>
          <w:szCs w:val="18"/>
          <w:b w:val="1"/>
          <w:bCs w:val="1"/>
          <w:color w:val="auto"/>
        </w:rPr>
        <w:t>Form 10-Q</w:t>
      </w:r>
      <w:r>
        <w:rPr>
          <w:rFonts w:ascii="Times New Roman" w:cs="Times New Roman" w:eastAsia="Times New Roman" w:hAnsi="Times New Roman"/>
          <w:sz w:val="18"/>
          <w:szCs w:val="18"/>
          <w:color w:val="auto"/>
        </w:rPr>
        <w:t>”) within the prescribed time period without unreasonable effort or expense because it requires additional time to complete and finalize the financial statements and certain disclosures to be included in the Form 10-Q.</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intends to file the Form 10-Q within the five-day grace period provided by Rule 12b-25.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tc>
        <w:tc>
          <w:tcPr>
            <w:tcW w:w="24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32"/>
        </w:trPr>
        <w:tc>
          <w:tcPr>
            <w:tcW w:w="7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  Name and telephone number of person to contact in regard to this notification</w:t>
            </w:r>
          </w:p>
        </w:tc>
        <w:tc>
          <w:tcPr>
            <w:tcW w:w="2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Denis Phares</w:t>
            </w:r>
          </w:p>
        </w:tc>
        <w:tc>
          <w:tcPr>
            <w:tcW w:w="3720" w:type="dxa"/>
            <w:vAlign w:val="bottom"/>
            <w:gridSpan w:val="2"/>
          </w:tcPr>
          <w:p>
            <w:pPr>
              <w:jc w:val="right"/>
              <w:ind w:right="1450"/>
              <w:spacing w:after="0"/>
              <w:rPr>
                <w:sz w:val="20"/>
                <w:szCs w:val="20"/>
                <w:color w:val="auto"/>
              </w:rPr>
            </w:pPr>
            <w:r>
              <w:rPr>
                <w:rFonts w:ascii="Times New Roman" w:cs="Times New Roman" w:eastAsia="Times New Roman" w:hAnsi="Times New Roman"/>
                <w:sz w:val="18"/>
                <w:szCs w:val="18"/>
                <w:color w:val="auto"/>
              </w:rPr>
              <w:t>(775)</w:t>
            </w:r>
          </w:p>
        </w:tc>
        <w:tc>
          <w:tcPr>
            <w:tcW w:w="3700" w:type="dxa"/>
            <w:vAlign w:val="bottom"/>
            <w:gridSpan w:val="2"/>
          </w:tcPr>
          <w:p>
            <w:pPr>
              <w:jc w:val="right"/>
              <w:ind w:right="1290"/>
              <w:spacing w:after="0"/>
              <w:rPr>
                <w:sz w:val="20"/>
                <w:szCs w:val="20"/>
                <w:color w:val="auto"/>
              </w:rPr>
            </w:pPr>
            <w:r>
              <w:rPr>
                <w:rFonts w:ascii="Times New Roman" w:cs="Times New Roman" w:eastAsia="Times New Roman" w:hAnsi="Times New Roman"/>
                <w:sz w:val="18"/>
                <w:szCs w:val="18"/>
                <w:color w:val="auto"/>
              </w:rPr>
              <w:t>622-3448</w:t>
            </w:r>
          </w:p>
        </w:tc>
      </w:tr>
      <w:tr>
        <w:trPr>
          <w:trHeight w:val="228"/>
        </w:trPr>
        <w:tc>
          <w:tcPr>
            <w:tcW w:w="340" w:type="dxa"/>
            <w:vAlign w:val="bottom"/>
          </w:tcPr>
          <w:p>
            <w:pPr>
              <w:spacing w:after="0"/>
              <w:rPr>
                <w:sz w:val="19"/>
                <w:szCs w:val="19"/>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w:t>
            </w:r>
          </w:p>
        </w:tc>
        <w:tc>
          <w:tcPr>
            <w:tcW w:w="240" w:type="dxa"/>
            <w:vAlign w:val="bottom"/>
          </w:tcPr>
          <w:p>
            <w:pPr>
              <w:spacing w:after="0"/>
              <w:rPr>
                <w:sz w:val="19"/>
                <w:szCs w:val="19"/>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(Area Code)</w:t>
            </w:r>
          </w:p>
        </w:tc>
        <w:tc>
          <w:tcPr>
            <w:tcW w:w="24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79" w:lineRule="exact"/>
        <w:rPr>
          <w:sz w:val="20"/>
          <w:szCs w:val="20"/>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35" w:lineRule="exact"/>
        <w:rPr>
          <w:sz w:val="20"/>
          <w:szCs w:val="20"/>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21" w:lineRule="exact"/>
        <w:rPr>
          <w:sz w:val="20"/>
          <w:szCs w:val="20"/>
          <w:color w:val="auto"/>
        </w:rPr>
      </w:pPr>
    </w:p>
    <w:p>
      <w:pPr>
        <w:ind w:left="1026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77"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u w:val="single" w:color="auto"/>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16, 2025</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580" w:type="dxa"/>
            <w:vAlign w:val="bottom"/>
          </w:tcPr>
          <w:p>
            <w:pPr>
              <w:spacing w:after="0"/>
              <w:rPr>
                <w:sz w:val="16"/>
                <w:szCs w:val="16"/>
                <w:color w:val="auto"/>
              </w:rPr>
            </w:pPr>
          </w:p>
        </w:tc>
        <w:tc>
          <w:tcPr>
            <w:tcW w:w="4940" w:type="dxa"/>
            <w:vAlign w:val="bottom"/>
            <w:tcBorders>
              <w:top w:val="single" w:sz="8" w:color="auto"/>
            </w:tcBorders>
          </w:tcPr>
          <w:p>
            <w:pPr>
              <w:spacing w:after="0"/>
              <w:rPr>
                <w:sz w:val="16"/>
                <w:szCs w:val="16"/>
                <w:color w:val="auto"/>
              </w:rPr>
            </w:pPr>
          </w:p>
        </w:tc>
        <w:tc>
          <w:tcPr>
            <w:tcW w:w="78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lowerLetter"/>
      <w:start w:val="1"/>
    </w:lvl>
  </w:abstractNum>
  <w:abstractNum w:abstractNumId="2">
    <w:nsid w:val="625558EC"/>
    <w:multiLevelType w:val="hybridMultilevel"/>
    <w:lvl w:ilvl="0">
      <w:lvlJc w:val="left"/>
      <w:lvlText w:val="☒"/>
      <w:numFmt w:val="bullet"/>
      <w:start w:val="1"/>
    </w:lvl>
    <w:lvl w:ilvl="1">
      <w:lvlJc w:val="left"/>
      <w:lvlText w:val="(%2)"/>
      <w:numFmt w:val="lowerLetter"/>
      <w:start w:val="3"/>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2025-05-16T07:32:56Z</dcterms:created>
  <dcterms:modified xsi:type="dcterms:W3CDTF">2025-05-16T07:32:56Z</dcterms:modified>
</cp:coreProperties>
</file>