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19, 2021 (August 13,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r>
        <w:rPr>
          <w:rFonts w:ascii="Arial" w:cs="Arial" w:eastAsia="Arial" w:hAnsi="Arial"/>
          <w:sz w:val="17"/>
          <w:szCs w:val="17"/>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right="1010"/>
              <w:spacing w:after="0"/>
              <w:rPr>
                <w:sz w:val="20"/>
                <w:szCs w:val="20"/>
                <w:color w:val="auto"/>
              </w:rPr>
            </w:pPr>
            <w:r>
              <w:rPr>
                <w:rFonts w:ascii="Arial" w:cs="Arial" w:eastAsia="Arial" w:hAnsi="Arial"/>
                <w:sz w:val="18"/>
                <w:szCs w:val="18"/>
                <w:color w:val="auto"/>
                <w:w w:val="90"/>
              </w:rPr>
              <w:t>001-40730</w:t>
            </w:r>
          </w:p>
        </w:tc>
        <w:tc>
          <w:tcPr>
            <w:tcW w:w="3900" w:type="dxa"/>
            <w:vAlign w:val="bottom"/>
            <w:gridSpan w:val="4"/>
          </w:tcPr>
          <w:p>
            <w:pPr>
              <w:jc w:val="center"/>
              <w:ind w:left="490"/>
              <w:spacing w:after="0"/>
              <w:rPr>
                <w:sz w:val="20"/>
                <w:szCs w:val="20"/>
                <w:color w:val="auto"/>
              </w:rPr>
            </w:pPr>
            <w:r>
              <w:rPr>
                <w:rFonts w:ascii="Arial" w:cs="Arial" w:eastAsia="Arial" w:hAnsi="Arial"/>
                <w:sz w:val="18"/>
                <w:szCs w:val="18"/>
                <w:color w:val="auto"/>
                <w:w w:val="91"/>
              </w:rPr>
              <w:t>85-1873463</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jc w:val="center"/>
              <w:ind w:right="99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jc w:val="center"/>
              <w:ind w:right="47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502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89"/>
              </w:rPr>
              <w:t>17 State Street, 21st Floor</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New York, NY</w:t>
            </w:r>
          </w:p>
        </w:tc>
        <w:tc>
          <w:tcPr>
            <w:tcW w:w="2280" w:type="dxa"/>
            <w:vAlign w:val="bottom"/>
          </w:tcPr>
          <w:p>
            <w:pPr>
              <w:spacing w:after="0"/>
              <w:rPr>
                <w:sz w:val="20"/>
                <w:szCs w:val="20"/>
                <w:color w:val="auto"/>
              </w:rPr>
            </w:pPr>
          </w:p>
        </w:tc>
        <w:tc>
          <w:tcPr>
            <w:tcW w:w="390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10004</w:t>
            </w:r>
          </w:p>
        </w:tc>
        <w:tc>
          <w:tcPr>
            <w:tcW w:w="20" w:type="dxa"/>
            <w:vAlign w:val="bottom"/>
          </w:tcPr>
          <w:p>
            <w:pPr>
              <w:spacing w:after="0"/>
              <w:rPr>
                <w:sz w:val="20"/>
                <w:szCs w:val="20"/>
                <w:color w:val="auto"/>
              </w:rPr>
            </w:pPr>
          </w:p>
        </w:tc>
      </w:tr>
      <w:tr>
        <w:trPr>
          <w:trHeight w:val="224"/>
        </w:trPr>
        <w:tc>
          <w:tcPr>
            <w:tcW w:w="20" w:type="dxa"/>
            <w:vAlign w:val="bottom"/>
            <w:tcBorders>
              <w:top w:val="single" w:sz="8" w:color="auto"/>
            </w:tcBorders>
          </w:tcPr>
          <w:p>
            <w:pPr>
              <w:spacing w:after="0"/>
              <w:rPr>
                <w:sz w:val="19"/>
                <w:szCs w:val="19"/>
                <w:color w:val="auto"/>
              </w:rPr>
            </w:pPr>
          </w:p>
        </w:tc>
        <w:tc>
          <w:tcPr>
            <w:tcW w:w="7300" w:type="dxa"/>
            <w:vAlign w:val="bottom"/>
            <w:tcBorders>
              <w:top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20" w:type="dxa"/>
            <w:vAlign w:val="bottom"/>
            <w:tcBorders>
              <w:top w:val="single" w:sz="8" w:color="auto"/>
            </w:tcBorders>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324"/>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324"/>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480" w:firstLine="89"/>
        <w:spacing w:after="0" w:line="498" w:lineRule="auto"/>
        <w:tabs>
          <w:tab w:leader="none" w:pos="40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6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6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Units, consisting of one share of Common Stock, par value $0.0001 per share, and three-</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quarters of one Redeemable Warrant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CNTQU</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6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par value $0.0001 per share, included as part of the Units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CNTQ</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66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Redeemable Warrants included as part of the Units, each exercisable for one share of</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Stock for $11.50 per share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CNTQW</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8.01 is incorporated into this Item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previously disclosed on a Current Report on Form 8-K, on August 13, 2021,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consummated its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of 11,000,000 units (the “</w:t>
      </w:r>
      <w:r>
        <w:rPr>
          <w:rFonts w:ascii="Arial" w:cs="Arial" w:eastAsia="Arial" w:hAnsi="Arial"/>
          <w:sz w:val="18"/>
          <w:szCs w:val="18"/>
          <w:b w:val="1"/>
          <w:bCs w:val="1"/>
          <w:color w:val="auto"/>
        </w:rPr>
        <w:t>Units</w:t>
      </w:r>
      <w:r>
        <w:rPr>
          <w:rFonts w:ascii="Arial" w:cs="Arial" w:eastAsia="Arial" w:hAnsi="Arial"/>
          <w:sz w:val="18"/>
          <w:szCs w:val="18"/>
          <w:color w:val="auto"/>
        </w:rPr>
        <w:t>”). The Units were sold at a price of $10.00 per Unit, generating gross proceeds to the Company of $110,000,000.</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Simultaneously with the consummation of the IPO, the Company completed the private sale (the “</w:t>
      </w:r>
      <w:r>
        <w:rPr>
          <w:rFonts w:ascii="Arial" w:cs="Arial" w:eastAsia="Arial" w:hAnsi="Arial"/>
          <w:sz w:val="18"/>
          <w:szCs w:val="18"/>
          <w:b w:val="1"/>
          <w:bCs w:val="1"/>
          <w:color w:val="auto"/>
        </w:rPr>
        <w:t>Private Placement</w:t>
      </w:r>
      <w:r>
        <w:rPr>
          <w:rFonts w:ascii="Arial" w:cs="Arial" w:eastAsia="Arial" w:hAnsi="Arial"/>
          <w:sz w:val="18"/>
          <w:szCs w:val="18"/>
          <w:color w:val="auto"/>
        </w:rPr>
        <w:t>”) of an aggregate of 4,361,456 warrants (the “</w:t>
      </w:r>
      <w:r>
        <w:rPr>
          <w:rFonts w:ascii="Arial" w:cs="Arial" w:eastAsia="Arial" w:hAnsi="Arial"/>
          <w:sz w:val="18"/>
          <w:szCs w:val="18"/>
          <w:b w:val="1"/>
          <w:bCs w:val="1"/>
          <w:color w:val="auto"/>
        </w:rPr>
        <w:t>Private Warrants</w:t>
      </w:r>
      <w:r>
        <w:rPr>
          <w:rFonts w:ascii="Arial" w:cs="Arial" w:eastAsia="Arial" w:hAnsi="Arial"/>
          <w:sz w:val="18"/>
          <w:szCs w:val="18"/>
          <w:color w:val="auto"/>
        </w:rPr>
        <w:t>”) to Chardan NexTech 2 Warrant Holdings LLC, a Delaware limited liability company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Holdings</w:t>
      </w:r>
      <w:r>
        <w:rPr>
          <w:rFonts w:ascii="Arial" w:cs="Arial" w:eastAsia="Arial" w:hAnsi="Arial"/>
          <w:sz w:val="18"/>
          <w:szCs w:val="18"/>
          <w:color w:val="auto"/>
        </w:rPr>
        <w:t>”), at a purchase price of $0.93 per Private Warrant, generating gross proceeds to the Company of $4,052,000.</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audited balance sheet as of August 13, 2021, reflecting receipt of the proceeds upon consummation of the IPO and the Private Placement, have been issued by the Company and is included as Exhibit 99.1 to this Current Report on Form 8-K.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18, 2021, the Company issued a press release announcing that the underwriters of the IPO had exercised their over-allotment option in full on August 16, 2021, a copy of which is attached as Exhibit 99.2 to this Current Report on Form 8-K. The closing of the issuance and sale of the additional Units (the “</w:t>
      </w:r>
      <w:r>
        <w:rPr>
          <w:rFonts w:ascii="Arial" w:cs="Arial" w:eastAsia="Arial" w:hAnsi="Arial"/>
          <w:sz w:val="17"/>
          <w:szCs w:val="17"/>
          <w:b w:val="1"/>
          <w:bCs w:val="1"/>
          <w:color w:val="auto"/>
        </w:rPr>
        <w:t>Over-Allotment Option Units</w:t>
      </w:r>
      <w:r>
        <w:rPr>
          <w:rFonts w:ascii="Arial" w:cs="Arial" w:eastAsia="Arial" w:hAnsi="Arial"/>
          <w:sz w:val="17"/>
          <w:szCs w:val="17"/>
          <w:color w:val="auto"/>
        </w:rPr>
        <w:t>”) occurred on August 18, 2021. A total aggregate issuance by the Company of 1,650,000 Over-Allotment Option Units at a price of $10.00 per Over-allotment Option Unit resulted in total gross proceeds of $16,500,000 to the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Simultaneously with the sale of the Over-Allotment Option Units, the Company consummated the private sale of an additional 266,402 Private Warrants (the “</w:t>
      </w:r>
      <w:r>
        <w:rPr>
          <w:rFonts w:ascii="Arial" w:cs="Arial" w:eastAsia="Arial" w:hAnsi="Arial"/>
          <w:sz w:val="18"/>
          <w:szCs w:val="18"/>
          <w:b w:val="1"/>
          <w:bCs w:val="1"/>
          <w:color w:val="auto"/>
        </w:rPr>
        <w:t>Additional Private Warrants</w:t>
      </w:r>
      <w:r>
        <w:rPr>
          <w:rFonts w:ascii="Arial" w:cs="Arial" w:eastAsia="Arial" w:hAnsi="Arial"/>
          <w:sz w:val="18"/>
          <w:szCs w:val="18"/>
          <w:color w:val="auto"/>
        </w:rPr>
        <w:t>”) at a price of $0.93 per Additional Private Warrant to Warrant Holdings generating gross proceeds of $247,500. The Additional Private Warrants were issued pursuant to Section 4(a)(2) of the Securities Act of 1933, as amended, as the transactions did not involve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auto"/>
        </w:rPr>
        <w:t>On of August 18, 2021, a total of $16,747,500, comprised of the proceeds of the sale of the Private Warrants and the Additional Private Warrants, was added to the Company’s U.S.-based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maintained by Continental Stock Transfer &amp; Trust Company, acting as trustee.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August 18, 2021, the balance of the Trust Account was $128,397,500. Except with respect to interest earned on the funds held in the Trust Account that may be released to the Company to pay its taxes, if any, and up to $100,000 of interest that may be needed to pay dissolution expenses, the funds held in the Trust Account will not be released from the Trust Account until the earliest of (i) the completion of the Company’s initial business combination within 12 months (or up to 18 months, as applicable) from the closing of the IPO and (ii) a redemption to public stockholders prior to any voluntary winding-up in the event the Company does not consummate its initial business combination within the applicable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No.</w:t>
            </w:r>
          </w:p>
        </w:tc>
        <w:tc>
          <w:tcPr>
            <w:tcW w:w="10440" w:type="dxa"/>
            <w:vAlign w:val="bottom"/>
            <w:gridSpan w:val="4"/>
          </w:tcPr>
          <w:p>
            <w:pPr>
              <w:ind w:left="220"/>
              <w:spacing w:after="0"/>
              <w:rPr>
                <w:sz w:val="20"/>
                <w:szCs w:val="20"/>
                <w:color w:val="auto"/>
              </w:rPr>
            </w:pPr>
            <w:r>
              <w:rPr>
                <w:rFonts w:ascii="Arial" w:cs="Arial" w:eastAsia="Arial" w:hAnsi="Arial"/>
                <w:sz w:val="18"/>
                <w:szCs w:val="18"/>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Audited Balance Sheet as of August 13, 2021</w:t>
              </w:r>
            </w:hyperlink>
          </w:p>
        </w:tc>
        <w:tc>
          <w:tcPr>
            <w:tcW w:w="6940" w:type="dxa"/>
            <w:vAlign w:val="bottom"/>
            <w:tcBorders>
              <w:top w:val="single" w:sz="8" w:color="auto"/>
            </w:tcBorders>
          </w:tcPr>
          <w:p>
            <w:pPr>
              <w:spacing w:after="0"/>
              <w:rPr>
                <w:sz w:val="14"/>
                <w:szCs w:val="14"/>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480" w:type="dxa"/>
            <w:vAlign w:val="bottom"/>
          </w:tcPr>
          <w:p>
            <w:pPr>
              <w:spacing w:after="0"/>
              <w:rPr>
                <w:sz w:val="17"/>
                <w:szCs w:val="17"/>
                <w:color w:val="auto"/>
              </w:rPr>
            </w:pPr>
          </w:p>
        </w:tc>
        <w:tc>
          <w:tcPr>
            <w:tcW w:w="10440" w:type="dxa"/>
            <w:vAlign w:val="bottom"/>
            <w:gridSpan w:val="4"/>
          </w:tcPr>
          <w:p>
            <w:pPr>
              <w:ind w:left="22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Press Release dated August 18, 2021</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380" w:type="dxa"/>
            <w:vAlign w:val="bottom"/>
            <w:shd w:val="clear" w:color="auto" w:fill="CCEEFF"/>
          </w:tcPr>
          <w:p>
            <w:pPr>
              <w:ind w:left="5080"/>
              <w:spacing w:after="0"/>
              <w:rPr>
                <w:sz w:val="20"/>
                <w:szCs w:val="20"/>
                <w:color w:val="auto"/>
              </w:rPr>
            </w:pPr>
            <w:r>
              <w:rPr>
                <w:rFonts w:ascii="Arial" w:cs="Arial" w:eastAsia="Arial" w:hAnsi="Arial"/>
                <w:sz w:val="18"/>
                <w:szCs w:val="18"/>
                <w:color w:val="auto"/>
              </w:rPr>
              <w:t>F-2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Balance Sheet as of August 13, 2021</w:t>
            </w:r>
          </w:p>
        </w:tc>
        <w:tc>
          <w:tcPr>
            <w:tcW w:w="6380" w:type="dxa"/>
            <w:vAlign w:val="bottom"/>
          </w:tcPr>
          <w:p>
            <w:pPr>
              <w:ind w:left="5080"/>
              <w:spacing w:after="0"/>
              <w:rPr>
                <w:sz w:val="20"/>
                <w:szCs w:val="20"/>
                <w:color w:val="auto"/>
              </w:rPr>
            </w:pPr>
            <w:r>
              <w:rPr>
                <w:rFonts w:ascii="Arial" w:cs="Arial" w:eastAsia="Arial" w:hAnsi="Arial"/>
                <w:sz w:val="18"/>
                <w:szCs w:val="18"/>
                <w:color w:val="auto"/>
              </w:rPr>
              <w:t>F-3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w:t>
            </w:r>
          </w:p>
        </w:tc>
        <w:tc>
          <w:tcPr>
            <w:tcW w:w="6380" w:type="dxa"/>
            <w:vAlign w:val="bottom"/>
            <w:shd w:val="clear" w:color="auto" w:fill="CCEEFF"/>
          </w:tcPr>
          <w:p>
            <w:pPr>
              <w:ind w:left="5080"/>
              <w:spacing w:after="0"/>
              <w:rPr>
                <w:sz w:val="20"/>
                <w:szCs w:val="20"/>
                <w:color w:val="auto"/>
              </w:rPr>
            </w:pPr>
            <w:r>
              <w:rPr>
                <w:rFonts w:ascii="Arial" w:cs="Arial" w:eastAsia="Arial" w:hAnsi="Arial"/>
                <w:sz w:val="18"/>
                <w:szCs w:val="18"/>
                <w:color w:val="auto"/>
              </w:rPr>
              <w:t>F-4</w:t>
            </w:r>
          </w:p>
        </w:tc>
      </w:tr>
      <w:tr>
        <w:trPr>
          <w:trHeight w:val="648"/>
        </w:trPr>
        <w:tc>
          <w:tcPr>
            <w:tcW w:w="48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40"/>
          </w:cols>
          <w:pgMar w:left="320" w:top="33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August 13, 2021, and the related notes (collectively referred to as the "financial statement"). In our opinion, the financial statement presents fairly, in all material respects, the financial position of the Company as of August 13,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19,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780" w:type="dxa"/>
            <w:vAlign w:val="bottom"/>
          </w:tcPr>
          <w:p>
            <w:pPr>
              <w:jc w:val="center"/>
              <w:ind w:left="2370"/>
              <w:spacing w:after="0"/>
              <w:rPr>
                <w:sz w:val="20"/>
                <w:szCs w:val="20"/>
                <w:color w:val="auto"/>
              </w:rPr>
            </w:pPr>
            <w:r>
              <w:rPr>
                <w:rFonts w:ascii="Arial" w:cs="Arial" w:eastAsia="Arial" w:hAnsi="Arial"/>
                <w:sz w:val="18"/>
                <w:szCs w:val="18"/>
                <w:b w:val="1"/>
                <w:bCs w:val="1"/>
                <w:color w:val="auto"/>
              </w:rPr>
              <w:t>CHARDAN NEXTECH ACQUISITION 2 CORP.</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BALANCE SHEET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80" w:type="dxa"/>
            <w:vAlign w:val="bottom"/>
          </w:tcPr>
          <w:p>
            <w:pPr>
              <w:jc w:val="center"/>
              <w:ind w:left="2390"/>
              <w:spacing w:after="0"/>
              <w:rPr>
                <w:sz w:val="20"/>
                <w:szCs w:val="20"/>
                <w:color w:val="auto"/>
              </w:rPr>
            </w:pPr>
            <w:r>
              <w:rPr>
                <w:rFonts w:ascii="Arial" w:cs="Arial" w:eastAsia="Arial" w:hAnsi="Arial"/>
                <w:sz w:val="18"/>
                <w:szCs w:val="18"/>
                <w:b w:val="1"/>
                <w:bCs w:val="1"/>
                <w:color w:val="auto"/>
                <w:w w:val="93"/>
              </w:rPr>
              <w:t>AUGUST 13, 2021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1,906,239</w:t>
            </w:r>
          </w:p>
        </w:tc>
      </w:tr>
      <w:tr>
        <w:trPr>
          <w:trHeight w:val="210"/>
        </w:trPr>
        <w:tc>
          <w:tcPr>
            <w:tcW w:w="8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1,906,239</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Cash held in trust account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111,650,000</w:t>
            </w:r>
          </w:p>
        </w:tc>
      </w:tr>
      <w:tr>
        <w:trPr>
          <w:trHeight w:val="223"/>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113,556,239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offering costs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368,390</w:t>
            </w:r>
          </w:p>
        </w:tc>
      </w:tr>
      <w:tr>
        <w:trPr>
          <w:trHeight w:val="216"/>
        </w:trPr>
        <w:tc>
          <w:tcPr>
            <w:tcW w:w="8780" w:type="dxa"/>
            <w:vAlign w:val="bottom"/>
          </w:tcPr>
          <w:p>
            <w:pPr>
              <w:ind w:left="120"/>
              <w:spacing w:after="0"/>
              <w:rPr>
                <w:sz w:val="20"/>
                <w:szCs w:val="20"/>
                <w:color w:val="auto"/>
              </w:rPr>
            </w:pPr>
            <w:r>
              <w:rPr>
                <w:rFonts w:ascii="Arial" w:cs="Arial" w:eastAsia="Arial" w:hAnsi="Arial"/>
                <w:sz w:val="18"/>
                <w:szCs w:val="18"/>
                <w:color w:val="auto"/>
              </w:rPr>
              <w:t>Promissory note - related party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155,000</w:t>
            </w:r>
          </w:p>
        </w:tc>
      </w:tr>
      <w:tr>
        <w:trPr>
          <w:trHeight w:val="21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to Sponsor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37,370</w:t>
            </w:r>
          </w:p>
        </w:tc>
      </w:tr>
      <w:tr>
        <w:trPr>
          <w:trHeight w:val="229"/>
        </w:trPr>
        <w:tc>
          <w:tcPr>
            <w:tcW w:w="8780" w:type="dxa"/>
            <w:vAlign w:val="bottom"/>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r>
      <w:tr>
        <w:trPr>
          <w:trHeight w:val="209"/>
        </w:trPr>
        <w:tc>
          <w:tcPr>
            <w:tcW w:w="8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561,840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liabilities</w:t>
            </w: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5,233,747</w:t>
            </w:r>
          </w:p>
        </w:tc>
        <w:tc>
          <w:tcPr>
            <w:tcW w:w="100" w:type="dxa"/>
            <w:vAlign w:val="bottom"/>
            <w:tcBorders>
              <w:bottom w:val="single" w:sz="8" w:color="CCEEFF"/>
            </w:tcBorders>
          </w:tcPr>
          <w:p>
            <w:pPr>
              <w:spacing w:after="0"/>
              <w:rPr>
                <w:sz w:val="18"/>
                <w:szCs w:val="18"/>
                <w:color w:val="auto"/>
              </w:rPr>
            </w:pPr>
          </w:p>
        </w:tc>
      </w:tr>
      <w:tr>
        <w:trPr>
          <w:trHeight w:val="209"/>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5,795,587</w:t>
            </w:r>
          </w:p>
        </w:tc>
        <w:tc>
          <w:tcPr>
            <w:tcW w:w="100" w:type="dxa"/>
            <w:vAlign w:val="bottom"/>
            <w:shd w:val="clear" w:color="auto" w:fill="CCEEFF"/>
          </w:tcPr>
          <w:p>
            <w:pPr>
              <w:spacing w:after="0"/>
              <w:rPr>
                <w:sz w:val="18"/>
                <w:szCs w:val="18"/>
                <w:color w:val="auto"/>
              </w:rPr>
            </w:pPr>
          </w:p>
        </w:tc>
      </w:tr>
      <w:tr>
        <w:trPr>
          <w:trHeight w:val="210"/>
        </w:trPr>
        <w:tc>
          <w:tcPr>
            <w:tcW w:w="8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subject to possible redemption, 10,124,202 shares at redemption value ($10.15 per share)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102,760,650</w:t>
            </w: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Common stock, $0.0001 par value; 50,000,000 shares authorized; 4,038,298 shares issued and outstanding (excluding 10,124,202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subject to possible redemption)(1)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6,204,399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(1,204,802)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5,000,002</w:t>
      </w:r>
    </w:p>
    <w:p>
      <w:pPr>
        <w:spacing w:after="0" w:line="43" w:lineRule="exact"/>
        <w:rPr>
          <w:sz w:val="20"/>
          <w:szCs w:val="20"/>
          <w:color w:val="auto"/>
        </w:rPr>
      </w:pPr>
    </w:p>
    <w:p>
      <w:pPr>
        <w:ind w:left="340" w:hanging="337"/>
        <w:spacing w:after="0"/>
        <w:tabs>
          <w:tab w:leader="none" w:pos="340" w:val="left"/>
        </w:tabs>
        <w:numPr>
          <w:ilvl w:val="0"/>
          <w:numId w:val="2"/>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113,556,239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79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440"/>
            <w:col w:w="1340"/>
          </w:cols>
          <w:pgMar w:left="320" w:top="904" w:right="339" w:bottom="1440" w:gutter="0" w:footer="0" w:header="0"/>
          <w:type w:val="continuous"/>
        </w:sectPr>
      </w:pPr>
    </w:p>
    <w:p>
      <w:pPr>
        <w:spacing w:after="0" w:line="122" w:lineRule="exact"/>
        <w:rPr>
          <w:sz w:val="20"/>
          <w:szCs w:val="20"/>
          <w:color w:val="auto"/>
        </w:rPr>
      </w:pPr>
    </w:p>
    <w:p>
      <w:pPr>
        <w:ind w:firstLine="8"/>
        <w:spacing w:after="0" w:line="221" w:lineRule="auto"/>
        <w:tabs>
          <w:tab w:leader="none" w:pos="221"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Includes up to 412,500 shares of common stock subject to forfeiture if the over-allotment option is not exercised in full or in part by the underwriter (see Note 5). On August 18, 2021, the underwriters fully exercised the over-allotment option (see Note 10).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Chardan NexTech Acquisition 2 Corp (the “Company”) is a blank check company incorporated in the Delaware on June 23, 2020. The Company was formed for the purpose of entering into a merger, capital stock exchange, asset acquisition, stock purchase, reorganization or similar business combination with one or more businesses (a “Business Combination”).</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13, 2021, the Company had not yet commenced any operations. All activity for the period from June 23, 2020 (inception) through August 13, 2021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will generate non-operating income in the form of interest income from the proceeds derived from the Initial Public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10, 2021. On August 13, 2021, the Company consummated the Initial Public Offering of 11,000,000 units (the “Units” and, with respect to the shares of common stock included in the Units sold, the “Public Shares”), at $10.00 per Unit, generating gross proceeds of $110,000,000, which is described in Note 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units (the “Private Placement Warrants”) at a price of $0.93 per Private Unit in a private placement to Chardan NexTech Investments 2 LLC (the “Sponsor”), generating gross proceeds of $4,052,000, which is described in Note 4.</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Transaction costs amounted to $1,080,141 consisting of $500,000 of underwriting fees and $580,141 of other offering costs. In addition, cash of $1,906,239 was held outside of the Trust Account (as defined below) and is available for the payment of offering costs and for working capital purposes..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Initial Public Offering on August 13, 2021, an amount of $111,650,000 from the net proceeds of the sale of the Units in the Initial Public Offering and the sale of the Private Placement Warrants was placed in the trust account (the "Trust Account") and will be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2022,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 is presented in conformity with accounting principles generally accepted in the United States of America (“GAAP”) and pursuant to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 in conformity with GAAP requires the Company’s management to make estimates and assumptions that affect the reported amounts of assets and liabilities and disclosure of contingent assets and liabilities at the date of the financial statement.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this financial statement is the determination of the fair value of the warrant liabilities. Such estimates may be subject to change as more current information becomes available and, accordingly, the actual results could differ significantly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August 13,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Held in Trust Account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2021, the Company had $111,650,000 in cash held in the Trust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accounts for its common stock subject to possible redemption in accordance with the guidance in ASC Topic 480, </w:t>
      </w:r>
      <w:r>
        <w:rPr>
          <w:rFonts w:ascii="Arial" w:cs="Arial" w:eastAsia="Arial" w:hAnsi="Arial"/>
          <w:sz w:val="16"/>
          <w:szCs w:val="16"/>
          <w:i w:val="1"/>
          <w:iCs w:val="1"/>
          <w:color w:val="auto"/>
        </w:rPr>
        <w:t>Distinguishing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Equity</w:t>
      </w:r>
      <w:r>
        <w:rPr>
          <w:rFonts w:ascii="Arial" w:cs="Arial" w:eastAsia="Arial" w:hAnsi="Arial"/>
          <w:sz w:val="16"/>
          <w:szCs w:val="16"/>
          <w:color w:val="auto"/>
        </w:rPr>
        <w:t>. Shares of common stock subject to mandatory redemption are classified as a liability instrument and are measured at fair value. Conditionally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redeemable common stock (including common stock that features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common stock features certain redemption rights that are considered to be outside of the Company’s control and subject to the occurrence of uncertain future events. As of August 13, 2021, 10,124,202 shares of common stock subject to possible redemption are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will account for the Private Placement Warrants issued concurrently in connection with the Initial Public Offering in accordance with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(“ASC 815”), under which the Private Placement Warrants will not meet the criteria for equity classification and must be recorded as liabilities. As the Private Placement Warrants meet the definition of a derivative as contemplated in ASC 815, the Private Placement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Warrants will be measured at fair value at inception and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with changes in fair value recognized in the statements of operations in the period of change.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have been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complies with the requirements of ASC 340-10-S99-1 and SEC Staff Accounting Bulletin Topic 5A - </w:t>
      </w:r>
      <w:r>
        <w:rPr>
          <w:rFonts w:ascii="Arial" w:cs="Arial" w:eastAsia="Arial" w:hAnsi="Arial"/>
          <w:sz w:val="16"/>
          <w:szCs w:val="16"/>
          <w:i w:val="1"/>
          <w:iCs w:val="1"/>
          <w:color w:val="auto"/>
        </w:rPr>
        <w:t>Expenses of Offering</w:t>
      </w:r>
      <w:r>
        <w:rPr>
          <w:rFonts w:ascii="Arial" w:cs="Arial" w:eastAsia="Arial" w:hAnsi="Arial"/>
          <w:sz w:val="16"/>
          <w:szCs w:val="16"/>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$1,080,141 as a result of the Initial Public Offering (consisting of $500,000 of underwriting fees and $580,141 of other offering costs). The Company recorded $1,059,546 of offering costs as a reduction of equity in connection with the common stock included in the Private Placement Warrants. The Company immediately expensed $20,595 of offering costs in connection with the Private Placement Warrants (as defined in Note 4) that were classified as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complies with the accounting and reporting requirements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August 13, 2021.</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August 13,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The Company has not experienced losses on this account and management believes the Company is not exposed to significant risks on such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applies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and Other Options (Subtopic 470-20) and Derivatives and Hedging — Contracts in Entity’s Own Equity (Subtopic 815-40) </w:t>
      </w:r>
      <w:r>
        <w:rPr>
          <w:rFonts w:ascii="Arial" w:cs="Arial" w:eastAsia="Arial" w:hAnsi="Arial"/>
          <w:sz w:val="17"/>
          <w:szCs w:val="17"/>
          <w:color w:val="auto"/>
        </w:rPr>
        <w:t>(“ASU 2020-06”) to</w:t>
      </w:r>
      <w:r>
        <w:rPr>
          <w:rFonts w:ascii="Arial" w:cs="Arial" w:eastAsia="Arial" w:hAnsi="Arial"/>
          <w:sz w:val="17"/>
          <w:szCs w:val="17"/>
          <w:i w:val="1"/>
          <w:iCs w:val="1"/>
          <w:color w:val="auto"/>
        </w:rPr>
        <w:t xml:space="preserve"> </w:t>
      </w:r>
      <w:r>
        <w:rPr>
          <w:rFonts w:ascii="Arial" w:cs="Arial" w:eastAsia="Arial" w:hAnsi="Arial"/>
          <w:sz w:val="17"/>
          <w:szCs w:val="17"/>
          <w:color w:val="auto"/>
        </w:rPr>
        <w:t>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Initial Public Offering, the Company sold 11,000,000 Units, at a purchase price of $10.00 per Unit. Each Unit consists of one share of common stock, $0.0001 par value, and three-quarters of one redeemable warrant ("Public Warrant"). Each Public Warrant entitles the holder to purchase one share of common stock at an exercise price of $11.50 per whole share (see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4,361,456 Private Warrants at a price of $0.93 per Private Unit ($4,052,000 in the aggregate). Each Private Warrant is exercisable to purchase one share of common stock at a price of $11.50 per share. Each Private Warrant entitles the holder to purchase one share of common stock at an exercise price of $11.50 per whole share (see Note 7). The proceeds from the sale of the Private Warrants were added to the net proceeds from the Initial Public Offering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Placement Warrants will expire worthless. The Company classifies the outstanding Private Placement Warrants as warrant liabilities on the Balance Sheet in accordance with the guidance contained in ASC 815-40.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18, 2021, in connection with the full exercise of the underwriters’ over-allotment option (see Note 6), the Sponsor purchased an aggregate of 266,402 additional Private Placement Units at a purchase price of $0.93 per Private Placement Unit (see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On August 10, 2021, the Company effectuated a 1.1-for-1 stock split, resulting in an aggregate of 3,162,500 shares of common stock outstanding (see Note 8). The Founder Shares include an aggregate of up to 412,500 shares of common stock subject to forfeiture by the initial stockholders to the extent that the underwriters’ over-allotment is not exercised in full or in part, so that the initial stockholders will collectively own, on an as-converted basis, 20% of the Company’s issued and outstanding shares after the Initial Public Offering (assuming the Sponsor does not purchase any Public Shares in the Initial Public Offering).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Sponsor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Sponsor has paid an aggregate of $37,370 to cover certain offering costs on behalf of the Company. The outstanding balance is due on-demand.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Notes—Related Party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Initial Public Offering pursuant to a promissory note (the “Promissory Note”). Per Amendment No. 1 of the Promissory Note agreement signed on June 29, 2021, the Promissory Note is non-interest bearing and payable entirely on September 30, 2021. As of August 13, 2021, there was $155,000 outstanding under the Promissory Note.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entered into an agreement, commencing on August 10, 2021, to pay an affiliate of the Sponsor a total of $10,000 per month for office space, administrative and support services. Upon completion of a Business Combination or liquidation, the Company will cease paying these monthly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August 13, 2021, there were no borrowings under these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a registration rights agreement entered into on August 10, 2021, 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(see Note 10). In addition, the underwriters were paid a cash underwriting discount of $500,000 upon the closing of the Initial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$1,100,000, or $1,265,000 if the underwriters’ over-allotment option is exercised in full ($0.10 per share in either case, or an aggregate of $2,200,000 (or $2,530,000 if the over-allotment option is exercised in full)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whole Public Warrant will entitle the holder to purchase one share of common stock at an exercise price of $11.50 per whole share. The Sponsor, Chardan NexTech Investments 2 LLC, has agreed to purchase an aggregate of 4,361,456 Private Warrants at a price of per Private Warrant, for an aggregate purchase price of $4,052,000 in the private placement that occured simultaneously with the closing of the Initial Public Offering.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accounted for the 4,361,456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changes in fair value are not recognized as long as the contracts continue to be classified in equity.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—At August 13, 2021, the Company had no issued or outstanding shares of preferred stock. The Company’s Amended and Restated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authorizes 1,000,000 shares of preferred stock with a par value of $0.0001 per share with such designations, voting and other rights and preferences as may be determined from time to time by the Company’s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36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The Company is authorized to issue 50,000,000 shares of common stock with a par value of $0.0001 per share. At August 13,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were 4,038,298 shares of common stock issued and outstanding, excluding 124,202 shares of common stock subject to possible redemption. The common stock includes an aggregate of up to 412,500 shares of common stock that are subject to forfeiture by the Sponsor to the extent that the underwriters’ over-allotment option is not exercised in full or in part, so that the Sponsor would own, on an as-converted basis, 20% of the Company’s issued and outstanding shares after the Initial Public Offering (assuming the Sponsor did not purchase any Public Shares in the Initial Public Offering). On August 18, 2021, the underwriters fully exercised the over-allotment option to purchase an additional 1,650,000 Units at an offering price of $10.00 per Units for an aggregate purchase price of $16,500,000 (see Note 10).</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financial liabilities that are measured at fair value on a recurring basis as of August 13, 2021,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 at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2</w:t>
            </w: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August 13,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liabilities – Private Warrants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5,233,747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5,233,747</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utilizes a Black-Scholes method to value the Private Warrants at each reporting period, with changes in fair value recognized in the statement of operations. The estimated fair value of the warrant liability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9300" w:type="dxa"/>
            <w:vAlign w:val="bottom"/>
          </w:tcPr>
          <w:p>
            <w:pPr>
              <w:ind w:left="3680"/>
              <w:spacing w:after="0"/>
              <w:rPr>
                <w:sz w:val="20"/>
                <w:szCs w:val="20"/>
                <w:color w:val="auto"/>
              </w:rPr>
            </w:pPr>
            <w:r>
              <w:rPr>
                <w:rFonts w:ascii="Arial" w:cs="Arial" w:eastAsia="Arial" w:hAnsi="Arial"/>
                <w:sz w:val="18"/>
                <w:szCs w:val="18"/>
                <w:b w:val="1"/>
                <w:bCs w:val="1"/>
                <w:color w:val="auto"/>
              </w:rPr>
              <w:t>CHARDAN NEXTECH ACQUISITION 2 CORP.</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9300" w:type="dxa"/>
            <w:vAlign w:val="bottom"/>
          </w:tcPr>
          <w:p>
            <w:pPr>
              <w:ind w:left="4060"/>
              <w:spacing w:after="0"/>
              <w:rPr>
                <w:sz w:val="20"/>
                <w:szCs w:val="20"/>
                <w:color w:val="auto"/>
              </w:rPr>
            </w:pPr>
            <w:r>
              <w:rPr>
                <w:rFonts w:ascii="Arial" w:cs="Arial" w:eastAsia="Arial" w:hAnsi="Arial"/>
                <w:sz w:val="18"/>
                <w:szCs w:val="18"/>
                <w:b w:val="1"/>
                <w:bCs w:val="1"/>
                <w:color w:val="auto"/>
              </w:rPr>
              <w:t>NOTES TO FINANCIAL STATEMENT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w w:val="97"/>
              </w:rPr>
              <w:t>The following table provides the significant inputs to the Black-Scholes method for the fair value of the Private Warrants: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9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At August 13,</w:t>
            </w:r>
          </w:p>
        </w:tc>
      </w:tr>
      <w:tr>
        <w:trPr>
          <w:trHeight w:val="216"/>
        </w:trPr>
        <w:tc>
          <w:tcPr>
            <w:tcW w:w="9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2021 (Initial</w:t>
            </w:r>
          </w:p>
        </w:tc>
      </w:tr>
      <w:tr>
        <w:trPr>
          <w:trHeight w:val="234"/>
        </w:trPr>
        <w:tc>
          <w:tcPr>
            <w:tcW w:w="9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Measurement)</w:t>
            </w:r>
          </w:p>
        </w:tc>
      </w:tr>
      <w:tr>
        <w:trPr>
          <w:trHeight w:val="209"/>
        </w:trPr>
        <w:tc>
          <w:tcPr>
            <w:tcW w:w="9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Exercise price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Term to Business Combination (years)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Risk-free rate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0.81%</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9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June 23, 2020 (inception)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Initial measurement at August 13, 2021</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5,233,747</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August 13,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August 13,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 was issued. Based upon this review, other than as described below, the Company did not identify any subsequent events that would have required adjustment or disclosure in the financial statement.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Initial Public Offering, the underwriters were granted a 45-day option from the date of the prospectus to purchase up to 1,650,000 additional Units to cover over-allotments, if any (see Note 6). On August 18, 2021, the underwriters fully exercised the over-allotment option to purchase an additional 1,650,000 Units at an offering price of $10.00 per Unit for an aggregate purchase price of $16,500,000. In connection with the full exercise of the over-allotment option, the Sponsor purchased an aggregate of 266,402 additional Private Placement Warrants at a purchase price of $0.93 per Private Placement Warrant, generating proceeds of $247,500.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0120"/>
        <w:spacing w:after="0"/>
        <w:rPr>
          <w:sz w:val="20"/>
          <w:szCs w:val="20"/>
          <w:color w:val="auto"/>
        </w:rPr>
      </w:pPr>
      <w:r>
        <w:rPr>
          <w:rFonts w:ascii="Arial" w:cs="Arial" w:eastAsia="Arial" w:hAnsi="Arial"/>
          <w:sz w:val="19"/>
          <w:szCs w:val="19"/>
          <w:b w:val="1"/>
          <w:bCs w:val="1"/>
          <w:color w:val="auto"/>
        </w:rPr>
        <w:t>Exhibit 99.2</w:t>
      </w:r>
    </w:p>
    <w:p>
      <w:pPr>
        <w:spacing w:after="0" w:line="279" w:lineRule="exact"/>
        <w:rPr>
          <w:sz w:val="20"/>
          <w:szCs w:val="20"/>
          <w:color w:val="auto"/>
        </w:rPr>
      </w:pPr>
    </w:p>
    <w:p>
      <w:pPr>
        <w:ind w:right="880"/>
        <w:spacing w:after="0" w:line="277" w:lineRule="auto"/>
        <w:rPr>
          <w:sz w:val="20"/>
          <w:szCs w:val="20"/>
          <w:color w:val="auto"/>
        </w:rPr>
      </w:pPr>
      <w:r>
        <w:rPr>
          <w:rFonts w:ascii="Arial" w:cs="Arial" w:eastAsia="Arial" w:hAnsi="Arial"/>
          <w:sz w:val="25"/>
          <w:szCs w:val="25"/>
          <w:color w:val="auto"/>
        </w:rPr>
        <w:t>Chardan NexTech Acquisition 2 Corp. Announces Closing of Underwriters’ Over-Allotment Option to Purchase Additional Units in Connection with its Initial Public Offering</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 NY, August 18, 2021 (PR Newswire) – Chardan NexTech Acquisition 2 Corp. (the “Company”) (NASDAQ: CNTQU) announced today that an additional 1,650,000 units were issued pursuant to the underwriters’ over-allotment option in connection with its initial public offering. The offering was priced at $10.00 per unit, generating additional gross proceeds of $16,500,000 and bringing the total gross proceeds of the initial public offering to $126.5 million.</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units commenced trading on the Nasdaq Capital Market (“Nasdaq”) under the ticker symbol “CNTQU” on August 11, 2021. Each unit consists of one share of common stock and three-quarters of one redeemable warrant. Each whole warrant entitles the holder thereof to purchase one share of common stock at a price of $11.50 per share. Only whole warrants are exercisable.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Once the securities comprising the units begin trading separately, the Company expects that the common stock and redeemable warrants will be listed on the Nasdaq under the symbols “CNTQ” and “CNTQW,” respectively.</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Company is a blank check company formed for the purpose of effecting a merger, share exchange, asset acquisition, stock purchase, recapitalization, reorganization or similar business combination with one or more businesses. While the Company may pursue an initial business combination target in any industry, it currently intends to concentrate its search for a target business operating in disruptive technologies. The Company is led by its Chairman of the Board of Directors, Kerry Propper, its Chief Executive Officer, Jonas Grossman, and its Chief Financial Officer, Alex Weil.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Chardan served as sole book-running manager and B. Riley Securities, Inc. acted as the qualified independent underwriter for the offering.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offering was made only by means of a prospectus, copies of which may be obtained by contacting Chardan, 17 State Street, 21st Floor, New York, New York 10004, or by calling (646) 465-9001.</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 registration statement relating to these securities was declared effective by the Securities and Exchange Commission (the “SEC”) on August 10, 2021.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This press release contains statements that constitute “forward-looking statements,” including with respect to the anticipated use of the net proceeds of the initial public offering. No assurance can be given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Company’s offering filed with the SEC. Copies of these documents are available on the SEC’s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The Company undertakes no obligation to update these statements for revisions or changes after the date of this release, except as required by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jgrossman@cnaq.com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2021-08-19T16:00:29Z</dcterms:created>
  <dcterms:modified xsi:type="dcterms:W3CDTF">2021-08-19T16:00:29Z</dcterms:modified>
</cp:coreProperties>
</file>