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30,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333-268784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85-1873463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1190 Trademark Drive, #108</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Reno, Nevada</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89521</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 2022 Equity Inventive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Corp. 2021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Corp. 2019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5715</wp:posOffset>
            </wp:positionV>
            <wp:extent cx="46291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9150"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1190 Trademark Drive,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(775) 662 - 3448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M. Skolnick,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(212) 262-6700</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20" w:type="dxa"/>
            <w:vAlign w:val="bottom"/>
          </w:tcPr>
          <w:p>
            <w:pPr>
              <w:ind w:left="1340"/>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2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13, 2022, Dragonfly Energy Holdings Corp., a Delaware corporation (“</w:t>
      </w:r>
      <w:r>
        <w:rPr>
          <w:rFonts w:ascii="Arial" w:cs="Arial" w:eastAsia="Arial" w:hAnsi="Arial"/>
          <w:sz w:val="18"/>
          <w:szCs w:val="18"/>
          <w:u w:val="single" w:color="auto"/>
          <w:color w:val="auto"/>
        </w:rPr>
        <w:t>Dragonfly Delaware</w:t>
      </w:r>
      <w:r>
        <w:rPr>
          <w:rFonts w:ascii="Arial" w:cs="Arial" w:eastAsia="Arial" w:hAnsi="Arial"/>
          <w:sz w:val="18"/>
          <w:szCs w:val="18"/>
          <w:color w:val="auto"/>
        </w:rPr>
        <w:t>”), filed a Registration Statement on Form S-8 (File No. 333-268784)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Post-Effective Amendment No. 1 (this “</w:t>
      </w:r>
      <w:r>
        <w:rPr>
          <w:rFonts w:ascii="Arial" w:cs="Arial" w:eastAsia="Arial" w:hAnsi="Arial"/>
          <w:sz w:val="18"/>
          <w:szCs w:val="18"/>
          <w:u w:val="single" w:color="auto"/>
          <w:color w:val="auto"/>
        </w:rPr>
        <w:t>Post-Effective Amendment</w:t>
      </w:r>
      <w:r>
        <w:rPr>
          <w:rFonts w:ascii="Arial" w:cs="Arial" w:eastAsia="Arial" w:hAnsi="Arial"/>
          <w:sz w:val="18"/>
          <w:szCs w:val="18"/>
          <w:color w:val="auto"/>
        </w:rPr>
        <w:t>”) to the Registration Statement is being filed pursuant to Rule 414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by Dragonfly Energy Holdings Corp., a Nevada corporation (“</w:t>
      </w:r>
      <w:r>
        <w:rPr>
          <w:rFonts w:ascii="Arial" w:cs="Arial" w:eastAsia="Arial" w:hAnsi="Arial"/>
          <w:sz w:val="18"/>
          <w:szCs w:val="18"/>
          <w:u w:val="single" w:color="auto"/>
          <w:color w:val="auto"/>
        </w:rPr>
        <w:t>Dragonfly Nevada</w:t>
      </w:r>
      <w:r>
        <w:rPr>
          <w:rFonts w:ascii="Arial" w:cs="Arial" w:eastAsia="Arial" w:hAnsi="Arial"/>
          <w:sz w:val="18"/>
          <w:szCs w:val="18"/>
          <w:color w:val="auto"/>
        </w:rPr>
        <w:t xml:space="preserve">” or the “Company”). Dragonfly Nevada is the successor to Dragonfly Delaware following a reincorporation by conversion (the </w:t>
      </w:r>
      <w:r>
        <w:rPr>
          <w:rFonts w:ascii="Arial" w:cs="Arial" w:eastAsia="Arial" w:hAnsi="Arial"/>
          <w:sz w:val="18"/>
          <w:szCs w:val="18"/>
          <w:u w:val="single" w:color="auto"/>
          <w:color w:val="auto"/>
        </w:rPr>
        <w:t>“Reincorporation</w:t>
      </w:r>
      <w:r>
        <w:rPr>
          <w:rFonts w:ascii="Arial" w:cs="Arial" w:eastAsia="Arial" w:hAnsi="Arial"/>
          <w:sz w:val="18"/>
          <w:szCs w:val="18"/>
          <w:color w:val="auto"/>
        </w:rPr>
        <w:t>”) on March 31, 2023. The Reincorporation was effected by a Plan of Conversion, which provided that the Company: (1) file with the Secretary of State of the State of Delaware a Certificate of Conversion, and (2) file with the Secretary of State of the State of Nevada (i) Articles of Conversion, and (ii) Articles of Incorporation.</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Reincorporation was approved by securityholders pursuant to which proxies were solicited pursuant to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a result of the Reincorporation, pursuant to the Nevada Revised Statutes (the “</w:t>
      </w:r>
      <w:r>
        <w:rPr>
          <w:rFonts w:ascii="Arial" w:cs="Arial" w:eastAsia="Arial" w:hAnsi="Arial"/>
          <w:sz w:val="16"/>
          <w:szCs w:val="16"/>
          <w:u w:val="single" w:color="auto"/>
          <w:color w:val="auto"/>
        </w:rPr>
        <w:t>NRS</w:t>
      </w:r>
      <w:r>
        <w:rPr>
          <w:rFonts w:ascii="Arial" w:cs="Arial" w:eastAsia="Arial" w:hAnsi="Arial"/>
          <w:sz w:val="16"/>
          <w:szCs w:val="16"/>
          <w:color w:val="auto"/>
        </w:rPr>
        <w:t>”), the Company has continued its existence under the NRS as a corporation incorporated in the State of Nevada. The business, assets and liabilities of the Company and its subsidiary on a consolidated basis, as well as its principal locations and fiscal year, were the same immediately after the Reincorporation as they were immediately prior to the Reincorporation. In addition, the directors and executive officers of the Company immediately after the Reincorporation were the same individuals who were directors and executive officers, respectively, of the Company immediately prior to the Reincorporation.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Following the Reincorporation, (i) all issued and outstanding shares of common stock of Dragonfly Delaware were automatically converted into issued and outstanding shares of common stock of Dragonfly Nevada, without any action on the part of the Company’s stockholders, and (ii) each outstanding option or warrant to purchase a share of Dragonfly Delaware common stock (collectively, the “</w:t>
      </w:r>
      <w:r>
        <w:rPr>
          <w:rFonts w:ascii="Arial" w:cs="Arial" w:eastAsia="Arial" w:hAnsi="Arial"/>
          <w:sz w:val="16"/>
          <w:szCs w:val="16"/>
          <w:u w:val="single" w:color="auto"/>
          <w:color w:val="auto"/>
        </w:rPr>
        <w:t>Dragonfly Delaware Stock</w:t>
      </w:r>
      <w:r>
        <w:rPr>
          <w:rFonts w:ascii="Arial" w:cs="Arial" w:eastAsia="Arial" w:hAnsi="Arial"/>
          <w:sz w:val="16"/>
          <w:szCs w:val="16"/>
          <w:color w:val="auto"/>
        </w:rPr>
        <w:t>”), and other equity awards relating to Dragonfly Delaware Stock, was deemed to constitute an option or warrant to purchase one share of common stock or equity award, as applicable, of Dragonfly Nevada at an exercise price per full share equal to the stated exercise price or other terms or provisions of the option, warrant or equity award.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Rule 414(d) of the Securities Act, Dragonfly Nevada, as successor issuer to Dragonfly Delaware, hereby expressly adopts the Registration Statement as its own for all purposes under the Securities Act and the Exchange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and filing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left="64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documents filed by the Company with the Commission pursuant to the Securities Act and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are incorporated herein by reference:</w:t>
      </w:r>
    </w:p>
    <w:p>
      <w:pPr>
        <w:spacing w:after="0" w:line="170" w:lineRule="exact"/>
        <w:rPr>
          <w:sz w:val="20"/>
          <w:szCs w:val="20"/>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2022 (the “</w:t>
      </w:r>
      <w:r>
        <w:rPr>
          <w:rFonts w:ascii="Arial" w:cs="Arial" w:eastAsia="Arial" w:hAnsi="Arial"/>
          <w:sz w:val="18"/>
          <w:szCs w:val="18"/>
          <w:u w:val="single" w:color="auto"/>
          <w:color w:val="auto"/>
        </w:rPr>
        <w:t>10-K</w:t>
      </w:r>
      <w:r>
        <w:rPr>
          <w:rFonts w:ascii="Arial" w:cs="Arial" w:eastAsia="Arial" w:hAnsi="Arial"/>
          <w:sz w:val="18"/>
          <w:szCs w:val="18"/>
          <w:color w:val="auto"/>
        </w:rPr>
        <w:t xml:space="preserve">”) filed with the SEC on </w:t>
      </w:r>
      <w:hyperlink r:id="rId2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xml:space="preserve">, as amended on </w:t>
      </w:r>
      <w:hyperlink r:id="rId21">
        <w:r>
          <w:rPr>
            <w:rFonts w:ascii="Arial" w:cs="Arial" w:eastAsia="Arial" w:hAnsi="Arial"/>
            <w:sz w:val="18"/>
            <w:szCs w:val="18"/>
            <w:u w:val="single" w:color="auto"/>
            <w:color w:val="0000EE"/>
          </w:rPr>
          <w:t>May 1, 2023</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quarters ended March 31, 2023 and June 30, 2023, filed with the SEC on </w:t>
      </w:r>
      <w:hyperlink r:id="rId22">
        <w:r>
          <w:rPr>
            <w:rFonts w:ascii="Arial" w:cs="Arial" w:eastAsia="Arial" w:hAnsi="Arial"/>
            <w:sz w:val="18"/>
            <w:szCs w:val="18"/>
            <w:u w:val="single" w:color="auto"/>
            <w:color w:val="0000EE"/>
          </w:rPr>
          <w:t>May 15, 2023</w:t>
        </w:r>
      </w:hyperlink>
      <w:r>
        <w:rPr>
          <w:rFonts w:ascii="Arial" w:cs="Arial" w:eastAsia="Arial" w:hAnsi="Arial"/>
          <w:sz w:val="18"/>
          <w:szCs w:val="18"/>
          <w:color w:val="auto"/>
        </w:rPr>
        <w:t xml:space="preserve"> and </w:t>
      </w:r>
      <w:hyperlink r:id="rId23">
        <w:r>
          <w:rPr>
            <w:rFonts w:ascii="Arial" w:cs="Arial" w:eastAsia="Arial" w:hAnsi="Arial"/>
            <w:sz w:val="18"/>
            <w:szCs w:val="18"/>
            <w:u w:val="single" w:color="auto"/>
            <w:color w:val="0000EE"/>
          </w:rPr>
          <w:t>August 21, 2023</w:t>
        </w:r>
      </w:hyperlink>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0000EE"/>
        </w:rPr>
      </w:pPr>
      <w:hyperlink r:id="rId24">
        <w:r>
          <w:rPr>
            <w:rFonts w:ascii="Arial" w:cs="Arial" w:eastAsia="Arial" w:hAnsi="Arial"/>
            <w:sz w:val="18"/>
            <w:szCs w:val="18"/>
            <w:color w:val="auto"/>
          </w:rPr>
          <w:t xml:space="preserve">the Company’s Current Reports on Form 8-K filed with the SEC on </w:t>
        </w:r>
        <w:r>
          <w:rPr>
            <w:rFonts w:ascii="Arial" w:cs="Arial" w:eastAsia="Arial" w:hAnsi="Arial"/>
            <w:sz w:val="18"/>
            <w:szCs w:val="18"/>
            <w:u w:val="single" w:color="auto"/>
            <w:color w:val="0000EE"/>
          </w:rPr>
          <w:t>March 2,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31,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2023</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June 21, 2023 </w:t>
        </w:r>
      </w:hyperlink>
      <w:hyperlink r:id="rId24">
        <w:r>
          <w:rPr>
            <w:rFonts w:ascii="Arial" w:cs="Arial" w:eastAsia="Arial" w:hAnsi="Arial"/>
            <w:sz w:val="18"/>
            <w:szCs w:val="18"/>
            <w:color w:val="000000"/>
          </w:rPr>
          <w:t>(in each case, excluding any information deemed furnished under Items 2.02 or 7.01 of Form 8-K, including the related</w:t>
        </w:r>
      </w:hyperlink>
      <w:r>
        <w:rPr>
          <w:rFonts w:ascii="Arial" w:cs="Arial" w:eastAsia="Arial" w:hAnsi="Arial"/>
          <w:sz w:val="18"/>
          <w:szCs w:val="18"/>
          <w:color w:val="0000EE"/>
        </w:rPr>
        <w:t xml:space="preserve"> </w:t>
      </w:r>
      <w:r>
        <w:rPr>
          <w:rFonts w:ascii="Arial" w:cs="Arial" w:eastAsia="Arial" w:hAnsi="Arial"/>
          <w:sz w:val="18"/>
          <w:szCs w:val="18"/>
          <w:color w:val="000000"/>
        </w:rPr>
        <w:t>exhibits, which information is not incorporated by reference herein); and</w:t>
      </w:r>
    </w:p>
    <w:p>
      <w:pPr>
        <w:spacing w:after="0" w:line="183"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of the Company contained in its </w:t>
      </w:r>
      <w:hyperlink r:id="rId26">
        <w:r>
          <w:rPr>
            <w:rFonts w:ascii="Arial" w:cs="Arial" w:eastAsia="Arial" w:hAnsi="Arial"/>
            <w:sz w:val="18"/>
            <w:szCs w:val="18"/>
            <w:u w:val="single" w:color="auto"/>
            <w:color w:val="0000EE"/>
          </w:rPr>
          <w:t>Registration Statement on Form 8-A, filed on August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Section 12 of the Exchange Act and any amendments or reports filed for the purpose of updating such description.</w:t>
      </w:r>
    </w:p>
    <w:p>
      <w:pPr>
        <w:spacing w:after="0" w:line="170" w:lineRule="exact"/>
        <w:rPr>
          <w:rFonts w:ascii="Arial" w:cs="Arial" w:eastAsia="Arial" w:hAnsi="Arial"/>
          <w:sz w:val="18"/>
          <w:szCs w:val="18"/>
          <w:color w:val="0000EE"/>
        </w:rPr>
      </w:pPr>
    </w:p>
    <w:p>
      <w:pPr>
        <w:jc w:val="both"/>
        <w:spacing w:after="0" w:line="254" w:lineRule="auto"/>
        <w:rPr>
          <w:sz w:val="20"/>
          <w:szCs w:val="20"/>
          <w:color w:val="auto"/>
        </w:rPr>
      </w:pPr>
      <w:r>
        <w:rPr>
          <w:rFonts w:ascii="Arial" w:cs="Arial" w:eastAsia="Arial" w:hAnsi="Arial"/>
          <w:sz w:val="18"/>
          <w:szCs w:val="18"/>
          <w:color w:val="auto"/>
        </w:rPr>
        <w:t>All documents filed by the Company pursuant to Section 13(a), 13(c), 14, or 15(d) of the Exchange Act subsequent to the filing of this Post-Effective Amendment and prior to the filing of a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19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Description of Securities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Interests of Named Experts and Counsel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Limitation on Liability and Indemnification of Directors and Officers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0000EE"/>
        </w:rPr>
      </w:pPr>
    </w:p>
    <w:p>
      <w:pPr>
        <w:jc w:val="both"/>
        <w:spacing w:after="0" w:line="275" w:lineRule="auto"/>
        <w:rPr>
          <w:sz w:val="20"/>
          <w:szCs w:val="20"/>
          <w:color w:val="auto"/>
        </w:rPr>
      </w:pPr>
      <w:r>
        <w:rPr>
          <w:rFonts w:ascii="Arial" w:cs="Arial" w:eastAsia="Arial" w:hAnsi="Arial"/>
          <w:sz w:val="17"/>
          <w:szCs w:val="17"/>
          <w:color w:val="auto"/>
        </w:rPr>
        <w:t>Neither our Articles of Incorporation nor our Bylaws prevent us from indemnifying our officers, directors and agents to the extent permitted under the Nevada Revised Statutes, as amended (the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including, without limitation, those referred to in Section 78.7502(1) or 78.7502(2), or in defense of any claim, issue or matter therein.</w:t>
      </w:r>
    </w:p>
    <w:p>
      <w:pPr>
        <w:spacing w:after="0" w:line="176" w:lineRule="exact"/>
        <w:rPr>
          <w:rFonts w:ascii="Arial" w:cs="Arial" w:eastAsia="Arial" w:hAnsi="Arial"/>
          <w:sz w:val="18"/>
          <w:szCs w:val="18"/>
          <w:color w:val="0000EE"/>
        </w:rPr>
      </w:pPr>
    </w:p>
    <w:p>
      <w:pPr>
        <w:jc w:val="both"/>
        <w:spacing w:after="0" w:line="291" w:lineRule="auto"/>
        <w:rPr>
          <w:sz w:val="20"/>
          <w:szCs w:val="20"/>
          <w:color w:val="auto"/>
        </w:rPr>
      </w:pPr>
      <w:r>
        <w:rPr>
          <w:rFonts w:ascii="Arial" w:cs="Arial" w:eastAsia="Arial" w:hAnsi="Arial"/>
          <w:sz w:val="16"/>
          <w:szCs w:val="16"/>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6"/>
          <w:szCs w:val="16"/>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Exemption from Registration Claimed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00" w:type="dxa"/>
            <w:vAlign w:val="bottom"/>
            <w:gridSpan w:val="18"/>
          </w:tcPr>
          <w:p>
            <w:pPr>
              <w:spacing w:after="0"/>
              <w:rPr>
                <w:sz w:val="20"/>
                <w:szCs w:val="20"/>
                <w:color w:val="auto"/>
              </w:rPr>
            </w:pPr>
            <w:r>
              <w:rPr>
                <w:rFonts w:ascii="Arial" w:cs="Arial" w:eastAsia="Arial" w:hAnsi="Arial"/>
                <w:sz w:val="18"/>
                <w:szCs w:val="18"/>
                <w:b w:val="1"/>
                <w:bCs w:val="1"/>
                <w:color w:val="auto"/>
              </w:rPr>
              <w:t>Item 8. Exhibits.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0"/>
        </w:trPr>
        <w:tc>
          <w:tcPr>
            <w:tcW w:w="6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Incorporated By Reference</w:t>
            </w:r>
          </w:p>
        </w:tc>
      </w:tr>
      <w:tr>
        <w:trPr>
          <w:trHeight w:val="223"/>
        </w:trPr>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gridSpan w:val="8"/>
          </w:tcPr>
          <w:p>
            <w:pPr>
              <w:ind w:left="460"/>
              <w:spacing w:after="0"/>
              <w:rPr>
                <w:sz w:val="20"/>
                <w:szCs w:val="20"/>
                <w:color w:val="auto"/>
              </w:rPr>
            </w:pPr>
            <w:r>
              <w:rPr>
                <w:rFonts w:ascii="Arial" w:cs="Arial" w:eastAsia="Arial" w:hAnsi="Arial"/>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Filing Date</w:t>
            </w:r>
          </w:p>
        </w:tc>
      </w:tr>
      <w:tr>
        <w:trPr>
          <w:trHeight w:val="176"/>
        </w:trPr>
        <w:tc>
          <w:tcPr>
            <w:tcW w:w="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82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Articles of Incorporation.</w:t>
              </w:r>
            </w:hyperlink>
          </w:p>
        </w:tc>
        <w:tc>
          <w:tcPr>
            <w:tcW w:w="5340" w:type="dxa"/>
            <w:vAlign w:val="bottom"/>
            <w:tcBorders>
              <w:top w:val="single" w:sz="8" w:color="auto"/>
            </w:tcBorders>
            <w:gridSpan w:val="9"/>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5"/>
                <w:szCs w:val="15"/>
                <w:color w:val="auto"/>
              </w:rPr>
            </w:pPr>
          </w:p>
        </w:tc>
        <w:tc>
          <w:tcPr>
            <w:tcW w:w="6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5"/>
                <w:szCs w:val="15"/>
                <w:color w:val="auto"/>
              </w:rPr>
            </w:pPr>
          </w:p>
        </w:tc>
        <w:tc>
          <w:tcPr>
            <w:tcW w:w="1300" w:type="dxa"/>
            <w:vAlign w:val="bottom"/>
            <w:tcBorders>
              <w:top w:val="single" w:sz="8" w:color="auto"/>
            </w:tcBorders>
          </w:tcPr>
          <w:p>
            <w:pPr>
              <w:ind w:left="240"/>
              <w:spacing w:after="0" w:line="176" w:lineRule="exact"/>
              <w:rPr>
                <w:sz w:val="20"/>
                <w:szCs w:val="20"/>
                <w:color w:val="auto"/>
              </w:rPr>
            </w:pPr>
            <w:r>
              <w:rPr>
                <w:rFonts w:ascii="Arial" w:cs="Arial" w:eastAsia="Arial" w:hAnsi="Arial"/>
                <w:sz w:val="18"/>
                <w:szCs w:val="18"/>
                <w:color w:val="auto"/>
              </w:rPr>
              <w:t>03/31/2023</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5"/>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Bylaws.</w:t>
              </w:r>
            </w:hyperlink>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03/31/2023</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5"/>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Specimen Common Stock Certificate of Dragonfly Energy Holdings Corp.</w:t>
              </w:r>
            </w:hyperlink>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Opinion of Parsons Behle &amp; Latimer.</w:t>
            </w:r>
          </w:p>
        </w:tc>
        <w:tc>
          <w:tcPr>
            <w:tcW w:w="19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Consent of BDO USA, P.C.</w:t>
            </w:r>
          </w:p>
        </w:tc>
        <w:tc>
          <w:tcPr>
            <w:tcW w:w="680" w:type="dxa"/>
            <w:vAlign w:val="bottom"/>
            <w:tcBorders>
              <w:top w:val="single" w:sz="8" w:color="0000EE"/>
            </w:tcBorders>
          </w:tcPr>
          <w:p>
            <w:pPr>
              <w:spacing w:after="0"/>
              <w:rPr>
                <w:sz w:val="17"/>
                <w:szCs w:val="17"/>
                <w:color w:val="auto"/>
              </w:rPr>
            </w:pPr>
          </w:p>
        </w:tc>
        <w:tc>
          <w:tcPr>
            <w:tcW w:w="46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Consent of Parsons Behle &amp; Latimer (included in Exhibit 5.1).</w:t>
            </w:r>
          </w:p>
        </w:tc>
        <w:tc>
          <w:tcPr>
            <w:tcW w:w="27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15"/>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Power of Attorney (contained on the signature page of the Prior Form S-8).</w:t>
              </w:r>
            </w:hyperlink>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S-8</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12/13/2022</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Dragonfly Energy Corp. 2019 Stock Incentive Plan.</w:t>
              </w:r>
            </w:hyperlink>
          </w:p>
        </w:tc>
        <w:tc>
          <w:tcPr>
            <w:tcW w:w="1680" w:type="dxa"/>
            <w:vAlign w:val="bottom"/>
            <w:tcBorders>
              <w:top w:val="single" w:sz="8" w:color="0000EE"/>
            </w:tcBorders>
            <w:gridSpan w:val="5"/>
          </w:tcPr>
          <w:p>
            <w:pPr>
              <w:spacing w:after="0"/>
              <w:rPr>
                <w:sz w:val="17"/>
                <w:szCs w:val="17"/>
                <w:color w:val="auto"/>
              </w:rPr>
            </w:pPr>
          </w:p>
        </w:tc>
        <w:tc>
          <w:tcPr>
            <w:tcW w:w="1880" w:type="dxa"/>
            <w:vAlign w:val="bottom"/>
            <w:gridSpan w:val="2"/>
          </w:tcPr>
          <w:p>
            <w:pPr>
              <w:spacing w:after="0"/>
              <w:rPr>
                <w:sz w:val="17"/>
                <w:szCs w:val="17"/>
                <w:color w:val="auto"/>
              </w:rPr>
            </w:pPr>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Dragonfly Energy Corp. 2021 Stock Incentive Plan.</w:t>
              </w:r>
            </w:hyperlink>
          </w:p>
        </w:tc>
        <w:tc>
          <w:tcPr>
            <w:tcW w:w="3560" w:type="dxa"/>
            <w:vAlign w:val="bottom"/>
            <w:gridSpan w:val="7"/>
          </w:tcPr>
          <w:p>
            <w:pPr>
              <w:spacing w:after="0"/>
              <w:rPr>
                <w:sz w:val="17"/>
                <w:szCs w:val="17"/>
                <w:color w:val="auto"/>
              </w:rPr>
            </w:pPr>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99.3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Dragonfly Energy Holdings Corp. 2022 Equity Incentive Plan.</w:t>
              </w:r>
            </w:hyperlink>
          </w:p>
        </w:tc>
        <w:tc>
          <w:tcPr>
            <w:tcW w:w="2780" w:type="dxa"/>
            <w:vAlign w:val="bottom"/>
            <w:gridSpan w:val="6"/>
          </w:tcPr>
          <w:p>
            <w:pPr>
              <w:spacing w:after="0"/>
              <w:rPr>
                <w:sz w:val="17"/>
                <w:szCs w:val="17"/>
                <w:color w:val="auto"/>
              </w:rPr>
            </w:pPr>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99.4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Dragonfly Energy Holdings Corp. Employee Stock Purchase Plan.</w:t>
              </w:r>
            </w:hyperlink>
          </w:p>
        </w:tc>
        <w:tc>
          <w:tcPr>
            <w:tcW w:w="2500" w:type="dxa"/>
            <w:vAlign w:val="bottom"/>
            <w:gridSpan w:val="4"/>
          </w:tcPr>
          <w:p>
            <w:pPr>
              <w:spacing w:after="0"/>
              <w:rPr>
                <w:sz w:val="17"/>
                <w:szCs w:val="17"/>
                <w:color w:val="auto"/>
              </w:rPr>
            </w:pPr>
          </w:p>
        </w:tc>
        <w:tc>
          <w:tcPr>
            <w:tcW w:w="7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7"/>
                <w:szCs w:val="17"/>
                <w:color w:val="auto"/>
              </w:rPr>
            </w:pPr>
          </w:p>
        </w:tc>
        <w:tc>
          <w:tcPr>
            <w:tcW w:w="1300" w:type="dxa"/>
            <w:vAlign w:val="bottom"/>
          </w:tcPr>
          <w:p>
            <w:pPr>
              <w:ind w:left="240"/>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Filing Fee Table</w:t>
              </w:r>
            </w:hyperlink>
          </w:p>
        </w:tc>
        <w:tc>
          <w:tcPr>
            <w:tcW w:w="61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29" w:lineRule="exact"/>
        <w:rPr>
          <w:sz w:val="20"/>
          <w:szCs w:val="20"/>
          <w:color w:val="auto"/>
        </w:rPr>
      </w:pPr>
    </w:p>
    <w:p>
      <w:pPr>
        <w:ind w:left="1100" w:hanging="210"/>
        <w:spacing w:after="0"/>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100" w:hanging="300"/>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Undertakings</w:t>
      </w:r>
      <w:r>
        <w:rPr>
          <w:rFonts w:ascii="Arial" w:cs="Arial" w:eastAsia="Arial" w:hAnsi="Arial"/>
          <w:sz w:val="18"/>
          <w:szCs w:val="18"/>
          <w:b w:val="1"/>
          <w:bCs w:val="1"/>
          <w:color w:val="auto"/>
        </w:rPr>
        <w:t>.</w:t>
      </w:r>
    </w:p>
    <w:p>
      <w:pPr>
        <w:spacing w:after="0" w:line="229"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60" w:hanging="208"/>
        <w:spacing w:after="0"/>
        <w:tabs>
          <w:tab w:leader="none" w:pos="21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236" w:lineRule="exact"/>
        <w:rPr>
          <w:rFonts w:ascii="Arial" w:cs="Arial" w:eastAsia="Arial" w:hAnsi="Arial"/>
          <w:sz w:val="17"/>
          <w:szCs w:val="17"/>
          <w:color w:val="auto"/>
        </w:rPr>
      </w:pPr>
    </w:p>
    <w:p>
      <w:pPr>
        <w:jc w:val="both"/>
        <w:ind w:left="1300" w:firstLine="652"/>
        <w:spacing w:after="0" w:line="272" w:lineRule="auto"/>
        <w:tabs>
          <w:tab w:leader="none" w:pos="2233"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firstLine="652"/>
        <w:spacing w:after="0" w:line="277" w:lineRule="auto"/>
        <w:tabs>
          <w:tab w:leader="none" w:pos="2286"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clauses (a)(1)(i) and (a)(1)(ii) above shall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clauses is contained in periodic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jc w:val="both"/>
        <w:ind w:left="660" w:firstLine="644"/>
        <w:spacing w:after="0" w:line="263" w:lineRule="auto"/>
        <w:tabs>
          <w:tab w:leader="none" w:pos="1569"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2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jc w:val="both"/>
        <w:ind w:firstLine="656"/>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City of Reno, State of Nevada, on August 30, 2023.</w:t>
      </w:r>
    </w:p>
    <w:p>
      <w:pPr>
        <w:spacing w:after="0" w:line="16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Chief Executive Officer and interim Chief Financial Officer</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S-8 has been signed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center"/>
              <w:ind w:right="1950"/>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2960" w:type="dxa"/>
            <w:vAlign w:val="bottom"/>
            <w:vMerge w:val="restart"/>
          </w:tcPr>
          <w:p>
            <w:pPr>
              <w:jc w:val="center"/>
              <w:ind w:right="330"/>
              <w:spacing w:after="0"/>
              <w:rPr>
                <w:sz w:val="20"/>
                <w:szCs w:val="20"/>
                <w:color w:val="auto"/>
              </w:rPr>
            </w:pPr>
            <w:r>
              <w:rPr>
                <w:rFonts w:ascii="Arial" w:cs="Arial" w:eastAsia="Arial" w:hAnsi="Arial"/>
                <w:sz w:val="18"/>
                <w:szCs w:val="18"/>
                <w:i w:val="1"/>
                <w:iCs w:val="1"/>
                <w:color w:val="auto"/>
                <w:w w:val="89"/>
              </w:rPr>
              <w:t>/s/ Denis Phares</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Chairman, President, Chief Executive Officer and interim</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2960" w:type="dxa"/>
            <w:vAlign w:val="bottom"/>
          </w:tcPr>
          <w:p>
            <w:pPr>
              <w:jc w:val="center"/>
              <w:ind w:right="330"/>
              <w:spacing w:after="0" w:line="189" w:lineRule="exact"/>
              <w:rPr>
                <w:sz w:val="20"/>
                <w:szCs w:val="20"/>
                <w:color w:val="auto"/>
              </w:rPr>
            </w:pPr>
            <w:r>
              <w:rPr>
                <w:rFonts w:ascii="Arial" w:cs="Arial" w:eastAsia="Arial" w:hAnsi="Arial"/>
                <w:sz w:val="18"/>
                <w:szCs w:val="18"/>
                <w:color w:val="auto"/>
                <w:w w:val="86"/>
              </w:rPr>
              <w:t>Denis Phares</w:t>
            </w:r>
          </w:p>
        </w:tc>
        <w:tc>
          <w:tcPr>
            <w:tcW w:w="240" w:type="dxa"/>
            <w:vAlign w:val="bottom"/>
          </w:tcPr>
          <w:p>
            <w:pPr>
              <w:spacing w:after="0"/>
              <w:rPr>
                <w:sz w:val="16"/>
                <w:szCs w:val="16"/>
                <w:color w:val="auto"/>
              </w:rPr>
            </w:pPr>
          </w:p>
        </w:tc>
        <w:tc>
          <w:tcPr>
            <w:tcW w:w="4700" w:type="dxa"/>
            <w:vAlign w:val="bottom"/>
            <w:gridSpan w:val="3"/>
          </w:tcPr>
          <w:p>
            <w:pPr>
              <w:jc w:val="center"/>
              <w:ind w:right="160"/>
              <w:spacing w:after="0" w:line="189" w:lineRule="exact"/>
              <w:rPr>
                <w:sz w:val="20"/>
                <w:szCs w:val="20"/>
                <w:color w:val="auto"/>
              </w:rPr>
            </w:pPr>
            <w:r>
              <w:rPr>
                <w:rFonts w:ascii="Arial" w:cs="Arial" w:eastAsia="Arial" w:hAnsi="Arial"/>
                <w:sz w:val="18"/>
                <w:szCs w:val="18"/>
                <w:i w:val="1"/>
                <w:iCs w:val="1"/>
                <w:color w:val="auto"/>
                <w:w w:val="94"/>
              </w:rPr>
              <w:t>(Principal Executive Officer)</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jc w:val="center"/>
              <w:ind w:right="330"/>
              <w:spacing w:after="0"/>
              <w:rPr>
                <w:sz w:val="20"/>
                <w:szCs w:val="20"/>
                <w:color w:val="auto"/>
              </w:rPr>
            </w:pPr>
            <w:r>
              <w:rPr>
                <w:rFonts w:ascii="Arial" w:cs="Arial" w:eastAsia="Arial" w:hAnsi="Arial"/>
                <w:sz w:val="18"/>
                <w:szCs w:val="18"/>
                <w:color w:val="auto"/>
                <w:w w:val="92"/>
              </w:rPr>
              <w:t>Luisa Ingargiola</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jc w:val="center"/>
              <w:ind w:right="310"/>
              <w:spacing w:after="0"/>
              <w:rPr>
                <w:sz w:val="20"/>
                <w:szCs w:val="20"/>
                <w:color w:val="auto"/>
              </w:rPr>
            </w:pPr>
            <w:r>
              <w:rPr>
                <w:rFonts w:ascii="Arial" w:cs="Arial" w:eastAsia="Arial" w:hAnsi="Arial"/>
                <w:sz w:val="18"/>
                <w:szCs w:val="18"/>
                <w:color w:val="auto"/>
                <w:w w:val="93"/>
              </w:rPr>
              <w:t>Brian Nelson</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jc w:val="center"/>
              <w:ind w:right="330"/>
              <w:spacing w:after="0"/>
              <w:rPr>
                <w:sz w:val="20"/>
                <w:szCs w:val="20"/>
                <w:color w:val="auto"/>
              </w:rPr>
            </w:pPr>
            <w:r>
              <w:rPr>
                <w:rFonts w:ascii="Arial" w:cs="Arial" w:eastAsia="Arial" w:hAnsi="Arial"/>
                <w:sz w:val="18"/>
                <w:szCs w:val="18"/>
                <w:color w:val="auto"/>
                <w:w w:val="92"/>
              </w:rPr>
              <w:t>Perry Boyle</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jc w:val="center"/>
              <w:ind w:right="310"/>
              <w:spacing w:after="0"/>
              <w:rPr>
                <w:sz w:val="20"/>
                <w:szCs w:val="20"/>
                <w:color w:val="auto"/>
              </w:rPr>
            </w:pPr>
            <w:r>
              <w:rPr>
                <w:rFonts w:ascii="Arial" w:cs="Arial" w:eastAsia="Arial" w:hAnsi="Arial"/>
                <w:sz w:val="18"/>
                <w:szCs w:val="18"/>
                <w:color w:val="auto"/>
                <w:w w:val="90"/>
              </w:rPr>
              <w:t>Jonathan Bellows</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jc w:val="center"/>
              <w:ind w:right="310"/>
              <w:spacing w:after="0"/>
              <w:rPr>
                <w:sz w:val="20"/>
                <w:szCs w:val="20"/>
                <w:color w:val="auto"/>
              </w:rPr>
            </w:pPr>
            <w:r>
              <w:rPr>
                <w:rFonts w:ascii="Arial" w:cs="Arial" w:eastAsia="Arial" w:hAnsi="Arial"/>
                <w:sz w:val="18"/>
                <w:szCs w:val="18"/>
                <w:color w:val="auto"/>
                <w:w w:val="90"/>
              </w:rPr>
              <w:t>Rick Parod</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August 30, 2023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jc w:val="center"/>
              <w:ind w:right="310"/>
              <w:spacing w:after="0"/>
              <w:rPr>
                <w:sz w:val="20"/>
                <w:szCs w:val="20"/>
                <w:color w:val="auto"/>
              </w:rPr>
            </w:pPr>
            <w:r>
              <w:rPr>
                <w:rFonts w:ascii="Arial" w:cs="Arial" w:eastAsia="Arial" w:hAnsi="Arial"/>
                <w:sz w:val="18"/>
                <w:szCs w:val="18"/>
                <w:color w:val="auto"/>
                <w:w w:val="93"/>
              </w:rPr>
              <w:t>Karina Montilla Edmonds</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3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Denis Phares</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2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Denis Phares</w:t>
            </w:r>
          </w:p>
        </w:tc>
        <w:tc>
          <w:tcPr>
            <w:tcW w:w="2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vMerge w:val="restart"/>
          </w:tcPr>
          <w:p>
            <w:pPr>
              <w:spacing w:after="0"/>
              <w:rPr>
                <w:sz w:val="20"/>
                <w:szCs w:val="20"/>
                <w:color w:val="auto"/>
              </w:rPr>
            </w:pPr>
            <w:r>
              <w:rPr>
                <w:rFonts w:ascii="Arial" w:cs="Arial" w:eastAsia="Arial" w:hAnsi="Arial"/>
                <w:sz w:val="18"/>
                <w:szCs w:val="18"/>
                <w:color w:val="auto"/>
              </w:rPr>
              <w:t>Board of Directors</w:t>
            </w:r>
          </w:p>
        </w:tc>
        <w:tc>
          <w:tcPr>
            <w:tcW w:w="2780" w:type="dxa"/>
            <w:vAlign w:val="bottom"/>
          </w:tcPr>
          <w:p>
            <w:pPr>
              <w:ind w:left="1300"/>
              <w:spacing w:after="0"/>
              <w:rPr>
                <w:sz w:val="20"/>
                <w:szCs w:val="20"/>
                <w:color w:val="auto"/>
              </w:rPr>
            </w:pPr>
            <w:r>
              <w:rPr>
                <w:rFonts w:ascii="Arial" w:cs="Arial" w:eastAsia="Arial" w:hAnsi="Arial"/>
                <w:sz w:val="18"/>
                <w:szCs w:val="18"/>
                <w:color w:val="auto"/>
              </w:rPr>
              <w:t>August 30, 2023</w:t>
            </w: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Dragonfly Energy Holdings Corp.</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1190 Trademark Drive #108</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Reno, NV 89521</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20" w:type="dxa"/>
            <w:vAlign w:val="bottom"/>
          </w:tcPr>
          <w:p>
            <w:pPr>
              <w:ind w:left="660"/>
              <w:spacing w:after="0"/>
              <w:rPr>
                <w:sz w:val="20"/>
                <w:szCs w:val="20"/>
                <w:color w:val="auto"/>
              </w:rPr>
            </w:pPr>
            <w:r>
              <w:rPr>
                <w:rFonts w:ascii="Arial" w:cs="Arial" w:eastAsia="Arial" w:hAnsi="Arial"/>
                <w:sz w:val="18"/>
                <w:szCs w:val="18"/>
                <w:color w:val="auto"/>
                <w:w w:val="97"/>
              </w:rPr>
              <w:t>Re: Dragonfly Energy Holdings Corp. –</w:t>
            </w:r>
          </w:p>
        </w:tc>
        <w:tc>
          <w:tcPr>
            <w:tcW w:w="2780" w:type="dxa"/>
            <w:vAlign w:val="bottom"/>
          </w:tcPr>
          <w:p>
            <w:pPr>
              <w:ind w:left="180"/>
              <w:spacing w:after="0"/>
              <w:rPr>
                <w:sz w:val="20"/>
                <w:szCs w:val="20"/>
                <w:color w:val="auto"/>
              </w:rPr>
            </w:pPr>
            <w:r>
              <w:rPr>
                <w:rFonts w:ascii="Arial" w:cs="Arial" w:eastAsia="Arial" w:hAnsi="Arial"/>
                <w:sz w:val="18"/>
                <w:szCs w:val="18"/>
                <w:color w:val="auto"/>
                <w:w w:val="91"/>
              </w:rPr>
              <w:t>Post-Effective Amendment No. 1 to</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w w:val="89"/>
              </w:rPr>
              <w:t>Registration Statement on Form S-8</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Ladies and Gentlemen: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acted as special Nevada counsel to Dragonfly Energy Holdings Corp.,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Post-Effective Amendment No. 1 (the “</w:t>
      </w:r>
      <w:r>
        <w:rPr>
          <w:rFonts w:ascii="Arial" w:cs="Arial" w:eastAsia="Arial" w:hAnsi="Arial"/>
          <w:sz w:val="17"/>
          <w:szCs w:val="17"/>
          <w:b w:val="1"/>
          <w:bCs w:val="1"/>
          <w:color w:val="auto"/>
        </w:rPr>
        <w:t>POS AM</w:t>
      </w:r>
      <w:r>
        <w:rPr>
          <w:rFonts w:ascii="Arial" w:cs="Arial" w:eastAsia="Arial" w:hAnsi="Arial"/>
          <w:sz w:val="17"/>
          <w:szCs w:val="17"/>
          <w:color w:val="auto"/>
        </w:rPr>
        <w:t>”) to the Registration Statement on Form S-8 (File No. 333-268784) dated December 13, 2022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previously filed by Dragonfly Energy Holdings Corp., a Delaware corporation (“</w:t>
      </w:r>
      <w:r>
        <w:rPr>
          <w:rFonts w:ascii="Arial" w:cs="Arial" w:eastAsia="Arial" w:hAnsi="Arial"/>
          <w:sz w:val="17"/>
          <w:szCs w:val="17"/>
          <w:b w:val="1"/>
          <w:bCs w:val="1"/>
          <w:color w:val="auto"/>
        </w:rPr>
        <w:t>Dragonfly Delaware</w:t>
      </w:r>
      <w:r>
        <w:rPr>
          <w:rFonts w:ascii="Arial" w:cs="Arial" w:eastAsia="Arial" w:hAnsi="Arial"/>
          <w:sz w:val="17"/>
          <w:szCs w:val="17"/>
          <w:color w:val="auto"/>
        </w:rPr>
        <w:t>”), filed by the Company with the Securities and Exchange Commission on the date hereof relating to the registration of shares of the Company’s common stock, $0.0001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issuable pursuant to the Company’s 2022 Equity Incentive Plan (the “</w:t>
      </w:r>
      <w:r>
        <w:rPr>
          <w:rFonts w:ascii="Arial" w:cs="Arial" w:eastAsia="Arial" w:hAnsi="Arial"/>
          <w:sz w:val="17"/>
          <w:szCs w:val="17"/>
          <w:b w:val="1"/>
          <w:bCs w:val="1"/>
          <w:color w:val="auto"/>
        </w:rPr>
        <w:t>2022 Plan</w:t>
      </w:r>
      <w:r>
        <w:rPr>
          <w:rFonts w:ascii="Arial" w:cs="Arial" w:eastAsia="Arial" w:hAnsi="Arial"/>
          <w:sz w:val="17"/>
          <w:szCs w:val="17"/>
          <w:color w:val="auto"/>
        </w:rPr>
        <w:t>”), the Company’s 2021 Stock Incentive Plan (the “</w:t>
      </w:r>
      <w:r>
        <w:rPr>
          <w:rFonts w:ascii="Arial" w:cs="Arial" w:eastAsia="Arial" w:hAnsi="Arial"/>
          <w:sz w:val="17"/>
          <w:szCs w:val="17"/>
          <w:b w:val="1"/>
          <w:bCs w:val="1"/>
          <w:color w:val="auto"/>
        </w:rPr>
        <w:t>2021 Plan</w:t>
      </w:r>
      <w:r>
        <w:rPr>
          <w:rFonts w:ascii="Arial" w:cs="Arial" w:eastAsia="Arial" w:hAnsi="Arial"/>
          <w:sz w:val="17"/>
          <w:szCs w:val="17"/>
          <w:color w:val="auto"/>
        </w:rPr>
        <w:t>”), the Company’s 2019 Stock Incentive Plan (the “</w:t>
      </w:r>
      <w:r>
        <w:rPr>
          <w:rFonts w:ascii="Arial" w:cs="Arial" w:eastAsia="Arial" w:hAnsi="Arial"/>
          <w:sz w:val="17"/>
          <w:szCs w:val="17"/>
          <w:b w:val="1"/>
          <w:bCs w:val="1"/>
          <w:color w:val="auto"/>
        </w:rPr>
        <w:t>2019 Plan</w:t>
      </w:r>
      <w:r>
        <w:rPr>
          <w:rFonts w:ascii="Arial" w:cs="Arial" w:eastAsia="Arial" w:hAnsi="Arial"/>
          <w:sz w:val="17"/>
          <w:szCs w:val="17"/>
          <w:color w:val="auto"/>
        </w:rPr>
        <w:t>”), or the Company’s Employee Stock Purchase Plan (the “</w:t>
      </w:r>
      <w:r>
        <w:rPr>
          <w:rFonts w:ascii="Arial" w:cs="Arial" w:eastAsia="Arial" w:hAnsi="Arial"/>
          <w:sz w:val="17"/>
          <w:szCs w:val="17"/>
          <w:b w:val="1"/>
          <w:bCs w:val="1"/>
          <w:color w:val="auto"/>
        </w:rPr>
        <w:t>ESPP</w:t>
      </w:r>
      <w:r>
        <w:rPr>
          <w:rFonts w:ascii="Arial" w:cs="Arial" w:eastAsia="Arial" w:hAnsi="Arial"/>
          <w:sz w:val="17"/>
          <w:szCs w:val="17"/>
          <w:color w:val="auto"/>
        </w:rPr>
        <w:t>” and, collectively with the 2022 Plan, 2021 Plan and 2019 Plan, the “</w:t>
      </w:r>
      <w:r>
        <w:rPr>
          <w:rFonts w:ascii="Arial" w:cs="Arial" w:eastAsia="Arial" w:hAnsi="Arial"/>
          <w:sz w:val="17"/>
          <w:szCs w:val="17"/>
          <w:b w:val="1"/>
          <w:bCs w:val="1"/>
          <w:color w:val="auto"/>
        </w:rPr>
        <w:t>Plans</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The Company is the successor to Dragonfly Delaware following a conversion (the “</w:t>
      </w:r>
      <w:r>
        <w:rPr>
          <w:rFonts w:ascii="Arial" w:cs="Arial" w:eastAsia="Arial" w:hAnsi="Arial"/>
          <w:sz w:val="17"/>
          <w:szCs w:val="17"/>
          <w:b w:val="1"/>
          <w:bCs w:val="1"/>
          <w:color w:val="auto"/>
        </w:rPr>
        <w:t>Conversion</w:t>
      </w:r>
      <w:r>
        <w:rPr>
          <w:rFonts w:ascii="Arial" w:cs="Arial" w:eastAsia="Arial" w:hAnsi="Arial"/>
          <w:sz w:val="17"/>
          <w:szCs w:val="17"/>
          <w:color w:val="auto"/>
        </w:rPr>
        <w:t>”) on March 31, 2023. The Conversion was effected by a Plan of Conversion, which provided that the Company: (1) file with the Secretary of State of the State of Delaware a Certificate of Conversion, and (2) file with the Secretary of State of the State of Nevada (i) Articles of Conversion, and (ii) Articles of Incorporation.</w:t>
      </w:r>
    </w:p>
    <w:p>
      <w:pPr>
        <w:spacing w:after="0" w:line="1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Conversion, (i) all issued and outstanding shares of common stock of Dragonfly Delaware were automatically converted into issued and outstanding shares of Common Stock of Company (the, without any action on the part of the Company’s stockholders, and (ii) each outstanding option or warrant to purchase a share of Dragonfly Delaware common stock (collectively, the “</w:t>
      </w:r>
      <w:r>
        <w:rPr>
          <w:rFonts w:ascii="Arial" w:cs="Arial" w:eastAsia="Arial" w:hAnsi="Arial"/>
          <w:sz w:val="16"/>
          <w:szCs w:val="16"/>
          <w:b w:val="1"/>
          <w:bCs w:val="1"/>
          <w:color w:val="auto"/>
        </w:rPr>
        <w:t>Dragonfly Delaware Stock</w:t>
      </w:r>
      <w:r>
        <w:rPr>
          <w:rFonts w:ascii="Arial" w:cs="Arial" w:eastAsia="Arial" w:hAnsi="Arial"/>
          <w:sz w:val="16"/>
          <w:szCs w:val="16"/>
          <w:color w:val="auto"/>
        </w:rPr>
        <w:t>”), and other equity awards relating to Dragonfly Delaware Stock, was deemed to constitute an option or warrant to purchase one share of Common Stock or equity award, as applicable, of the Company at an exercise price per full share equal to the stated exercise price or other terms or provisions of the option, warrant or equity award.</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rendering this opinion in connection with the POS AM registering a total of 2,163,636 shares of Common Stock comprised of: (i) 2,605,950 shares (the “</w:t>
      </w:r>
      <w:r>
        <w:rPr>
          <w:rFonts w:ascii="Arial" w:cs="Arial" w:eastAsia="Arial" w:hAnsi="Arial"/>
          <w:sz w:val="17"/>
          <w:szCs w:val="17"/>
          <w:b w:val="1"/>
          <w:bCs w:val="1"/>
          <w:color w:val="auto"/>
        </w:rPr>
        <w:t>Available Shares</w:t>
      </w:r>
      <w:r>
        <w:rPr>
          <w:rFonts w:ascii="Arial" w:cs="Arial" w:eastAsia="Arial" w:hAnsi="Arial"/>
          <w:sz w:val="17"/>
          <w:szCs w:val="17"/>
          <w:color w:val="auto"/>
        </w:rPr>
        <w:t>”) of Common Stock, issuable pursuant to the 2022 Plan; (ii) 1,755,935 shares (the “</w:t>
      </w:r>
      <w:r>
        <w:rPr>
          <w:rFonts w:ascii="Arial" w:cs="Arial" w:eastAsia="Arial" w:hAnsi="Arial"/>
          <w:sz w:val="17"/>
          <w:szCs w:val="17"/>
          <w:b w:val="1"/>
          <w:bCs w:val="1"/>
          <w:color w:val="auto"/>
        </w:rPr>
        <w:t>2021 Option Shares</w:t>
      </w:r>
      <w:r>
        <w:rPr>
          <w:rFonts w:ascii="Arial" w:cs="Arial" w:eastAsia="Arial" w:hAnsi="Arial"/>
          <w:sz w:val="17"/>
          <w:szCs w:val="17"/>
          <w:color w:val="auto"/>
        </w:rPr>
        <w:t>”) of Common Stock subject to outstanding stock options under the 2021 Plan; (iii) 3,177,632 shares (the “</w:t>
      </w:r>
      <w:r>
        <w:rPr>
          <w:rFonts w:ascii="Arial" w:cs="Arial" w:eastAsia="Arial" w:hAnsi="Arial"/>
          <w:sz w:val="17"/>
          <w:szCs w:val="17"/>
          <w:b w:val="1"/>
          <w:bCs w:val="1"/>
          <w:color w:val="auto"/>
        </w:rPr>
        <w:t>2019 Option Shares</w:t>
      </w:r>
      <w:r>
        <w:rPr>
          <w:rFonts w:ascii="Arial" w:cs="Arial" w:eastAsia="Arial" w:hAnsi="Arial"/>
          <w:sz w:val="17"/>
          <w:szCs w:val="17"/>
          <w:color w:val="auto"/>
        </w:rPr>
        <w:t>”) of Common Stock subject to outstanding stock options under the 2019 Plan; and (iv) 2,464,400 shares (the “</w:t>
      </w:r>
      <w:r>
        <w:rPr>
          <w:rFonts w:ascii="Arial" w:cs="Arial" w:eastAsia="Arial" w:hAnsi="Arial"/>
          <w:sz w:val="17"/>
          <w:szCs w:val="17"/>
          <w:b w:val="1"/>
          <w:bCs w:val="1"/>
          <w:color w:val="auto"/>
        </w:rPr>
        <w:t>ESPP Shares</w:t>
      </w:r>
      <w:r>
        <w:rPr>
          <w:rFonts w:ascii="Arial" w:cs="Arial" w:eastAsia="Arial" w:hAnsi="Arial"/>
          <w:sz w:val="17"/>
          <w:szCs w:val="17"/>
          <w:color w:val="auto"/>
        </w:rPr>
        <w:t>” and, collectively with the Available Shares, the 2021 Option Shares and the 2019 Option Shares, the “</w:t>
      </w:r>
      <w:r>
        <w:rPr>
          <w:rFonts w:ascii="Arial" w:cs="Arial" w:eastAsia="Arial" w:hAnsi="Arial"/>
          <w:sz w:val="17"/>
          <w:szCs w:val="17"/>
          <w:b w:val="1"/>
          <w:bCs w:val="1"/>
          <w:color w:val="auto"/>
        </w:rPr>
        <w:t>Shares</w:t>
      </w:r>
      <w:r>
        <w:rPr>
          <w:rFonts w:ascii="Arial" w:cs="Arial" w:eastAsia="Arial" w:hAnsi="Arial"/>
          <w:sz w:val="17"/>
          <w:szCs w:val="17"/>
          <w:color w:val="auto"/>
        </w:rPr>
        <w:t>”) of Common Stock issuable pursuant to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counsel to the Company in connection with the POS AM, we have reviewed the POS AM, the Registration Statement, the Plans, the Company’s Articles of Incorporation and the Company’s Bylaws. In addition, we have examined such matters of fact and questions of law as we have considered appropriate for purposes of rendering this opinion.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such examination, it is our opinion that the Shares have been duly authorized by all requisite corporate action on the part of the Company and, upon their issuance, delivery and payment therefor in accordance with the terms of the Plans and in the manner contemplated by the POS AM, the Shares will be validly issued, fully paid and non-assessable.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opinion is expressed herein as to any matter pertaining to the contents of the POS AM. In connection with this opinion,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opinion is given as of the date hereof. We assume no obligation to advise you of changes that may hereafter be brought to our attention.</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consent to the inclusion of this opinion as an exhibit to the POS AM and further consent to all references to us under the caption “Legal Matters” in the Prospectus constituting a part of the POS AM. In giving this consent, we do not admit that we are in the category of persons whose consent is required under Section 7 of the Securities Act, or the rules and regulations of the Securities and Exchange Commission.</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left="10320"/>
        <w:spacing w:after="0"/>
        <w:rPr>
          <w:sz w:val="20"/>
          <w:szCs w:val="20"/>
          <w:color w:val="auto"/>
        </w:rPr>
      </w:pPr>
      <w:r>
        <w:rPr>
          <w:rFonts w:ascii="Arial" w:cs="Arial" w:eastAsia="Arial" w:hAnsi="Arial"/>
          <w:sz w:val="16"/>
          <w:szCs w:val="16"/>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incorporation by reference in the Form S-8/A constituting a part of this Registration Statement of our report dated April 17, 2023, relating to the consolidated financial statements of Dragonfly Energy Holdings Corp., appearing in the Company’s Annual Report on Form 10-K for the year ended December 31, 2022. Our report contains an explanatory paragraph regarding the Company’s ability to continue as a going concern.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20" Type="http://schemas.openxmlformats.org/officeDocument/2006/relationships/hyperlink" Target="https://www.sec.gov/Archives/edgar/data/1847986/000149315223012533/form10-k.htm" TargetMode="External"/><Relationship Id="rId21" Type="http://schemas.openxmlformats.org/officeDocument/2006/relationships/hyperlink" Target="https://www.sec.gov/Archives/edgar/data/1847986/000149315223014966/form10-ka.htm" TargetMode="External"/><Relationship Id="rId22" Type="http://schemas.openxmlformats.org/officeDocument/2006/relationships/hyperlink" Target="https://www.sec.gov/Archives/edgar/data/1847986/000149315223017432/form10-q.htm" TargetMode="External"/><Relationship Id="rId23" Type="http://schemas.openxmlformats.org/officeDocument/2006/relationships/hyperlink" Target="https://www.sec.gov/Archives/edgar/data/1847986/000149315223029680/form10-q.htm" TargetMode="External"/><Relationship Id="rId24" Type="http://schemas.openxmlformats.org/officeDocument/2006/relationships/hyperlink" Target="https://www.sec.gov/Archives/edgar/data/1847986/000149315223014971/form8-k.htm" TargetMode="External"/><Relationship Id="rId25" Type="http://schemas.openxmlformats.org/officeDocument/2006/relationships/hyperlink" Target="https://www.sec.gov/Archives/edgar/data/1847986/000149315223021997/form8-k.htm" TargetMode="External"/><Relationship Id="rId26" Type="http://schemas.openxmlformats.org/officeDocument/2006/relationships/hyperlink" Target="https://www.sec.gov/Archives/edgar/data/1847986/000110465921102670/tm2124648d1_8a12b.htm" TargetMode="External"/><Relationship Id="rId29" Type="http://schemas.openxmlformats.org/officeDocument/2006/relationships/hyperlink" Target="https://www.sec.gov/Archives/edgar/data/1847986/000149315223010262/ex3-1.htm" TargetMode="External"/><Relationship Id="rId30" Type="http://schemas.openxmlformats.org/officeDocument/2006/relationships/hyperlink" Target="https://www.sec.gov/Archives/edgar/data/1847986/000149315223010262/ex3-2.htm" TargetMode="External"/><Relationship Id="rId31" Type="http://schemas.openxmlformats.org/officeDocument/2006/relationships/hyperlink" Target="https://www.sec.gov/Archives/edgar/data/1847986/000110465922107212/tm2222125d3_ex4-1.htm" TargetMode="External"/><Relationship Id="rId32" Type="http://schemas.openxmlformats.org/officeDocument/2006/relationships/hyperlink" Target="https://www.sec.gov/Archives/edgar/data/1847986/000110465922126690/tm2232217d1_s8.htm#a_001" TargetMode="External"/><Relationship Id="rId33" Type="http://schemas.openxmlformats.org/officeDocument/2006/relationships/hyperlink" Target="https://www.sec.gov/Archives/edgar/data/1847986/000110465922107212/tm2222125d3_ex10-19.htm" TargetMode="External"/><Relationship Id="rId34" Type="http://schemas.openxmlformats.org/officeDocument/2006/relationships/hyperlink" Target="https://www.sec.gov/Archives/edgar/data/1847986/000110465922107212/tm2222125d3_ex10-20.htm" TargetMode="External"/><Relationship Id="rId35" Type="http://schemas.openxmlformats.org/officeDocument/2006/relationships/hyperlink" Target="https://www.sec.gov/Archives/edgar/data/1847986/000110465922107212/tm2222125d3_ex10-5.htm" TargetMode="External"/><Relationship Id="rId36" Type="http://schemas.openxmlformats.org/officeDocument/2006/relationships/hyperlink" Target="https://www.sec.gov/Archives/edgar/data/1847986/000110465922107212/tm2222125d3_ex10-6.htm" TargetMode="External"/><Relationship Id="rId37" Type="http://schemas.openxmlformats.org/officeDocument/2006/relationships/hyperlink" Target="https://www.sec.gov/Archives/edgar/data/1847986/000110465922126690/tm2232217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2023-08-30T16:20:50Z</dcterms:created>
  <dcterms:modified xsi:type="dcterms:W3CDTF">2023-08-30T16:20:50Z</dcterms:modified>
</cp:coreProperties>
</file>