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23,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20"/>
                <w:szCs w:val="20"/>
                <w:color w:val="auto"/>
              </w:rPr>
            </w:pPr>
          </w:p>
        </w:tc>
        <w:tc>
          <w:tcPr>
            <w:tcW w:w="380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1190 Trademark Drive #108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Redeemable warrants, exercisable for common stock</w:t>
            </w:r>
          </w:p>
        </w:tc>
        <w:tc>
          <w:tcPr>
            <w:tcW w:w="2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23, 2025, Dragonfly Energy Holdings Corp. (the “Company”) and the holder of the Company’s Series A Convertible Preferred Stock (the “Series A Preferred Stock”) agreed to cancel such holder’s warrants to purchase up to an aggregate of 4,000 shares of Series A Preferred Stock, with an exercise price of $10,000 per share of Series A Preferred Stock (the “Warrants”). As a result, the Warrants are no longer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Dated: June 24,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0"/>
          <w:szCs w:val="20"/>
          <w:color w:val="auto"/>
        </w:rPr>
      </w:pPr>
    </w:p>
    <w:p>
      <w:pPr>
        <w:ind w:left="5640"/>
        <w:spacing w:after="0"/>
        <w:tabs>
          <w:tab w:leader="none" w:pos="6180" w:val="left"/>
          <w:tab w:leader="none" w:pos="6720" w:val="left"/>
          <w:tab w:leader="none" w:pos="7580" w:val="left"/>
          <w:tab w:leader="none" w:pos="8260" w:val="left"/>
          <w:tab w:leader="none" w:pos="8940" w:val="left"/>
          <w:tab w:leader="none" w:pos="9480" w:val="left"/>
          <w:tab w:leader="none" w:pos="10300" w:val="left"/>
          <w:tab w:leader="none" w:pos="10940" w:val="left"/>
        </w:tabs>
        <w:rPr>
          <w:sz w:val="20"/>
          <w:szCs w:val="20"/>
          <w:color w:val="auto"/>
        </w:rPr>
      </w:pPr>
      <w:r>
        <w:rPr>
          <w:rFonts w:ascii="Times New Roman" w:cs="Times New Roman" w:eastAsia="Times New Roman" w:hAnsi="Times New Roman"/>
          <w:sz w:val="18"/>
          <w:szCs w:val="18"/>
          <w:color w:val="auto"/>
        </w:rPr>
        <w:t>Title:</w:t>
        <w:tab/>
        <w:t>Chief</w:t>
        <w:tab/>
        <w:t>Executive</w:t>
        <w:tab/>
        <w:t>Officer,</w:t>
        <w:tab/>
        <w:t>Interim</w:t>
        <w:tab/>
        <w:t>Chief</w:t>
        <w:tab/>
        <w:t>Financial</w:t>
        <w:tab/>
        <w:t>Officer</w:t>
        <w:tab/>
        <w:t>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2025-06-24T05:11:10Z</dcterms:created>
  <dcterms:modified xsi:type="dcterms:W3CDTF">2025-06-24T05:11:10Z</dcterms:modified>
</cp:coreProperties>
</file>