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Filed by Chardan NexTech Acquisition 2 Corp. pursuant to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Rule 425 under the Securities Act of 1933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and deemed filed pursuant to Rule 14a-12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under the 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 Chardan NexTech Acquisition 2 Corp.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160020</wp:posOffset>
            </wp:positionV>
            <wp:extent cx="7132320" cy="6052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05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20"/>
      </w:cols>
      <w:pgMar w:left="1440" w:top="47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2022-05-17T05:18:26Z</dcterms:created>
  <dcterms:modified xsi:type="dcterms:W3CDTF">2022-05-17T05:18:26Z</dcterms:modified>
</cp:coreProperties>
</file>