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702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3" w:lineRule="exact"/>
        <w:rPr>
          <w:sz w:val="24"/>
          <w:szCs w:val="24"/>
          <w:color w:val="auto"/>
        </w:rPr>
      </w:pPr>
    </w:p>
    <w:p>
      <w:pPr>
        <w:ind w:left="8020"/>
        <w:spacing w:after="0"/>
        <w:rPr>
          <w:sz w:val="20"/>
          <w:szCs w:val="20"/>
          <w:color w:val="auto"/>
        </w:rPr>
      </w:pPr>
      <w:r>
        <w:rPr>
          <w:rFonts w:ascii="Times New Roman" w:cs="Times New Roman" w:eastAsia="Times New Roman" w:hAnsi="Times New Roman"/>
          <w:sz w:val="17"/>
          <w:szCs w:val="17"/>
          <w:b w:val="1"/>
          <w:bCs w:val="1"/>
          <w:color w:val="auto"/>
        </w:rPr>
        <w:t> File No. 333-268185​</w:t>
      </w:r>
    </w:p>
    <w:p>
      <w:pPr>
        <w:spacing w:after="0" w:line="3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67945</wp:posOffset>
            </wp:positionV>
            <wp:extent cx="109728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3"/>
          <w:szCs w:val="23"/>
          <w:b w:val="1"/>
          <w:bCs w:val="1"/>
          <w:color w:val="auto"/>
        </w:rPr>
        <w:t>DRAGONFLY ENERGY HOLDINGS CORP.</w:t>
      </w:r>
    </w:p>
    <w:p>
      <w:pPr>
        <w:spacing w:after="0" w:line="5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38,590,131 Shares of Common Stock</w:t>
      </w:r>
    </w:p>
    <w:p>
      <w:pPr>
        <w:spacing w:after="0" w:line="4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16,708,414 Warrants to Purchase Shares of Common Stock</w:t>
      </w:r>
    </w:p>
    <w:p>
      <w:pPr>
        <w:spacing w:after="0" w:line="4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16,708,414 Shares of Common Stock Underlying Warrants</w:t>
      </w:r>
    </w:p>
    <w:p>
      <w:pPr>
        <w:spacing w:after="0" w:line="45" w:lineRule="exact"/>
        <w:rPr>
          <w:sz w:val="24"/>
          <w:szCs w:val="24"/>
          <w:color w:val="auto"/>
        </w:rPr>
      </w:pPr>
    </w:p>
    <w:p>
      <w:pPr>
        <w:ind w:left="1260" w:right="519" w:firstLine="360"/>
        <w:spacing w:after="0" w:line="224"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securityholders named in this prospectus (the “</w:t>
      </w:r>
      <w:r>
        <w:rPr>
          <w:rFonts w:ascii="Times New Roman" w:cs="Times New Roman" w:eastAsia="Times New Roman" w:hAnsi="Times New Roman"/>
          <w:sz w:val="14"/>
          <w:szCs w:val="14"/>
          <w:b w:val="1"/>
          <w:bCs w:val="1"/>
          <w:color w:val="auto"/>
        </w:rPr>
        <w:t>selling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securityholders</w:t>
      </w:r>
      <w:r>
        <w:rPr>
          <w:rFonts w:ascii="Times New Roman" w:cs="Times New Roman" w:eastAsia="Times New Roman" w:hAnsi="Times New Roman"/>
          <w:sz w:val="14"/>
          <w:szCs w:val="14"/>
          <w:color w:val="auto"/>
        </w:rPr>
        <w:t>”) of up to 38,590,131 shares of our common stock, par value $0.0001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16,708,414 warrants to</w:t>
      </w:r>
    </w:p>
    <w:p>
      <w:pPr>
        <w:spacing w:after="0" w:line="1" w:lineRule="exact"/>
        <w:rPr>
          <w:sz w:val="24"/>
          <w:szCs w:val="24"/>
          <w:color w:val="auto"/>
        </w:rPr>
      </w:pPr>
    </w:p>
    <w:p>
      <w:pPr>
        <w:ind w:left="1260" w:right="499"/>
        <w:spacing w:after="0"/>
        <w:rPr>
          <w:sz w:val="20"/>
          <w:szCs w:val="20"/>
          <w:color w:val="auto"/>
        </w:rPr>
      </w:pPr>
      <w:r>
        <w:rPr>
          <w:rFonts w:ascii="Times New Roman" w:cs="Times New Roman" w:eastAsia="Times New Roman" w:hAnsi="Times New Roman"/>
          <w:sz w:val="14"/>
          <w:szCs w:val="14"/>
          <w:color w:val="auto"/>
        </w:rPr>
        <w:t>purchase shares of common stock and 16,708,414 shares of common stock that are issuable upon the exercise of such warrants, consisting of:</w:t>
      </w:r>
    </w:p>
    <w:p>
      <w:pPr>
        <w:spacing w:after="0" w:line="161" w:lineRule="exact"/>
        <w:rPr>
          <w:sz w:val="24"/>
          <w:szCs w:val="24"/>
          <w:color w:val="auto"/>
        </w:rPr>
      </w:pPr>
    </w:p>
    <w:p>
      <w:pPr>
        <w:ind w:left="1800" w:right="499" w:hanging="180"/>
        <w:spacing w:after="0" w:line="238"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31,290,514 shares of common stock that were issued as consideration in connection with the consummation of the transactions contemplated by the Business Combination Agreement (as defined below) at prices that equate to purchase prices of less than $10.00 per share (the “</w:t>
      </w:r>
      <w:r>
        <w:rPr>
          <w:rFonts w:ascii="Times New Roman" w:cs="Times New Roman" w:eastAsia="Times New Roman" w:hAnsi="Times New Roman"/>
          <w:sz w:val="14"/>
          <w:szCs w:val="14"/>
          <w:b w:val="1"/>
          <w:bCs w:val="1"/>
          <w:color w:val="auto"/>
        </w:rPr>
        <w:t>Consideration Shares</w:t>
      </w: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left="1800" w:right="439" w:hanging="180"/>
        <w:spacing w:after="0" w:line="239"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3,664,975 shares of common stock subject to vesting and/or exercise of Legacy Dragonfly (as defined below) equity awards that were assumed in connection with the Business Combination (the “</w:t>
      </w:r>
      <w:r>
        <w:rPr>
          <w:rFonts w:ascii="Times New Roman" w:cs="Times New Roman" w:eastAsia="Times New Roman" w:hAnsi="Times New Roman"/>
          <w:sz w:val="14"/>
          <w:szCs w:val="14"/>
          <w:b w:val="1"/>
          <w:bCs w:val="1"/>
          <w:color w:val="auto"/>
        </w:rPr>
        <w:t>Option Shares</w:t>
      </w:r>
      <w:r>
        <w:rPr>
          <w:rFonts w:ascii="Times New Roman" w:cs="Times New Roman" w:eastAsia="Times New Roman" w:hAnsi="Times New Roman"/>
          <w:sz w:val="14"/>
          <w:szCs w:val="14"/>
          <w:color w:val="auto"/>
        </w:rPr>
        <w:t>”). Upon exercise of the applicable Legacy Dragonfly equity awards, the applicable selling securityholders will acquire the Option Shares at prices ranging from $0.372 to $4.08 per share of common stock;</w:t>
      </w:r>
    </w:p>
    <w:p>
      <w:pPr>
        <w:spacing w:after="0" w:line="4" w:lineRule="exact"/>
        <w:rPr>
          <w:rFonts w:ascii="Times New Roman" w:cs="Times New Roman" w:eastAsia="Times New Roman" w:hAnsi="Times New Roman"/>
          <w:sz w:val="14"/>
          <w:szCs w:val="14"/>
          <w:color w:val="auto"/>
        </w:rPr>
      </w:pPr>
    </w:p>
    <w:p>
      <w:pPr>
        <w:ind w:left="1800" w:right="539" w:hanging="180"/>
        <w:spacing w:after="0" w:line="239"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3,162,500 shares of common stock (the “</w:t>
      </w:r>
      <w:r>
        <w:rPr>
          <w:rFonts w:ascii="Times New Roman" w:cs="Times New Roman" w:eastAsia="Times New Roman" w:hAnsi="Times New Roman"/>
          <w:sz w:val="14"/>
          <w:szCs w:val="14"/>
          <w:b w:val="1"/>
          <w:bCs w:val="1"/>
          <w:color w:val="auto"/>
        </w:rPr>
        <w:t>Founder Shares</w:t>
      </w:r>
      <w:r>
        <w:rPr>
          <w:rFonts w:ascii="Times New Roman" w:cs="Times New Roman" w:eastAsia="Times New Roman" w:hAnsi="Times New Roman"/>
          <w:sz w:val="14"/>
          <w:szCs w:val="14"/>
          <w:color w:val="auto"/>
        </w:rPr>
        <w:t>”) that were originally issued in a private placement at the time of the CNTQ IPO (as defined below). The Founder Shares were acquired at a purchase price equivalent to approximately $0.0079 per share of common stock;</w:t>
      </w:r>
    </w:p>
    <w:p>
      <w:pPr>
        <w:spacing w:after="0" w:line="5" w:lineRule="exact"/>
        <w:rPr>
          <w:rFonts w:ascii="Times New Roman" w:cs="Times New Roman" w:eastAsia="Times New Roman" w:hAnsi="Times New Roman"/>
          <w:sz w:val="14"/>
          <w:szCs w:val="14"/>
          <w:color w:val="auto"/>
        </w:rPr>
      </w:pPr>
    </w:p>
    <w:p>
      <w:pPr>
        <w:ind w:left="1800" w:right="619" w:hanging="180"/>
        <w:spacing w:after="0" w:line="253"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4,627,858 warrants (“</w:t>
      </w:r>
      <w:r>
        <w:rPr>
          <w:rFonts w:ascii="Times New Roman" w:cs="Times New Roman" w:eastAsia="Times New Roman" w:hAnsi="Times New Roman"/>
          <w:sz w:val="14"/>
          <w:szCs w:val="14"/>
          <w:b w:val="1"/>
          <w:bCs w:val="1"/>
          <w:color w:val="auto"/>
        </w:rPr>
        <w:t>Private Warrants</w:t>
      </w:r>
      <w:r>
        <w:rPr>
          <w:rFonts w:ascii="Times New Roman" w:cs="Times New Roman" w:eastAsia="Times New Roman" w:hAnsi="Times New Roman"/>
          <w:sz w:val="14"/>
          <w:szCs w:val="14"/>
          <w:color w:val="auto"/>
        </w:rPr>
        <w:t>”) that were originally issued in a private placement at the time of the CNTQ IPO. The Private Warrants were acquired at a purchase price of $0.93 per Private Warrant;</w:t>
      </w:r>
    </w:p>
    <w:p>
      <w:pPr>
        <w:ind w:left="1800" w:right="639" w:hanging="180"/>
        <w:spacing w:after="0" w:line="254"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Penny Warrants (as defined below) to initially acquire 2,593,056 shares of common stock that were originally issued to the Term Loan Lenders (as defined below);</w:t>
      </w:r>
    </w:p>
    <w:p>
      <w:pPr>
        <w:spacing w:after="0" w:line="8" w:lineRule="exact"/>
        <w:rPr>
          <w:rFonts w:ascii="Times New Roman" w:cs="Times New Roman" w:eastAsia="Times New Roman" w:hAnsi="Times New Roman"/>
          <w:sz w:val="14"/>
          <w:szCs w:val="14"/>
          <w:color w:val="auto"/>
        </w:rPr>
      </w:pPr>
    </w:p>
    <w:p>
      <w:pPr>
        <w:ind w:left="1800" w:right="619" w:hanging="180"/>
        <w:spacing w:after="0" w:line="251"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4,627,858 shares of common stock (the “</w:t>
      </w:r>
      <w:r>
        <w:rPr>
          <w:rFonts w:ascii="Times New Roman" w:cs="Times New Roman" w:eastAsia="Times New Roman" w:hAnsi="Times New Roman"/>
          <w:sz w:val="14"/>
          <w:szCs w:val="14"/>
          <w:b w:val="1"/>
          <w:bCs w:val="1"/>
          <w:color w:val="auto"/>
        </w:rPr>
        <w:t>Private Warrant Shares</w:t>
      </w:r>
      <w:r>
        <w:rPr>
          <w:rFonts w:ascii="Times New Roman" w:cs="Times New Roman" w:eastAsia="Times New Roman" w:hAnsi="Times New Roman"/>
          <w:sz w:val="14"/>
          <w:szCs w:val="14"/>
          <w:color w:val="auto"/>
        </w:rPr>
        <w:t>”) issuable upon the exercise of the Private Warrants that were originally issued in a private placement at the time of the CNTQ IPO;</w:t>
      </w:r>
    </w:p>
    <w:p>
      <w:pPr>
        <w:ind w:left="1800" w:right="699" w:hanging="180"/>
        <w:spacing w:after="0" w:line="257"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457,142 shares of common stock (the “$</w:t>
      </w:r>
      <w:r>
        <w:rPr>
          <w:rFonts w:ascii="Times New Roman" w:cs="Times New Roman" w:eastAsia="Times New Roman" w:hAnsi="Times New Roman"/>
          <w:sz w:val="14"/>
          <w:szCs w:val="14"/>
          <w:b w:val="1"/>
          <w:bCs w:val="1"/>
          <w:color w:val="auto"/>
        </w:rPr>
        <w:t>10 Warrant Shares</w:t>
      </w:r>
      <w:r>
        <w:rPr>
          <w:rFonts w:ascii="Times New Roman" w:cs="Times New Roman" w:eastAsia="Times New Roman" w:hAnsi="Times New Roman"/>
          <w:sz w:val="14"/>
          <w:szCs w:val="14"/>
          <w:color w:val="auto"/>
        </w:rPr>
        <w:t>”) issued upon the exercise of the $10 Warrants (as defined below) issued as part of the Term Loan (as defined below);</w:t>
      </w:r>
    </w:p>
    <w:p>
      <w:pPr>
        <w:spacing w:after="0" w:line="6" w:lineRule="exact"/>
        <w:rPr>
          <w:rFonts w:ascii="Times New Roman" w:cs="Times New Roman" w:eastAsia="Times New Roman" w:hAnsi="Times New Roman"/>
          <w:sz w:val="14"/>
          <w:szCs w:val="14"/>
          <w:color w:val="auto"/>
        </w:rPr>
      </w:pPr>
    </w:p>
    <w:p>
      <w:pPr>
        <w:ind w:left="1800" w:right="619" w:hanging="180"/>
        <w:spacing w:after="0" w:line="251"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2,593,056 shares of common stock (the “</w:t>
      </w:r>
      <w:r>
        <w:rPr>
          <w:rFonts w:ascii="Times New Roman" w:cs="Times New Roman" w:eastAsia="Times New Roman" w:hAnsi="Times New Roman"/>
          <w:sz w:val="14"/>
          <w:szCs w:val="14"/>
          <w:b w:val="1"/>
          <w:bCs w:val="1"/>
          <w:color w:val="auto"/>
        </w:rPr>
        <w:t>Penny Warrant Shares</w:t>
      </w:r>
      <w:r>
        <w:rPr>
          <w:rFonts w:ascii="Times New Roman" w:cs="Times New Roman" w:eastAsia="Times New Roman" w:hAnsi="Times New Roman"/>
          <w:sz w:val="14"/>
          <w:szCs w:val="14"/>
          <w:color w:val="auto"/>
        </w:rPr>
        <w:t>”) issuable upon the exercise of the Penny Warrants (as defined below) issued as part of the Term Loan; and</w:t>
      </w:r>
    </w:p>
    <w:p>
      <w:pPr>
        <w:ind w:left="1800" w:right="419" w:hanging="180"/>
        <w:spacing w:after="0" w:line="251" w:lineRule="auto"/>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 shares of common stock (the “</w:t>
      </w:r>
      <w:r>
        <w:rPr>
          <w:rFonts w:ascii="Times New Roman" w:cs="Times New Roman" w:eastAsia="Times New Roman" w:hAnsi="Times New Roman"/>
          <w:sz w:val="14"/>
          <w:szCs w:val="14"/>
          <w:b w:val="1"/>
          <w:bCs w:val="1"/>
          <w:color w:val="auto"/>
        </w:rPr>
        <w:t>PIPE Investment Shares</w:t>
      </w:r>
      <w:r>
        <w:rPr>
          <w:rFonts w:ascii="Times New Roman" w:cs="Times New Roman" w:eastAsia="Times New Roman" w:hAnsi="Times New Roman"/>
          <w:sz w:val="14"/>
          <w:szCs w:val="14"/>
          <w:color w:val="auto"/>
        </w:rPr>
        <w:t>”) purchased by CCM (as defined below) in the PIPE Investment (as defined below).</w:t>
      </w:r>
    </w:p>
    <w:p>
      <w:pPr>
        <w:ind w:left="1620"/>
        <w:spacing w:after="0" w:line="229" w:lineRule="auto"/>
        <w:rPr>
          <w:sz w:val="20"/>
          <w:szCs w:val="20"/>
          <w:color w:val="auto"/>
        </w:rPr>
      </w:pPr>
      <w:r>
        <w:rPr>
          <w:rFonts w:ascii="Times New Roman" w:cs="Times New Roman" w:eastAsia="Times New Roman" w:hAnsi="Times New Roman"/>
          <w:sz w:val="14"/>
          <w:szCs w:val="14"/>
          <w:color w:val="auto"/>
        </w:rPr>
        <w:t>This prospectus also relates to the issuance by us of up to 16,708,414 shares of common stock (the “</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 comprised of</w:t>
      </w:r>
    </w:p>
    <w:p>
      <w:pPr>
        <w:ind w:left="1260" w:right="419"/>
        <w:spacing w:after="0" w:line="222" w:lineRule="auto"/>
        <w:tabs>
          <w:tab w:leader="none" w:pos="143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9,487,500 shares of common stock (the “</w:t>
      </w:r>
      <w:r>
        <w:rPr>
          <w:rFonts w:ascii="Times New Roman" w:cs="Times New Roman" w:eastAsia="Times New Roman" w:hAnsi="Times New Roman"/>
          <w:sz w:val="14"/>
          <w:szCs w:val="14"/>
          <w:b w:val="1"/>
          <w:bCs w:val="1"/>
          <w:color w:val="auto"/>
        </w:rPr>
        <w:t>Public Warrant Shares</w:t>
      </w:r>
      <w:r>
        <w:rPr>
          <w:rFonts w:ascii="Times New Roman" w:cs="Times New Roman" w:eastAsia="Times New Roman" w:hAnsi="Times New Roman"/>
          <w:sz w:val="14"/>
          <w:szCs w:val="14"/>
          <w:color w:val="auto"/>
        </w:rPr>
        <w:t>”) that are issuable by us upon the exercise of the public warrants sold as part of the units in the CNTQ IPO (the “</w:t>
      </w:r>
      <w:r>
        <w:rPr>
          <w:rFonts w:ascii="Times New Roman" w:cs="Times New Roman" w:eastAsia="Times New Roman" w:hAnsi="Times New Roman"/>
          <w:sz w:val="14"/>
          <w:szCs w:val="14"/>
          <w:b w:val="1"/>
          <w:bCs w:val="1"/>
          <w:color w:val="auto"/>
        </w:rPr>
        <w:t>Public Warrants</w:t>
      </w:r>
      <w:r>
        <w:rPr>
          <w:rFonts w:ascii="Times New Roman" w:cs="Times New Roman" w:eastAsia="Times New Roman" w:hAnsi="Times New Roman"/>
          <w:sz w:val="14"/>
          <w:szCs w:val="14"/>
          <w:color w:val="auto"/>
        </w:rPr>
        <w:t>”), (ii) the 4,627,858 Private Warrant Shares and (iii) the 2,593,056 Penny Warrant Shares. The Public Warrants and Private Warrants entitle the holder thereof to purchase one share of our common stock for $11.50 per share. The Penny Warrants entitle the holder thereof to purchase one share of our common stock for $0.01 per share, subject to weighted average anti-dilution protection.</w:t>
      </w:r>
    </w:p>
    <w:p>
      <w:pPr>
        <w:spacing w:after="0" w:line="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color w:val="auto"/>
        </w:rPr>
        <w:t>We are registering the offer and sale of these securities to satisfy certain registration rights we have granted. The selling</w:t>
      </w:r>
    </w:p>
    <w:p>
      <w:pPr>
        <w:spacing w:after="0" w:line="4" w:lineRule="exact"/>
        <w:rPr>
          <w:sz w:val="24"/>
          <w:szCs w:val="24"/>
          <w:color w:val="auto"/>
        </w:rPr>
      </w:pPr>
    </w:p>
    <w:p>
      <w:pPr>
        <w:ind w:left="1260" w:right="419"/>
        <w:spacing w:after="0" w:line="211" w:lineRule="auto"/>
        <w:rPr>
          <w:sz w:val="20"/>
          <w:szCs w:val="20"/>
          <w:color w:val="auto"/>
        </w:rPr>
      </w:pPr>
      <w:r>
        <w:rPr>
          <w:rFonts w:ascii="Times New Roman" w:cs="Times New Roman" w:eastAsia="Times New Roman" w:hAnsi="Times New Roman"/>
          <w:sz w:val="14"/>
          <w:szCs w:val="14"/>
          <w:color w:val="auto"/>
        </w:rPr>
        <w:t>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w:t>
      </w:r>
    </w:p>
    <w:p>
      <w:pPr>
        <w:ind w:left="1260"/>
        <w:spacing w:after="0" w:line="222" w:lineRule="auto"/>
        <w:rPr>
          <w:sz w:val="20"/>
          <w:szCs w:val="20"/>
          <w:color w:val="auto"/>
        </w:rPr>
      </w:pPr>
      <w:r>
        <w:rPr>
          <w:rFonts w:ascii="Times New Roman" w:cs="Times New Roman" w:eastAsia="Times New Roman" w:hAnsi="Times New Roman"/>
          <w:sz w:val="14"/>
          <w:szCs w:val="14"/>
          <w:color w:val="auto"/>
        </w:rPr>
        <w:t>or warrants, except with respect to amounts received by us upon the exercise of the warrants. Because the exercise price of the Public</w:t>
      </w:r>
    </w:p>
    <w:p>
      <w:pPr>
        <w:ind w:left="1260" w:right="659"/>
        <w:spacing w:after="0" w:line="211" w:lineRule="auto"/>
        <w:rPr>
          <w:sz w:val="20"/>
          <w:szCs w:val="20"/>
          <w:color w:val="auto"/>
        </w:rPr>
      </w:pPr>
      <w:r>
        <w:rPr>
          <w:rFonts w:ascii="Times New Roman" w:cs="Times New Roman" w:eastAsia="Times New Roman" w:hAnsi="Times New Roman"/>
          <w:sz w:val="14"/>
          <w:szCs w:val="14"/>
          <w:color w:val="auto"/>
        </w:rPr>
        <w:t>Warrants and Private Warrants substantially exceeds the current trading price of our common stock, it is unlikely that holders of our warrants will be able to exercise such warrants in the near future, if at all. As a result, we are unlikely to receive any proceeds from the</w:t>
      </w:r>
    </w:p>
    <w:p>
      <w:pPr>
        <w:ind w:left="1260" w:right="619"/>
        <w:spacing w:after="0" w:line="211" w:lineRule="auto"/>
        <w:rPr>
          <w:sz w:val="20"/>
          <w:szCs w:val="20"/>
          <w:color w:val="auto"/>
        </w:rPr>
      </w:pPr>
      <w:r>
        <w:rPr>
          <w:rFonts w:ascii="Times New Roman" w:cs="Times New Roman" w:eastAsia="Times New Roman" w:hAnsi="Times New Roman"/>
          <w:sz w:val="14"/>
          <w:szCs w:val="14"/>
          <w:color w:val="auto"/>
        </w:rPr>
        <w:t>exercise of our warrants in the near future, if at all. We will bear all costs, expenses and fees in connection with the registration of these securities, including with regard to compliance with state securities or “blue sky” laws. The selling securityholders will bear all</w:t>
      </w:r>
    </w:p>
    <w:p>
      <w:pPr>
        <w:ind w:left="1260" w:right="819"/>
        <w:spacing w:after="0" w:line="235" w:lineRule="auto"/>
        <w:rPr>
          <w:sz w:val="20"/>
          <w:szCs w:val="20"/>
          <w:color w:val="auto"/>
        </w:rPr>
      </w:pPr>
      <w:r>
        <w:rPr>
          <w:rFonts w:ascii="Times New Roman" w:cs="Times New Roman" w:eastAsia="Times New Roman" w:hAnsi="Times New Roman"/>
          <w:sz w:val="14"/>
          <w:szCs w:val="14"/>
          <w:color w:val="auto"/>
        </w:rPr>
        <w:t>commissions and discounts, if any, attributable to their sale of shares of our common stock or warrants. See section entitled “</w:t>
      </w:r>
      <w:r>
        <w:rPr>
          <w:rFonts w:ascii="Times New Roman" w:cs="Times New Roman" w:eastAsia="Times New Roman" w:hAnsi="Times New Roman"/>
          <w:sz w:val="14"/>
          <w:szCs w:val="14"/>
          <w:i w:val="1"/>
          <w:iCs w:val="1"/>
          <w:color w:val="auto"/>
        </w:rPr>
        <w:t>Plan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Distribution</w:t>
      </w:r>
      <w:r>
        <w:rPr>
          <w:rFonts w:ascii="Times New Roman" w:cs="Times New Roman" w:eastAsia="Times New Roman" w:hAnsi="Times New Roman"/>
          <w:sz w:val="14"/>
          <w:szCs w:val="14"/>
          <w:color w:val="auto"/>
        </w:rPr>
        <w:t>” beginning on page 120 of this prospectus.</w:t>
      </w:r>
    </w:p>
    <w:p>
      <w:pPr>
        <w:spacing w:after="0" w:line="6" w:lineRule="exact"/>
        <w:rPr>
          <w:sz w:val="24"/>
          <w:szCs w:val="24"/>
          <w:color w:val="auto"/>
        </w:rPr>
      </w:pPr>
    </w:p>
    <w:p>
      <w:pPr>
        <w:ind w:left="1260" w:right="479" w:firstLine="360"/>
        <w:spacing w:after="0" w:line="223" w:lineRule="auto"/>
        <w:rPr>
          <w:sz w:val="20"/>
          <w:szCs w:val="20"/>
          <w:color w:val="auto"/>
        </w:rPr>
      </w:pPr>
      <w:r>
        <w:rPr>
          <w:rFonts w:ascii="Times New Roman" w:cs="Times New Roman" w:eastAsia="Times New Roman" w:hAnsi="Times New Roman"/>
          <w:sz w:val="14"/>
          <w:szCs w:val="14"/>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w:t>
      </w:r>
    </w:p>
    <w:p>
      <w:pPr>
        <w:ind w:left="1260" w:right="479"/>
        <w:spacing w:after="0" w:line="235" w:lineRule="auto"/>
        <w:rPr>
          <w:sz w:val="20"/>
          <w:szCs w:val="20"/>
          <w:color w:val="auto"/>
        </w:rPr>
      </w:pPr>
      <w:r>
        <w:rPr>
          <w:rFonts w:ascii="Times New Roman" w:cs="Times New Roman" w:eastAsia="Times New Roman" w:hAnsi="Times New Roman"/>
          <w:sz w:val="14"/>
          <w:szCs w:val="14"/>
          <w:color w:val="auto"/>
        </w:rPr>
        <w:t>our public float. As a result, the resale of shares of our common stock pursuant to this prospectus could have a significant negative impact on the trading price of our common stock.</w:t>
      </w:r>
    </w:p>
    <w:p>
      <w:pPr>
        <w:spacing w:after="0" w:line="6" w:lineRule="exact"/>
        <w:rPr>
          <w:sz w:val="24"/>
          <w:szCs w:val="24"/>
          <w:color w:val="auto"/>
        </w:rPr>
      </w:pPr>
    </w:p>
    <w:p>
      <w:pPr>
        <w:ind w:left="1260" w:right="519" w:firstLine="360"/>
        <w:spacing w:after="0" w:line="223" w:lineRule="auto"/>
        <w:rPr>
          <w:sz w:val="20"/>
          <w:szCs w:val="20"/>
          <w:color w:val="auto"/>
        </w:rPr>
      </w:pPr>
      <w:r>
        <w:rPr>
          <w:rFonts w:ascii="Times New Roman" w:cs="Times New Roman" w:eastAsia="Times New Roman" w:hAnsi="Times New Roman"/>
          <w:sz w:val="14"/>
          <w:szCs w:val="14"/>
          <w:color w:val="auto"/>
        </w:rPr>
        <w:t>This impact may be heightened by the fact that, as described above, certain of the selling securityholders purchased, or are able to purchase, shares of our common stock at prices that are well below the current trading price of our common stock. The 55,298,545 shares</w:t>
      </w:r>
    </w:p>
    <w:p>
      <w:pPr>
        <w:ind w:left="1260"/>
        <w:spacing w:after="0" w:line="221" w:lineRule="auto"/>
        <w:rPr>
          <w:sz w:val="20"/>
          <w:szCs w:val="20"/>
          <w:color w:val="auto"/>
        </w:rPr>
      </w:pPr>
      <w:r>
        <w:rPr>
          <w:rFonts w:ascii="Times New Roman" w:cs="Times New Roman" w:eastAsia="Times New Roman" w:hAnsi="Times New Roman"/>
          <w:sz w:val="14"/>
          <w:szCs w:val="14"/>
          <w:color w:val="auto"/>
        </w:rPr>
        <w:t>that may be resold and/or issued into the public markets pursuant to this prospectus represent approximately 128% of the shares of our</w:t>
      </w:r>
    </w:p>
    <w:p>
      <w:pPr>
        <w:spacing w:after="0" w:line="1" w:lineRule="exact"/>
        <w:rPr>
          <w:sz w:val="24"/>
          <w:szCs w:val="24"/>
          <w:color w:val="auto"/>
        </w:rPr>
      </w:pPr>
    </w:p>
    <w:p>
      <w:pPr>
        <w:ind w:left="1260" w:right="579"/>
        <w:spacing w:after="0" w:line="225" w:lineRule="auto"/>
        <w:rPr>
          <w:sz w:val="20"/>
          <w:szCs w:val="20"/>
          <w:color w:val="auto"/>
        </w:rPr>
      </w:pPr>
      <w:r>
        <w:rPr>
          <w:rFonts w:ascii="Times New Roman" w:cs="Times New Roman" w:eastAsia="Times New Roman" w:hAnsi="Times New Roman"/>
          <w:sz w:val="14"/>
          <w:szCs w:val="14"/>
          <w:color w:val="auto"/>
        </w:rPr>
        <w:t>common stock outstanding as of November 14, 2022 (after giving effect to the issuance of the Option Shares, Public Warrant Shares and Private Warrant Shares).</w:t>
      </w:r>
    </w:p>
    <w:p>
      <w:pPr>
        <w:spacing w:after="0" w:line="4" w:lineRule="exact"/>
        <w:rPr>
          <w:sz w:val="24"/>
          <w:szCs w:val="24"/>
          <w:color w:val="auto"/>
        </w:rPr>
      </w:pPr>
    </w:p>
    <w:p>
      <w:pPr>
        <w:ind w:left="1260" w:right="459" w:firstLine="360"/>
        <w:spacing w:after="0" w:line="239" w:lineRule="auto"/>
        <w:rPr>
          <w:sz w:val="20"/>
          <w:szCs w:val="20"/>
          <w:color w:val="auto"/>
        </w:rPr>
      </w:pPr>
      <w:r>
        <w:rPr>
          <w:rFonts w:ascii="Times New Roman" w:cs="Times New Roman" w:eastAsia="Times New Roman" w:hAnsi="Times New Roman"/>
          <w:sz w:val="14"/>
          <w:szCs w:val="14"/>
          <w:color w:val="auto"/>
        </w:rPr>
        <w:t>Our common stock is currently listed on the Nasdaq Global Market (“</w:t>
      </w:r>
      <w:r>
        <w:rPr>
          <w:rFonts w:ascii="Times New Roman" w:cs="Times New Roman" w:eastAsia="Times New Roman" w:hAnsi="Times New Roman"/>
          <w:sz w:val="14"/>
          <w:szCs w:val="14"/>
          <w:b w:val="1"/>
          <w:bCs w:val="1"/>
          <w:color w:val="auto"/>
        </w:rPr>
        <w:t>Nasdaq</w:t>
      </w:r>
      <w:r>
        <w:rPr>
          <w:rFonts w:ascii="Times New Roman" w:cs="Times New Roman" w:eastAsia="Times New Roman" w:hAnsi="Times New Roman"/>
          <w:sz w:val="14"/>
          <w:szCs w:val="14"/>
          <w:color w:val="auto"/>
        </w:rPr>
        <w:t>”) under the symbol “DFLI” and our public warrants are currently listed on the Nasdaq Capital Market under the symbol “DFLIW”. As of December 22, 2022, the closing price of our common stock and warrants was $14.86 and $0.50, respectively.</w:t>
      </w:r>
    </w:p>
    <w:p>
      <w:pPr>
        <w:spacing w:after="0" w:line="5" w:lineRule="exact"/>
        <w:rPr>
          <w:sz w:val="24"/>
          <w:szCs w:val="24"/>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4"/>
          <w:szCs w:val="14"/>
          <w:b w:val="1"/>
          <w:bCs w:val="1"/>
          <w:color w:val="auto"/>
        </w:rPr>
        <w:t xml:space="preserve">We are an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emerging growth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under applicable federal securities laws and will be subject to reduced public company reporting requirements.</w:t>
      </w:r>
    </w:p>
    <w:p>
      <w:pPr>
        <w:spacing w:after="0" w:line="5" w:lineRule="exact"/>
        <w:rPr>
          <w:sz w:val="24"/>
          <w:szCs w:val="24"/>
          <w:color w:val="auto"/>
        </w:rPr>
      </w:pPr>
    </w:p>
    <w:p>
      <w:pPr>
        <w:ind w:left="1260" w:right="1119" w:firstLine="36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RISKS THAT ARE DESCRIBED IN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SECTION BEGINNING ON PAGE </w:t>
      </w:r>
      <w:r>
        <w:rPr>
          <w:rFonts w:ascii="Times New Roman" w:cs="Times New Roman" w:eastAsia="Times New Roman" w:hAnsi="Times New Roman"/>
          <w:sz w:val="14"/>
          <w:szCs w:val="14"/>
          <w:b w:val="1"/>
          <w:bCs w:val="1"/>
          <w:u w:val="single" w:color="auto"/>
          <w:color w:val="0000EE"/>
        </w:rPr>
        <w:t>11</w:t>
      </w:r>
      <w:r>
        <w:rPr>
          <w:rFonts w:ascii="Times New Roman" w:cs="Times New Roman" w:eastAsia="Times New Roman" w:hAnsi="Times New Roman"/>
          <w:sz w:val="14"/>
          <w:szCs w:val="14"/>
          <w:b w:val="1"/>
          <w:bCs w:val="1"/>
          <w:color w:val="auto"/>
        </w:rPr>
        <w:t xml:space="preserve"> OF THIS PROSPECTUS.</w:t>
      </w:r>
    </w:p>
    <w:p>
      <w:pPr>
        <w:spacing w:after="0" w:line="1" w:lineRule="exact"/>
        <w:rPr>
          <w:sz w:val="24"/>
          <w:szCs w:val="24"/>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The date of this prospectus is December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INTRODUCTORY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FREQUENTLY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SUMMARY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MARKET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PRICE AND DIVIDEND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right="820"/>
        <w:spacing w:after="0" w:line="308" w:lineRule="auto"/>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FINANCIAL INFORMATION </w:t>
      </w: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DRAGONFLY’S MANAGEMENT’S DISCUSSION AND ANALYSIS OF FINANCIAL</w:t>
      </w:r>
    </w:p>
    <w:p>
      <w:pPr>
        <w:spacing w:after="0" w:line="23" w:lineRule="exact"/>
        <w:rPr>
          <w:sz w:val="20"/>
          <w:szCs w:val="20"/>
          <w:color w:val="auto"/>
        </w:rPr>
      </w:pPr>
    </w:p>
    <w:p>
      <w:pPr>
        <w:ind w:left="1440" w:hanging="180"/>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CONDITION AND RESULTS OF OPERATIONS</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CNTQ’S MANAGEMENT’S DISCUSSION AND ANALYSIS OF FINANCIAL CONDITION AND</w:t>
      </w:r>
    </w:p>
    <w:p>
      <w:pPr>
        <w:spacing w:after="0" w:line="27" w:lineRule="exact"/>
        <w:rPr>
          <w:sz w:val="20"/>
          <w:szCs w:val="20"/>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RESULTS OF OPERATIONS</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DIRECTOR COMPENSATION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RELATIONSHIPS AND RELATED PERSON TRANSACTIONS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SECURITIES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SECURITY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OF CERTAIN BENEFICIAL OWNERS AND MANAGEMENT</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SECURITYHOLDERS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FEDERAL INCOME TAX CONSIDERATIONS FOR NON-U.S. HOLDERS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rFonts w:ascii="Times New Roman" w:cs="Times New Roman" w:eastAsia="Times New Roman" w:hAnsi="Times New Roman"/>
          <w:sz w:val="18"/>
          <w:szCs w:val="18"/>
          <w:color w:val="auto"/>
        </w:rPr>
      </w:pPr>
    </w:p>
    <w:p>
      <w:pPr>
        <w:ind w:left="1260" w:right="61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-2039620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521208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-1379220</wp:posOffset>
            </wp:positionV>
            <wp:extent cx="521208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-1036320</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-693420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1993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3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000000"/>
              </w:rPr>
              <w:t>​</w:t>
            </w: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ectPr>
          <w:pgSz w:w="11900" w:h="16838" w:orient="portrait"/>
          <w:cols w:equalWidth="0" w:num="2">
            <w:col w:w="8880" w:space="140"/>
            <w:col w:w="859"/>
          </w:cols>
          <w:pgMar w:left="580" w:top="97" w:right="1440" w:bottom="1440" w:gutter="0" w:footer="0" w:header="0"/>
          <w:type w:val="continuous"/>
        </w:sect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09"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98" w:lineRule="exact"/>
        <w:rPr>
          <w:sz w:val="20"/>
          <w:szCs w:val="20"/>
          <w:color w:val="auto"/>
        </w:rPr>
      </w:pPr>
    </w:p>
    <w:p>
      <w:pPr>
        <w:ind w:left="1260" w:right="8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 $10.00 per share exercise price issued at Closing in connection with the Term Loan.</w:t>
      </w:r>
    </w:p>
    <w:p>
      <w:pPr>
        <w:spacing w:after="0" w:line="86" w:lineRule="exact"/>
        <w:rPr>
          <w:sz w:val="20"/>
          <w:szCs w:val="20"/>
          <w:color w:val="auto"/>
        </w:rPr>
      </w:pPr>
    </w:p>
    <w:p>
      <w:pPr>
        <w:ind w:left="1260" w:right="11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 Shares</w:t>
      </w:r>
      <w:r>
        <w:rPr>
          <w:rFonts w:ascii="Times New Roman" w:cs="Times New Roman" w:eastAsia="Times New Roman" w:hAnsi="Times New Roman"/>
          <w:sz w:val="18"/>
          <w:szCs w:val="18"/>
          <w:color w:val="auto"/>
        </w:rPr>
        <w:t>” means the 457,142 shares of common stock issued upon exercise of the $10 Warrants.</w:t>
      </w:r>
    </w:p>
    <w:p>
      <w:pPr>
        <w:spacing w:after="0" w:line="86" w:lineRule="exact"/>
        <w:rPr>
          <w:sz w:val="20"/>
          <w:szCs w:val="20"/>
          <w:color w:val="auto"/>
        </w:rPr>
      </w:pPr>
    </w:p>
    <w:p>
      <w:pPr>
        <w:ind w:left="1260" w:right="9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Charter</w:t>
      </w:r>
      <w:r>
        <w:rPr>
          <w:rFonts w:ascii="Times New Roman" w:cs="Times New Roman" w:eastAsia="Times New Roman" w:hAnsi="Times New Roman"/>
          <w:sz w:val="18"/>
          <w:szCs w:val="18"/>
          <w:color w:val="auto"/>
        </w:rPr>
        <w:t>” means the amended and restated certificate of incorporation of Dragonfly, in effect as of the date of this prospectus.</w:t>
      </w:r>
    </w:p>
    <w:p>
      <w:pPr>
        <w:spacing w:after="0" w:line="74" w:lineRule="exact"/>
        <w:rPr>
          <w:sz w:val="20"/>
          <w:szCs w:val="20"/>
          <w:color w:val="auto"/>
        </w:rPr>
      </w:pPr>
    </w:p>
    <w:p>
      <w:pPr>
        <w:ind w:left="1260" w:right="77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86"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means Chardan Capital Markets LLC, a New York limited liability company.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44" w:lineRule="exact"/>
        <w:rPr>
          <w:sz w:val="20"/>
          <w:szCs w:val="20"/>
          <w:color w:val="auto"/>
        </w:rPr>
      </w:pPr>
    </w:p>
    <w:p>
      <w:pPr>
        <w:ind w:left="1260" w:right="6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74"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Delaware corporation.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 Board</w:t>
      </w:r>
      <w:r>
        <w:rPr>
          <w:rFonts w:ascii="Times New Roman" w:cs="Times New Roman" w:eastAsia="Times New Roman" w:hAnsi="Times New Roman"/>
          <w:sz w:val="18"/>
          <w:szCs w:val="18"/>
          <w:color w:val="auto"/>
        </w:rPr>
        <w:t>” means the board of directors of Dragonfly.</w:t>
      </w:r>
    </w:p>
    <w:p>
      <w:pPr>
        <w:spacing w:after="0" w:line="158" w:lineRule="exact"/>
        <w:rPr>
          <w:sz w:val="20"/>
          <w:szCs w:val="20"/>
          <w:color w:val="auto"/>
        </w:rPr>
      </w:pPr>
    </w:p>
    <w:p>
      <w:pPr>
        <w:jc w:val="both"/>
        <w:ind w:left="1260" w:right="4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97"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86" w:lineRule="exact"/>
        <w:rPr>
          <w:sz w:val="20"/>
          <w:szCs w:val="20"/>
          <w:color w:val="auto"/>
        </w:rPr>
      </w:pPr>
    </w:p>
    <w:p>
      <w:pPr>
        <w:jc w:val="both"/>
        <w:ind w:left="1260" w:right="4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means Dragonfly Energy Corp., a Nevada corporation, and includes the surviving corporation after the Merger. References herein to Dragonfly will include its subsidiaries, including Legacy Dragonfly, to the extent reasonably applicable.</w:t>
      </w:r>
    </w:p>
    <w:p>
      <w:pPr>
        <w:spacing w:after="0" w:line="97"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pacing w:after="0" w:line="144" w:lineRule="exact"/>
        <w:rPr>
          <w:sz w:val="20"/>
          <w:szCs w:val="20"/>
          <w:color w:val="auto"/>
        </w:rPr>
      </w:pPr>
    </w:p>
    <w:p>
      <w:pPr>
        <w:ind w:left="1260" w:right="4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initially acquire 2,593,056 shares of common stock at an exercise price of $0.01 per share issued at Closing in connection with the Term Loan.</w:t>
      </w:r>
    </w:p>
    <w:p>
      <w:pPr>
        <w:spacing w:after="0" w:line="74"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03"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87" w:lineRule="exact"/>
        <w:rPr>
          <w:sz w:val="20"/>
          <w:szCs w:val="20"/>
          <w:color w:val="auto"/>
        </w:rPr>
      </w:pPr>
    </w:p>
    <w:p>
      <w:pPr>
        <w:ind w:left="1260" w:right="9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74" w:lineRule="exact"/>
        <w:rPr>
          <w:sz w:val="20"/>
          <w:szCs w:val="20"/>
          <w:color w:val="auto"/>
        </w:rPr>
      </w:pPr>
    </w:p>
    <w:p>
      <w:pPr>
        <w:ind w:left="1260" w:right="14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Public Warrants, and the Private Warrants and the Penny Warrants of Dragonfly.</w:t>
      </w:r>
    </w:p>
    <w:p>
      <w:pPr>
        <w:spacing w:after="0" w:line="144" w:lineRule="exact"/>
        <w:rPr>
          <w:sz w:val="20"/>
          <w:szCs w:val="20"/>
          <w:color w:val="auto"/>
        </w:rPr>
      </w:pPr>
    </w:p>
    <w:p>
      <w:pPr>
        <w:ind w:left="1260" w:right="7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200" w:lineRule="exact"/>
        <w:rPr>
          <w:sz w:val="20"/>
          <w:szCs w:val="20"/>
          <w:color w:val="auto"/>
        </w:rPr>
      </w:pPr>
    </w:p>
    <w:p>
      <w:pPr>
        <w:spacing w:after="0" w:line="295" w:lineRule="exact"/>
        <w:rPr>
          <w:sz w:val="20"/>
          <w:szCs w:val="20"/>
          <w:color w:val="auto"/>
        </w:rPr>
      </w:pPr>
    </w:p>
    <w:p>
      <w:pPr>
        <w:ind w:left="1800" w:right="4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the anticipated benefits of our recent Business Combination, which may be affected by, among other things, the factors listed below;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patents and other intellectual property;</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common stock on the Nasdaq;</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sell the desired amounts of shares of common stock to CCM at desired prices under the ChEF Equity Facility;</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the Company’s failure to timely achieve the anticipated benefits of the Company’s customer arrangements with THOR and its affiliate brands (including Keystone);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and proprietary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LFP cells and a single supplier for the manufacture of our battery management system;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dependence on a single manufacturing facility;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software and hardware that is highly complex and technical; and</w:t>
      </w:r>
    </w:p>
    <w:p>
      <w:pPr>
        <w:spacing w:after="0" w:line="115" w:lineRule="exact"/>
        <w:rPr>
          <w:rFonts w:ascii="Times New Roman" w:cs="Times New Roman" w:eastAsia="Times New Roman" w:hAnsi="Times New Roman"/>
          <w:sz w:val="18"/>
          <w:szCs w:val="18"/>
          <w:color w:val="auto"/>
        </w:rPr>
      </w:pPr>
    </w:p>
    <w:p>
      <w:pPr>
        <w:ind w:left="1800" w:right="739" w:hanging="180"/>
        <w:spacing w:after="0" w:line="284"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under the heading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If any of these risks materialize or any of our assumptions prove incorrect, actual results could differ materially from the results implied by these forward-looking statements. There may be additional risks that we are not presently aware of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these forward-looking statements at some point in the future, we specifically disclaim any obligation to do so. These forward-looking statements should not be relied upon as representing our assessments as of any date subsequent to the date of this prospectus. Accordingly, undue reliance should not be placed upon the forward-looking statements. Actual results, performance or achievements may, and are likely to, differ materially, and potentially adversely, from any projections and forward-looking statements and the assumptions on which those forward-looking statements were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160" w:lineRule="exact"/>
        <w:rPr>
          <w:sz w:val="20"/>
          <w:szCs w:val="20"/>
          <w:color w:val="auto"/>
        </w:rPr>
      </w:pPr>
    </w:p>
    <w:p>
      <w:pPr>
        <w:ind w:left="128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Dragonfly’s 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financial statements included elsewhere in this prospectus.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80" w:right="559" w:firstLine="360"/>
        <w:spacing w:after="0" w:line="247" w:lineRule="auto"/>
        <w:rPr>
          <w:sz w:val="20"/>
          <w:szCs w:val="20"/>
          <w:color w:val="auto"/>
        </w:rPr>
      </w:pPr>
      <w:r>
        <w:rPr>
          <w:rFonts w:ascii="Times New Roman" w:cs="Times New Roman" w:eastAsia="Times New Roman" w:hAnsi="Times New Roman"/>
          <w:sz w:val="18"/>
          <w:szCs w:val="18"/>
          <w:color w:val="auto"/>
        </w:rPr>
        <w:t>Our business was founded in 2012. Based in Reno, Nevada, 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12" w:lineRule="exact"/>
        <w:rPr>
          <w:sz w:val="20"/>
          <w:szCs w:val="20"/>
          <w:color w:val="auto"/>
        </w:rPr>
      </w:pPr>
    </w:p>
    <w:p>
      <w:pPr>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09"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110" w:lineRule="exact"/>
        <w:rPr>
          <w:sz w:val="20"/>
          <w:szCs w:val="20"/>
          <w:color w:val="auto"/>
        </w:rPr>
      </w:pPr>
    </w:p>
    <w:p>
      <w:pPr>
        <w:ind w:left="1280" w:right="91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79" w:lineRule="exact"/>
        <w:rPr>
          <w:sz w:val="20"/>
          <w:szCs w:val="20"/>
          <w:color w:val="auto"/>
        </w:rPr>
      </w:pPr>
    </w:p>
    <w:p>
      <w:pPr>
        <w:ind w:left="1280" w:right="699" w:firstLine="360"/>
        <w:spacing w:after="0" w:line="268"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16" w:lineRule="exact"/>
        <w:rPr>
          <w:sz w:val="20"/>
          <w:szCs w:val="20"/>
          <w:color w:val="auto"/>
        </w:rPr>
      </w:pPr>
    </w:p>
    <w:p>
      <w:pPr>
        <w:ind w:left="1540" w:hanging="262"/>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December 31, 2026, (b) in which we have total annual gross revenue of at least $1.235 billion, or</w:t>
      </w:r>
    </w:p>
    <w:p>
      <w:pPr>
        <w:spacing w:after="0" w:line="7" w:lineRule="exact"/>
        <w:rPr>
          <w:rFonts w:ascii="Times New Roman" w:cs="Times New Roman" w:eastAsia="Times New Roman" w:hAnsi="Times New Roman"/>
          <w:sz w:val="18"/>
          <w:szCs w:val="18"/>
          <w:color w:val="auto"/>
        </w:rPr>
      </w:pPr>
    </w:p>
    <w:p>
      <w:pPr>
        <w:ind w:left="1280" w:right="399" w:hanging="2"/>
        <w:spacing w:after="0" w:line="241" w:lineRule="auto"/>
        <w:tabs>
          <w:tab w:leader="none" w:pos="15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Smaller reporting companies may take advantage of certain reduced disclosure obligations, including,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59"/>
        <w:spacing w:after="0" w:line="258" w:lineRule="auto"/>
        <w:rPr>
          <w:sz w:val="20"/>
          <w:szCs w:val="20"/>
          <w:color w:val="auto"/>
        </w:rPr>
      </w:pPr>
      <w:r>
        <w:rPr>
          <w:rFonts w:ascii="Times New Roman" w:cs="Times New Roman" w:eastAsia="Times New Roman" w:hAnsi="Times New Roman"/>
          <w:sz w:val="18"/>
          <w:szCs w:val="18"/>
          <w:color w:val="auto"/>
        </w:rPr>
        <w:t>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62" w:lineRule="exact"/>
        <w:rPr>
          <w:sz w:val="20"/>
          <w:szCs w:val="20"/>
          <w:color w:val="auto"/>
        </w:r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 11. Such risks include, but are not limited to, the following risks: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121" w:lineRule="exact"/>
        <w:rPr>
          <w:sz w:val="20"/>
          <w:szCs w:val="20"/>
          <w:color w:val="auto"/>
        </w:rPr>
      </w:pPr>
    </w:p>
    <w:p>
      <w:pPr>
        <w:ind w:left="1820" w:right="459" w:hanging="182"/>
        <w:spacing w:after="0" w:line="258"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135" w:lineRule="exact"/>
        <w:rPr>
          <w:sz w:val="20"/>
          <w:szCs w:val="20"/>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130" w:lineRule="exact"/>
        <w:rPr>
          <w:rFonts w:ascii="Times New Roman" w:cs="Times New Roman" w:eastAsia="Times New Roman" w:hAnsi="Times New Roman"/>
          <w:sz w:val="18"/>
          <w:szCs w:val="18"/>
          <w:color w:val="auto"/>
        </w:rPr>
      </w:pPr>
    </w:p>
    <w:p>
      <w:pPr>
        <w:jc w:val="both"/>
        <w:ind w:left="1820" w:right="61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81" w:lineRule="exact"/>
        <w:rPr>
          <w:rFonts w:ascii="Times New Roman" w:cs="Times New Roman" w:eastAsia="Times New Roman" w:hAnsi="Times New Roman"/>
          <w:sz w:val="18"/>
          <w:szCs w:val="18"/>
          <w:color w:val="auto"/>
        </w:rPr>
      </w:pPr>
    </w:p>
    <w:p>
      <w:pPr>
        <w:ind w:left="1820" w:right="539" w:hanging="182"/>
        <w:spacing w:after="0" w:line="259"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308"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81" w:lineRule="exact"/>
        <w:rPr>
          <w:rFonts w:ascii="Times New Roman" w:cs="Times New Roman" w:eastAsia="Times New Roman" w:hAnsi="Times New Roman"/>
          <w:sz w:val="18"/>
          <w:szCs w:val="18"/>
          <w:color w:val="auto"/>
        </w:rPr>
      </w:pPr>
    </w:p>
    <w:p>
      <w:pPr>
        <w:jc w:val="both"/>
        <w:ind w:left="1820" w:right="53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121" w:lineRule="exact"/>
        <w:rPr>
          <w:sz w:val="20"/>
          <w:szCs w:val="20"/>
          <w:color w:val="auto"/>
        </w:rPr>
      </w:pPr>
    </w:p>
    <w:p>
      <w:pPr>
        <w:jc w:val="both"/>
        <w:ind w:left="1820" w:right="67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67"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94"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121" w:lineRule="exact"/>
        <w:rPr>
          <w:sz w:val="20"/>
          <w:szCs w:val="20"/>
          <w:color w:val="auto"/>
        </w:rPr>
      </w:pPr>
    </w:p>
    <w:p>
      <w:pPr>
        <w:ind w:left="1820" w:right="57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spacing w:after="0" w:line="67"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 consuming and could cause us to incur substantial costs.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1820" w:right="45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global economic conditions, including as a result of the COVID-19 pandemic and the Russia-Ukraine conflict, could reduce consumer spending and disrupt our supply chain which could negatively affect our results of operations.</w:t>
      </w:r>
    </w:p>
    <w:p>
      <w:pPr>
        <w:spacing w:after="0" w:line="67" w:lineRule="exact"/>
        <w:rPr>
          <w:rFonts w:ascii="Times New Roman" w:cs="Times New Roman" w:eastAsia="Times New Roman" w:hAnsi="Times New Roman"/>
          <w:sz w:val="18"/>
          <w:szCs w:val="18"/>
          <w:color w:val="auto"/>
        </w:rPr>
      </w:pPr>
    </w:p>
    <w:p>
      <w:pPr>
        <w:jc w:val="both"/>
        <w:ind w:left="1820" w:right="47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67"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121" w:lineRule="exact"/>
        <w:rPr>
          <w:sz w:val="20"/>
          <w:szCs w:val="20"/>
          <w:color w:val="auto"/>
        </w:rPr>
      </w:pPr>
    </w:p>
    <w:p>
      <w:pPr>
        <w:ind w:left="1820" w:right="5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53" w:lineRule="exact"/>
        <w:rPr>
          <w:rFonts w:ascii="Times New Roman" w:cs="Times New Roman" w:eastAsia="Times New Roman" w:hAnsi="Times New Roman"/>
          <w:sz w:val="18"/>
          <w:szCs w:val="18"/>
          <w:color w:val="auto"/>
        </w:rPr>
      </w:pPr>
    </w:p>
    <w:p>
      <w:pPr>
        <w:ind w:left="1820" w:right="63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21" w:lineRule="exact"/>
        <w:rPr>
          <w:sz w:val="20"/>
          <w:szCs w:val="20"/>
          <w:color w:val="auto"/>
        </w:rPr>
      </w:pPr>
    </w:p>
    <w:p>
      <w:pPr>
        <w:ind w:left="1820" w:right="93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debt securities and equity securities may adversely affect us, including the market price of the common stock and may be dilutive to existing stockholders.</w:t>
      </w:r>
    </w:p>
    <w:p>
      <w:pPr>
        <w:spacing w:after="0" w:line="53"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continue to have substantial influence over us, which could limit your ability to affect the outcome of key transactions, including a change of control.</w:t>
      </w:r>
    </w:p>
    <w:p>
      <w:pPr>
        <w:spacing w:after="0" w:line="53" w:lineRule="exact"/>
        <w:rPr>
          <w:rFonts w:ascii="Times New Roman" w:cs="Times New Roman" w:eastAsia="Times New Roman" w:hAnsi="Times New Roman"/>
          <w:sz w:val="18"/>
          <w:szCs w:val="18"/>
          <w:color w:val="auto"/>
        </w:rPr>
      </w:pPr>
    </w:p>
    <w:p>
      <w:pPr>
        <w:ind w:left="1820" w:right="779" w:hanging="182"/>
        <w:spacing w:after="0" w:line="26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Issuer</w:t>
      </w:r>
    </w:p>
    <w:p>
      <w:pPr>
        <w:spacing w:after="0" w:line="1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Resale of common stock</w:t>
      </w:r>
    </w:p>
    <w:p>
      <w:pPr>
        <w:spacing w:after="0" w:line="121" w:lineRule="exact"/>
        <w:rPr>
          <w:sz w:val="20"/>
          <w:szCs w:val="20"/>
          <w:color w:val="auto"/>
        </w:rPr>
      </w:pPr>
    </w:p>
    <w:p>
      <w:pPr>
        <w:ind w:left="1460" w:right="40" w:hanging="179"/>
        <w:spacing w:after="0" w:line="282" w:lineRule="auto"/>
        <w:rPr>
          <w:sz w:val="20"/>
          <w:szCs w:val="20"/>
          <w:color w:val="auto"/>
        </w:rPr>
      </w:pPr>
      <w:r>
        <w:rPr>
          <w:rFonts w:ascii="Times New Roman" w:cs="Times New Roman" w:eastAsia="Times New Roman" w:hAnsi="Times New Roman"/>
          <w:sz w:val="18"/>
          <w:szCs w:val="18"/>
          <w:color w:val="auto"/>
        </w:rPr>
        <w:t>Securities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3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121"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 issued and</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outstanding immediately</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99"/>
        <w:spacing w:after="0" w:line="258"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named in this prospectus, or their permitted transferees, of an aggregate of 38,590,131 shares of common stock, 16,708,414 warrants to purchase shares of common stock and 16,708,414 shares of common stock issuable upon exercise of warrants, which includes up to:</w:t>
      </w:r>
    </w:p>
    <w:p>
      <w:pPr>
        <w:spacing w:after="0" w:line="116" w:lineRule="exact"/>
        <w:rPr>
          <w:sz w:val="20"/>
          <w:szCs w:val="20"/>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31,290,514 Consideration Shares;</w:t>
      </w:r>
    </w:p>
    <w:p>
      <w:pPr>
        <w:spacing w:after="0" w:line="157" w:lineRule="exact"/>
        <w:rPr>
          <w:rFonts w:ascii="Times New Roman" w:cs="Times New Roman" w:eastAsia="Times New Roman" w:hAnsi="Times New Roman"/>
          <w:sz w:val="18"/>
          <w:szCs w:val="18"/>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3,664,975 Option Shares;</w:t>
      </w:r>
    </w:p>
    <w:p>
      <w:pPr>
        <w:spacing w:after="0" w:line="144" w:lineRule="exact"/>
        <w:rPr>
          <w:rFonts w:ascii="Times New Roman" w:cs="Times New Roman" w:eastAsia="Times New Roman" w:hAnsi="Times New Roman"/>
          <w:sz w:val="18"/>
          <w:szCs w:val="18"/>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3,162,500 Founder Shares;</w:t>
      </w:r>
    </w:p>
    <w:p>
      <w:pPr>
        <w:spacing w:after="0" w:line="157" w:lineRule="exact"/>
        <w:rPr>
          <w:rFonts w:ascii="Times New Roman" w:cs="Times New Roman" w:eastAsia="Times New Roman" w:hAnsi="Times New Roman"/>
          <w:sz w:val="18"/>
          <w:szCs w:val="18"/>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Warrants;</w:t>
      </w:r>
    </w:p>
    <w:p>
      <w:pPr>
        <w:spacing w:after="0" w:line="157" w:lineRule="exact"/>
        <w:rPr>
          <w:rFonts w:ascii="Times New Roman" w:cs="Times New Roman" w:eastAsia="Times New Roman" w:hAnsi="Times New Roman"/>
          <w:sz w:val="18"/>
          <w:szCs w:val="18"/>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w:t>
      </w:r>
    </w:p>
    <w:p>
      <w:pPr>
        <w:spacing w:after="0" w:line="144" w:lineRule="exact"/>
        <w:rPr>
          <w:rFonts w:ascii="Times New Roman" w:cs="Times New Roman" w:eastAsia="Times New Roman" w:hAnsi="Times New Roman"/>
          <w:sz w:val="18"/>
          <w:szCs w:val="18"/>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 Shares;</w:t>
      </w:r>
    </w:p>
    <w:p>
      <w:pPr>
        <w:spacing w:after="0" w:line="157" w:lineRule="exact"/>
        <w:rPr>
          <w:rFonts w:ascii="Times New Roman" w:cs="Times New Roman" w:eastAsia="Times New Roman" w:hAnsi="Times New Roman"/>
          <w:sz w:val="18"/>
          <w:szCs w:val="18"/>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457,142 $10 Warrant Shares;</w:t>
      </w:r>
    </w:p>
    <w:p>
      <w:pPr>
        <w:spacing w:after="0" w:line="157" w:lineRule="exact"/>
        <w:rPr>
          <w:rFonts w:ascii="Times New Roman" w:cs="Times New Roman" w:eastAsia="Times New Roman" w:hAnsi="Times New Roman"/>
          <w:sz w:val="18"/>
          <w:szCs w:val="18"/>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 Shares; and</w:t>
      </w:r>
    </w:p>
    <w:p>
      <w:pPr>
        <w:spacing w:after="0" w:line="144" w:lineRule="exact"/>
        <w:rPr>
          <w:rFonts w:ascii="Times New Roman" w:cs="Times New Roman" w:eastAsia="Times New Roman" w:hAnsi="Times New Roman"/>
          <w:sz w:val="18"/>
          <w:szCs w:val="18"/>
          <w:color w:val="auto"/>
        </w:rPr>
      </w:pPr>
    </w:p>
    <w:p>
      <w:pPr>
        <w:ind w:left="580" w:hanging="21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PIPE Investment Shares.</w:t>
      </w:r>
    </w:p>
    <w:p>
      <w:pPr>
        <w:spacing w:after="0" w:line="117" w:lineRule="exact"/>
        <w:rPr>
          <w:sz w:val="20"/>
          <w:szCs w:val="20"/>
          <w:color w:val="auto"/>
        </w:rPr>
      </w:pPr>
    </w:p>
    <w:p>
      <w:pPr>
        <w:ind w:right="519"/>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common stock or warrants by the selling securityholders. See “</w:t>
      </w:r>
      <w:r>
        <w:rPr>
          <w:rFonts w:ascii="Times New Roman" w:cs="Times New Roman" w:eastAsia="Times New Roman" w:hAnsi="Times New Roman"/>
          <w:sz w:val="18"/>
          <w:szCs w:val="18"/>
          <w:i w:val="1"/>
          <w:iCs w:val="1"/>
          <w:color w:val="auto"/>
        </w:rPr>
        <w:t>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right="499" w:hanging="218"/>
        <w:spacing w:after="0" w:line="282" w:lineRule="auto"/>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shares of common stock issuable upon exercise of the Public Warrants;</w:t>
      </w:r>
    </w:p>
    <w:p>
      <w:pPr>
        <w:spacing w:after="0" w:line="94" w:lineRule="exact"/>
        <w:rPr>
          <w:rFonts w:ascii="Times New Roman" w:cs="Times New Roman" w:eastAsia="Times New Roman" w:hAnsi="Times New Roman"/>
          <w:sz w:val="18"/>
          <w:szCs w:val="18"/>
          <w:color w:val="auto"/>
        </w:rPr>
      </w:pPr>
    </w:p>
    <w:p>
      <w:pPr>
        <w:ind w:left="220" w:right="499" w:hanging="218"/>
        <w:spacing w:after="0" w:line="282" w:lineRule="auto"/>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shares of common stock issuable upon exercise of the Private Warrants; and</w:t>
      </w:r>
    </w:p>
    <w:p>
      <w:pPr>
        <w:spacing w:after="0" w:line="94" w:lineRule="exact"/>
        <w:rPr>
          <w:rFonts w:ascii="Times New Roman" w:cs="Times New Roman" w:eastAsia="Times New Roman" w:hAnsi="Times New Roman"/>
          <w:sz w:val="18"/>
          <w:szCs w:val="18"/>
          <w:color w:val="auto"/>
        </w:rPr>
      </w:pPr>
    </w:p>
    <w:p>
      <w:pPr>
        <w:ind w:left="220" w:right="499" w:hanging="218"/>
        <w:spacing w:after="0" w:line="282" w:lineRule="auto"/>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shares of common stock issuable upon exercise of the Penny Warrants.</w:t>
      </w:r>
    </w:p>
    <w:p>
      <w:pPr>
        <w:spacing w:after="0" w:line="200" w:lineRule="exact"/>
        <w:rPr>
          <w:sz w:val="20"/>
          <w:szCs w:val="20"/>
          <w:color w:val="auto"/>
        </w:rPr>
      </w:pPr>
    </w:p>
    <w:p>
      <w:pPr>
        <w:spacing w:after="0" w:line="286" w:lineRule="exact"/>
        <w:rPr>
          <w:sz w:val="20"/>
          <w:szCs w:val="20"/>
          <w:color w:val="auto"/>
        </w:rPr>
      </w:pPr>
    </w:p>
    <w:p>
      <w:pPr>
        <w:ind w:right="879"/>
        <w:spacing w:after="0" w:line="282" w:lineRule="auto"/>
        <w:rPr>
          <w:sz w:val="20"/>
          <w:szCs w:val="20"/>
          <w:color w:val="auto"/>
        </w:rPr>
      </w:pPr>
      <w:r>
        <w:rPr>
          <w:rFonts w:ascii="Times New Roman" w:cs="Times New Roman" w:eastAsia="Times New Roman" w:hAnsi="Times New Roman"/>
          <w:sz w:val="18"/>
          <w:szCs w:val="18"/>
          <w:color w:val="auto"/>
        </w:rPr>
        <w:t>On a pro forma basis after giving effect to the Business Combination and the other transactions contemplated thereby:</w:t>
      </w:r>
    </w:p>
    <w:p>
      <w:pPr>
        <w:spacing w:after="0" w:line="81" w:lineRule="exact"/>
        <w:rPr>
          <w:sz w:val="20"/>
          <w:szCs w:val="20"/>
          <w:color w:val="auto"/>
        </w:rPr>
      </w:pPr>
    </w:p>
    <w:p>
      <w:pPr>
        <w:ind w:left="580" w:right="519" w:hanging="218"/>
        <w:spacing w:after="0" w:line="282" w:lineRule="auto"/>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43,272,728 shares of common stock prior to the exercise of the Warrants; and</w:t>
      </w:r>
    </w:p>
    <w:p>
      <w:pPr>
        <w:spacing w:after="0" w:line="94" w:lineRule="exact"/>
        <w:rPr>
          <w:rFonts w:ascii="Times New Roman" w:cs="Times New Roman" w:eastAsia="Times New Roman" w:hAnsi="Times New Roman"/>
          <w:sz w:val="18"/>
          <w:szCs w:val="18"/>
          <w:color w:val="auto"/>
        </w:rPr>
      </w:pPr>
    </w:p>
    <w:p>
      <w:pPr>
        <w:jc w:val="both"/>
        <w:ind w:left="580" w:right="499" w:hanging="218"/>
        <w:spacing w:after="0" w:line="266" w:lineRule="auto"/>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59,981,142 shares of common stock assuming the issuance of 16,708,414 shares of common stock upon the exercise of the Warrants.</w:t>
      </w:r>
    </w:p>
    <w:p>
      <w:pPr>
        <w:spacing w:after="0" w:line="200" w:lineRule="exact"/>
        <w:rPr>
          <w:sz w:val="20"/>
          <w:szCs w:val="20"/>
          <w:color w:val="auto"/>
        </w:rPr>
      </w:pPr>
    </w:p>
    <w:p>
      <w:pPr>
        <w:sectPr>
          <w:pgSz w:w="11900" w:h="16838" w:orient="portrait"/>
          <w:cols w:equalWidth="0" w:num="2">
            <w:col w:w="3720" w:space="580"/>
            <w:col w:w="55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will receive up to an aggregate of approximately $162.35</w:t>
      </w:r>
    </w:p>
    <w:p>
      <w:pPr>
        <w:spacing w:after="0" w:line="27" w:lineRule="exact"/>
        <w:rPr>
          <w:sz w:val="20"/>
          <w:szCs w:val="20"/>
          <w:color w:val="auto"/>
        </w:rPr>
      </w:pPr>
    </w:p>
    <w:p>
      <w:pPr>
        <w:ind w:left="4300" w:right="419"/>
        <w:spacing w:after="0" w:line="251" w:lineRule="auto"/>
        <w:rPr>
          <w:sz w:val="20"/>
          <w:szCs w:val="20"/>
          <w:color w:val="auto"/>
        </w:rPr>
      </w:pPr>
      <w:r>
        <w:rPr>
          <w:rFonts w:ascii="Times New Roman" w:cs="Times New Roman" w:eastAsia="Times New Roman" w:hAnsi="Times New Roman"/>
          <w:sz w:val="18"/>
          <w:szCs w:val="18"/>
          <w:color w:val="auto"/>
        </w:rPr>
        <w:t>million from the exercise of the Warrants, assuming the exercise in full of all of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we are unlikely to receive any proceeds from the exercise of our warrants in the near future, if at all. See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for additional information.</w:t>
      </w:r>
    </w:p>
    <w:p>
      <w:pPr>
        <w:spacing w:after="0" w:line="302"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Lock-Up Restrictions</w:t>
      </w:r>
      <w:r>
        <w:rPr>
          <w:sz w:val="20"/>
          <w:szCs w:val="20"/>
          <w:color w:val="auto"/>
        </w:rPr>
        <w:tab/>
      </w:r>
      <w:r>
        <w:rPr>
          <w:rFonts w:ascii="Times New Roman" w:cs="Times New Roman" w:eastAsia="Times New Roman" w:hAnsi="Times New Roman"/>
          <w:sz w:val="18"/>
          <w:szCs w:val="18"/>
          <w:color w:val="auto"/>
        </w:rPr>
        <w:t>The securities that are owned by certain of the selling</w:t>
      </w:r>
    </w:p>
    <w:p>
      <w:pPr>
        <w:spacing w:after="0" w:line="27" w:lineRule="exact"/>
        <w:rPr>
          <w:sz w:val="20"/>
          <w:szCs w:val="20"/>
          <w:color w:val="auto"/>
        </w:rPr>
      </w:pPr>
    </w:p>
    <w:p>
      <w:pPr>
        <w:ind w:left="4300" w:right="519"/>
        <w:spacing w:after="0" w:line="253" w:lineRule="auto"/>
        <w:rPr>
          <w:sz w:val="20"/>
          <w:szCs w:val="20"/>
          <w:color w:val="auto"/>
        </w:rPr>
      </w:pPr>
      <w:r>
        <w:rPr>
          <w:rFonts w:ascii="Times New Roman" w:cs="Times New Roman" w:eastAsia="Times New Roman" w:hAnsi="Times New Roman"/>
          <w:sz w:val="18"/>
          <w:szCs w:val="18"/>
          <w:color w:val="auto"/>
        </w:rPr>
        <w:t>securityholders, including the parties to the Amended and Restated Registration Rights Agreement, are subject to lock-up provisions, which provide for certain restrictions on transfer until the termination of applicable lock-up periods.</w:t>
      </w:r>
    </w:p>
    <w:p>
      <w:pPr>
        <w:spacing w:after="0" w:line="8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Nasdaq ticker symbols</w:t>
      </w:r>
      <w:r>
        <w:rPr>
          <w:sz w:val="20"/>
          <w:szCs w:val="20"/>
          <w:color w:val="auto"/>
        </w:rPr>
        <w:tab/>
      </w:r>
      <w:r>
        <w:rPr>
          <w:rFonts w:ascii="Times New Roman" w:cs="Times New Roman" w:eastAsia="Times New Roman" w:hAnsi="Times New Roman"/>
          <w:sz w:val="18"/>
          <w:szCs w:val="18"/>
          <w:color w:val="auto"/>
        </w:rPr>
        <w:t>Our common stock is currently listed on the Nasdaq under the</w:t>
      </w:r>
    </w:p>
    <w:p>
      <w:pPr>
        <w:spacing w:after="0" w:line="27" w:lineRule="exact"/>
        <w:rPr>
          <w:sz w:val="20"/>
          <w:szCs w:val="20"/>
          <w:color w:val="auto"/>
        </w:rPr>
      </w:pPr>
    </w:p>
    <w:p>
      <w:pPr>
        <w:ind w:left="4300" w:right="579"/>
        <w:spacing w:after="0" w:line="260" w:lineRule="auto"/>
        <w:rPr>
          <w:sz w:val="20"/>
          <w:szCs w:val="20"/>
          <w:color w:val="auto"/>
        </w:rPr>
      </w:pPr>
      <w:r>
        <w:rPr>
          <w:rFonts w:ascii="Times New Roman" w:cs="Times New Roman" w:eastAsia="Times New Roman" w:hAnsi="Times New Roman"/>
          <w:sz w:val="18"/>
          <w:szCs w:val="18"/>
          <w:color w:val="auto"/>
        </w:rPr>
        <w:t>symbol “DFLI” and our public warrants are currently listed on the Nasdaq Capital Market under the symbol “DFLIW”.</w:t>
      </w:r>
    </w:p>
    <w:p>
      <w:pPr>
        <w:spacing w:after="0" w:line="73"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Any investment in the securities offered hereby is speculative and</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involves a high degree of risk. You should carefully consider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prospectus.</w:t>
      </w:r>
    </w:p>
    <w:p>
      <w:pPr>
        <w:spacing w:after="0" w:line="139" w:lineRule="exact"/>
        <w:rPr>
          <w:sz w:val="20"/>
          <w:szCs w:val="20"/>
          <w:color w:val="auto"/>
        </w:rPr>
      </w:pPr>
    </w:p>
    <w:p>
      <w:pPr>
        <w:ind w:left="4300" w:right="459"/>
        <w:spacing w:after="0" w:line="256" w:lineRule="auto"/>
        <w:rPr>
          <w:sz w:val="20"/>
          <w:szCs w:val="20"/>
          <w:color w:val="auto"/>
        </w:rPr>
      </w:pPr>
      <w:r>
        <w:rPr>
          <w:rFonts w:ascii="Times New Roman" w:cs="Times New Roman" w:eastAsia="Times New Roman" w:hAnsi="Times New Roman"/>
          <w:sz w:val="18"/>
          <w:szCs w:val="18"/>
          <w:color w:val="auto"/>
        </w:rPr>
        <w:t>The resale of shares of our common stock pursuant to this prospectus could have a significant negative impact on the trading price of our common stock. This impact may be heightened by the fact that certain of the selling securityholders purchased, or are able to purchase, shares of our common stock at prices that are well below the current trading price of our common stock.</w:t>
      </w:r>
    </w:p>
    <w:p>
      <w:pPr>
        <w:spacing w:after="0" w:line="120" w:lineRule="exact"/>
        <w:rPr>
          <w:sz w:val="20"/>
          <w:szCs w:val="20"/>
          <w:color w:val="auto"/>
        </w:rPr>
      </w:pPr>
    </w:p>
    <w:p>
      <w:pPr>
        <w:ind w:left="1280" w:right="499" w:firstLine="360"/>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the Closing Date, does not give effect to issuances of our common stock, warrants or options to purchase shares of our common stock, or the exercise of warrants or options after such date, and excludes:</w:t>
      </w:r>
    </w:p>
    <w:p>
      <w:pPr>
        <w:spacing w:after="0" w:line="68" w:lineRule="exact"/>
        <w:rPr>
          <w:sz w:val="20"/>
          <w:szCs w:val="20"/>
          <w:color w:val="auto"/>
        </w:rPr>
      </w:pPr>
    </w:p>
    <w:p>
      <w:pPr>
        <w:ind w:left="1820" w:right="111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20" w:right="81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shares initially reserved under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117"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 million of shares of common stock we may sell to CCM pursuant to a purchase agreement between us and CCM, dated October 7, 2022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establishing an equity facility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of common stock underlying outstanding options.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financial statements and notes to the financial statements included herein.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w:t>
      </w:r>
    </w:p>
    <w:p>
      <w:pPr>
        <w:spacing w:after="0" w:line="9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Due to the significant number of shares of our common stock that were redeemed in connection with the Business Combination, the number of shares of common stock that the selling securityholders can sell into the public markets pursuant to this prospectus may exceed our public float. As a result, the resale of shares of our common stock pursuant to this prospectus could have a significant negative impact on the trading price of our common stock. This impact may be heightened by the fact that, as described in the table below, certain of the selling securityholders purchased, or are able to purchase, shares of our common stock at prices that are well below the current trading price of our common stock. The 55,298,545 shares that may be resold and/or issued into the public markets pursuant to this prospectus represent approximately 128% of the shares of our common stock outstanding as of November 14, 2022 (after giving effect to the issuance of the Option Shares, Public Warrant Shares, Private Warrant Shares and Penny Warrant Shares).</w:t>
      </w:r>
    </w:p>
    <w:p>
      <w:pPr>
        <w:sectPr>
          <w:pgSz w:w="11900" w:h="16838" w:orient="portrait"/>
          <w:cols w:equalWidth="0" w:num="1">
            <w:col w:w="9879"/>
          </w:cols>
          <w:pgMar w:left="580" w:top="97" w:right="1440" w:bottom="1440" w:gutter="0" w:footer="0" w:header="0"/>
        </w:sectPr>
      </w:pP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200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5" w:lineRule="exact"/>
        <w:rPr>
          <w:sz w:val="20"/>
          <w:szCs w:val="20"/>
          <w:color w:val="auto"/>
        </w:rPr>
      </w:pPr>
    </w:p>
    <w:p>
      <w:pPr>
        <w:ind w:left="1260" w:right="80"/>
        <w:spacing w:after="0" w:line="282" w:lineRule="auto"/>
        <w:rPr>
          <w:sz w:val="20"/>
          <w:szCs w:val="20"/>
          <w:color w:val="auto"/>
        </w:rPr>
      </w:pPr>
      <w:r>
        <w:rPr>
          <w:rFonts w:ascii="Times New Roman" w:cs="Times New Roman" w:eastAsia="Times New Roman" w:hAnsi="Times New Roman"/>
          <w:sz w:val="18"/>
          <w:szCs w:val="18"/>
          <w:color w:val="auto"/>
        </w:rPr>
        <w:t>Consideration Shares (31,290,514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Option Shares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(3,664,975 shares)</w:t>
      </w: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Founders Shares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(3,162,500 shares)</w:t>
      </w:r>
    </w:p>
    <w:p>
      <w:pPr>
        <w:spacing w:after="0" w:line="342"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18"/>
          <w:szCs w:val="18"/>
          <w:color w:val="auto"/>
        </w:rPr>
        <w:t>Public Warrant Shares (9,487,500 shares)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50"/>
        <w:spacing w:after="0"/>
        <w:tabs>
          <w:tab w:leader="none" w:pos="709"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36195</wp:posOffset>
            </wp:positionV>
            <wp:extent cx="1200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ind w:left="210" w:hanging="210"/>
        <w:spacing w:after="0" w:line="255" w:lineRule="auto"/>
        <w:tabs>
          <w:tab w:leader="none" w:pos="1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Acquired by employees, investors and others through private placements, equity award grants and other sales of our equity securities at prices that equate to purchase prices of less than $10.00 per share of common stock</w:t>
      </w:r>
    </w:p>
    <w:p>
      <w:pPr>
        <w:spacing w:after="0" w:line="213" w:lineRule="exact"/>
        <w:rPr>
          <w:rFonts w:ascii="Times New Roman" w:cs="Times New Roman" w:eastAsia="Times New Roman" w:hAnsi="Times New Roman"/>
          <w:sz w:val="18"/>
          <w:szCs w:val="18"/>
          <w:color w:val="auto"/>
        </w:rPr>
      </w:pPr>
    </w:p>
    <w:p>
      <w:pPr>
        <w:ind w:left="110" w:hanging="110"/>
        <w:spacing w:after="0" w:line="204" w:lineRule="auto"/>
        <w:tabs>
          <w:tab w:leader="none" w:pos="11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Prices ranging from</w:t>
      </w:r>
    </w:p>
    <w:p>
      <w:pPr>
        <w:spacing w:after="0" w:line="1" w:lineRule="exact"/>
        <w:rPr>
          <w:sz w:val="20"/>
          <w:szCs w:val="20"/>
          <w:color w:val="auto"/>
        </w:rPr>
      </w:pPr>
    </w:p>
    <w:p>
      <w:pPr>
        <w:ind w:left="210" w:right="80"/>
        <w:spacing w:after="0" w:line="258" w:lineRule="auto"/>
        <w:rPr>
          <w:sz w:val="20"/>
          <w:szCs w:val="20"/>
          <w:color w:val="auto"/>
        </w:rPr>
      </w:pPr>
      <w:r>
        <w:rPr>
          <w:rFonts w:ascii="Times New Roman" w:cs="Times New Roman" w:eastAsia="Times New Roman" w:hAnsi="Times New Roman"/>
          <w:sz w:val="18"/>
          <w:szCs w:val="18"/>
          <w:color w:val="auto"/>
        </w:rPr>
        <w:t>$0.372 to $4.08 per share of common stock</w:t>
      </w:r>
    </w:p>
    <w:p>
      <w:pPr>
        <w:spacing w:after="0" w:line="183" w:lineRule="exact"/>
        <w:rPr>
          <w:sz w:val="20"/>
          <w:szCs w:val="20"/>
          <w:color w:val="auto"/>
        </w:rPr>
      </w:pPr>
    </w:p>
    <w:p>
      <w:pPr>
        <w:ind w:left="210" w:right="40" w:hanging="210"/>
        <w:spacing w:after="0" w:line="232" w:lineRule="auto"/>
        <w:tabs>
          <w:tab w:leader="none" w:pos="102"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Approximately $0.0079 per share of common stock</w:t>
      </w:r>
    </w:p>
    <w:p>
      <w:pPr>
        <w:spacing w:after="0" w:line="1" w:lineRule="exact"/>
        <w:rPr>
          <w:rFonts w:ascii="Times New Roman" w:cs="Times New Roman" w:eastAsia="Times New Roman" w:hAnsi="Times New Roman"/>
          <w:sz w:val="36"/>
          <w:szCs w:val="36"/>
          <w:color w:val="auto"/>
          <w:vertAlign w:val="superscript"/>
        </w:rPr>
      </w:pPr>
    </w:p>
    <w:p>
      <w:pPr>
        <w:ind w:left="210" w:right="380" w:hanging="210"/>
        <w:spacing w:after="0" w:line="219" w:lineRule="auto"/>
        <w:tabs>
          <w:tab w:leader="none" w:pos="102"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$11.50 per share of common stock</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4"/>
          <w:szCs w:val="14"/>
          <w:b w:val="1"/>
          <w:bCs w:val="1"/>
          <w:color w:val="auto"/>
        </w:rPr>
        <w:t>% of shares/warrants</w:t>
      </w:r>
    </w:p>
    <w:p>
      <w:pPr>
        <w:ind w:left="64"/>
        <w:spacing w:after="0"/>
        <w:tabs>
          <w:tab w:leader="none" w:pos="743"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outstanding</w:t>
      </w:r>
      <w:r>
        <w:rPr>
          <w:rFonts w:ascii="Times New Roman" w:cs="Times New Roman" w:eastAsia="Times New Roman" w:hAnsi="Times New Roman"/>
          <w:sz w:val="15"/>
          <w:szCs w:val="1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-1270</wp:posOffset>
            </wp:positionV>
            <wp:extent cx="1200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 ​ Approximately 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4" w:hanging="224"/>
        <w:spacing w:after="0" w:line="235" w:lineRule="auto"/>
        <w:tabs>
          <w:tab w:leader="none" w:pos="116"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Approximately 8.5% (after giving effect to the issuance of the Option Shares)</w:t>
      </w:r>
    </w:p>
    <w:p>
      <w:pPr>
        <w:spacing w:after="0" w:line="3" w:lineRule="exact"/>
        <w:rPr>
          <w:rFonts w:ascii="Times New Roman" w:cs="Times New Roman" w:eastAsia="Times New Roman" w:hAnsi="Times New Roman"/>
          <w:sz w:val="36"/>
          <w:szCs w:val="36"/>
          <w:color w:val="auto"/>
          <w:vertAlign w:val="superscript"/>
        </w:rPr>
      </w:pPr>
    </w:p>
    <w:p>
      <w:pPr>
        <w:ind w:left="104" w:hanging="104"/>
        <w:spacing w:after="0"/>
        <w:tabs>
          <w:tab w:leader="none" w:pos="104"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Approximately 7.3%</w:t>
      </w:r>
    </w:p>
    <w:p>
      <w:pPr>
        <w:spacing w:after="0" w:line="350" w:lineRule="exact"/>
        <w:rPr>
          <w:rFonts w:ascii="Times New Roman" w:cs="Times New Roman" w:eastAsia="Times New Roman" w:hAnsi="Times New Roman"/>
          <w:sz w:val="36"/>
          <w:szCs w:val="36"/>
          <w:color w:val="auto"/>
          <w:vertAlign w:val="superscript"/>
        </w:rPr>
      </w:pPr>
    </w:p>
    <w:p>
      <w:pPr>
        <w:ind w:left="4" w:right="80" w:hanging="4"/>
        <w:spacing w:after="0" w:line="903" w:lineRule="auto"/>
        <w:tabs>
          <w:tab w:leader="none" w:pos="116"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Approximately 22%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-489585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Potential profit</w:t>
            </w:r>
          </w:p>
        </w:tc>
        <w:tc>
          <w:tcPr>
            <w:tcW w:w="60" w:type="dxa"/>
            <w:vAlign w:val="bottom"/>
          </w:tcPr>
          <w:p>
            <w:pPr>
              <w:spacing w:after="0"/>
              <w:rPr>
                <w:sz w:val="14"/>
                <w:szCs w:val="14"/>
                <w:color w:val="auto"/>
              </w:rPr>
            </w:pPr>
          </w:p>
        </w:tc>
      </w:t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per share</w:t>
            </w:r>
            <w:r>
              <w:rPr>
                <w:rFonts w:ascii="Times New Roman" w:cs="Times New Roman" w:eastAsia="Times New Roman" w:hAnsi="Times New Roman"/>
                <w:sz w:val="17"/>
                <w:szCs w:val="17"/>
                <w:b w:val="1"/>
                <w:bCs w:val="1"/>
                <w:color w:val="auto"/>
                <w:w w:val="91"/>
                <w:vertAlign w:val="superscript"/>
              </w:rPr>
              <w:t>(2)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Up to $14.85 per share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75"/>
        </w:trPr>
        <w:tc>
          <w:tcPr>
            <w:tcW w:w="202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Up to $14.49 per share</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999"/>
        </w:trPr>
        <w:tc>
          <w:tcPr>
            <w:tcW w:w="202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Up to $14.85 per share</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783"/>
        </w:trPr>
        <w:tc>
          <w:tcPr>
            <w:tcW w:w="202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N/A</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4">
            <w:col w:w="2940" w:space="210"/>
            <w:col w:w="2050" w:space="56"/>
            <w:col w:w="1824" w:space="280"/>
            <w:col w:w="251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shares/warrants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8"/>
              </w:rPr>
              <w:t>Potential profit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outstanding</w:t>
            </w:r>
            <w:r>
              <w:rPr>
                <w:rFonts w:ascii="Times New Roman" w:cs="Times New Roman" w:eastAsia="Times New Roman" w:hAnsi="Times New Roman"/>
                <w:sz w:val="17"/>
                <w:szCs w:val="17"/>
                <w:b w:val="1"/>
                <w:bCs w:val="1"/>
                <w:color w:val="auto"/>
                <w:w w:val="95"/>
                <w:vertAlign w:val="superscript"/>
              </w:rPr>
              <w:t>(1)</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8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1"/>
              </w:rPr>
              <w:t>per share</w:t>
            </w:r>
            <w:r>
              <w:rPr>
                <w:rFonts w:ascii="Times New Roman" w:cs="Times New Roman" w:eastAsia="Times New Roman" w:hAnsi="Times New Roman"/>
                <w:sz w:val="17"/>
                <w:szCs w:val="17"/>
                <w:b w:val="1"/>
                <w:bCs w:val="1"/>
                <w:color w:val="auto"/>
                <w:w w:val="91"/>
                <w:vertAlign w:val="superscript"/>
              </w:rPr>
              <w:t>(2)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Private Warrant Shares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$11.50 per share of</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Approximately 10.7%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(4,627,858 shares)</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Approximately 6%</w:t>
            </w: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Up to $14.85 per share</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Penny Warrant Shares</w:t>
            </w:r>
          </w:p>
        </w:tc>
        <w:tc>
          <w:tcPr>
            <w:tcW w:w="220" w:type="dxa"/>
            <w:vAlign w:val="bottom"/>
            <w:vMerge w:val="continue"/>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$0.01 per share of</w:t>
            </w:r>
          </w:p>
        </w:tc>
        <w:tc>
          <w:tcPr>
            <w:tcW w:w="2100" w:type="dxa"/>
            <w:vAlign w:val="bottom"/>
            <w:gridSpan w:val="2"/>
            <w:vMerge w:val="continue"/>
          </w:tcPr>
          <w:p>
            <w:pPr>
              <w:spacing w:after="0"/>
              <w:rPr>
                <w:sz w:val="24"/>
                <w:szCs w:val="24"/>
                <w:color w:val="auto"/>
              </w:rPr>
            </w:pPr>
          </w:p>
        </w:tc>
        <w:tc>
          <w:tcPr>
            <w:tcW w:w="2100" w:type="dxa"/>
            <w:vAlign w:val="bottom"/>
            <w:gridSpan w:val="3"/>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(2,593,056 shares)</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Approximately 1%</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N/A</w:t>
            </w:r>
          </w:p>
        </w:tc>
        <w:tc>
          <w:tcPr>
            <w:tcW w:w="14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 Warrant Shares</w:t>
            </w:r>
          </w:p>
        </w:tc>
        <w:tc>
          <w:tcPr>
            <w:tcW w:w="220" w:type="dxa"/>
            <w:vAlign w:val="bottom"/>
            <w:vMerge w:val="continue"/>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$10.00 per share of</w:t>
            </w:r>
          </w:p>
        </w:tc>
        <w:tc>
          <w:tcPr>
            <w:tcW w:w="2100" w:type="dxa"/>
            <w:vAlign w:val="bottom"/>
            <w:gridSpan w:val="2"/>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(457,142 shares)</w:t>
            </w:r>
          </w:p>
        </w:tc>
        <w:tc>
          <w:tcPr>
            <w:tcW w:w="2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100" w:type="dxa"/>
            <w:vAlign w:val="bottom"/>
            <w:gridSpan w:val="2"/>
          </w:tcPr>
          <w:p>
            <w:pPr>
              <w:spacing w:after="0" w:line="351" w:lineRule="exact"/>
              <w:rPr>
                <w:sz w:val="20"/>
                <w:szCs w:val="20"/>
                <w:color w:val="auto"/>
              </w:rPr>
            </w:pPr>
            <w:r>
              <w:rPr>
                <w:rFonts w:ascii="Times New Roman" w:cs="Times New Roman" w:eastAsia="Times New Roman" w:hAnsi="Times New Roman"/>
                <w:sz w:val="18"/>
                <w:szCs w:val="18"/>
                <w:color w:val="auto"/>
              </w:rPr>
              <w:t xml:space="preserve">PIPE Investment Shares </w:t>
            </w:r>
            <w:r>
              <w:rPr>
                <w:rFonts w:ascii="Times New Roman" w:cs="Times New Roman" w:eastAsia="Times New Roman" w:hAnsi="Times New Roman"/>
                <w:sz w:val="35"/>
                <w:szCs w:val="35"/>
                <w:color w:val="auto"/>
                <w:vertAlign w:val="superscript"/>
              </w:rPr>
              <w:t>​ ​</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$10.00 per share of</w:t>
            </w:r>
          </w:p>
        </w:tc>
        <w:tc>
          <w:tcPr>
            <w:tcW w:w="2100" w:type="dxa"/>
            <w:vAlign w:val="bottom"/>
            <w:gridSpan w:val="2"/>
          </w:tcPr>
          <w:p>
            <w:pPr>
              <w:spacing w:after="0" w:line="351"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Approximately 0.035%</w:t>
            </w:r>
          </w:p>
        </w:tc>
        <w:tc>
          <w:tcPr>
            <w:tcW w:w="620" w:type="dxa"/>
            <w:vAlign w:val="bottom"/>
            <w:gridSpan w:val="2"/>
          </w:tcPr>
          <w:p>
            <w:pPr>
              <w:spacing w:after="0" w:line="351"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N/A</w:t>
            </w:r>
          </w:p>
        </w:tc>
        <w:tc>
          <w:tcPr>
            <w:tcW w:w="14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(15,000 shares)</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Approximately 56.8%</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N/A</w:t>
            </w:r>
          </w:p>
        </w:tc>
        <w:tc>
          <w:tcPr>
            <w:tcW w:w="14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220" w:type="dxa"/>
            <w:vAlign w:val="bottom"/>
            <w:vMerge w:val="continue"/>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$0.50</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per Public</w:t>
            </w:r>
          </w:p>
        </w:tc>
        <w:tc>
          <w:tcPr>
            <w:tcW w:w="2100" w:type="dxa"/>
            <w:vAlign w:val="bottom"/>
            <w:gridSpan w:val="2"/>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(9,487,500 warrants)</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Approximately 27.7%</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N/A</w:t>
            </w:r>
          </w:p>
        </w:tc>
        <w:tc>
          <w:tcPr>
            <w:tcW w:w="1480" w:type="dxa"/>
            <w:vAlign w:val="bottom"/>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220" w:type="dxa"/>
            <w:vAlign w:val="bottom"/>
            <w:vMerge w:val="continue"/>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$0.93 per Private</w:t>
            </w:r>
          </w:p>
        </w:tc>
        <w:tc>
          <w:tcPr>
            <w:tcW w:w="2100" w:type="dxa"/>
            <w:vAlign w:val="bottom"/>
            <w:gridSpan w:val="2"/>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(4,627,858 warrants)</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Penny Warrants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$0.01 per Penny Warrant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Approximately 15.5%</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N/A</w:t>
            </w:r>
          </w:p>
        </w:tc>
        <w:tc>
          <w:tcPr>
            <w:tcW w:w="148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(2,593,056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168910</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6" w:lineRule="exact"/>
        <w:rPr>
          <w:sz w:val="20"/>
          <w:szCs w:val="20"/>
          <w:color w:val="auto"/>
        </w:rPr>
      </w:pPr>
    </w:p>
    <w:p>
      <w:pPr>
        <w:ind w:left="1620" w:right="75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based on 43,272,728 shares of common stock and 16,708,414 warrants outstanding, in each case as of November 14, 2022.</w:t>
      </w:r>
    </w:p>
    <w:p>
      <w:pPr>
        <w:spacing w:after="0" w:line="13" w:lineRule="exact"/>
        <w:rPr>
          <w:rFonts w:ascii="Times New Roman" w:cs="Times New Roman" w:eastAsia="Times New Roman" w:hAnsi="Times New Roman"/>
          <w:sz w:val="18"/>
          <w:szCs w:val="18"/>
          <w:color w:val="auto"/>
        </w:rPr>
      </w:pPr>
    </w:p>
    <w:p>
      <w:pPr>
        <w:ind w:left="1620" w:right="59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common stock at a price of $14.86 per share, which reflects the closing price of the common stock as of December 22, 2022.</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closing price of the Public Warrants as of December 22, 2022.</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selling securityholders will determine the timing, pricing and rate at which they sell such shares into the public market. Although the current trading price of our common stock is below $10.00 per share, which was the sales price for units in the CNTQ IPO, as shown in the table above, certain of the selling securityholders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14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demand for our products, including sales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arrangement with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the largest manufacturer of towable RVs in North America, Keystone has agreed to fulfill certain of its LFP battery requirements exclusively through us for at least one year, with potential annual renewals. However, although in time we expect Keystone to be a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34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86" w:lineRule="exact"/>
        <w:rPr>
          <w:sz w:val="20"/>
          <w:szCs w:val="20"/>
          <w:color w:val="auto"/>
        </w:rPr>
      </w:pPr>
    </w:p>
    <w:p>
      <w:pPr>
        <w:ind w:left="1260" w:right="53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77"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34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0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2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 state battery technologies better suited for other applications (such as electric vehicles (“</w:t>
      </w:r>
      <w:r>
        <w:rPr>
          <w:rFonts w:ascii="Times New Roman" w:cs="Times New Roman" w:eastAsia="Times New Roman" w:hAnsi="Times New Roman"/>
          <w:sz w:val="18"/>
          <w:szCs w:val="18"/>
          <w:b w:val="1"/>
          <w:bCs w:val="1"/>
          <w:color w:val="auto"/>
        </w:rPr>
        <w:t>EVs</w:t>
      </w:r>
      <w:r>
        <w:rPr>
          <w:rFonts w:ascii="Times New Roman" w:cs="Times New Roman" w:eastAsia="Times New Roman" w:hAnsi="Times New Roman"/>
          <w:sz w:val="18"/>
          <w:szCs w:val="18"/>
          <w:color w:val="auto"/>
        </w:rPr>
        <w:t>”)) to our target markets.</w:t>
      </w:r>
    </w:p>
    <w:p>
      <w:pPr>
        <w:spacing w:after="0" w:line="116"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399" w:lineRule="exact"/>
        <w:rPr>
          <w:sz w:val="20"/>
          <w:szCs w:val="20"/>
          <w:color w:val="auto"/>
        </w:rPr>
      </w:pPr>
    </w:p>
    <w:p>
      <w:pPr>
        <w:ind w:left="12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13"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 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expectations, our sales growth would be limited to the growth of existing products and existing end markets, and this could have a material adverse effect on our business, financial condition and results of operations.</w:t>
      </w:r>
    </w:p>
    <w:p>
      <w:pPr>
        <w:spacing w:after="0" w:line="8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 -state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 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0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117"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w:t>
      </w:r>
    </w:p>
    <w:p>
      <w:pPr>
        <w:spacing w:after="0" w:line="53"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1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158"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91"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as our products are susceptible to obsolescence and price declines.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32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have seen rising materials costs due to inflation, which we have had to counteract through increases in our product prices, where we believe it is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200" w:lineRule="exact"/>
        <w:rPr>
          <w:sz w:val="20"/>
          <w:szCs w:val="20"/>
          <w:color w:val="auto"/>
        </w:rPr>
      </w:pPr>
    </w:p>
    <w:p>
      <w:pPr>
        <w:spacing w:after="0" w:line="204" w:lineRule="exact"/>
        <w:rPr>
          <w:sz w:val="20"/>
          <w:szCs w:val="20"/>
          <w:color w:val="auto"/>
        </w:rPr>
      </w:pPr>
    </w:p>
    <w:p>
      <w:pPr>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07"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facility may be harmed or rendered inoperable by natural or man-made disasters, including earthquakes, flooding, fire and power outages, utility and transportation infrastructure disruptions, acts of war or terrorism, or by public health crises, such as the ongoing COVID-19 pandemic,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83"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9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2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7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24"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3" w:lineRule="exact"/>
        <w:rPr>
          <w:sz w:val="20"/>
          <w:szCs w:val="20"/>
          <w:color w:val="auto"/>
        </w:rPr>
      </w:pPr>
    </w:p>
    <w:p>
      <w:pPr>
        <w:jc w:val="both"/>
        <w:ind w:left="1260" w:right="7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0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our battery communications system, expected to launch in the first half of 2023, will utilize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0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We may encounter delays in the design, manufacture and launch of our solid-state battery cells, and in increasing production to scale.</w:t>
      </w:r>
    </w:p>
    <w:p>
      <w:pPr>
        <w:spacing w:after="0" w:line="323"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1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no experience in manufacturing battery cells. To cost- 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82" w:lineRule="exact"/>
        <w:rPr>
          <w:sz w:val="20"/>
          <w:szCs w:val="20"/>
          <w:color w:val="auto"/>
        </w:rPr>
      </w:pPr>
    </w:p>
    <w:p>
      <w:pPr>
        <w:ind w:left="1260" w:right="5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01"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14"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 state batteries could be harmed.</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 -state batteries will incorporate components that have not been used individually or in combination in the same manner as the design of our solid -state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97" w:lineRule="exact"/>
        <w:rPr>
          <w:sz w:val="20"/>
          <w:szCs w:val="20"/>
          <w:color w:val="auto"/>
        </w:rPr>
      </w:pPr>
    </w:p>
    <w:p>
      <w:pPr>
        <w:jc w:val="both"/>
        <w:ind w:left="1260" w:right="79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9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1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9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5"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believe that we own a patent application that pre- dates their patents and patent applications of interest such that our patent application may act as a basis for an invalidity position. However, it is possible that a court may not agree that our patent application invalidates the patents and patent applications of interest. Additionally, a prior allegation of infringement was raised by a separate third party with regards to the alternator regulators that we plan to sell, although we believe the referenced patent is invalid in view of an earlier sale of a product that the third party was made aware of and no further communications have been received from the third party since they were made aware of this position on December 18, 2020.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285" w:lineRule="exact"/>
        <w:rPr>
          <w:sz w:val="20"/>
          <w:szCs w:val="20"/>
          <w:color w:val="auto"/>
        </w:rPr>
      </w:pPr>
    </w:p>
    <w:p>
      <w:pPr>
        <w:ind w:left="1800" w:right="5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0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144" w:lineRule="exact"/>
        <w:rPr>
          <w:sz w:val="20"/>
          <w:szCs w:val="20"/>
          <w:color w:val="auto"/>
        </w:rPr>
      </w:pPr>
    </w:p>
    <w:p>
      <w:pPr>
        <w:jc w:val="both"/>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6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1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1260" w:right="5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as a result of the COVID-19 pandemic and the Russia-Ukraine conflict, could reduce consumer spending and disrupt our supply chain which could negatively affect our results of operations.</w:t>
      </w:r>
    </w:p>
    <w:p>
      <w:pPr>
        <w:spacing w:after="0" w:line="101"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COVID-19 pandemic has caused, and could in the future continue to cause, and other factors could contribute to causing, delays or disruptions in our supply chain and labor shortages and shutdowns, which would be disruptive to the production of our batteries and would adversely impact our business. For example, we experienced shortages and workforce slowdowns at our manufacturing facility due to stay-at-home mandates, delays in shipping finished products to customers and some delays in our receiving non-critical battery components. In addition, the spreading of the virus may make it more difficult for us to find alternative suppliers due to the high concentration of such suppliers located in China. Any performance failure on the part of any of our significant suppliers could interrupt production of our products, which would have a material adverse effect on our business, financial condition and results of operations. Furthermore, the severity, magnitude and duration of the current COVID-19 pandemic is uncertain, rapidly changing and hard to predict. A prolonged or worsened COVID-19 pandemic could cause continued supply disruptions which could lead to a reduction in manufacturing, lead to extended disruption of economic activity and make it difficult for us to predict demand for our products. In addition, while the COVID-19 pandemic may, for a period, positively impact our battery sales as more consumers adopt the RV lifestyle, there is no guarantee that any such increase would be sustained, which could cause our results of operations to fluctuate.</w:t>
      </w: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risen to historic levels. This rise in price may cause a decrease in RV travel, which could ultimately negatively impact sales of our batteries for RVs. Further escalation of the Russia -Ukraine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as we have done in 2022,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391"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trade barriers, tariffs or shortages and other general economic or political conditions may limit our ability to obtain key components for our battery packs or significantly increase freight charges, raw material costs and other expenses associated with our business, which could further materially and adversely affect our financial condition and results of operations.</w:t>
      </w:r>
    </w:p>
    <w:p>
      <w:pPr>
        <w:spacing w:after="0" w:line="10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Because our key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LFP battery cells, battery management systems and other components we purchase from China have been, and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suppliers may not continue to provide us with LFP cells or our battery management systems in our required quantities, to our required specifications and quality levels or at attractive prices.</w:t>
      </w:r>
    </w:p>
    <w:p>
      <w:pPr>
        <w:spacing w:after="0" w:line="12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Further, we may be unable to control price fluctuations for these components or negotiate supply agreements on favorable terms to us. We may also be exposed to fluctuations in the value of the U.S. dollar relative to the Renminbi with any appreciation in the value of the Renminbi increasing our costs for components sourced from China. Substantial increases in the prices for our components would increase our operating costs and negatively impact our results of operations.</w:t>
      </w:r>
    </w:p>
    <w:p>
      <w:pPr>
        <w:spacing w:after="0" w:line="179" w:lineRule="exact"/>
        <w:rPr>
          <w:sz w:val="20"/>
          <w:szCs w:val="20"/>
          <w:color w:val="auto"/>
        </w:rPr>
      </w:pPr>
    </w:p>
    <w:p>
      <w:pPr>
        <w:ind w:left="126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9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other senior technical and management personnel, including our executive officers, who would be difficult to replace. The loss of Mr. Phares or other key personnel could disrupt our business and harm our results of operations, and we may not be able to successfully attract and retain senior leadership necessary to grow our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3"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7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1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2"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7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our growth in our businesses may cause damage to our brand or otherwise have a material adverse effect on our business, financial condition and results of operations.</w:t>
      </w:r>
    </w:p>
    <w:p>
      <w:pPr>
        <w:spacing w:after="0" w:line="196"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77"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391"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77"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33" w:lineRule="exact"/>
        <w:rPr>
          <w:sz w:val="20"/>
          <w:szCs w:val="20"/>
          <w:color w:val="auto"/>
        </w:rPr>
      </w:pPr>
    </w:p>
    <w:p>
      <w:pPr>
        <w:ind w:left="1260" w:right="6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93"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are subject to anti -corruption, anti -bribery,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303"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33" w:lineRule="exact"/>
        <w:rPr>
          <w:sz w:val="20"/>
          <w:szCs w:val="20"/>
          <w:color w:val="auto"/>
        </w:rPr>
      </w:pPr>
    </w:p>
    <w:p>
      <w:pPr>
        <w:jc w:val="both"/>
        <w:ind w:left="1260" w:right="6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7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3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1"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64"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and these expenses may increase even more after we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Most of the members of our management team have limited to no experience managing a publicly traded company, interacting with public company investors and complying with the increasingly complex laws pertaining to public companies. Our management team has not worked together at prior companies that were publicly traded. Our management team may not successfully or efficiently manage their new roles and responsibilities.</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Our transition to being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7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Over time, we expect that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funds by issuing debt securities, these debt securities would have rights, preferences, and privileges senior to those of common stockholders. Because the exercise price of the Public Warrants and Private Warrants substantially exceeds the current trading price of our common stock, holders are unlikely to exercise such warrants in the near future, if at all, and as a result our Public Warrants and Private Warrants may not provide any additional capital.</w:t>
      </w:r>
    </w:p>
    <w:p>
      <w:pPr>
        <w:spacing w:after="0" w:line="110"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54"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10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21"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restrictive covenants restrict our ability to, among other things:</w:t>
      </w:r>
    </w:p>
    <w:p>
      <w:pPr>
        <w:spacing w:after="0" w:line="104"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94"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See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 Transactions — Debt Financing</w:t>
      </w:r>
      <w:r>
        <w:rPr>
          <w:rFonts w:ascii="Times New Roman" w:cs="Times New Roman" w:eastAsia="Times New Roman" w:hAnsi="Times New Roman"/>
          <w:sz w:val="18"/>
          <w:szCs w:val="18"/>
          <w:color w:val="auto"/>
        </w:rPr>
        <w:t>.” We cannot guarantee that we will be able to maintain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65"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01"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described elsewhere in this prospectus, our management identified material weaknesses in our internal control over financial reporting relating to (i) inadequate segregation of duties; (ii) lack of appropriate technology controls; and (iii) deficiency in the design of controls around account reconciliations and operational activity. As a result of these material weaknesses, our management concluded that our internal control over financial reporting was not effective as of December 31, 2021, and December 31, 2020.</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are in the process of developing a plan to remediate these material weaknesses. We have recently implemented an ERP system and hired a new Chief Financial Officer, and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the Nasdaq, or to other regulatory investigations and civil or criminal sanctions.</w:t>
      </w:r>
    </w:p>
    <w:p>
      <w:pPr>
        <w:spacing w:after="0" w:line="33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public company, we will be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w:t>
      </w:r>
    </w:p>
    <w:p>
      <w:pPr>
        <w:spacing w:after="0" w:line="5"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the Nasdaq, or other regulatory authorities, which would require additional financial and management resources.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9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6"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w:t>
      </w:r>
    </w:p>
    <w:p>
      <w:pPr>
        <w:spacing w:after="0" w:line="9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Immediately prior to the Business Combination, there was no public market for our stock and trading in shares of CNTQ Common Stock was not active. Accordingly, the valuation ascribed to our business and CNTQ Common Stock in the Business Combination may not prove to be indicative of the price that will prevail in the trading market.</w:t>
      </w:r>
    </w:p>
    <w:p>
      <w:pPr>
        <w:spacing w:after="0" w:line="11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will depend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since you might be unable to sell your shares at or above the price attributed to them in the Business Combination.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17" w:lineRule="exact"/>
        <w:rPr>
          <w:sz w:val="20"/>
          <w:szCs w:val="20"/>
          <w:color w:val="auto"/>
        </w:rPr>
      </w:pPr>
    </w:p>
    <w:p>
      <w:pPr>
        <w:ind w:left="1800" w:right="4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6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3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w:t>
      </w:r>
    </w:p>
    <w:p>
      <w:pPr>
        <w:spacing w:after="0" w:line="65" w:lineRule="exact"/>
        <w:rPr>
          <w:rFonts w:ascii="Times New Roman" w:cs="Times New Roman" w:eastAsia="Times New Roman" w:hAnsi="Times New Roman"/>
          <w:sz w:val="18"/>
          <w:szCs w:val="18"/>
          <w:color w:val="auto"/>
        </w:rPr>
      </w:pPr>
    </w:p>
    <w:p>
      <w:pPr>
        <w:ind w:left="1800" w:right="719" w:hanging="180"/>
        <w:spacing w:after="0" w:line="284"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and other matters described or referenced under the sections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the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2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9"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9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72"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debt securities and equity securities may adversely affect us, including the market price of the common stock and may be dilutive to existing stockholders.</w:t>
      </w:r>
    </w:p>
    <w:p>
      <w:pPr>
        <w:spacing w:after="0" w:line="7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the future, we may incur debt or issue equity securities ranking senior to the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including the shares initially reserved under the 2022 Plan, the shares initially reserved under the ESPP, the Earnout Shares and the shares underlying outstanding options, may have rights, preferences and privileges more favorable than those of the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the common stock and be dilutive to existing stockholders.</w:t>
      </w:r>
    </w:p>
    <w:p>
      <w:pPr>
        <w:spacing w:after="0" w:line="12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In addition, pursuant to the Purchase Agreement, CCM agreed to purchase from us a total of up to</w:t>
      </w:r>
    </w:p>
    <w:p>
      <w:pPr>
        <w:spacing w:after="0" w:line="27"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$150.0 million of our common stock from time to time over a 36-month period. We generally have the right to control the timing and amount of any future sales of our common stock to CCM. Additional sales of our common stock, if any, to CCM will depend upon market conditions and other factors to be determined by us. We may ultimately decide to sell to CCM all, some or none of the shares of our common stock that may be available for us to sell pursuant to the Purchase Agreement. If and when we do sell shares of our common stock to CCM, after CCM has acquired such shares, CCM may resell all, some or none of such shares at any time or from time to time in its discretion, subject to compliance with securities laws. Therefore, sales to CCM by us could result in substantial dilution to the interests of other holders of its shares of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common stock. Additionally, the sale of a substantial number of shares of our common stock to CCM, or the anticipation of such sales, could make it more difficult for us to sell equity or equity- related securities in the future at a time and at a price that it might otherwise wish to effect sales. Depending on market liquidity at the time, resales of shares by CCM may cause the public trading price of our common stock to decrease.</w:t>
      </w:r>
    </w:p>
    <w:p>
      <w:pPr>
        <w:spacing w:after="0" w:line="187"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90"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61" w:lineRule="exact"/>
        <w:rPr>
          <w:sz w:val="20"/>
          <w:szCs w:val="20"/>
          <w:color w:val="auto"/>
        </w:rPr>
      </w:pPr>
    </w:p>
    <w:p>
      <w:pPr>
        <w:ind w:left="1800" w:right="8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4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our ability to serve those markets;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81"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 to-period basis may not be meaningful. Investors should not rely on our past results as an indication of our future performance.</w:t>
      </w:r>
    </w:p>
    <w:p>
      <w:pPr>
        <w:spacing w:after="0" w:line="11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6"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7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the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392"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7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stockholders must rely on sales of their common stock after price appreciation as the only way to realize any future gains on their investment.</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0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amended and restated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DGCL, the amended and restated certificate of incorporation or our amended and restated bylaws, any action asserting a claim governed by internal affairs doctrine of the State of Delaware or any other action asserting an “internal corporate claim” (as​ defined in Section 115 of the DGCL), confers jurisdiction to the Court of Chancery of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consents in writing to the selection of an alternative forum. This provision would not apply to suits brought to enforce a duty or liability created by the Exchange Act or any other claim for which the federal courts have exclusive jurisdiction. The amended and restated certificate of incorporation also provides that, unless we consents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3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amended and restated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the amended and restated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8"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could discourage another company from acquiring us and may prevent attempts by our stockholders to replace or remove our management.</w:t>
      </w:r>
    </w:p>
    <w:p>
      <w:pPr>
        <w:spacing w:after="0" w:line="7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86" w:lineRule="exact"/>
        <w:rPr>
          <w:sz w:val="20"/>
          <w:szCs w:val="20"/>
          <w:color w:val="auto"/>
        </w:rPr>
      </w:pPr>
    </w:p>
    <w:p>
      <w:pPr>
        <w:ind w:left="1800" w:right="47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8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82" w:lineRule="auto"/>
        <w:rPr>
          <w:sz w:val="20"/>
          <w:szCs w:val="20"/>
          <w:color w:val="auto"/>
        </w:rPr>
      </w:pPr>
      <w:r>
        <w:rPr>
          <w:rFonts w:ascii="Times New Roman" w:cs="Times New Roman" w:eastAsia="Times New Roman" w:hAnsi="Times New Roman"/>
          <w:sz w:val="18"/>
          <w:szCs w:val="18"/>
          <w:color w:val="auto"/>
        </w:rPr>
        <w:t>death or removal of a director, which prevents stockholders from being able to fill vacancies on our board of directors;</w:t>
      </w:r>
    </w:p>
    <w:p>
      <w:pPr>
        <w:spacing w:after="0" w:line="67" w:lineRule="exact"/>
        <w:rPr>
          <w:sz w:val="20"/>
          <w:szCs w:val="20"/>
          <w:color w:val="auto"/>
        </w:rPr>
      </w:pPr>
    </w:p>
    <w:p>
      <w:pPr>
        <w:ind w:left="1800" w:right="6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certain provisions of our amended and restated bylaws without obtaining stockholder approval;</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our common shares entitled to vote at an election of our board of directors is required to adopt, amend, alter or repeal our amended and restated bylaws or amend, alter, change or repeal or adopt any provision of the amended and restated certificate of incorporation inconsistent with the provisions of our amended and restated certificate of incorporation regarding the election and removal of directors;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75"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Moreover, because we incorporated in Delaware, we will be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9" w:lineRule="exact"/>
        <w:rPr>
          <w:sz w:val="20"/>
          <w:szCs w:val="20"/>
          <w:color w:val="auto"/>
        </w:rPr>
      </w:pPr>
    </w:p>
    <w:p>
      <w:pPr>
        <w:ind w:left="12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07"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68" w:lineRule="exact"/>
        <w:rPr>
          <w:sz w:val="20"/>
          <w:szCs w:val="20"/>
          <w:color w:val="auto"/>
        </w:rPr>
      </w:pPr>
    </w:p>
    <w:p>
      <w:pPr>
        <w:ind w:left="1800" w:right="9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status as an emerging growth company will end as soon as any of the following takes place:</w:t>
      </w:r>
    </w:p>
    <w:p>
      <w:pPr>
        <w:spacing w:after="0" w:line="99"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2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15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3" w:lineRule="exact"/>
        <w:rPr>
          <w:sz w:val="20"/>
          <w:szCs w:val="20"/>
          <w:color w:val="auto"/>
        </w:rPr>
      </w:pPr>
    </w:p>
    <w:p>
      <w:pPr>
        <w:ind w:left="1260" w:right="4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8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 identified material weaknesses in our internal control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reporting. These material weaknesses could continue to adversely affect our ability to report our results of operations and financial condition accurately and in a timely manner.” </w:t>
      </w:r>
      <w:r>
        <w:rPr>
          <w:rFonts w:ascii="Times New Roman" w:cs="Times New Roman" w:eastAsia="Times New Roman" w:hAnsi="Times New Roman"/>
          <w:sz w:val="18"/>
          <w:szCs w:val="18"/>
          <w:color w:val="auto"/>
        </w:rPr>
        <w:t>We are continuing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3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Nasdaq, the SEC and other regulatory authorities.</w:t>
      </w:r>
    </w:p>
    <w:p>
      <w:pPr>
        <w:spacing w:after="0" w:line="179" w:lineRule="exact"/>
        <w:rPr>
          <w:sz w:val="20"/>
          <w:szCs w:val="20"/>
          <w:color w:val="auto"/>
        </w:rPr>
      </w:pPr>
    </w:p>
    <w:p>
      <w:pPr>
        <w:jc w:val="both"/>
        <w:ind w:left="126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there are no current plans to pay cash dividends on our common stock for the foreseeable future, you may not receive any return on investment unless you sell our common stock at a price greater than what you paid for it.</w:t>
      </w:r>
    </w:p>
    <w:p>
      <w:pPr>
        <w:spacing w:after="0" w:line="6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our board of directors may deem relevant. As a result, you may not receive any return on an investment in our common stock unless you sell your our common stock for a price greater than that which you paid for it.</w:t>
      </w:r>
    </w:p>
    <w:p>
      <w:pPr>
        <w:spacing w:after="0" w:line="185"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herein may not be indicative of what our actual financial position or results of operations would have been.</w:t>
      </w:r>
    </w:p>
    <w:p>
      <w:pPr>
        <w:spacing w:after="0" w:line="91"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w:t>
      </w:r>
    </w:p>
    <w:p>
      <w:pPr>
        <w:spacing w:after="0" w:line="172"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9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68"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8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All of the common stock and the Private Warrants and Penny Warrants offered by the selling securityholders pursuant to this prospectus will be sold by the selling securityholders for their respective accounts. We will not receive any of the proceeds from these sales.</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$162.35 million from the exercise of the Warrants, assuming the exercise in full of all of the Public Warrants for cash. We expect to use the net proceeds, if any, from the exercise of the Warrants for research and development, working capital and general corporate purposes. Because the exercise price of the Public Warrants and Private Warrants substantially exceeds the current trading price of our common stock, it is unlikely that holders of our Public Warrants and Private Warrants will decide to exercise such warrants in the near future, if at all. As a result, we are unlikely to receive any proceeds from the exercise of our warrants in the near future, if at all. We will have broad discretion over the use of proceeds from the exercise of the Warrants. There is no assurance that the holders of the Warrants will elect to exercise any or all of such Warrants, and there may be no economic incentive for such holders of the Public Warrants and Private Warrants to exercise unless and until the trading price of our common stock exceeds $11.50 per share. To the extent that the Warrants are exercised on a “cashless basis,” the amount of cash we would receive from the exercise of the Warrants will decrease.</w:t>
      </w:r>
    </w:p>
    <w:p>
      <w:pPr>
        <w:spacing w:after="0" w:line="109"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considering our capital requirements and sources of liquidity, we have not relied on the receipt of proceeds from the exercise of the Warrants. See “</w:t>
      </w:r>
      <w:r>
        <w:rPr>
          <w:rFonts w:ascii="Times New Roman" w:cs="Times New Roman" w:eastAsia="Times New Roman" w:hAnsi="Times New Roman"/>
          <w:sz w:val="18"/>
          <w:szCs w:val="18"/>
          <w:i w:val="1"/>
          <w:iCs w:val="1"/>
          <w:color w:val="auto"/>
        </w:rPr>
        <w:t>Dragonfly’s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 Liquidity and Capital Resources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 As of December 22, 2022, the closing price of our common stock and warrants was $14.86 and $0.50, respectively. As of December 22, 2022, there were 105 holders of record of our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99"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6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Defined terms included below shall have the same meaning as terms defined and included elsewhere in this prospectus. Unless the context otherwise requires,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prior to the closing of the Business Combination are intended to mean Dragonfly Energy Corp., a Nevada corporation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CNTQ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Chardan NexTech Acquisition 2 Corp. prior to the Closing. References in this section to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after the closing of the Business Combination are intended to mean, Dragonfly Energy Holdings Corp. and its consolidated subsidiaries.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CNTQ and Legacy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prospectus.</w:t>
      </w:r>
    </w:p>
    <w:p>
      <w:pPr>
        <w:spacing w:after="0" w:line="3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historical financial information of CNTQ was derived from the unaudited financial statements of CNTQ as of September 30, 2022 and the audited financial statements of CNTQ for the nine months ended September 30, 2022 and as of December 31, 2021, included elsewhere in this prospectus. The historical financial information of Legacy Dragonfly was derived from the unaudited financial statements of Legacy Dragonfly as of September 30, 2022 and audited financial statements for the nine months ended September 30, 2022 and as of December 31, 2021, included elsewhere in this prospectus. Such unaudited pro forma financial information has been prepared on a basis consistent with the audited financial statements of CNTQ and Legacy Dragonfly, respectively, and should be read in conjunction with the audited historical financial statements and related notes, each of which is included elsewhere in this prospectus. This information should be read together with CNTQ’s and Legacy Dragonfly’s financial statements and related notes, the sections titled “</w:t>
      </w:r>
      <w:r>
        <w:rPr>
          <w:rFonts w:ascii="Times New Roman" w:cs="Times New Roman" w:eastAsia="Times New Roman" w:hAnsi="Times New Roman"/>
          <w:sz w:val="18"/>
          <w:szCs w:val="18"/>
          <w:i w:val="1"/>
          <w:iCs w:val="1"/>
          <w:color w:val="auto"/>
        </w:rPr>
        <w:t>CNTQ’s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 Discussion and Analysis of Financial Condition and Results of Operations</w:t>
      </w:r>
      <w:r>
        <w:rPr>
          <w:rFonts w:ascii="Times New Roman" w:cs="Times New Roman" w:eastAsia="Times New Roman" w:hAnsi="Times New Roman"/>
          <w:sz w:val="18"/>
          <w:szCs w:val="18"/>
          <w:color w:val="auto"/>
        </w:rPr>
        <w:t>” and other financial information included elsewhere in this prospectus.</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no goodwill or other intangible assets recorded, in accordance with GAAP. Under this method of accounting, CNTQ is treated as the “acquired” company for financial reporting purposes. Legacy Dragonfly has been determined to be the accounting acquirer because Legacy Dragonfly, as a group, retained a majority of the outstanding shares of Dragonfly at the Closing, they nominated five of the seven members of the board of directors at the Closing, Legacy Dragonfly’s management continues to manage Dragonfly and Legacy Dragonfly’s business comprises the ongoing operations of Dragonfly.</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assumes that the Business Combination and related transactions occurred on September 30, 2022. The unaudited pro forma condensed combined statements of operations for the nine months ended September 30, 2022 and for the year ended December 31, 2021 give pro forma effect to the Business Combination and related transactions as if they had occurred on January 1, 2021. CNTQ and Legacy Dragonfly did not have any historical relationship prior to the Business Combination. Accordingly, no pro forma adjustments were required to eliminate activities between the companies.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62"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On October 7, 2022, we consummated the previously announced merger pursuant to the Business Combination Agreement. CNTQ’s stockholders approved the Transactions at a special meeting of stockholders held on October 6, 2022.</w:t>
      </w:r>
    </w:p>
    <w:p>
      <w:pPr>
        <w:spacing w:after="0" w:line="10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At the Closing, the total consideration received by Legacy Dragonfly Equity Holders (shares and options) from CNTQ had an aggregate deemed value equal to $415,000,000, payable, in the case of Legacy Dragonfly Equity Holders, solely in new shares of common stock. The new shares of common stock were delivered to Legacy Dragonfly Equity Holders (including to holders of the Legacy Dragonfly preferred shares to be converted to common shares) and were allocated pro rata between the holders of Legacy Dragonfly common stock and options to acquire Legacy Dragonfly common stock. Based on the number of shares of Legacy Dragonfly common stock outstanding as of September 30, 2022 (together, solely for the purposes of this calculation, with additional Legacy Dragonfly shares issued upon exercise of Legacy Dragonfly Convertible Preferred Stock) on a fully-diluted and as-converted basis, taking into account the assumptions further described below, Legacy Dragonfly Stockholders have received 38,576,648 shares of common stock.</w:t>
      </w:r>
    </w:p>
    <w:p>
      <w:pPr>
        <w:spacing w:after="0" w:line="32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Dragonfly Preferred Stock Conversion) are entitled to receive their pro rata share of up to 40,000,000 additional Earnout Shares of common stock. The Earnout Shares are issuable in three tranches. The first tranche of 15,000,000 shares is issuable if Dragonfly’s 2023 total audited revenue is equal to or greater than $250 million and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1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Dragonfly accounts for the Earnout Shares as either equity-classified or liability-classified instruments based on an assessment of the Earnout Shares specific terms and applicable authoritative guidance 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as defined below. Dragonfly has preliminarily determined that the Earnout Shares are indexed to Dragonfly’s stock and are therefore not precluded from equity classification. Such accounting determination will be assessed at each financial statement reporting date to determine whether equity classification remains appropriate. If the Earnout Shares are later determined to be liability -classified instruments, Dragonfly would recognize subsequent changes in the fair value of such Earnout Shares within earnings at each reporting period during the earnout period. The pro forma value of the Earnout Consideration was prepared utilizing a Monte Carlo simulation model. The significant assumptions utilized in determining the fair value of Earnout Consideration include the following: (1) a price for our common stock of approximately $14.00; (2) a risk-free rate of 4.24%;</w:t>
      </w:r>
    </w:p>
    <w:p>
      <w:pPr>
        <w:spacing w:after="0" w:line="2" w:lineRule="exact"/>
        <w:rPr>
          <w:sz w:val="20"/>
          <w:szCs w:val="20"/>
          <w:color w:val="auto"/>
        </w:rPr>
      </w:pPr>
    </w:p>
    <w:p>
      <w:pPr>
        <w:ind w:left="1260" w:right="419"/>
        <w:spacing w:after="0" w:line="242" w:lineRule="auto"/>
        <w:tabs>
          <w:tab w:leader="none" w:pos="15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 and EBITDA of $255,100,000 and $41,000,000 respectively; (4) expected volatility of future annual revenue and future annual EBITDA of 37.0% and 62.0% respectively; (5) discount rates ranging from 4.2%-8.8%; and (6) expected probability of change in control of 15.0%. The preliminary fair value of the Earnout Shares has been determined to be $391.3 million.</w:t>
      </w:r>
    </w:p>
    <w:p>
      <w:pPr>
        <w:spacing w:after="0" w:line="117"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and classified in stockholders’ equity. Because the Business Combination is accounted for as a reverse recapitalization, the issuance of the Earnout Shares has been treated as a deemed dividend and since Dragonfly does not have retained earnings on Closing, the issuance has been recorded within additional-paid-in-capital. The unaudited pro forma condensed combined financial information does not reflect</w:t>
      </w:r>
    </w:p>
    <w:p>
      <w:pPr>
        <w:spacing w:after="0" w:line="3"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pro forma adjustments related to the recognition of these shares because there is no net impact on additional paid-in capital on a pro forma combined basis.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44" w:lineRule="exact"/>
        <w:rPr>
          <w:sz w:val="20"/>
          <w:szCs w:val="20"/>
          <w:color w:val="auto"/>
        </w:rPr>
      </w:pPr>
    </w:p>
    <w:p>
      <w:pPr>
        <w:ind w:left="1260" w:right="439" w:firstLine="360"/>
        <w:spacing w:after="0" w:line="260"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CNTQ agreed to sell</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79"/>
        <w:spacing w:after="0"/>
        <w:rPr>
          <w:sz w:val="20"/>
          <w:szCs w:val="20"/>
          <w:color w:val="auto"/>
        </w:rPr>
      </w:pPr>
      <w:r>
        <w:rPr>
          <w:rFonts w:ascii="Times New Roman" w:cs="Times New Roman" w:eastAsia="Times New Roman" w:hAnsi="Times New Roman"/>
          <w:sz w:val="18"/>
          <w:szCs w:val="18"/>
          <w:color w:val="auto"/>
        </w:rPr>
        <w:t xml:space="preserve">to the Sponsor, an aggregate of 500,000 shares of CNTQ Common Stock for gross proceeds to CNTQ of $5 million in a private placement (the “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17" w:lineRule="exact"/>
        <w:rPr>
          <w:sz w:val="20"/>
          <w:szCs w:val="20"/>
          <w:color w:val="auto"/>
        </w:rPr>
      </w:pPr>
    </w:p>
    <w:p>
      <w:pPr>
        <w:ind w:left="1260" w:right="439" w:firstLine="360"/>
        <w:spacing w:after="0" w:line="232"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 The Purchased Shares were not redeemed, resulting in (i) the Company’s receipt of $5,016,547 from the Trust Account (based on a per share redemption price of $ 10.34) and (ii) a reduction in CCM’s purchase commitment under the Subscription Agreement to zero in accordance with the Offset. At the Closing, the Company issued an additional 15,000 shares to CCM pursuant to the terms of the Subscription Agreement.</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146"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Consistent with the commitment letter entered into concurrently with signing of the Business Combination Agreement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b w:val="1"/>
          <w:bCs w:val="1"/>
          <w:color w:val="auto"/>
        </w:rPr>
        <w:t>Chardan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The Chardan Lender backstopped its commitment under the Debt Commitment Letter by entering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backstop commitment letter, dated as of May 20, 2022 (the “</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pursuant to which the Backstop Lender committed to purchase from the Chardan Lender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amount of the Term 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 The accounting treatment for the Term Loan remains preliminary and is subject to final analysis.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shares, which is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xml:space="preserve">”) and (ii) the $10 warrants to issue warrants to the Term Loan Lenders exercisable to purchase an aggregate of 1,600,000 shares of common stock at $10 per share (the </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and, together with the Penny Warrants,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 The $10 Warrants were exercised on a cashless basis on October 10, 2022,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agreeing to issue 457,142 shares of Common Stock in connection with such exercise. The additional shares of common stock will dilute the pro forma ownership of the other Company stockholders of proportionately. None of CCM 5 or any of its affiliates have received or will receive any Term Loan Warrants. The Company preliminarily concluded that the Term Loan Warrants would be subject to equity accounting; however, based on the terms finalized as part of the merger, the warrants will be accounted for as liabilities. As such, the estimated fair value is recognized as a liability each reporting period, with changes in the fair value recognized within income each period. Additionally, the Penny Warrants are not considered in the weighted average number of outstanding shares for basic earnings per share as a result of this liability classification.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16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a Registration Rights Agreement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8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in connection with the Closing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 In addition, the Company appointed LifeSci Capital, LLC as “qualified independent underwriter” with respect to the transactions contemplated by the Purchase Agreement.</w:t>
      </w:r>
    </w:p>
    <w:p>
      <w:pPr>
        <w:spacing w:after="0" w:line="10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16"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68" w:lineRule="exact"/>
        <w:rPr>
          <w:sz w:val="20"/>
          <w:szCs w:val="20"/>
          <w:color w:val="auto"/>
        </w:rPr>
      </w:pPr>
    </w:p>
    <w:p>
      <w:pPr>
        <w:ind w:left="1800" w:right="6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and reclassification of cash held in CNTQ’s Trust Account to cash and cash equivalents, net of redemptions (see below);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redemptions prior to Closing;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Agreement;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Term Loan;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existing debt;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certain offering costs and transaction costs incurred by both CNTQ and Dragonfly.</w:t>
      </w:r>
    </w:p>
    <w:p>
      <w:pPr>
        <w:spacing w:after="0" w:line="14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Prior to the Closing, CNTQ’s public stockholders holding 2,031,910 ordinary shares elected to redeem such shares.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summarizes the pro forma ownership of common stock of Dragonfly following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related transactions:</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980" w:type="dxa"/>
            <w:vAlign w:val="bottom"/>
            <w:gridSpan w:val="2"/>
          </w:tcPr>
          <w:p>
            <w:pPr>
              <w:jc w:val="center"/>
              <w:ind w:left="64"/>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 ​</w:t>
            </w:r>
          </w:p>
        </w:tc>
        <w:tc>
          <w:tcPr>
            <w:tcW w:w="220" w:type="dxa"/>
            <w:vAlign w:val="bottom"/>
          </w:tcPr>
          <w:p>
            <w:pPr>
              <w:spacing w:after="0"/>
              <w:rPr>
                <w:sz w:val="18"/>
                <w:szCs w:val="18"/>
                <w:color w:val="auto"/>
              </w:rPr>
            </w:pPr>
          </w:p>
        </w:tc>
        <w:tc>
          <w:tcPr>
            <w:tcW w:w="660" w:type="dxa"/>
            <w:vAlign w:val="bottom"/>
            <w:gridSpan w:val="4"/>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4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Dragonfly existing shareholders</w:t>
            </w:r>
            <w:r>
              <w:rPr>
                <w:rFonts w:ascii="Times New Roman" w:cs="Times New Roman" w:eastAsia="Times New Roman" w:hAnsi="Times New Roman"/>
                <w:sz w:val="23"/>
                <w:szCs w:val="23"/>
                <w:color w:val="auto"/>
                <w:vertAlign w:val="superscript"/>
              </w:rPr>
              <w:t>(1)</w:t>
            </w: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5400" w:type="dxa"/>
            <w:vAlign w:val="bottom"/>
            <w:gridSpan w:val="2"/>
            <w:vMerge w:val="continue"/>
            <w:shd w:val="clear" w:color="auto" w:fill="CCEEFF"/>
          </w:tcPr>
          <w:p>
            <w:pPr>
              <w:spacing w:after="0"/>
              <w:rPr>
                <w:sz w:val="24"/>
                <w:szCs w:val="24"/>
                <w:color w:val="auto"/>
              </w:rPr>
            </w:pPr>
          </w:p>
        </w:tc>
        <w:tc>
          <w:tcPr>
            <w:tcW w:w="12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​​38,576,648​​ ​</w:t>
            </w:r>
          </w:p>
        </w:tc>
        <w:tc>
          <w:tcPr>
            <w:tcW w:w="22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90.1%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CNTQ existing public stockholders</w:t>
            </w:r>
            <w:r>
              <w:rPr>
                <w:rFonts w:ascii="Times New Roman" w:cs="Times New Roman" w:eastAsia="Times New Roman" w:hAnsi="Times New Roman"/>
                <w:sz w:val="23"/>
                <w:szCs w:val="23"/>
                <w:color w:val="auto"/>
                <w:vertAlign w:val="superscript"/>
              </w:rPr>
              <w:t>(2)(3)</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104"/>
              <w:spacing w:after="0"/>
              <w:rPr>
                <w:sz w:val="20"/>
                <w:szCs w:val="20"/>
                <w:color w:val="auto"/>
              </w:rPr>
            </w:pPr>
            <w:r>
              <w:rPr>
                <w:rFonts w:ascii="Times New Roman" w:cs="Times New Roman" w:eastAsia="Times New Roman" w:hAnsi="Times New Roman"/>
                <w:sz w:val="18"/>
                <w:szCs w:val="18"/>
                <w:color w:val="auto"/>
              </w:rPr>
              <w:t>576,438​​ ​</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3"/>
                <w:szCs w:val="23"/>
                <w:color w:val="auto"/>
                <w:vertAlign w:val="superscript"/>
              </w:rPr>
              <w:t>(4)(5)</w:t>
            </w:r>
          </w:p>
        </w:tc>
        <w:tc>
          <w:tcPr>
            <w:tcW w:w="1240" w:type="dxa"/>
            <w:vAlign w:val="bottom"/>
            <w:gridSpan w:val="4"/>
            <w:shd w:val="clear" w:color="auto" w:fill="CCEEFF"/>
          </w:tcPr>
          <w:p>
            <w:pPr>
              <w:ind w:left="40"/>
              <w:spacing w:after="0" w:line="297" w:lineRule="exact"/>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8"/>
                <w:szCs w:val="18"/>
                <w:color w:val="auto"/>
              </w:rPr>
              <w:t>​ 3,662,500</w:t>
            </w:r>
            <w:r>
              <w:rPr>
                <w:rFonts w:ascii="Times New Roman" w:cs="Times New Roman" w:eastAsia="Times New Roman" w:hAnsi="Times New Roman"/>
                <w:sz w:val="34"/>
                <w:szCs w:val="34"/>
                <w:color w:val="auto"/>
                <w:vertAlign w:val="subscript"/>
              </w:rPr>
              <w:t>​​ ​</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perscript"/>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Common Stock</w:t>
            </w:r>
            <w:r>
              <w:rPr>
                <w:rFonts w:ascii="Times New Roman" w:cs="Times New Roman" w:eastAsia="Times New Roman" w:hAnsi="Times New Roman"/>
                <w:sz w:val="23"/>
                <w:szCs w:val="23"/>
                <w:color w:val="auto"/>
                <w:vertAlign w:val="superscript"/>
              </w:rPr>
              <w:t>(6)</w:t>
            </w:r>
          </w:p>
        </w:tc>
        <w:tc>
          <w:tcPr>
            <w:tcW w:w="124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​42,815,586</w:t>
            </w:r>
            <w:r>
              <w:rPr>
                <w:rFonts w:ascii="Times New Roman" w:cs="Times New Roman" w:eastAsia="Times New Roman" w:hAnsi="Times New Roman"/>
                <w:sz w:val="30"/>
                <w:szCs w:val="30"/>
                <w:b w:val="1"/>
                <w:bCs w:val="1"/>
                <w:color w:val="auto"/>
                <w:vertAlign w:val="subscript"/>
              </w:rPr>
              <w:t>​​ ​</w:t>
            </w:r>
          </w:p>
        </w:tc>
        <w:tc>
          <w:tcPr>
            <w:tcW w:w="220" w:type="dxa"/>
            <w:vAlign w:val="bottom"/>
          </w:tcPr>
          <w:p>
            <w:pPr>
              <w:spacing w:after="0"/>
              <w:rPr>
                <w:sz w:val="24"/>
                <w:szCs w:val="24"/>
                <w:color w:val="auto"/>
              </w:rPr>
            </w:pPr>
          </w:p>
        </w:tc>
        <w:tc>
          <w:tcPr>
            <w:tcW w:w="6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​100.0%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-856615</wp:posOffset>
            </wp:positionV>
            <wp:extent cx="42176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10" w:lineRule="exact"/>
        <w:rPr>
          <w:sz w:val="20"/>
          <w:szCs w:val="20"/>
          <w:color w:val="auto"/>
        </w:rPr>
      </w:pPr>
    </w:p>
    <w:p>
      <w:pPr>
        <w:ind w:left="1620" w:right="57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9,487,500 shares of common stock underlying the public warrants.</w:t>
      </w:r>
    </w:p>
    <w:p>
      <w:pPr>
        <w:spacing w:after="0" w:line="76" w:lineRule="exact"/>
        <w:rPr>
          <w:rFonts w:ascii="Times New Roman" w:cs="Times New Roman" w:eastAsia="Times New Roman" w:hAnsi="Times New Roman"/>
          <w:sz w:val="18"/>
          <w:szCs w:val="18"/>
          <w:color w:val="auto"/>
        </w:rPr>
      </w:pPr>
    </w:p>
    <w:p>
      <w:pPr>
        <w:jc w:val="both"/>
        <w:ind w:left="1620" w:right="63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redemptions of 9,556,652 Public Shares in connection with the Charter Amendment and 2,031,910 Public Shares prior to Closing, and excludes 485,000 Public Shares purchased on the open market by an affiliate of the Sponsor pursuant to the PIPE Subscription.</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shares of common stock underlying the private warrants.</w:t>
      </w:r>
    </w:p>
    <w:p>
      <w:pPr>
        <w:spacing w:after="0" w:line="76"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held by the Sponsor and its affiliates, including 500,000 shares of common stock pursuant to the PIPE Subscription held by CCM, an affiliate of the Sponsor, of which 485,000 shares were purchased in the open market and the remaining 15,000 shares issued at Closing.</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pursuant to the ChEF Equity Facility after Closing.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100"/>
        <w:spacing w:after="0" w:line="302"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SEPTEMBER 30, 2022 (in thousands, except share and per share amounts)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CNTQ</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Dragonfly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0" w:type="dxa"/>
            <w:vAlign w:val="bottom"/>
          </w:tcPr>
          <w:p>
            <w:pPr>
              <w:spacing w:after="0"/>
              <w:rPr>
                <w:sz w:val="1"/>
                <w:szCs w:val="1"/>
                <w:color w:val="auto"/>
              </w:rPr>
            </w:pPr>
          </w:p>
        </w:tc>
      </w:tr>
      <w:tr>
        <w:trPr>
          <w:trHeight w:val="161"/>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(Historical)</w:t>
            </w:r>
          </w:p>
        </w:tc>
        <w:tc>
          <w:tcPr>
            <w:tcW w:w="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 ​</w:t>
            </w:r>
          </w:p>
        </w:tc>
        <w:tc>
          <w:tcPr>
            <w:tcW w:w="98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Adjustments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26"/>
        </w:trPr>
        <w:tc>
          <w:tcPr>
            <w:tcW w:w="4100" w:type="dxa"/>
            <w:vAlign w:val="bottom"/>
            <w:vMerge w:val="restart"/>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vMerge w:val="restart"/>
          </w:tcPr>
          <w:p>
            <w:pPr>
              <w:ind w:left="40"/>
              <w:spacing w:after="0" w:line="180" w:lineRule="exact"/>
              <w:rPr>
                <w:sz w:val="20"/>
                <w:szCs w:val="20"/>
                <w:color w:val="auto"/>
              </w:rPr>
            </w:pPr>
            <w:r>
              <w:rPr>
                <w:rFonts w:ascii="Times New Roman" w:cs="Times New Roman" w:eastAsia="Times New Roman" w:hAnsi="Times New Roman"/>
                <w:sz w:val="17"/>
                <w:szCs w:val="17"/>
                <w:b w:val="1"/>
                <w:bCs w:val="1"/>
                <w:color w:val="auto"/>
              </w:rPr>
              <w:t>​ ​</w:t>
            </w: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vMerge w:val="restart"/>
          </w:tcPr>
          <w:p>
            <w:pPr>
              <w:ind w:left="40"/>
              <w:spacing w:after="0" w:line="180" w:lineRule="exact"/>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vMerge w:val="restart"/>
          </w:tcPr>
          <w:p>
            <w:pPr>
              <w:ind w:left="40"/>
              <w:spacing w:after="0" w:line="180" w:lineRule="exact"/>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vMerge w:val="restart"/>
          </w:tcPr>
          <w:p>
            <w:pPr>
              <w:ind w:left="20"/>
              <w:spacing w:after="0" w:line="180" w:lineRule="exact"/>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41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30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tcPr>
          <w:p>
            <w:pPr>
              <w:spacing w:after="0"/>
              <w:rPr>
                <w:sz w:val="11"/>
                <w:szCs w:val="11"/>
                <w:color w:val="auto"/>
              </w:rPr>
            </w:pPr>
          </w:p>
        </w:tc>
        <w:tc>
          <w:tcPr>
            <w:tcW w:w="60" w:type="dxa"/>
            <w:vAlign w:val="bottom"/>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tcPr>
          <w:p>
            <w:pPr>
              <w:spacing w:after="0"/>
              <w:rPr>
                <w:sz w:val="11"/>
                <w:szCs w:val="11"/>
                <w:color w:val="auto"/>
              </w:rPr>
            </w:pPr>
          </w:p>
        </w:tc>
        <w:tc>
          <w:tcPr>
            <w:tcW w:w="80" w:type="dxa"/>
            <w:vAlign w:val="bottom"/>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4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rPr>
              <w:t>​ ​</w:t>
            </w:r>
          </w:p>
        </w:tc>
        <w:tc>
          <w:tcPr>
            <w:tcW w:w="460" w:type="dxa"/>
            <w:vAlign w:val="bottom"/>
          </w:tcPr>
          <w:p>
            <w:pPr>
              <w:spacing w:after="0"/>
              <w:rPr>
                <w:sz w:val="11"/>
                <w:szCs w:val="11"/>
                <w:color w:val="auto"/>
              </w:rPr>
            </w:pPr>
          </w:p>
        </w:tc>
        <w:tc>
          <w:tcPr>
            <w:tcW w:w="200" w:type="dxa"/>
            <w:vAlign w:val="bottom"/>
            <w:gridSpan w:val="3"/>
          </w:tcPr>
          <w:p>
            <w:pPr>
              <w:jc w:val="right"/>
              <w:ind w:right="40"/>
              <w:spacing w:after="0" w:line="134"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8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tcPr>
          <w:p>
            <w:pPr>
              <w:spacing w:after="0"/>
              <w:rPr>
                <w:sz w:val="11"/>
                <w:szCs w:val="11"/>
                <w:color w:val="auto"/>
              </w:rPr>
            </w:pPr>
          </w:p>
        </w:tc>
        <w:tc>
          <w:tcPr>
            <w:tcW w:w="1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5"/>
        </w:trPr>
        <w:tc>
          <w:tcPr>
            <w:tcW w:w="41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5"/>
                <w:szCs w:val="15"/>
                <w:color w:val="auto"/>
              </w:rPr>
            </w:pPr>
          </w:p>
        </w:tc>
        <w:tc>
          <w:tcPr>
            <w:tcW w:w="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5"/>
                <w:szCs w:val="15"/>
                <w:color w:val="auto"/>
              </w:rPr>
            </w:pPr>
          </w:p>
        </w:tc>
        <w:tc>
          <w:tcPr>
            <w:tcW w:w="200" w:type="dxa"/>
            <w:vAlign w:val="bottom"/>
            <w:gridSpan w:val="3"/>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5"/>
        </w:trPr>
        <w:tc>
          <w:tcPr>
            <w:tcW w:w="4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75"/>
        </w:trPr>
        <w:tc>
          <w:tcPr>
            <w:tcW w:w="41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316</w:t>
            </w:r>
          </w:p>
        </w:tc>
        <w:tc>
          <w:tcPr>
            <w:tcW w:w="24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7"/>
                <w:szCs w:val="17"/>
                <w:color w:val="auto"/>
                <w:w w:val="97"/>
              </w:rPr>
              <w:t>​$10,517</w:t>
            </w:r>
          </w:p>
        </w:tc>
        <w:tc>
          <w:tcPr>
            <w:tcW w:w="2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​$ 31,996 ​​</w:t>
            </w:r>
          </w:p>
        </w:tc>
        <w:tc>
          <w:tcPr>
            <w:tcW w:w="36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p>
        </w:tc>
        <w:tc>
          <w:tcPr>
            <w:tcW w:w="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​$22,644</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100" w:type="dxa"/>
            <w:vAlign w:val="bottom"/>
          </w:tcPr>
          <w:p>
            <w:pPr>
              <w:spacing w:after="0" w:line="136"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40"/>
              <w:spacing w:after="0" w:line="136"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1"/>
                <w:szCs w:val="11"/>
                <w:color w:val="auto"/>
              </w:rPr>
            </w:pPr>
          </w:p>
        </w:tc>
        <w:tc>
          <w:tcPr>
            <w:tcW w:w="6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1"/>
                <w:szCs w:val="11"/>
                <w:color w:val="auto"/>
              </w:rPr>
            </w:pP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15"/>
                <w:szCs w:val="15"/>
                <w:color w:val="auto"/>
              </w:rPr>
              <w:t>​ ​ 73,486</w:t>
            </w:r>
          </w:p>
        </w:tc>
        <w:tc>
          <w:tcPr>
            <w:tcW w:w="1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3"/>
          </w:tcPr>
          <w:p>
            <w:pPr>
              <w:ind w:left="40"/>
              <w:spacing w:after="0" w:line="1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B</w:t>
            </w:r>
            <w:r>
              <w:rPr>
                <w:rFonts w:ascii="Times New Roman" w:cs="Times New Roman" w:eastAsia="Times New Roman" w:hAnsi="Times New Roman"/>
                <w:sz w:val="15"/>
                <w:szCs w:val="15"/>
                <w:color w:val="auto"/>
              </w:rPr>
              <w:t xml:space="preserve"> ​</w:t>
            </w:r>
          </w:p>
        </w:tc>
        <w:tc>
          <w:tcPr>
            <w:tcW w:w="8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1"/>
                <w:szCs w:val="11"/>
                <w:color w:val="auto"/>
              </w:rPr>
            </w:pPr>
          </w:p>
        </w:tc>
        <w:tc>
          <w:tcPr>
            <w:tcW w:w="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41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 ​(29,342)​​</w:t>
            </w:r>
          </w:p>
        </w:tc>
        <w:tc>
          <w:tcPr>
            <w:tcW w:w="36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41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 ​(39,312)​​</w:t>
            </w:r>
          </w:p>
        </w:tc>
        <w:tc>
          <w:tcPr>
            <w:tcW w:w="36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5"/>
        </w:trPr>
        <w:tc>
          <w:tcPr>
            <w:tcW w:w="41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 ​ (4,000)​​</w:t>
            </w:r>
          </w:p>
        </w:tc>
        <w:tc>
          <w:tcPr>
            <w:tcW w:w="36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9"/>
        </w:trPr>
        <w:tc>
          <w:tcPr>
            <w:tcW w:w="41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80"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6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2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80" w:lineRule="exact"/>
              <w:rPr>
                <w:sz w:val="20"/>
                <w:szCs w:val="20"/>
                <w:color w:val="auto"/>
              </w:rPr>
            </w:pPr>
            <w:r>
              <w:rPr>
                <w:rFonts w:ascii="Times New Roman" w:cs="Times New Roman" w:eastAsia="Times New Roman" w:hAnsi="Times New Roman"/>
                <w:sz w:val="17"/>
                <w:szCs w:val="17"/>
                <w:color w:val="auto"/>
              </w:rPr>
              <w:t>​ ​(21,017)​​</w:t>
            </w:r>
          </w:p>
        </w:tc>
        <w:tc>
          <w:tcPr>
            <w:tcW w:w="360" w:type="dxa"/>
            <w:vAlign w:val="bottom"/>
            <w:gridSpan w:val="3"/>
          </w:tcPr>
          <w:p>
            <w:pPr>
              <w:ind w:left="40"/>
              <w:spacing w:after="0" w:line="180"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80"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5"/>
        </w:trPr>
        <w:tc>
          <w:tcPr>
            <w:tcW w:w="4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56"/>
        </w:trPr>
        <w:tc>
          <w:tcPr>
            <w:tcW w:w="4100" w:type="dxa"/>
            <w:vAlign w:val="bottom"/>
            <w:tcBorders>
              <w:bottom w:val="single" w:sz="8" w:color="CCEEFF"/>
            </w:tcBorders>
            <w:shd w:val="clear" w:color="auto" w:fill="CCEEFF"/>
          </w:tcPr>
          <w:p>
            <w:pPr>
              <w:ind w:left="340"/>
              <w:spacing w:after="0" w:line="140" w:lineRule="exact"/>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CCEEFF"/>
            </w:tcBorders>
            <w:shd w:val="clear" w:color="auto" w:fill="CCEEFF"/>
          </w:tcPr>
          <w:p>
            <w:pPr>
              <w:ind w:left="40"/>
              <w:spacing w:after="0" w:line="140" w:lineRule="exact"/>
              <w:rPr>
                <w:sz w:val="20"/>
                <w:szCs w:val="20"/>
                <w:color w:val="auto"/>
              </w:rPr>
            </w:pPr>
            <w:r>
              <w:rPr>
                <w:rFonts w:ascii="Times New Roman" w:cs="Times New Roman" w:eastAsia="Times New Roman" w:hAnsi="Times New Roman"/>
                <w:sz w:val="16"/>
                <w:szCs w:val="16"/>
                <w:color w:val="auto"/>
              </w:rPr>
              <w:t>​ ​</w:t>
            </w:r>
          </w:p>
        </w:tc>
        <w:tc>
          <w:tcPr>
            <w:tcW w:w="300" w:type="dxa"/>
            <w:vAlign w:val="bottom"/>
            <w:tcBorders>
              <w:bottom w:val="single" w:sz="8" w:color="CCEEFF"/>
            </w:tcBorders>
            <w:gridSpan w:val="3"/>
            <w:shd w:val="clear" w:color="auto" w:fill="CCEEFF"/>
          </w:tcPr>
          <w:p>
            <w:pPr>
              <w:ind w:left="60"/>
              <w:spacing w:after="0" w:line="140" w:lineRule="exact"/>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3"/>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bottom w:val="single" w:sz="8" w:color="CCEEFF"/>
            </w:tcBorders>
            <w:gridSpan w:val="4"/>
            <w:shd w:val="clear" w:color="auto" w:fill="CCEEFF"/>
          </w:tcPr>
          <w:p>
            <w:pPr>
              <w:ind w:left="80"/>
              <w:spacing w:after="0" w:line="140" w:lineRule="exact"/>
              <w:rPr>
                <w:sz w:val="20"/>
                <w:szCs w:val="20"/>
                <w:color w:val="auto"/>
              </w:rPr>
            </w:pPr>
            <w:r>
              <w:rPr>
                <w:rFonts w:ascii="Times New Roman" w:cs="Times New Roman" w:eastAsia="Times New Roman" w:hAnsi="Times New Roman"/>
                <w:sz w:val="16"/>
                <w:szCs w:val="16"/>
                <w:color w:val="auto"/>
              </w:rPr>
              <w:t>​ ​ 3,044</w:t>
            </w:r>
          </w:p>
        </w:tc>
        <w:tc>
          <w:tcPr>
            <w:tcW w:w="22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6"/>
            <w:shd w:val="clear" w:color="auto" w:fill="CCEEFF"/>
          </w:tcPr>
          <w:p>
            <w:pPr>
              <w:jc w:val="right"/>
              <w:ind w:right="40"/>
              <w:spacing w:after="0" w:line="140" w:lineRule="exact"/>
              <w:rPr>
                <w:sz w:val="20"/>
                <w:szCs w:val="20"/>
                <w:color w:val="auto"/>
              </w:rPr>
            </w:pPr>
            <w:r>
              <w:rPr>
                <w:rFonts w:ascii="Times New Roman" w:cs="Times New Roman" w:eastAsia="Times New Roman" w:hAnsi="Times New Roman"/>
                <w:sz w:val="16"/>
                <w:szCs w:val="16"/>
                <w:color w:val="auto"/>
              </w:rPr>
              <w:t>​ ​ (3,044)​​</w:t>
            </w:r>
          </w:p>
        </w:tc>
        <w:tc>
          <w:tcPr>
            <w:tcW w:w="360" w:type="dxa"/>
            <w:vAlign w:val="bottom"/>
            <w:tcBorders>
              <w:bottom w:val="single" w:sz="8" w:color="CCEEFF"/>
            </w:tcBorders>
            <w:gridSpan w:val="3"/>
            <w:shd w:val="clear" w:color="auto" w:fill="CCEEFF"/>
          </w:tcPr>
          <w:p>
            <w:pPr>
              <w:ind w:left="40"/>
              <w:spacing w:after="0" w:line="140"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 xml:space="preserve"> ​</w:t>
            </w:r>
          </w:p>
        </w:tc>
        <w:tc>
          <w:tcPr>
            <w:tcW w:w="80" w:type="dxa"/>
            <w:vAlign w:val="bottom"/>
            <w:tcBorders>
              <w:bottom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100" w:type="dxa"/>
            <w:vAlign w:val="bottom"/>
          </w:tcPr>
          <w:p>
            <w:pPr>
              <w:ind w:left="340"/>
              <w:spacing w:after="0" w:line="140" w:lineRule="exact"/>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ind w:left="40"/>
              <w:spacing w:after="0" w:line="140" w:lineRule="exact"/>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6"/>
                <w:szCs w:val="16"/>
                <w:color w:val="auto"/>
              </w:rPr>
              <w:t>​ ​</w:t>
            </w:r>
          </w:p>
        </w:tc>
        <w:tc>
          <w:tcPr>
            <w:tcW w:w="40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line="140" w:lineRule="exact"/>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4"/>
          </w:tcPr>
          <w:p>
            <w:pPr>
              <w:ind w:left="80"/>
              <w:spacing w:after="0" w:line="140" w:lineRule="exact"/>
              <w:rPr>
                <w:sz w:val="20"/>
                <w:szCs w:val="20"/>
                <w:color w:val="auto"/>
              </w:rPr>
            </w:pPr>
            <w:r>
              <w:rPr>
                <w:rFonts w:ascii="Times New Roman" w:cs="Times New Roman" w:eastAsia="Times New Roman" w:hAnsi="Times New Roman"/>
                <w:sz w:val="16"/>
                <w:szCs w:val="16"/>
                <w:color w:val="auto"/>
              </w:rPr>
              <w:t>​ ​ 3,820</w:t>
            </w:r>
          </w:p>
        </w:tc>
        <w:tc>
          <w:tcPr>
            <w:tcW w:w="22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4"/>
          </w:tcPr>
          <w:p>
            <w:pPr>
              <w:jc w:val="right"/>
              <w:ind w:right="40"/>
              <w:spacing w:after="0" w:line="140" w:lineRule="exact"/>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40"/>
              <w:spacing w:after="0" w:line="14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line="14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spacing w:after="0" w:line="140" w:lineRule="exact"/>
              <w:rPr>
                <w:sz w:val="20"/>
                <w:szCs w:val="20"/>
                <w:color w:val="auto"/>
              </w:rPr>
            </w:pPr>
            <w:r>
              <w:rPr>
                <w:rFonts w:ascii="Times New Roman" w:cs="Times New Roman" w:eastAsia="Times New Roman" w:hAnsi="Times New Roman"/>
                <w:sz w:val="16"/>
                <w:szCs w:val="16"/>
                <w:color w:val="auto"/>
              </w:rPr>
              <w:t>​ 3,820</w:t>
            </w:r>
          </w:p>
        </w:tc>
        <w:tc>
          <w:tcPr>
            <w:tcW w:w="60" w:type="dxa"/>
            <w:vAlign w:val="bottom"/>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
        </w:trPr>
        <w:tc>
          <w:tcPr>
            <w:tcW w:w="4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56"/>
        </w:trPr>
        <w:tc>
          <w:tcPr>
            <w:tcW w:w="4100" w:type="dxa"/>
            <w:vAlign w:val="bottom"/>
            <w:tcBorders>
              <w:bottom w:val="single" w:sz="8" w:color="CCEEFF"/>
            </w:tcBorders>
            <w:shd w:val="clear" w:color="auto" w:fill="CCEEFF"/>
          </w:tcPr>
          <w:p>
            <w:pPr>
              <w:ind w:left="340"/>
              <w:spacing w:after="0" w:line="140" w:lineRule="exact"/>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Borders>
              <w:bottom w:val="single" w:sz="8" w:color="CCEEFF"/>
            </w:tcBorders>
            <w:shd w:val="clear" w:color="auto" w:fill="CCEEFF"/>
          </w:tcPr>
          <w:p>
            <w:pPr>
              <w:ind w:left="40"/>
              <w:spacing w:after="0" w:line="140" w:lineRule="exact"/>
              <w:rPr>
                <w:sz w:val="20"/>
                <w:szCs w:val="20"/>
                <w:color w:val="auto"/>
              </w:rPr>
            </w:pPr>
            <w:r>
              <w:rPr>
                <w:rFonts w:ascii="Times New Roman" w:cs="Times New Roman" w:eastAsia="Times New Roman" w:hAnsi="Times New Roman"/>
                <w:sz w:val="16"/>
                <w:szCs w:val="16"/>
                <w:color w:val="auto"/>
              </w:rPr>
              <w:t>​ ​</w:t>
            </w:r>
          </w:p>
        </w:tc>
        <w:tc>
          <w:tcPr>
            <w:tcW w:w="300" w:type="dxa"/>
            <w:vAlign w:val="bottom"/>
            <w:tcBorders>
              <w:bottom w:val="single" w:sz="8" w:color="CCEEFF"/>
            </w:tcBorders>
            <w:gridSpan w:val="3"/>
            <w:shd w:val="clear" w:color="auto" w:fill="CCEEFF"/>
          </w:tcPr>
          <w:p>
            <w:pPr>
              <w:ind w:left="60"/>
              <w:spacing w:after="0" w:line="140" w:lineRule="exact"/>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3"/>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bottom w:val="single" w:sz="8" w:color="CCEEFF"/>
            </w:tcBorders>
            <w:gridSpan w:val="4"/>
            <w:shd w:val="clear" w:color="auto" w:fill="CCEEFF"/>
          </w:tcPr>
          <w:p>
            <w:pPr>
              <w:ind w:left="80"/>
              <w:spacing w:after="0" w:line="140" w:lineRule="exact"/>
              <w:rPr>
                <w:sz w:val="20"/>
                <w:szCs w:val="20"/>
                <w:color w:val="auto"/>
              </w:rPr>
            </w:pPr>
            <w:r>
              <w:rPr>
                <w:rFonts w:ascii="Times New Roman" w:cs="Times New Roman" w:eastAsia="Times New Roman" w:hAnsi="Times New Roman"/>
                <w:sz w:val="16"/>
                <w:szCs w:val="16"/>
                <w:color w:val="auto"/>
              </w:rPr>
              <w:t>​ ​39,487</w:t>
            </w:r>
          </w:p>
        </w:tc>
        <w:tc>
          <w:tcPr>
            <w:tcW w:w="22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 ​</w:t>
            </w:r>
          </w:p>
        </w:tc>
        <w:tc>
          <w:tcPr>
            <w:tcW w:w="52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ind w:right="40"/>
              <w:spacing w:after="0" w:line="14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line="14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line="14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gridSpan w:val="3"/>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​39,487</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00" w:type="dxa"/>
            <w:vAlign w:val="bottom"/>
          </w:tcPr>
          <w:p>
            <w:pPr>
              <w:ind w:left="340"/>
              <w:spacing w:after="0" w:line="154" w:lineRule="exact"/>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Pr>
          <w:p>
            <w:pPr>
              <w:ind w:left="40"/>
              <w:spacing w:after="0" w:line="154"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54"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7"/>
                <w:szCs w:val="17"/>
                <w:color w:val="auto"/>
              </w:rPr>
              <w:t>171</w:t>
            </w:r>
          </w:p>
        </w:tc>
        <w:tc>
          <w:tcPr>
            <w:tcW w:w="24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tcPr>
          <w:p>
            <w:pPr>
              <w:ind w:left="80"/>
              <w:spacing w:after="0" w:line="154" w:lineRule="exact"/>
              <w:rPr>
                <w:sz w:val="20"/>
                <w:szCs w:val="20"/>
                <w:color w:val="auto"/>
              </w:rPr>
            </w:pPr>
            <w:r>
              <w:rPr>
                <w:rFonts w:ascii="Times New Roman" w:cs="Times New Roman" w:eastAsia="Times New Roman" w:hAnsi="Times New Roman"/>
                <w:sz w:val="17"/>
                <w:szCs w:val="17"/>
                <w:color w:val="auto"/>
              </w:rPr>
              <w:t>​ ​ 5,749</w:t>
            </w:r>
          </w:p>
        </w:tc>
        <w:tc>
          <w:tcPr>
            <w:tcW w:w="2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54" w:lineRule="exact"/>
              <w:rPr>
                <w:sz w:val="20"/>
                <w:szCs w:val="20"/>
                <w:color w:val="auto"/>
              </w:rPr>
            </w:pPr>
            <w:r>
              <w:rPr>
                <w:rFonts w:ascii="Times New Roman" w:cs="Times New Roman" w:eastAsia="Times New Roman" w:hAnsi="Times New Roman"/>
                <w:sz w:val="17"/>
                <w:szCs w:val="17"/>
                <w:color w:val="auto"/>
              </w:rPr>
              <w:t>​ ​ (2,709)​​</w:t>
            </w:r>
          </w:p>
        </w:tc>
        <w:tc>
          <w:tcPr>
            <w:tcW w:w="360" w:type="dxa"/>
            <w:vAlign w:val="bottom"/>
            <w:gridSpan w:val="3"/>
          </w:tcPr>
          <w:p>
            <w:pPr>
              <w:ind w:left="40"/>
              <w:spacing w:after="0" w:line="154"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7"/>
                <w:szCs w:val="17"/>
                <w:color w:val="auto"/>
              </w:rPr>
              <w:t>​ 3,211</w:t>
            </w:r>
          </w:p>
        </w:tc>
        <w:tc>
          <w:tcPr>
            <w:tcW w:w="6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4"/>
        </w:trPr>
        <w:tc>
          <w:tcPr>
            <w:tcW w:w="4100" w:type="dxa"/>
            <w:vAlign w:val="bottom"/>
            <w:tcBorders>
              <w:bottom w:val="single" w:sz="8" w:color="CCEEFF"/>
            </w:tcBorders>
            <w:shd w:val="clear" w:color="auto" w:fill="CCEEFF"/>
          </w:tcPr>
          <w:p>
            <w:pPr>
              <w:ind w:left="340"/>
              <w:spacing w:after="0" w:line="167" w:lineRule="exact"/>
              <w:rPr>
                <w:sz w:val="20"/>
                <w:szCs w:val="20"/>
                <w:color w:val="auto"/>
              </w:rPr>
            </w:pPr>
            <w:r>
              <w:rPr>
                <w:rFonts w:ascii="Times New Roman" w:cs="Times New Roman" w:eastAsia="Times New Roman" w:hAnsi="Times New Roman"/>
                <w:sz w:val="17"/>
                <w:szCs w:val="17"/>
                <w:color w:val="auto"/>
              </w:rPr>
              <w:t>Prepaid inventory</w:t>
            </w:r>
          </w:p>
        </w:tc>
        <w:tc>
          <w:tcPr>
            <w:tcW w:w="20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CCEEFF"/>
            </w:tcBorders>
            <w:gridSpan w:val="3"/>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tcBorders>
              <w:bottom w:val="single" w:sz="8" w:color="CCEEFF"/>
            </w:tcBorders>
            <w:gridSpan w:val="4"/>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rPr>
              <w:t>​ ​ 3,729</w:t>
            </w:r>
          </w:p>
        </w:tc>
        <w:tc>
          <w:tcPr>
            <w:tcW w:w="22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bottom w:val="single" w:sz="8" w:color="CCEEFF"/>
            </w:tcBorders>
            <w:gridSpan w:val="4"/>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3,729</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00" w:type="dxa"/>
            <w:vAlign w:val="bottom"/>
            <w:tcBorders>
              <w:top w:val="single" w:sz="8" w:color="CCEEFF"/>
            </w:tcBorders>
          </w:tcPr>
          <w:p>
            <w:pPr>
              <w:ind w:left="520"/>
              <w:spacing w:after="0" w:line="134" w:lineRule="exact"/>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tcBorders>
              <w:top w:val="single" w:sz="8" w:color="CCEEFF"/>
            </w:tcBorders>
          </w:tcPr>
          <w:p>
            <w:pPr>
              <w:ind w:left="40"/>
              <w:spacing w:after="0" w:line="134"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5"/>
                <w:szCs w:val="15"/>
                <w:color w:val="auto"/>
              </w:rPr>
              <w:t>​ ​</w:t>
            </w:r>
          </w:p>
        </w:tc>
        <w:tc>
          <w:tcPr>
            <w:tcW w:w="3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5"/>
                <w:szCs w:val="15"/>
                <w:color w:val="auto"/>
              </w:rPr>
              <w:t>487</w:t>
            </w: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gridSpan w:val="3"/>
          </w:tcPr>
          <w:p>
            <w:pPr>
              <w:jc w:val="right"/>
              <w:spacing w:after="0" w:line="134"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gridSpan w:val="3"/>
          </w:tcPr>
          <w:p>
            <w:pPr>
              <w:jc w:val="right"/>
              <w:spacing w:after="0" w:line="134" w:lineRule="exact"/>
              <w:rPr>
                <w:sz w:val="20"/>
                <w:szCs w:val="20"/>
                <w:color w:val="auto"/>
              </w:rPr>
            </w:pPr>
            <w:r>
              <w:rPr>
                <w:rFonts w:ascii="Times New Roman" w:cs="Times New Roman" w:eastAsia="Times New Roman" w:hAnsi="Times New Roman"/>
                <w:sz w:val="15"/>
                <w:szCs w:val="15"/>
                <w:color w:val="auto"/>
              </w:rPr>
              <w:t>​ ​66,346</w:t>
            </w:r>
          </w:p>
        </w:tc>
        <w:tc>
          <w:tcPr>
            <w:tcW w:w="220" w:type="dxa"/>
            <w:vAlign w:val="bottom"/>
            <w:tcBorders>
              <w:top w:val="single" w:sz="8" w:color="CCEEFF"/>
            </w:tcBorders>
            <w:gridSpan w:val="2"/>
          </w:tcPr>
          <w:p>
            <w:pPr>
              <w:jc w:val="right"/>
              <w:spacing w:after="0" w:line="13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tcPr>
          <w:p>
            <w:pPr>
              <w:jc w:val="right"/>
              <w:spacing w:after="0" w:line="13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5"/>
                <w:szCs w:val="15"/>
                <w:color w:val="auto"/>
              </w:rPr>
              <w:t>​ ​</w:t>
            </w:r>
          </w:p>
        </w:tc>
        <w:tc>
          <w:tcPr>
            <w:tcW w:w="4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5"/>
                <w:szCs w:val="15"/>
                <w:color w:val="auto"/>
              </w:rPr>
              <w:t>6,058</w:t>
            </w: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gridSpan w:val="2"/>
          </w:tcPr>
          <w:p>
            <w:pPr>
              <w:jc w:val="right"/>
              <w:ind w:right="40"/>
              <w:spacing w:after="0" w:line="13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ind w:left="40"/>
              <w:spacing w:after="0" w:line="13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jc w:val="right"/>
              <w:spacing w:after="0" w:line="134"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ind w:left="40"/>
              <w:spacing w:after="0" w:line="134"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tcPr>
          <w:p>
            <w:pPr>
              <w:ind w:left="20"/>
              <w:spacing w:after="0" w:line="134"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5"/>
                <w:szCs w:val="15"/>
                <w:color w:val="auto"/>
              </w:rPr>
              <w:t>​72,891</w:t>
            </w:r>
          </w:p>
        </w:tc>
        <w:tc>
          <w:tcPr>
            <w:tcW w:w="60" w:type="dxa"/>
            <w:vAlign w:val="bottom"/>
            <w:tcBorders>
              <w:top w:val="single" w:sz="8" w:color="CCEEFF"/>
            </w:tcBorders>
          </w:tcPr>
          <w:p>
            <w:pPr>
              <w:spacing w:after="0"/>
              <w:rPr>
                <w:sz w:val="11"/>
                <w:szCs w:val="11"/>
                <w:color w:val="auto"/>
              </w:rPr>
            </w:pPr>
          </w:p>
        </w:tc>
        <w:tc>
          <w:tcPr>
            <w:tcW w:w="60" w:type="dxa"/>
            <w:vAlign w:val="bottom"/>
          </w:tcPr>
          <w:p>
            <w:pPr>
              <w:jc w:val="right"/>
              <w:spacing w:after="0" w:line="134"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
        </w:trPr>
        <w:tc>
          <w:tcPr>
            <w:tcW w:w="4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56"/>
        </w:trPr>
        <w:tc>
          <w:tcPr>
            <w:tcW w:w="4100" w:type="dxa"/>
            <w:vAlign w:val="bottom"/>
            <w:tcBorders>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Investments held in Trust Account</w:t>
            </w:r>
          </w:p>
        </w:tc>
        <w:tc>
          <w:tcPr>
            <w:tcW w:w="200" w:type="dxa"/>
            <w:vAlign w:val="bottom"/>
            <w:tcBorders>
              <w:bottom w:val="single" w:sz="8" w:color="CCEEFF"/>
            </w:tcBorders>
            <w:shd w:val="clear" w:color="auto" w:fill="CCEEFF"/>
          </w:tcPr>
          <w:p>
            <w:pPr>
              <w:ind w:left="40"/>
              <w:spacing w:after="0" w:line="154" w:lineRule="exact"/>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bottom w:val="single" w:sz="8" w:color="CCEEFF"/>
            </w:tcBorders>
            <w:gridSpan w:val="5"/>
            <w:shd w:val="clear" w:color="auto" w:fill="CCEEFF"/>
          </w:tcPr>
          <w:p>
            <w:pPr>
              <w:ind w:left="60"/>
              <w:spacing w:after="0" w:line="154" w:lineRule="exact"/>
              <w:rPr>
                <w:sz w:val="20"/>
                <w:szCs w:val="20"/>
                <w:color w:val="auto"/>
              </w:rPr>
            </w:pPr>
            <w:r>
              <w:rPr>
                <w:rFonts w:ascii="Times New Roman" w:cs="Times New Roman" w:eastAsia="Times New Roman" w:hAnsi="Times New Roman"/>
                <w:sz w:val="17"/>
                <w:szCs w:val="17"/>
                <w:color w:val="auto"/>
              </w:rPr>
              <w:t>​ ​31,996</w:t>
            </w:r>
          </w:p>
        </w:tc>
        <w:tc>
          <w:tcPr>
            <w:tcW w:w="240" w:type="dxa"/>
            <w:vAlign w:val="bottom"/>
            <w:tcBorders>
              <w:bottom w:val="single" w:sz="8" w:color="CCEEFF"/>
            </w:tcBorders>
            <w:gridSpan w:val="3"/>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CCEEFF"/>
            </w:tcBorders>
            <w:gridSpan w:val="3"/>
            <w:shd w:val="clear" w:color="auto" w:fill="CCEEFF"/>
          </w:tcPr>
          <w:p>
            <w:pPr>
              <w:ind w:left="80"/>
              <w:spacing w:after="0" w:line="154"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Borders>
              <w:bottom w:val="single" w:sz="8" w:color="CCEEFF"/>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gridSpan w:val="6"/>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7"/>
                <w:szCs w:val="17"/>
                <w:color w:val="auto"/>
              </w:rPr>
              <w:t>​ ​(31,996)​​</w:t>
            </w:r>
          </w:p>
        </w:tc>
        <w:tc>
          <w:tcPr>
            <w:tcW w:w="360" w:type="dxa"/>
            <w:vAlign w:val="bottom"/>
            <w:tcBorders>
              <w:bottom w:val="single" w:sz="8" w:color="CCEEFF"/>
            </w:tcBorders>
            <w:gridSpan w:val="3"/>
            <w:shd w:val="clear" w:color="auto" w:fill="CCEEFF"/>
          </w:tcPr>
          <w:p>
            <w:pPr>
              <w:ind w:left="40"/>
              <w:spacing w:after="0" w:line="154"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p>
        </w:tc>
        <w:tc>
          <w:tcPr>
            <w:tcW w:w="8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Deferred issuance costs</w:t>
            </w:r>
          </w:p>
        </w:tc>
        <w:tc>
          <w:tcPr>
            <w:tcW w:w="20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1,000</w:t>
            </w:r>
          </w:p>
        </w:tc>
        <w:tc>
          <w:tcPr>
            <w:tcW w:w="14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w:t>
            </w:r>
          </w:p>
        </w:tc>
        <w:tc>
          <w:tcPr>
            <w:tcW w:w="12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7"/>
                <w:szCs w:val="17"/>
                <w:color w:val="auto"/>
              </w:rPr>
              <w:t>​ 1,000</w:t>
            </w:r>
          </w:p>
        </w:tc>
        <w:tc>
          <w:tcPr>
            <w:tcW w:w="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69"/>
        </w:trPr>
        <w:tc>
          <w:tcPr>
            <w:tcW w:w="41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CCEEFF"/>
            </w:tcBorders>
            <w:gridSpan w:val="3"/>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tcBorders>
              <w:bottom w:val="single" w:sz="8" w:color="CCEEFF"/>
            </w:tcBorders>
            <w:gridSpan w:val="4"/>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rPr>
              <w:t>​ ​ 9,816</w:t>
            </w:r>
          </w:p>
        </w:tc>
        <w:tc>
          <w:tcPr>
            <w:tcW w:w="22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bottom w:val="single" w:sz="8" w:color="CCEEFF"/>
            </w:tcBorders>
            <w:gridSpan w:val="4"/>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9,816</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Deferred tax asset</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tcPr>
          <w:p>
            <w:pPr>
              <w:ind w:left="80"/>
              <w:spacing w:after="0" w:line="189" w:lineRule="exact"/>
              <w:rPr>
                <w:sz w:val="20"/>
                <w:szCs w:val="20"/>
                <w:color w:val="auto"/>
              </w:rPr>
            </w:pPr>
            <w:r>
              <w:rPr>
                <w:rFonts w:ascii="Times New Roman" w:cs="Times New Roman" w:eastAsia="Times New Roman" w:hAnsi="Times New Roman"/>
                <w:sz w:val="17"/>
                <w:szCs w:val="17"/>
                <w:color w:val="auto"/>
              </w:rPr>
              <w:t>​ ​ 1,254</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 1,254</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 of use asset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 4,878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4,878</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32,483</w:t>
            </w: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82,294</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(24,938</w:t>
            </w:r>
          </w:p>
        </w:tc>
        <w:tc>
          <w:tcPr>
            <w:tcW w:w="200" w:type="dxa"/>
            <w:vAlign w:val="bottom"/>
            <w:tcBorders>
              <w:top w:val="single" w:sz="8" w:color="CCEEFF"/>
            </w:tcBorders>
            <w:gridSpan w:val="3"/>
          </w:tcPr>
          <w:p>
            <w:pPr>
              <w:jc w:val="right"/>
              <w:ind w:right="4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w:t>
            </w:r>
          </w:p>
        </w:tc>
        <w:tc>
          <w:tcPr>
            <w:tcW w:w="1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89,839</w:t>
            </w:r>
          </w:p>
        </w:tc>
        <w:tc>
          <w:tcPr>
            <w:tcW w:w="60" w:type="dxa"/>
            <w:vAlign w:val="bottom"/>
            <w:tcBorders>
              <w:top w:val="single" w:sz="8" w:color="CCEEFF"/>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TEMPORARY EQUITY AND</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 ​</w:t>
            </w:r>
          </w:p>
        </w:tc>
        <w:tc>
          <w:tcPr>
            <w:tcW w:w="340" w:type="dxa"/>
            <w:vAlign w:val="bottom"/>
          </w:tcPr>
          <w:p>
            <w:pPr>
              <w:spacing w:after="0"/>
              <w:rPr>
                <w:sz w:val="12"/>
                <w:szCs w:val="12"/>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 ​</w:t>
            </w:r>
          </w:p>
        </w:tc>
        <w:tc>
          <w:tcPr>
            <w:tcW w:w="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 ​</w:t>
            </w:r>
          </w:p>
        </w:tc>
        <w:tc>
          <w:tcPr>
            <w:tcW w:w="340" w:type="dxa"/>
            <w:vAlign w:val="bottom"/>
          </w:tcPr>
          <w:p>
            <w:pPr>
              <w:spacing w:after="0"/>
              <w:rPr>
                <w:sz w:val="12"/>
                <w:szCs w:val="12"/>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 ​</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460" w:type="dxa"/>
            <w:vAlign w:val="bottom"/>
          </w:tcPr>
          <w:p>
            <w:pPr>
              <w:spacing w:after="0"/>
              <w:rPr>
                <w:sz w:val="12"/>
                <w:szCs w:val="12"/>
                <w:color w:val="auto"/>
              </w:rPr>
            </w:pPr>
          </w:p>
        </w:tc>
        <w:tc>
          <w:tcPr>
            <w:tcW w:w="4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 ​</w:t>
            </w:r>
          </w:p>
        </w:tc>
        <w:tc>
          <w:tcPr>
            <w:tcW w:w="480" w:type="dxa"/>
            <w:vAlign w:val="bottom"/>
            <w:gridSpan w:val="5"/>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 ​ ​ ​</w:t>
            </w:r>
          </w:p>
        </w:tc>
        <w:tc>
          <w:tcPr>
            <w:tcW w:w="34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81"/>
        </w:trPr>
        <w:tc>
          <w:tcPr>
            <w:tcW w:w="410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200" w:type="dxa"/>
            <w:vAlign w:val="bottom"/>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gridSpan w:val="4"/>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gridSpan w:val="5"/>
            <w:vMerge w:val="continue"/>
          </w:tcPr>
          <w:p>
            <w:pPr>
              <w:spacing w:after="0"/>
              <w:rPr>
                <w:sz w:val="15"/>
                <w:szCs w:val="15"/>
                <w:color w:val="auto"/>
              </w:rPr>
            </w:pPr>
          </w:p>
        </w:tc>
        <w:tc>
          <w:tcPr>
            <w:tcW w:w="480" w:type="dxa"/>
            <w:vAlign w:val="bottom"/>
            <w:gridSpan w:val="5"/>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6"/>
                <w:szCs w:val="16"/>
                <w:color w:val="auto"/>
              </w:rPr>
            </w:pP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6"/>
                <w:szCs w:val="16"/>
                <w:color w:val="auto"/>
              </w:rPr>
            </w:pPr>
          </w:p>
        </w:tc>
        <w:tc>
          <w:tcPr>
            <w:tcW w:w="200" w:type="dxa"/>
            <w:vAlign w:val="bottom"/>
            <w:gridSpan w:val="3"/>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69"/>
        </w:trPr>
        <w:tc>
          <w:tcPr>
            <w:tcW w:w="4100" w:type="dxa"/>
            <w:vAlign w:val="bottom"/>
            <w:tcBorders>
              <w:bottom w:val="single" w:sz="8" w:color="CCEEFF"/>
            </w:tcBorders>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tcBorders>
              <w:bottom w:val="single" w:sz="8" w:color="CCEEFF"/>
            </w:tcBorders>
            <w:gridSpan w:val="2"/>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1,174</w:t>
            </w:r>
          </w:p>
        </w:tc>
        <w:tc>
          <w:tcPr>
            <w:tcW w:w="24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tcBorders>
              <w:bottom w:val="single" w:sz="8" w:color="CCEEFF"/>
            </w:tcBorders>
            <w:gridSpan w:val="4"/>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w w:val="97"/>
              </w:rPr>
              <w:t>​$10,851</w:t>
            </w:r>
          </w:p>
        </w:tc>
        <w:tc>
          <w:tcPr>
            <w:tcW w:w="22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gridSpan w:val="4"/>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6"/>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​$12,025</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Customer deposits</w:t>
            </w:r>
          </w:p>
        </w:tc>
        <w:tc>
          <w:tcPr>
            <w:tcW w:w="20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8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287</w:t>
            </w:r>
          </w:p>
        </w:tc>
        <w:tc>
          <w:tcPr>
            <w:tcW w:w="2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4"/>
          </w:tcPr>
          <w:p>
            <w:pPr>
              <w:ind w:left="20"/>
              <w:spacing w:after="0" w:line="167" w:lineRule="exact"/>
              <w:rPr>
                <w:sz w:val="20"/>
                <w:szCs w:val="20"/>
                <w:color w:val="auto"/>
              </w:rPr>
            </w:pPr>
            <w:r>
              <w:rPr>
                <w:rFonts w:ascii="Times New Roman" w:cs="Times New Roman" w:eastAsia="Times New Roman" w:hAnsi="Times New Roman"/>
                <w:sz w:val="17"/>
                <w:szCs w:val="17"/>
                <w:color w:val="auto"/>
              </w:rPr>
              <w:t>​ ​ ​</w:t>
            </w:r>
          </w:p>
        </w:tc>
        <w:tc>
          <w:tcPr>
            <w:tcW w:w="4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287</w:t>
            </w:r>
          </w:p>
        </w:tc>
        <w:tc>
          <w:tcPr>
            <w:tcW w:w="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69"/>
        </w:trPr>
        <w:tc>
          <w:tcPr>
            <w:tcW w:w="4100" w:type="dxa"/>
            <w:vAlign w:val="bottom"/>
            <w:tcBorders>
              <w:bottom w:val="single" w:sz="8" w:color="CCEEFF"/>
            </w:tcBorders>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Income tax payable</w:t>
            </w:r>
          </w:p>
        </w:tc>
        <w:tc>
          <w:tcPr>
            <w:tcW w:w="20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CCEEFF"/>
            </w:tcBorders>
            <w:gridSpan w:val="3"/>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39</w:t>
            </w:r>
          </w:p>
        </w:tc>
        <w:tc>
          <w:tcPr>
            <w:tcW w:w="24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CCEEFF"/>
            </w:tcBorders>
            <w:gridSpan w:val="3"/>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bottom w:val="single" w:sz="8" w:color="CCEEFF"/>
            </w:tcBorders>
            <w:gridSpan w:val="4"/>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gridSpan w:val="4"/>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 ​ ​</w:t>
            </w:r>
          </w:p>
        </w:tc>
        <w:tc>
          <w:tcPr>
            <w:tcW w:w="40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39</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Notes payable, current portion</w:t>
            </w:r>
          </w:p>
        </w:tc>
        <w:tc>
          <w:tcPr>
            <w:tcW w:w="20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tcPr>
          <w:p>
            <w:pPr>
              <w:ind w:left="80"/>
              <w:spacing w:after="0" w:line="167" w:lineRule="exact"/>
              <w:rPr>
                <w:sz w:val="20"/>
                <w:szCs w:val="20"/>
                <w:color w:val="auto"/>
              </w:rPr>
            </w:pPr>
            <w:r>
              <w:rPr>
                <w:rFonts w:ascii="Times New Roman" w:cs="Times New Roman" w:eastAsia="Times New Roman" w:hAnsi="Times New Roman"/>
                <w:sz w:val="17"/>
                <w:szCs w:val="17"/>
                <w:color w:val="auto"/>
              </w:rPr>
              <w:t>​ ​16,529</w:t>
            </w:r>
          </w:p>
        </w:tc>
        <w:tc>
          <w:tcPr>
            <w:tcW w:w="2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​(16,529)​​</w:t>
            </w:r>
          </w:p>
        </w:tc>
        <w:tc>
          <w:tcPr>
            <w:tcW w:w="360" w:type="dxa"/>
            <w:vAlign w:val="bottom"/>
            <w:gridSpan w:val="3"/>
          </w:tcPr>
          <w:p>
            <w:pPr>
              <w:ind w:left="40"/>
              <w:spacing w:after="0" w:line="167"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p>
        </w:tc>
        <w:tc>
          <w:tcPr>
            <w:tcW w:w="360" w:type="dxa"/>
            <w:vAlign w:val="bottom"/>
            <w:gridSpan w:val="4"/>
          </w:tcPr>
          <w:p>
            <w:pPr>
              <w:ind w:left="20"/>
              <w:spacing w:after="0" w:line="167" w:lineRule="exact"/>
              <w:rPr>
                <w:sz w:val="20"/>
                <w:szCs w:val="20"/>
                <w:color w:val="auto"/>
              </w:rPr>
            </w:pPr>
            <w:r>
              <w:rPr>
                <w:rFonts w:ascii="Times New Roman" w:cs="Times New Roman" w:eastAsia="Times New Roman" w:hAnsi="Times New Roman"/>
                <w:sz w:val="17"/>
                <w:szCs w:val="17"/>
                <w:color w:val="auto"/>
              </w:rPr>
              <w:t>​ ​ ​</w:t>
            </w:r>
          </w:p>
        </w:tc>
        <w:tc>
          <w:tcPr>
            <w:tcW w:w="4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69"/>
        </w:trPr>
        <w:tc>
          <w:tcPr>
            <w:tcW w:w="4100" w:type="dxa"/>
            <w:vAlign w:val="bottom"/>
            <w:tcBorders>
              <w:bottom w:val="single" w:sz="8" w:color="CCEEFF"/>
            </w:tcBorders>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Operating lease liability, current portion</w:t>
            </w:r>
          </w:p>
        </w:tc>
        <w:tc>
          <w:tcPr>
            <w:tcW w:w="20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CCEEFF"/>
            </w:tcBorders>
            <w:gridSpan w:val="3"/>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tcBorders>
              <w:bottom w:val="single" w:sz="8" w:color="CCEEFF"/>
            </w:tcBorders>
            <w:gridSpan w:val="4"/>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rPr>
              <w:t>​ ​ 1,157</w:t>
            </w:r>
          </w:p>
        </w:tc>
        <w:tc>
          <w:tcPr>
            <w:tcW w:w="22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bottom w:val="single" w:sz="8" w:color="CCEEFF"/>
            </w:tcBorders>
            <w:gridSpan w:val="4"/>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6"/>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 ​ 1,157</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180"/>
              <w:spacing w:after="0" w:line="189" w:lineRule="exact"/>
              <w:rPr>
                <w:sz w:val="20"/>
                <w:szCs w:val="20"/>
                <w:color w:val="auto"/>
              </w:rPr>
            </w:pPr>
            <w:r>
              <w:rPr>
                <w:rFonts w:ascii="Times New Roman" w:cs="Times New Roman" w:eastAsia="Times New Roman" w:hAnsi="Times New Roman"/>
                <w:sz w:val="17"/>
                <w:szCs w:val="17"/>
                <w:color w:val="auto"/>
              </w:rPr>
              <w:t>Obligation to issue common stock</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1,000 ​​</w:t>
            </w:r>
          </w:p>
        </w:tc>
        <w:tc>
          <w:tcPr>
            <w:tcW w:w="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7"/>
                <w:szCs w:val="17"/>
                <w:color w:val="auto"/>
              </w:rPr>
              <w:t>​ ​ ​ 1,000</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Promissory note – related party</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(400)​​</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p>
        </w:tc>
        <w:tc>
          <w:tcPr>
            <w:tcW w:w="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1"/>
        </w:trPr>
        <w:tc>
          <w:tcPr>
            <w:tcW w:w="4100" w:type="dxa"/>
            <w:vAlign w:val="bottom"/>
            <w:tcBorders>
              <w:top w:val="single" w:sz="8" w:color="CCEEFF"/>
            </w:tcBorders>
          </w:tcPr>
          <w:p>
            <w:pPr>
              <w:ind w:left="340"/>
              <w:spacing w:after="0" w:line="161" w:lineRule="exact"/>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top w:val="single" w:sz="8" w:color="CCEEFF"/>
            </w:tcBorders>
          </w:tcPr>
          <w:p>
            <w:pPr>
              <w:ind w:left="40"/>
              <w:spacing w:after="0" w:line="161"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gridSpan w:val="3"/>
          </w:tcPr>
          <w:p>
            <w:pPr>
              <w:jc w:val="right"/>
              <w:spacing w:after="0" w:line="161" w:lineRule="exact"/>
              <w:rPr>
                <w:sz w:val="20"/>
                <w:szCs w:val="20"/>
                <w:color w:val="auto"/>
              </w:rPr>
            </w:pPr>
            <w:r>
              <w:rPr>
                <w:rFonts w:ascii="Times New Roman" w:cs="Times New Roman" w:eastAsia="Times New Roman" w:hAnsi="Times New Roman"/>
                <w:sz w:val="17"/>
                <w:szCs w:val="17"/>
                <w:color w:val="auto"/>
              </w:rPr>
              <w:t>​ ​ 1,613</w:t>
            </w:r>
          </w:p>
        </w:tc>
        <w:tc>
          <w:tcPr>
            <w:tcW w:w="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gridSpan w:val="3"/>
          </w:tcPr>
          <w:p>
            <w:pPr>
              <w:jc w:val="right"/>
              <w:spacing w:after="0" w:line="161"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gridSpan w:val="3"/>
          </w:tcPr>
          <w:p>
            <w:pPr>
              <w:jc w:val="right"/>
              <w:spacing w:after="0" w:line="161" w:lineRule="exact"/>
              <w:rPr>
                <w:sz w:val="20"/>
                <w:szCs w:val="20"/>
                <w:color w:val="auto"/>
              </w:rPr>
            </w:pPr>
            <w:r>
              <w:rPr>
                <w:rFonts w:ascii="Times New Roman" w:cs="Times New Roman" w:eastAsia="Times New Roman" w:hAnsi="Times New Roman"/>
                <w:sz w:val="17"/>
                <w:szCs w:val="17"/>
                <w:color w:val="auto"/>
              </w:rPr>
              <w:t>​ ​28,824</w:t>
            </w:r>
          </w:p>
        </w:tc>
        <w:tc>
          <w:tcPr>
            <w:tcW w:w="220" w:type="dxa"/>
            <w:vAlign w:val="bottom"/>
            <w:tcBorders>
              <w:top w:val="single" w:sz="8" w:color="CCEEFF"/>
            </w:tcBorders>
            <w:gridSpan w:val="2"/>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tcPr>
          <w:p>
            <w:pPr>
              <w:spacing w:after="0"/>
              <w:rPr>
                <w:sz w:val="13"/>
                <w:szCs w:val="13"/>
                <w:color w:val="auto"/>
              </w:rPr>
            </w:pPr>
          </w:p>
        </w:tc>
        <w:tc>
          <w:tcPr>
            <w:tcW w:w="620" w:type="dxa"/>
            <w:vAlign w:val="bottom"/>
            <w:tcBorders>
              <w:top w:val="single" w:sz="8" w:color="auto"/>
            </w:tcBorders>
            <w:gridSpan w:val="2"/>
          </w:tcPr>
          <w:p>
            <w:pPr>
              <w:jc w:val="right"/>
              <w:spacing w:after="0" w:line="161" w:lineRule="exact"/>
              <w:rPr>
                <w:sz w:val="20"/>
                <w:szCs w:val="20"/>
                <w:color w:val="auto"/>
              </w:rPr>
            </w:pPr>
            <w:r>
              <w:rPr>
                <w:rFonts w:ascii="Times New Roman" w:cs="Times New Roman" w:eastAsia="Times New Roman" w:hAnsi="Times New Roman"/>
                <w:sz w:val="17"/>
                <w:szCs w:val="17"/>
                <w:color w:val="auto"/>
                <w:w w:val="96"/>
              </w:rPr>
              <w:t>​ ​(15,929)</w:t>
            </w:r>
          </w:p>
        </w:tc>
        <w:tc>
          <w:tcPr>
            <w:tcW w:w="200" w:type="dxa"/>
            <w:vAlign w:val="bottom"/>
            <w:tcBorders>
              <w:top w:val="single" w:sz="8" w:color="CCEEFF"/>
            </w:tcBorders>
            <w:gridSpan w:val="3"/>
          </w:tcPr>
          <w:p>
            <w:pPr>
              <w:jc w:val="right"/>
              <w:ind w:right="40"/>
              <w:spacing w:after="0" w:line="16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ind w:left="40"/>
              <w:spacing w:after="0" w:line="16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tcPr>
          <w:p>
            <w:pPr>
              <w:ind w:left="40"/>
              <w:spacing w:after="0" w:line="16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gridSpan w:val="3"/>
          </w:tcPr>
          <w:p>
            <w:pPr>
              <w:jc w:val="right"/>
              <w:spacing w:after="0" w:line="161" w:lineRule="exact"/>
              <w:rPr>
                <w:sz w:val="20"/>
                <w:szCs w:val="20"/>
                <w:color w:val="auto"/>
              </w:rPr>
            </w:pPr>
            <w:r>
              <w:rPr>
                <w:rFonts w:ascii="Times New Roman" w:cs="Times New Roman" w:eastAsia="Times New Roman" w:hAnsi="Times New Roman"/>
                <w:sz w:val="17"/>
                <w:szCs w:val="17"/>
                <w:color w:val="auto"/>
              </w:rPr>
              <w:t>​ ​14,508</w:t>
            </w:r>
          </w:p>
        </w:tc>
        <w:tc>
          <w:tcPr>
            <w:tcW w:w="60" w:type="dxa"/>
            <w:vAlign w:val="bottom"/>
            <w:tcBorders>
              <w:top w:val="single" w:sz="8" w:color="CCEEFF"/>
            </w:tcBorders>
          </w:tcPr>
          <w:p>
            <w:pPr>
              <w:spacing w:after="0"/>
              <w:rPr>
                <w:sz w:val="13"/>
                <w:szCs w:val="13"/>
                <w:color w:val="auto"/>
              </w:rPr>
            </w:pPr>
          </w:p>
        </w:tc>
        <w:tc>
          <w:tcPr>
            <w:tcW w:w="6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69"/>
        </w:trPr>
        <w:tc>
          <w:tcPr>
            <w:tcW w:w="41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Operating lease liability, net of current portion</w:t>
            </w:r>
          </w:p>
        </w:tc>
        <w:tc>
          <w:tcPr>
            <w:tcW w:w="20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CCEEFF"/>
            </w:tcBorders>
            <w:gridSpan w:val="3"/>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tcBorders>
              <w:bottom w:val="single" w:sz="8" w:color="CCEEFF"/>
            </w:tcBorders>
            <w:gridSpan w:val="4"/>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rPr>
              <w:t>​ ​ 3,821</w:t>
            </w:r>
          </w:p>
        </w:tc>
        <w:tc>
          <w:tcPr>
            <w:tcW w:w="22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bottom w:val="single" w:sz="8" w:color="CCEEFF"/>
            </w:tcBorders>
            <w:gridSpan w:val="4"/>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gridSpan w:val="6"/>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color w:val="auto"/>
              </w:rPr>
              <w:t>​ ​ ​ 3,821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0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Notes payable-non current, net of debt discount</w:t>
            </w:r>
          </w:p>
        </w:tc>
        <w:tc>
          <w:tcPr>
            <w:tcW w:w="200" w:type="dxa"/>
            <w:vAlign w:val="bottom"/>
          </w:tcPr>
          <w:p>
            <w:pPr>
              <w:ind w:left="40"/>
              <w:spacing w:after="0" w:line="163"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63"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63"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tcPr>
          <w:p>
            <w:pPr>
              <w:ind w:left="80"/>
              <w:spacing w:after="0" w:line="163" w:lineRule="exact"/>
              <w:rPr>
                <w:sz w:val="20"/>
                <w:szCs w:val="20"/>
                <w:color w:val="auto"/>
              </w:rPr>
            </w:pPr>
            <w:r>
              <w:rPr>
                <w:rFonts w:ascii="Times New Roman" w:cs="Times New Roman" w:eastAsia="Times New Roman" w:hAnsi="Times New Roman"/>
                <w:sz w:val="17"/>
                <w:szCs w:val="17"/>
                <w:color w:val="auto"/>
              </w:rPr>
              <w:t>​ ​24,182</w:t>
            </w:r>
          </w:p>
        </w:tc>
        <w:tc>
          <w:tcPr>
            <w:tcW w:w="2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63" w:lineRule="exact"/>
              <w:rPr>
                <w:sz w:val="20"/>
                <w:szCs w:val="20"/>
                <w:color w:val="auto"/>
              </w:rPr>
            </w:pPr>
            <w:r>
              <w:rPr>
                <w:rFonts w:ascii="Times New Roman" w:cs="Times New Roman" w:eastAsia="Times New Roman" w:hAnsi="Times New Roman"/>
                <w:sz w:val="17"/>
                <w:szCs w:val="17"/>
                <w:color w:val="auto"/>
              </w:rPr>
              <w:t>​ ​ 20,537 ​​</w:t>
            </w:r>
          </w:p>
        </w:tc>
        <w:tc>
          <w:tcPr>
            <w:tcW w:w="36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p>
        </w:tc>
        <w:tc>
          <w:tcPr>
            <w:tcW w:w="760" w:type="dxa"/>
            <w:vAlign w:val="bottom"/>
            <w:gridSpan w:val="6"/>
          </w:tcPr>
          <w:p>
            <w:pPr>
              <w:jc w:val="right"/>
              <w:spacing w:after="0" w:line="163" w:lineRule="exact"/>
              <w:rPr>
                <w:sz w:val="20"/>
                <w:szCs w:val="20"/>
                <w:color w:val="auto"/>
              </w:rPr>
            </w:pPr>
            <w:r>
              <w:rPr>
                <w:rFonts w:ascii="Times New Roman" w:cs="Times New Roman" w:eastAsia="Times New Roman" w:hAnsi="Times New Roman"/>
                <w:sz w:val="17"/>
                <w:szCs w:val="17"/>
                <w:color w:val="auto"/>
              </w:rPr>
              <w:t>​ ​ ​18,422</w:t>
            </w:r>
          </w:p>
        </w:tc>
        <w:tc>
          <w:tcPr>
            <w:tcW w:w="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(2,115)</w:t>
            </w:r>
          </w:p>
        </w:tc>
        <w:tc>
          <w:tcPr>
            <w:tcW w:w="1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rPr>
                <w:sz w:val="20"/>
                <w:szCs w:val="20"/>
                <w:color w:val="auto"/>
              </w:rPr>
            </w:pPr>
            <w:r>
              <w:rPr>
                <w:rFonts w:ascii="Times New Roman" w:cs="Times New Roman" w:eastAsia="Times New Roman" w:hAnsi="Times New Roman"/>
                <w:sz w:val="17"/>
                <w:szCs w:val="17"/>
                <w:color w:val="auto"/>
              </w:rPr>
              <w:t>​ ​(24,182)​​</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1,990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 52,949 ​​</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​54,939</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top w:val="single" w:sz="8" w:color="CCEEFF"/>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 3,603</w:t>
            </w:r>
          </w:p>
        </w:tc>
        <w:tc>
          <w:tcPr>
            <w:tcW w:w="6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​56,827</w:t>
            </w:r>
          </w:p>
        </w:tc>
        <w:tc>
          <w:tcPr>
            <w:tcW w:w="22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 31,260</w:t>
            </w:r>
          </w:p>
        </w:tc>
        <w:tc>
          <w:tcPr>
            <w:tcW w:w="200" w:type="dxa"/>
            <w:vAlign w:val="bottom"/>
            <w:tcBorders>
              <w:top w:val="single" w:sz="8" w:color="CCEEFF"/>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​91,690</w:t>
            </w:r>
          </w:p>
        </w:tc>
        <w:tc>
          <w:tcPr>
            <w:tcW w:w="60" w:type="dxa"/>
            <w:vAlign w:val="bottom"/>
            <w:tcBorders>
              <w:top w:val="single" w:sz="8" w:color="CCEEFF"/>
              <w:bottom w:val="single" w:sz="8" w:color="CCEEFF"/>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3"/>
        </w:trPr>
        <w:tc>
          <w:tcPr>
            <w:tcW w:w="41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2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 ​31,706</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w w:val="96"/>
              </w:rPr>
              <w:t>​ ​(31,706)</w:t>
            </w:r>
          </w:p>
        </w:tc>
        <w:tc>
          <w:tcPr>
            <w:tcW w:w="200" w:type="dxa"/>
            <w:vAlign w:val="bottom"/>
            <w:tcBorders>
              <w:bottom w:val="single" w:sz="8" w:color="CCEEFF"/>
            </w:tcBorders>
            <w:gridSpan w:val="3"/>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shd w:val="clear" w:color="auto" w:fill="CCEEFF"/>
          </w:tcPr>
          <w:p>
            <w:pPr>
              <w:ind w:left="40"/>
              <w:spacing w:after="0" w:line="161"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w:t>
            </w:r>
          </w:p>
        </w:tc>
        <w:tc>
          <w:tcPr>
            <w:tcW w:w="12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41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Convertible preferred stock</w:t>
            </w:r>
          </w:p>
        </w:tc>
        <w:tc>
          <w:tcPr>
            <w:tcW w:w="20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tcPr>
          <w:p>
            <w:pPr>
              <w:ind w:left="80"/>
              <w:spacing w:after="0" w:line="167" w:lineRule="exact"/>
              <w:rPr>
                <w:sz w:val="20"/>
                <w:szCs w:val="20"/>
                <w:color w:val="auto"/>
              </w:rPr>
            </w:pPr>
            <w:r>
              <w:rPr>
                <w:rFonts w:ascii="Times New Roman" w:cs="Times New Roman" w:eastAsia="Times New Roman" w:hAnsi="Times New Roman"/>
                <w:sz w:val="17"/>
                <w:szCs w:val="17"/>
                <w:color w:val="auto"/>
              </w:rPr>
              <w:t>​ ​ 2,000</w:t>
            </w:r>
          </w:p>
        </w:tc>
        <w:tc>
          <w:tcPr>
            <w:tcW w:w="2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67" w:lineRule="exact"/>
              <w:rPr>
                <w:sz w:val="20"/>
                <w:szCs w:val="20"/>
                <w:color w:val="auto"/>
              </w:rPr>
            </w:pPr>
            <w:r>
              <w:rPr>
                <w:rFonts w:ascii="Times New Roman" w:cs="Times New Roman" w:eastAsia="Times New Roman" w:hAnsi="Times New Roman"/>
                <w:sz w:val="17"/>
                <w:szCs w:val="17"/>
                <w:color w:val="auto"/>
              </w:rPr>
              <w:t>​ ​ (2,000)​​</w:t>
            </w:r>
          </w:p>
        </w:tc>
        <w:tc>
          <w:tcPr>
            <w:tcW w:w="24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w:t>
            </w:r>
          </w:p>
        </w:tc>
        <w:tc>
          <w:tcPr>
            <w:tcW w:w="12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41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Stockholders’ equity (deficit)</w:t>
            </w:r>
          </w:p>
        </w:tc>
        <w:tc>
          <w:tcPr>
            <w:tcW w:w="200" w:type="dxa"/>
            <w:vAlign w:val="bottom"/>
          </w:tcPr>
          <w:p>
            <w:pPr>
              <w:ind w:left="40"/>
              <w:spacing w:after="0" w:line="185"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85"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6"/>
                <w:szCs w:val="16"/>
                <w:color w:val="auto"/>
              </w:rPr>
            </w:pPr>
          </w:p>
        </w:tc>
        <w:tc>
          <w:tcPr>
            <w:tcW w:w="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80"/>
              <w:spacing w:after="0" w:line="185"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6"/>
                <w:szCs w:val="16"/>
                <w:color w:val="auto"/>
              </w:rPr>
            </w:pPr>
          </w:p>
        </w:tc>
        <w:tc>
          <w:tcPr>
            <w:tcW w:w="2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6"/>
                <w:szCs w:val="16"/>
                <w:color w:val="auto"/>
              </w:rPr>
            </w:pPr>
          </w:p>
        </w:tc>
        <w:tc>
          <w:tcPr>
            <w:tcW w:w="200" w:type="dxa"/>
            <w:vAlign w:val="bottom"/>
            <w:gridSpan w:val="3"/>
          </w:tcPr>
          <w:p>
            <w:pPr>
              <w:jc w:val="right"/>
              <w:ind w:right="40"/>
              <w:spacing w:after="0" w:line="185"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40"/>
              <w:spacing w:after="0" w:line="185"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40"/>
              <w:spacing w:after="0" w:line="185"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tcPr>
          <w:p>
            <w:pPr>
              <w:ind w:left="20"/>
              <w:spacing w:after="0" w:line="185"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100" w:type="dxa"/>
            <w:vAlign w:val="bottom"/>
          </w:tcPr>
          <w:p>
            <w:pPr>
              <w:ind w:left="180"/>
              <w:spacing w:after="0" w:line="189" w:lineRule="exact"/>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3 ​​</w:t>
            </w:r>
          </w:p>
        </w:tc>
        <w:tc>
          <w:tcPr>
            <w:tcW w:w="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w:t>
            </w:r>
          </w:p>
        </w:tc>
        <w:tc>
          <w:tcPr>
            <w:tcW w:w="12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40 ​</w:t>
            </w:r>
          </w:p>
        </w:tc>
        <w:tc>
          <w:tcPr>
            <w:tcW w:w="0" w:type="dxa"/>
            <w:vAlign w:val="bottom"/>
          </w:tcPr>
          <w:p>
            <w:pPr>
              <w:spacing w:after="0"/>
              <w:rPr>
                <w:sz w:val="1"/>
                <w:szCs w:val="1"/>
                <w:color w:val="auto"/>
              </w:rPr>
            </w:pPr>
          </w:p>
        </w:tc>
      </w:tr>
      <w:tr>
        <w:trPr>
          <w:trHeight w:val="189"/>
        </w:trPr>
        <w:tc>
          <w:tcPr>
            <w:tcW w:w="4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4"/>
          </w:tcPr>
          <w:p>
            <w:pPr>
              <w:ind w:left="40"/>
              <w:spacing w:after="0" w:line="189" w:lineRule="exact"/>
              <w:rPr>
                <w:sz w:val="20"/>
                <w:szCs w:val="20"/>
                <w:color w:val="auto"/>
              </w:rPr>
            </w:pPr>
            <w:r>
              <w:rPr>
                <w:rFonts w:ascii="Times New Roman" w:cs="Times New Roman" w:eastAsia="Times New Roman" w:hAnsi="Times New Roman"/>
                <w:sz w:val="17"/>
                <w:szCs w:val="17"/>
                <w:color w:val="auto"/>
              </w:rPr>
              <w:t>​ ​ ​ ​</w:t>
            </w:r>
          </w:p>
        </w:tc>
        <w:tc>
          <w:tcPr>
            <w:tcW w:w="340" w:type="dxa"/>
            <w:vAlign w:val="bottom"/>
          </w:tcPr>
          <w:p>
            <w:pPr>
              <w:spacing w:after="0"/>
              <w:rPr>
                <w:sz w:val="16"/>
                <w:szCs w:val="16"/>
                <w:color w:val="auto"/>
              </w:rPr>
            </w:pPr>
          </w:p>
        </w:tc>
        <w:tc>
          <w:tcPr>
            <w:tcW w:w="30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7"/>
                <w:szCs w:val="17"/>
                <w:color w:val="auto"/>
              </w:rPr>
              <w:t>​ ​​ ​</w:t>
            </w:r>
          </w:p>
        </w:tc>
        <w:tc>
          <w:tcPr>
            <w:tcW w:w="3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34 ​​</w:t>
            </w:r>
          </w:p>
        </w:tc>
        <w:tc>
          <w:tcPr>
            <w:tcW w:w="3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xml:space="preserve"> ​</w:t>
            </w:r>
          </w:p>
        </w:tc>
        <w:tc>
          <w:tcPr>
            <w:tcW w:w="2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410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93"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20" w:type="dxa"/>
            <w:vAlign w:val="bottom"/>
            <w:gridSpan w:val="3"/>
          </w:tcPr>
          <w:p>
            <w:pPr>
              <w:jc w:val="right"/>
              <w:spacing w:after="0" w:line="193"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tcPr>
          <w:p>
            <w:pPr>
              <w:jc w:val="right"/>
              <w:ind w:right="40"/>
              <w:spacing w:after="0" w:line="193" w:lineRule="exact"/>
              <w:rPr>
                <w:sz w:val="20"/>
                <w:szCs w:val="20"/>
                <w:color w:val="auto"/>
              </w:rPr>
            </w:pPr>
            <w:r>
              <w:rPr>
                <w:rFonts w:ascii="Times New Roman" w:cs="Times New Roman" w:eastAsia="Times New Roman" w:hAnsi="Times New Roman"/>
                <w:sz w:val="17"/>
                <w:szCs w:val="17"/>
                <w:color w:val="auto"/>
              </w:rPr>
              <w:t>(2)​​</w:t>
            </w:r>
          </w:p>
        </w:tc>
        <w:tc>
          <w:tcPr>
            <w:tcW w:w="360" w:type="dxa"/>
            <w:vAlign w:val="bottom"/>
            <w:gridSpan w:val="3"/>
          </w:tcPr>
          <w:p>
            <w:pPr>
              <w:ind w:left="40"/>
              <w:spacing w:after="0" w:line="19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9"/>
        </w:trPr>
        <w:tc>
          <w:tcPr>
            <w:tcW w:w="410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 ​18,480</w:t>
            </w:r>
          </w:p>
        </w:tc>
        <w:tc>
          <w:tcPr>
            <w:tcW w:w="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 ​(28,001)​​</w:t>
            </w:r>
          </w:p>
        </w:tc>
        <w:tc>
          <w:tcPr>
            <w:tcW w:w="360" w:type="dxa"/>
            <w:vAlign w:val="bottom"/>
            <w:gridSpan w:val="3"/>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p>
        </w:tc>
        <w:tc>
          <w:tcPr>
            <w:tcW w:w="20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307</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0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63"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6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6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4"/>
                <w:szCs w:val="14"/>
                <w:color w:val="auto"/>
              </w:rPr>
            </w:pPr>
          </w:p>
        </w:tc>
        <w:tc>
          <w:tcPr>
            <w:tcW w:w="2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tcPr>
          <w:p>
            <w:pPr>
              <w:jc w:val="right"/>
              <w:spacing w:after="0" w:line="163" w:lineRule="exact"/>
              <w:rPr>
                <w:sz w:val="20"/>
                <w:szCs w:val="20"/>
                <w:color w:val="auto"/>
              </w:rPr>
            </w:pPr>
            <w:r>
              <w:rPr>
                <w:rFonts w:ascii="Times New Roman" w:cs="Times New Roman" w:eastAsia="Times New Roman" w:hAnsi="Times New Roman"/>
                <w:sz w:val="17"/>
                <w:szCs w:val="17"/>
                <w:color w:val="auto"/>
              </w:rPr>
              <w:t>​ ​ 31,703</w:t>
            </w:r>
          </w:p>
        </w:tc>
        <w:tc>
          <w:tcPr>
            <w:tcW w:w="140" w:type="dxa"/>
            <w:vAlign w:val="bottom"/>
            <w:gridSpan w:val="2"/>
          </w:tcPr>
          <w:p>
            <w:pPr>
              <w:jc w:val="right"/>
              <w:ind w:right="40"/>
              <w:spacing w:after="0" w:line="163"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4"/>
                <w:szCs w:val="14"/>
                <w:color w:val="auto"/>
              </w:rPr>
            </w:pPr>
          </w:p>
        </w:tc>
        <w:tc>
          <w:tcPr>
            <w:tcW w:w="1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1,966</w:t>
            </w:r>
          </w:p>
        </w:tc>
        <w:tc>
          <w:tcPr>
            <w:tcW w:w="1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4"/>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(2,811)​​</w:t>
            </w:r>
          </w:p>
        </w:tc>
        <w:tc>
          <w:tcPr>
            <w:tcW w:w="3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 ​(21,015)​​</w:t>
            </w:r>
          </w:p>
        </w:tc>
        <w:tc>
          <w:tcPr>
            <w:tcW w:w="3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100" w:type="dxa"/>
            <w:vAlign w:val="bottom"/>
          </w:tcPr>
          <w:p>
            <w:pPr>
              <w:ind w:left="180"/>
              <w:spacing w:after="0" w:line="189" w:lineRule="exact"/>
              <w:rPr>
                <w:sz w:val="20"/>
                <w:szCs w:val="20"/>
                <w:color w:val="auto"/>
              </w:rPr>
            </w:pPr>
            <w:r>
              <w:rPr>
                <w:rFonts w:ascii="Times New Roman" w:cs="Times New Roman" w:eastAsia="Times New Roman" w:hAnsi="Times New Roman"/>
                <w:sz w:val="17"/>
                <w:szCs w:val="17"/>
                <w:color w:val="auto"/>
              </w:rPr>
              <w:t>Accumulated (deficit) earnings</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5"/>
          </w:tcPr>
          <w:p>
            <w:pPr>
              <w:ind w:left="60"/>
              <w:spacing w:after="0" w:line="189" w:lineRule="exact"/>
              <w:rPr>
                <w:sz w:val="20"/>
                <w:szCs w:val="20"/>
                <w:color w:val="auto"/>
              </w:rPr>
            </w:pPr>
            <w:r>
              <w:rPr>
                <w:rFonts w:ascii="Times New Roman" w:cs="Times New Roman" w:eastAsia="Times New Roman" w:hAnsi="Times New Roman"/>
                <w:sz w:val="17"/>
                <w:szCs w:val="17"/>
                <w:color w:val="auto"/>
              </w:rPr>
              <w:t>​ ​(2,826)</w:t>
            </w:r>
          </w:p>
        </w:tc>
        <w:tc>
          <w:tcPr>
            <w:tcW w:w="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4"/>
          </w:tcPr>
          <w:p>
            <w:pPr>
              <w:ind w:left="80"/>
              <w:spacing w:after="0" w:line="189" w:lineRule="exact"/>
              <w:rPr>
                <w:sz w:val="20"/>
                <w:szCs w:val="20"/>
                <w:color w:val="auto"/>
              </w:rPr>
            </w:pPr>
            <w:r>
              <w:rPr>
                <w:rFonts w:ascii="Times New Roman" w:cs="Times New Roman" w:eastAsia="Times New Roman" w:hAnsi="Times New Roman"/>
                <w:sz w:val="17"/>
                <w:szCs w:val="17"/>
                <w:color w:val="auto"/>
              </w:rPr>
              <w:t>​ ​ 4,982</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 ​ (1,535)​​</w:t>
            </w:r>
          </w:p>
        </w:tc>
        <w:tc>
          <w:tcPr>
            <w:tcW w:w="3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p>
        </w:tc>
        <w:tc>
          <w:tcPr>
            <w:tcW w:w="20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7"/>
                <w:szCs w:val="17"/>
                <w:color w:val="auto"/>
              </w:rPr>
              <w:t>​(2,198)​</w:t>
            </w:r>
          </w:p>
        </w:tc>
        <w:tc>
          <w:tcPr>
            <w:tcW w:w="0" w:type="dxa"/>
            <w:vAlign w:val="bottom"/>
          </w:tcPr>
          <w:p>
            <w:pPr>
              <w:spacing w:after="0"/>
              <w:rPr>
                <w:sz w:val="1"/>
                <w:szCs w:val="1"/>
                <w:color w:val="auto"/>
              </w:rPr>
            </w:pPr>
          </w:p>
        </w:tc>
      </w:tr>
      <w:tr>
        <w:trPr>
          <w:trHeight w:val="189"/>
        </w:trPr>
        <w:tc>
          <w:tcPr>
            <w:tcW w:w="4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 ​ (1,645)​​</w:t>
            </w:r>
          </w:p>
        </w:tc>
        <w:tc>
          <w:tcPr>
            <w:tcW w:w="36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2,826</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7"/>
                <w:szCs w:val="17"/>
                <w:color w:val="auto"/>
              </w:rPr>
              <w:t xml:space="preserve"> ​</w:t>
            </w:r>
          </w:p>
        </w:tc>
        <w:tc>
          <w:tcPr>
            <w:tcW w:w="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 (4,000)​​</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7"/>
                <w:szCs w:val="17"/>
                <w:color w:val="auto"/>
              </w:rPr>
              <w:t xml:space="preserve">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20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top w:val="single" w:sz="8" w:color="CCEEFF"/>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​(2,826</w:t>
            </w:r>
          </w:p>
        </w:tc>
        <w:tc>
          <w:tcPr>
            <w:tcW w:w="300" w:type="dxa"/>
            <w:vAlign w:val="bottom"/>
            <w:tcBorders>
              <w:top w:val="single" w:sz="8" w:color="CCEEFF"/>
              <w:bottom w:val="single" w:sz="8" w:color="CCEEFF"/>
            </w:tcBorders>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top w:val="single" w:sz="8" w:color="CCEEFF"/>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​23,467</w:t>
            </w:r>
          </w:p>
        </w:tc>
        <w:tc>
          <w:tcPr>
            <w:tcW w:w="22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​(22,492</w:t>
            </w:r>
          </w:p>
        </w:tc>
        <w:tc>
          <w:tcPr>
            <w:tcW w:w="200" w:type="dxa"/>
            <w:vAlign w:val="bottom"/>
            <w:tcBorders>
              <w:top w:val="single" w:sz="8" w:color="CCEEFF"/>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​(1,851</w:t>
            </w:r>
          </w:p>
        </w:tc>
        <w:tc>
          <w:tcPr>
            <w:tcW w:w="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2"/>
        </w:trPr>
        <w:tc>
          <w:tcPr>
            <w:tcW w:w="410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6"/>
                <w:szCs w:val="16"/>
                <w:color w:val="auto"/>
              </w:rPr>
              <w:t>Total liabilities, temporary equity and stockholders’</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5"/>
            <w:vMerge w:val="restart"/>
            <w:shd w:val="clear" w:color="auto" w:fill="CCEEFF"/>
          </w:tcPr>
          <w:p>
            <w:pPr>
              <w:ind w:left="60"/>
              <w:spacing w:after="0" w:line="331"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32,483</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4"/>
            <w:vMerge w:val="restart"/>
            <w:shd w:val="clear" w:color="auto" w:fill="CCEEFF"/>
          </w:tcPr>
          <w:p>
            <w:pPr>
              <w:ind w:left="80"/>
              <w:spacing w:after="0" w:line="331" w:lineRule="exact"/>
              <w:rPr>
                <w:sz w:val="20"/>
                <w:szCs w:val="20"/>
                <w:color w:val="auto"/>
              </w:rPr>
            </w:pPr>
            <w:r>
              <w:rPr>
                <w:rFonts w:ascii="Times New Roman" w:cs="Times New Roman" w:eastAsia="Times New Roman" w:hAnsi="Times New Roman"/>
                <w:sz w:val="34"/>
                <w:szCs w:val="34"/>
                <w:color w:val="auto"/>
                <w:w w:val="97"/>
                <w:vertAlign w:val="subscript"/>
              </w:rPr>
              <w:t>​</w:t>
            </w: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82,294</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vMerge w:val="restart"/>
            <w:shd w:val="clear" w:color="auto" w:fill="CCEEFF"/>
          </w:tcPr>
          <w:p>
            <w:pPr>
              <w:jc w:val="right"/>
              <w:ind w:right="40"/>
              <w:spacing w:after="0" w:line="331"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(24,938)</w:t>
            </w:r>
            <w:r>
              <w:rPr>
                <w:rFonts w:ascii="Times New Roman" w:cs="Times New Roman" w:eastAsia="Times New Roman" w:hAnsi="Times New Roman"/>
                <w:sz w:val="34"/>
                <w:szCs w:val="34"/>
                <w:color w:val="auto"/>
                <w:vertAlign w:val="subscript"/>
              </w:rPr>
              <w: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6"/>
            <w:vMerge w:val="restart"/>
            <w:shd w:val="clear" w:color="auto" w:fill="CCEEFF"/>
          </w:tcPr>
          <w:p>
            <w:pPr>
              <w:jc w:val="right"/>
              <w:spacing w:after="0" w:line="331" w:lineRule="exact"/>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89,839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520"/>
              <w:spacing w:after="0" w:line="189" w:lineRule="exact"/>
              <w:rPr>
                <w:sz w:val="20"/>
                <w:szCs w:val="20"/>
                <w:color w:val="auto"/>
              </w:rPr>
            </w:pPr>
            <w:r>
              <w:rPr>
                <w:rFonts w:ascii="Times New Roman" w:cs="Times New Roman" w:eastAsia="Times New Roman" w:hAnsi="Times New Roman"/>
                <w:sz w:val="17"/>
                <w:szCs w:val="17"/>
                <w:color w:val="auto"/>
              </w:rPr>
              <w:t>equity (deficit)</w:t>
            </w:r>
          </w:p>
        </w:tc>
        <w:tc>
          <w:tcPr>
            <w:tcW w:w="200" w:type="dxa"/>
            <w:vAlign w:val="bottom"/>
            <w:vMerge w:val="continue"/>
            <w:shd w:val="clear" w:color="auto" w:fill="CCEEFF"/>
          </w:tcPr>
          <w:p>
            <w:pPr>
              <w:spacing w:after="0"/>
              <w:rPr>
                <w:sz w:val="18"/>
                <w:szCs w:val="18"/>
                <w:color w:val="auto"/>
              </w:rPr>
            </w:pPr>
          </w:p>
        </w:tc>
        <w:tc>
          <w:tcPr>
            <w:tcW w:w="700" w:type="dxa"/>
            <w:vAlign w:val="bottom"/>
            <w:gridSpan w:val="5"/>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40" w:type="dxa"/>
            <w:vAlign w:val="bottom"/>
            <w:gridSpan w:val="4"/>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00" w:type="dxa"/>
            <w:vAlign w:val="bottom"/>
            <w:gridSpan w:val="6"/>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60" w:type="dxa"/>
            <w:vAlign w:val="bottom"/>
            <w:gridSpan w:val="6"/>
            <w:vMerge w:val="continue"/>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-6179820</wp:posOffset>
            </wp:positionV>
            <wp:extent cx="5212080" cy="111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1117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-5956935</wp:posOffset>
            </wp:positionV>
            <wp:extent cx="5212080"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1117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-4293870</wp:posOffset>
            </wp:positionV>
            <wp:extent cx="521208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-2716530</wp:posOffset>
            </wp:positionV>
            <wp:extent cx="521208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-1962150</wp:posOffset>
            </wp:positionV>
            <wp:extent cx="521208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1200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521208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-1242060</wp:posOffset>
            </wp:positionV>
            <wp:extent cx="521208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-1002030</wp:posOffset>
            </wp:positionV>
            <wp:extent cx="521208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-762000</wp:posOffset>
            </wp:positionV>
            <wp:extent cx="521208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-256540</wp:posOffset>
            </wp:positionV>
            <wp:extent cx="43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-256540</wp:posOffset>
            </wp:positionV>
            <wp:extent cx="4375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-256540</wp:posOffset>
            </wp:positionV>
            <wp:extent cx="3968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6875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5969000</wp:posOffset>
            </wp:positionH>
            <wp:positionV relativeFrom="paragraph">
              <wp:posOffset>-2211070</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-2211070</wp:posOffset>
            </wp:positionV>
            <wp:extent cx="4375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39687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687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-6634480</wp:posOffset>
            </wp:positionV>
            <wp:extent cx="521208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220" w:type="dxa"/>
            <w:vAlign w:val="bottom"/>
          </w:tcPr>
          <w:p>
            <w:pPr>
              <w:spacing w:after="0"/>
              <w:rPr>
                <w:sz w:val="14"/>
                <w:szCs w:val="14"/>
                <w:color w:val="auto"/>
              </w:rPr>
            </w:pPr>
          </w:p>
        </w:tc>
        <w:tc>
          <w:tcPr>
            <w:tcW w:w="860" w:type="dxa"/>
            <w:vAlign w:val="bottom"/>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w w:val="80"/>
              </w:rPr>
              <w:t>Transaction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CNTQ</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w w:val="98"/>
              </w:rPr>
              <w:t>Dragonfly</w:t>
            </w: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1"/>
              </w:rPr>
              <w:t>Accounting</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(Historical)  </w:t>
            </w:r>
            <w:r>
              <w:rPr>
                <w:rFonts w:ascii="Times New Roman" w:cs="Times New Roman" w:eastAsia="Times New Roman" w:hAnsi="Times New Roman"/>
                <w:sz w:val="24"/>
                <w:szCs w:val="24"/>
                <w:b w:val="1"/>
                <w:bCs w:val="1"/>
                <w:color w:val="auto"/>
                <w:vertAlign w:val="subscript"/>
              </w:rPr>
              <w:t>​ ​</w:t>
            </w:r>
          </w:p>
        </w:tc>
        <w:tc>
          <w:tcPr>
            <w:tcW w:w="100" w:type="dxa"/>
            <w:vAlign w:val="bottom"/>
          </w:tcPr>
          <w:p>
            <w:pPr>
              <w:spacing w:after="0"/>
              <w:rPr>
                <w:sz w:val="18"/>
                <w:szCs w:val="18"/>
                <w:color w:val="auto"/>
              </w:rPr>
            </w:pPr>
          </w:p>
        </w:tc>
        <w:tc>
          <w:tcPr>
            <w:tcW w:w="9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(Historical)  </w:t>
            </w:r>
            <w:r>
              <w:rPr>
                <w:rFonts w:ascii="Times New Roman" w:cs="Times New Roman" w:eastAsia="Times New Roman" w:hAnsi="Times New Roman"/>
                <w:sz w:val="24"/>
                <w:szCs w:val="24"/>
                <w:b w:val="1"/>
                <w:bCs w:val="1"/>
                <w:color w:val="auto"/>
                <w:vertAlign w:val="subscript"/>
              </w:rPr>
              <w:t>​</w:t>
            </w:r>
          </w:p>
        </w:tc>
        <w:tc>
          <w:tcPr>
            <w:tcW w:w="10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 ​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46,481​​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46,481​</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1,623​​ ​​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 ​</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1,951​​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 ​ ​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40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1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1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9,331</w:t>
            </w: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9,331</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
              <w:spacing w:after="0" w:line="196" w:lineRule="exact"/>
              <w:rPr>
                <w:sz w:val="20"/>
                <w:szCs w:val="20"/>
                <w:color w:val="auto"/>
              </w:rPr>
            </w:pPr>
            <w:r>
              <w:rPr>
                <w:rFonts w:ascii="Times New Roman" w:cs="Times New Roman" w:eastAsia="Times New Roman" w:hAnsi="Times New Roman"/>
                <w:sz w:val="18"/>
                <w:szCs w:val="18"/>
                <w:color w:val="auto"/>
              </w:rPr>
              <w:t>(5,437)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(7,211)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34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3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340" w:type="dxa"/>
            <w:vAlign w:val="bottom"/>
            <w:tcBorders>
              <w:right w:val="single" w:sz="8" w:color="CCEEFF"/>
            </w:tcBorders>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10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
              <w:spacing w:after="0" w:line="202" w:lineRule="exact"/>
              <w:rPr>
                <w:sz w:val="20"/>
                <w:szCs w:val="20"/>
                <w:color w:val="auto"/>
              </w:rPr>
            </w:pPr>
            <w:r>
              <w:rPr>
                <w:rFonts w:ascii="Times New Roman" w:cs="Times New Roman" w:eastAsia="Times New Roman" w:hAnsi="Times New Roman"/>
                <w:sz w:val="18"/>
                <w:szCs w:val="18"/>
                <w:color w:val="auto"/>
              </w:rPr>
              <w:t>(3,657)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3,657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DD</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(12,826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3"/>
                <w:szCs w:val="2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 ​ ​ ​(12,826)​​ ​ </w:t>
            </w:r>
            <w:r>
              <w:rPr>
                <w:rFonts w:ascii="Times New Roman" w:cs="Times New Roman" w:eastAsia="Times New Roman" w:hAnsi="Times New Roman"/>
                <w:sz w:val="18"/>
                <w:szCs w:val="18"/>
                <w:b w:val="1"/>
                <w:bCs w:val="1"/>
                <w:color w:val="auto"/>
              </w:rPr>
              <w:t>EE</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6"/>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(469)​​ ​</w:t>
            </w:r>
            <w:r>
              <w:rPr>
                <w:rFonts w:ascii="Times New Roman" w:cs="Times New Roman" w:eastAsia="Times New Roman" w:hAnsi="Times New Roman"/>
                <w:sz w:val="18"/>
                <w:szCs w:val="18"/>
                <w:b w:val="1"/>
                <w:bCs w:val="1"/>
                <w:color w:val="auto"/>
              </w:rPr>
              <w:t>AA</w:t>
            </w:r>
            <w:r>
              <w:rPr>
                <w:rFonts w:ascii="Times New Roman" w:cs="Times New Roman" w:eastAsia="Times New Roman" w:hAnsi="Times New Roman"/>
                <w:sz w:val="18"/>
                <w:szCs w:val="18"/>
                <w:color w:val="auto"/>
              </w:rPr>
              <w:t xml:space="preserve"> ​ ​​ ​</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469​​ ​​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500" w:type="dxa"/>
            <w:vAlign w:val="bottom"/>
            <w:gridSpan w:val="6"/>
            <w:vMerge w:val="continue"/>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00" w:type="dxa"/>
            <w:vAlign w:val="bottom"/>
            <w:gridSpan w:val="3"/>
            <w:shd w:val="clear" w:color="auto" w:fill="CCEEFF"/>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1140" w:type="dxa"/>
            <w:vAlign w:val="bottom"/>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46</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1160" w:type="dxa"/>
            <w:vAlign w:val="bottom"/>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76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tcPr>
          <w:p>
            <w:pPr>
              <w:spacing w:after="0"/>
              <w:rPr>
                <w:sz w:val="18"/>
                <w:szCs w:val="18"/>
                <w:color w:val="auto"/>
              </w:rPr>
            </w:pPr>
          </w:p>
        </w:tc>
        <w:tc>
          <w:tcPr>
            <w:tcW w:w="860" w:type="dxa"/>
            <w:vAlign w:val="bottom"/>
            <w:gridSpan w:val="3"/>
          </w:tcPr>
          <w:p>
            <w:pPr>
              <w:jc w:val="right"/>
              <w:ind w:right="122"/>
              <w:spacing w:after="0"/>
              <w:rPr>
                <w:sz w:val="20"/>
                <w:szCs w:val="20"/>
                <w:color w:val="auto"/>
              </w:rPr>
            </w:pPr>
            <w:r>
              <w:rPr>
                <w:rFonts w:ascii="Times New Roman" w:cs="Times New Roman" w:eastAsia="Times New Roman" w:hAnsi="Times New Roman"/>
                <w:sz w:val="18"/>
                <w:szCs w:val="18"/>
                <w:color w:val="auto"/>
              </w:rPr>
              <w:t>​ (9,638)</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(9,156)</w:t>
            </w:r>
          </w:p>
        </w:tc>
        <w:tc>
          <w:tcPr>
            <w:tcW w:w="2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 (9,638)</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(7,456)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(9,638)</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 ​ ​</w:t>
            </w:r>
          </w:p>
        </w:tc>
        <w:tc>
          <w:tcPr>
            <w:tcW w:w="100" w:type="dxa"/>
            <w:vAlign w:val="bottom"/>
            <w:shd w:val="clear" w:color="auto" w:fill="CCEEFF"/>
          </w:tcPr>
          <w:p>
            <w:pPr>
              <w:spacing w:after="0"/>
              <w:rPr>
                <w:sz w:val="6"/>
                <w:szCs w:val="6"/>
                <w:color w:val="auto"/>
              </w:rPr>
            </w:pPr>
          </w:p>
        </w:tc>
        <w:tc>
          <w:tcPr>
            <w:tcW w:w="540" w:type="dxa"/>
            <w:vAlign w:val="bottom"/>
            <w:tcBorders>
              <w:right w:val="single" w:sz="8" w:color="CCEEFF"/>
            </w:tcBorders>
            <w:shd w:val="clear" w:color="auto" w:fill="CCEEFF"/>
          </w:tcPr>
          <w:p>
            <w:pPr>
              <w:spacing w:after="0"/>
              <w:rPr>
                <w:sz w:val="6"/>
                <w:szCs w:val="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300" w:type="dxa"/>
            <w:vAlign w:val="bottom"/>
            <w:vMerge w:val="continue"/>
            <w:shd w:val="clear" w:color="auto" w:fill="CCEEFF"/>
          </w:tcPr>
          <w:p>
            <w:pPr>
              <w:spacing w:after="0"/>
              <w:rPr>
                <w:sz w:val="6"/>
                <w:szCs w:val="6"/>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2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7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 ​</w:t>
            </w:r>
          </w:p>
        </w:tc>
        <w:tc>
          <w:tcPr>
            <w:tcW w:w="54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7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 ​13,957,179​​ ​​ ​21,131,993​​ ​ ​ ​</w:t>
            </w:r>
          </w:p>
        </w:tc>
        <w:tc>
          <w:tcPr>
            <w:tcW w:w="5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vMerge w:val="continue"/>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 ​​ ​13,957,179​​ ​​ ​21,131,993​​ ​ ​ ​</w:t>
            </w:r>
          </w:p>
        </w:tc>
        <w:tc>
          <w:tcPr>
            <w:tcW w:w="5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3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00" w:type="dxa"/>
            <w:vAlign w:val="bottom"/>
            <w:vMerge w:val="continue"/>
            <w:shd w:val="clear" w:color="auto" w:fill="CCEEFF"/>
          </w:tcPr>
          <w:p>
            <w:pPr>
              <w:spacing w:after="0"/>
              <w:rPr>
                <w:sz w:val="4"/>
                <w:szCs w:val="4"/>
                <w:color w:val="auto"/>
              </w:rPr>
            </w:pPr>
          </w:p>
        </w:tc>
        <w:tc>
          <w:tcPr>
            <w:tcW w:w="540" w:type="dxa"/>
            <w:vAlign w:val="bottom"/>
            <w:tcBorders>
              <w:right w:val="single" w:sz="8" w:color="CCEEFF"/>
            </w:tcBorders>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​42,815,586​</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-1988185</wp:posOffset>
            </wp:positionV>
            <wp:extent cx="488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-1988185</wp:posOffset>
            </wp:positionV>
            <wp:extent cx="1714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-1988185</wp:posOffset>
            </wp:positionV>
            <wp:extent cx="29832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-2348230</wp:posOffset>
            </wp:positionV>
            <wp:extent cx="488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-2348230</wp:posOffset>
            </wp:positionV>
            <wp:extent cx="171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-2348230</wp:posOffset>
            </wp:positionV>
            <wp:extent cx="29832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-3882390</wp:posOffset>
            </wp:positionV>
            <wp:extent cx="4889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-3882390</wp:posOffset>
            </wp:positionV>
            <wp:extent cx="171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-3882390</wp:posOffset>
            </wp:positionV>
            <wp:extent cx="29832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83230" cy="889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-5202555</wp:posOffset>
            </wp:positionV>
            <wp:extent cx="4457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-5202555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-5202555</wp:posOffset>
            </wp:positionV>
            <wp:extent cx="29743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w w:val="80"/>
              </w:rPr>
              <w:t>Transaction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CNTQ</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8"/>
              </w:rPr>
              <w:t>Dragonfly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1"/>
              </w:rPr>
              <w:t>Accounting</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(Historical)  </w:t>
            </w:r>
            <w:r>
              <w:rPr>
                <w:rFonts w:ascii="Times New Roman" w:cs="Times New Roman" w:eastAsia="Times New Roman" w:hAnsi="Times New Roman"/>
                <w:sz w:val="24"/>
                <w:szCs w:val="24"/>
                <w:b w:val="1"/>
                <w:bCs w:val="1"/>
                <w:color w:val="auto"/>
                <w:vertAlign w:val="subscript"/>
              </w:rPr>
              <w:t>​ ​</w:t>
            </w:r>
          </w:p>
        </w:tc>
        <w:tc>
          <w:tcPr>
            <w:tcW w:w="9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(Historical)  </w:t>
            </w:r>
            <w:r>
              <w:rPr>
                <w:rFonts w:ascii="Times New Roman" w:cs="Times New Roman" w:eastAsia="Times New Roman" w:hAnsi="Times New Roman"/>
                <w:sz w:val="24"/>
                <w:szCs w:val="24"/>
                <w:b w:val="1"/>
                <w:bCs w:val="1"/>
                <w:color w:val="auto"/>
                <w:vertAlign w:val="subscript"/>
              </w:rPr>
              <w:t>​</w:t>
            </w:r>
          </w:p>
        </w:tc>
        <w:tc>
          <w:tcPr>
            <w:tcW w:w="10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Adjustments </w:t>
            </w:r>
            <w:r>
              <w:rPr>
                <w:rFonts w:ascii="Times New Roman" w:cs="Times New Roman" w:eastAsia="Times New Roman" w:hAnsi="Times New Roman"/>
                <w:sz w:val="24"/>
                <w:szCs w:val="24"/>
                <w:b w:val="1"/>
                <w:bCs w:val="1"/>
                <w:color w:val="auto"/>
                <w:vertAlign w:val="subscript"/>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78,000​​ ​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rPr>
              <w:t>—​​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48,375​​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0" w:type="dxa"/>
            <w:vAlign w:val="bottom"/>
          </w:tcPr>
          <w:p>
            <w:pPr>
              <w:spacing w:after="0"/>
              <w:rPr>
                <w:sz w:val="1"/>
                <w:szCs w:val="1"/>
                <w:color w:val="auto"/>
              </w:rPr>
            </w:pPr>
          </w:p>
        </w:tc>
      </w:tr>
      <w:tr>
        <w:trPr>
          <w:trHeight w:val="25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rPr>
              <w:t>292​​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66​​ ​​ ​</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rPr>
              <w:t>—​​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2,689​​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 ​</w:t>
            </w:r>
          </w:p>
        </w:tc>
        <w:tc>
          <w:tcPr>
            <w:tcW w:w="212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10,621​​ ​ ​ ​ 19,626 ​​ ​ </w:t>
            </w:r>
            <w:r>
              <w:rPr>
                <w:rFonts w:ascii="Times New Roman" w:cs="Times New Roman" w:eastAsia="Times New Roman" w:hAnsi="Times New Roman"/>
                <w:sz w:val="18"/>
                <w:szCs w:val="18"/>
                <w:b w:val="1"/>
                <w:bCs w:val="1"/>
                <w:color w:val="auto"/>
              </w:rPr>
              <w:t>BB</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2"/>
                <w:szCs w:val="22"/>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 ​​ ​</w:t>
            </w:r>
            <w:r>
              <w:rPr>
                <w:rFonts w:ascii="Times New Roman" w:cs="Times New Roman" w:eastAsia="Times New Roman" w:hAnsi="Times New Roman"/>
                <w:sz w:val="18"/>
                <w:szCs w:val="18"/>
                <w:b w:val="1"/>
                <w:bCs w:val="1"/>
                <w:color w:val="auto"/>
              </w:rPr>
              <w:t>CC</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00" w:type="dxa"/>
            <w:vAlign w:val="bottom"/>
            <w:gridSpan w:val="3"/>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9,848</w:t>
            </w: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w:t>
            </w:r>
          </w:p>
        </w:tc>
        <w:tc>
          <w:tcPr>
            <w:tcW w:w="72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​(23,626)</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20" w:type="dxa"/>
            <w:vAlign w:val="bottom"/>
            <w:vMerge w:val="continue"/>
            <w:shd w:val="clear" w:color="auto" w:fill="CCEEFF"/>
          </w:tcPr>
          <w:p>
            <w:pPr>
              <w:spacing w:after="0"/>
              <w:rPr>
                <w:sz w:val="22"/>
                <w:szCs w:val="22"/>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rPr>
              <w:t>—​​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DD</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42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34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 ​</w:t>
            </w:r>
          </w:p>
        </w:tc>
        <w:tc>
          <w:tcPr>
            <w:tcW w:w="140" w:type="dxa"/>
            <w:vAlign w:val="bottom"/>
            <w:shd w:val="clear" w:color="auto" w:fill="CCEEFF"/>
          </w:tcPr>
          <w:p>
            <w:pPr>
              <w:spacing w:after="0"/>
              <w:rPr>
                <w:sz w:val="4"/>
                <w:szCs w:val="4"/>
                <w:color w:val="auto"/>
              </w:rPr>
            </w:pPr>
          </w:p>
        </w:tc>
        <w:tc>
          <w:tcPr>
            <w:tcW w:w="500" w:type="dxa"/>
            <w:vAlign w:val="bottom"/>
            <w:tcBorders>
              <w:right w:val="single" w:sz="8" w:color="CCEEFF"/>
            </w:tcBorders>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3"/>
                <w:szCs w:val="23"/>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 ​ ​ ​(14,002)​​ ​ </w:t>
            </w:r>
            <w:r>
              <w:rPr>
                <w:rFonts w:ascii="Times New Roman" w:cs="Times New Roman" w:eastAsia="Times New Roman" w:hAnsi="Times New Roman"/>
                <w:sz w:val="18"/>
                <w:szCs w:val="18"/>
                <w:b w:val="1"/>
                <w:bCs w:val="1"/>
                <w:color w:val="auto"/>
              </w:rPr>
              <w:t>EE</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indebtedness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(1,645)​​ ​</w:t>
            </w:r>
            <w:r>
              <w:rPr>
                <w:rFonts w:ascii="Times New Roman" w:cs="Times New Roman" w:eastAsia="Times New Roman" w:hAnsi="Times New Roman"/>
                <w:sz w:val="18"/>
                <w:szCs w:val="18"/>
                <w:b w:val="1"/>
                <w:bCs w:val="1"/>
                <w:color w:val="auto"/>
              </w:rPr>
              <w:t>DD</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342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340" w:type="dxa"/>
            <w:vAlign w:val="bottom"/>
            <w:gridSpan w:val="2"/>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tcBorders>
              <w:right w:val="single" w:sz="8" w:color="CCEEFF"/>
            </w:tcBorders>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6"/>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AA</w:t>
            </w:r>
            <w:r>
              <w:rPr>
                <w:rFonts w:ascii="Times New Roman" w:cs="Times New Roman" w:eastAsia="Times New Roman" w:hAnsi="Times New Roman"/>
                <w:sz w:val="18"/>
                <w:szCs w:val="18"/>
                <w:color w:val="auto"/>
              </w:rPr>
              <w:t xml:space="preserve"> ​ ​​ ​</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rPr>
              <w:t>24​​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1460" w:type="dxa"/>
            <w:vAlign w:val="bottom"/>
            <w:gridSpan w:val="6"/>
            <w:vMerge w:val="continue"/>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80" w:type="dxa"/>
            <w:vAlign w:val="bottom"/>
            <w:gridSpan w:val="3"/>
            <w:shd w:val="clear" w:color="auto" w:fill="CCEEFF"/>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1180" w:type="dxa"/>
            <w:vAlign w:val="bottom"/>
            <w:gridSpan w:val="4"/>
            <w:shd w:val="clear" w:color="auto" w:fill="CCEEFF"/>
          </w:tcPr>
          <w:p>
            <w:pPr>
              <w:jc w:val="right"/>
              <w:ind w:right="54"/>
              <w:spacing w:after="0" w:line="283" w:lineRule="exact"/>
              <w:rPr>
                <w:sz w:val="20"/>
                <w:szCs w:val="20"/>
                <w:color w:val="auto"/>
              </w:rPr>
            </w:pPr>
            <w:r>
              <w:rPr>
                <w:rFonts w:ascii="Times New Roman" w:cs="Times New Roman" w:eastAsia="Times New Roman" w:hAnsi="Times New Roman"/>
                <w:sz w:val="17"/>
                <w:szCs w:val="17"/>
                <w:color w:val="auto"/>
              </w:rPr>
              <w:t>3,517</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p>
        </w:tc>
        <w:tc>
          <w:tcPr>
            <w:tcW w:w="1100" w:type="dxa"/>
            <w:vAlign w:val="bottom"/>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72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18"/>
                <w:szCs w:val="18"/>
                <w:color w:val="auto"/>
              </w:rPr>
            </w:pP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​(15,152)</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1,910​​ ​​ ​</w:t>
            </w:r>
          </w:p>
        </w:tc>
        <w:tc>
          <w:tcPr>
            <w:tcW w:w="1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 ​ ​ ​(38,778)​​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8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gridSpan w:val="3"/>
          </w:tcPr>
          <w:p>
            <w:pPr>
              <w:ind w:left="4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1180" w:type="dxa"/>
            <w:vAlign w:val="bottom"/>
            <w:gridSpan w:val="4"/>
          </w:tcPr>
          <w:p>
            <w:pPr>
              <w:jc w:val="right"/>
              <w:ind w:right="54"/>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110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17"/>
                <w:szCs w:val="17"/>
                <w:color w:val="auto"/>
              </w:rPr>
              <w:t>1,611</w:t>
            </w:r>
            <w:r>
              <w:rPr>
                <w:rFonts w:ascii="Times New Roman" w:cs="Times New Roman" w:eastAsia="Times New Roman" w:hAnsi="Times New Roman"/>
                <w:sz w:val="32"/>
                <w:szCs w:val="32"/>
                <w:color w:val="auto"/>
                <w:vertAlign w:val="subscript"/>
              </w:rPr>
              <w:t>​​ ​ ​</w:t>
            </w:r>
            <w:r>
              <w:rPr>
                <w:rFonts w:ascii="Times New Roman" w:cs="Times New Roman" w:eastAsia="Times New Roman" w:hAnsi="Times New Roman"/>
                <w:sz w:val="17"/>
                <w:szCs w:val="17"/>
                <w:color w:val="auto"/>
              </w:rPr>
              <w:t xml:space="preserve"> ​</w:t>
            </w:r>
          </w:p>
        </w:tc>
        <w:tc>
          <w:tcPr>
            <w:tcW w:w="72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72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7"/>
                <w:szCs w:val="17"/>
                <w:color w:val="auto"/>
              </w:rPr>
              <w:t>1,611</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1,910</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820" w:type="dxa"/>
            <w:vAlign w:val="bottom"/>
            <w:gridSpan w:val="6"/>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4,338</w:t>
            </w: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(38,778)</w:t>
            </w:r>
            <w:r>
              <w:rPr>
                <w:rFonts w:ascii="Times New Roman" w:cs="Times New Roman" w:eastAsia="Times New Roman" w:hAnsi="Times New Roman"/>
                <w:sz w:val="30"/>
                <w:szCs w:val="30"/>
                <w:color w:val="auto"/>
                <w:vertAlign w:val="subscript"/>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60" w:type="dxa"/>
            <w:vAlign w:val="bottom"/>
          </w:tcPr>
          <w:p>
            <w:pPr>
              <w:jc w:val="right"/>
              <w:spacing w:after="0" w:line="263"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20" w:type="dxa"/>
            <w:vAlign w:val="bottom"/>
            <w:vMerge w:val="continue"/>
          </w:tcPr>
          <w:p>
            <w:pPr>
              <w:spacing w:after="0"/>
              <w:rPr>
                <w:sz w:val="17"/>
                <w:szCs w:val="17"/>
                <w:color w:val="auto"/>
              </w:rPr>
            </w:pPr>
          </w:p>
        </w:tc>
        <w:tc>
          <w:tcPr>
            <w:tcW w:w="38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tcPr>
          <w:p>
            <w:pPr>
              <w:spacing w:after="0"/>
              <w:rPr>
                <w:sz w:val="17"/>
                <w:szCs w:val="17"/>
                <w:color w:val="auto"/>
              </w:rPr>
            </w:pPr>
          </w:p>
        </w:tc>
        <w:tc>
          <w:tcPr>
            <w:tcW w:w="520" w:type="dxa"/>
            <w:vAlign w:val="bottom"/>
            <w:gridSpan w:val="3"/>
          </w:tcPr>
          <w:p>
            <w:pPr>
              <w:jc w:val="right"/>
              <w:ind w:right="54"/>
              <w:spacing w:after="0" w:line="203" w:lineRule="exact"/>
              <w:rPr>
                <w:sz w:val="20"/>
                <w:szCs w:val="20"/>
                <w:color w:val="auto"/>
              </w:rPr>
            </w:pPr>
            <w:r>
              <w:rPr>
                <w:rFonts w:ascii="Times New Roman" w:cs="Times New Roman" w:eastAsia="Times New Roman" w:hAnsi="Times New Roman"/>
                <w:sz w:val="18"/>
                <w:szCs w:val="18"/>
                <w:b w:val="1"/>
                <w:bCs w:val="1"/>
                <w:color w:val="auto"/>
              </w:rPr>
              <w:t>​​ ​​ ​</w:t>
            </w:r>
          </w:p>
        </w:tc>
        <w:tc>
          <w:tcPr>
            <w:tcW w:w="620" w:type="dxa"/>
            <w:vAlign w:val="bottom"/>
          </w:tcPr>
          <w:p>
            <w:pPr>
              <w:spacing w:after="0"/>
              <w:rPr>
                <w:sz w:val="17"/>
                <w:szCs w:val="17"/>
                <w:color w:val="auto"/>
              </w:rPr>
            </w:pPr>
          </w:p>
        </w:tc>
        <w:tc>
          <w:tcPr>
            <w:tcW w:w="4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 ​ ​</w:t>
            </w:r>
          </w:p>
        </w:tc>
        <w:tc>
          <w:tcPr>
            <w:tcW w:w="50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6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​7,732,021​​ ​​ ​20,101,129​​ ​ ​ ​</w:t>
            </w:r>
          </w:p>
        </w:tc>
        <w:tc>
          <w:tcPr>
            <w:tcW w:w="5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80" w:type="dxa"/>
            <w:vAlign w:val="bottom"/>
          </w:tcPr>
          <w:p>
            <w:pPr>
              <w:spacing w:after="0"/>
              <w:rPr>
                <w:sz w:val="23"/>
                <w:szCs w:val="23"/>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0.15​​ ​ ​ ​</w:t>
            </w:r>
          </w:p>
        </w:tc>
        <w:tc>
          <w:tcPr>
            <w:tcW w:w="5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6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​7,991,952​​ ​​ ​21,931,108​​ ​ ​ ​</w:t>
            </w:r>
          </w:p>
        </w:tc>
        <w:tc>
          <w:tcPr>
            <w:tcW w:w="5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80" w:type="dxa"/>
            <w:vAlign w:val="bottom"/>
          </w:tcPr>
          <w:p>
            <w:pPr>
              <w:spacing w:after="0"/>
              <w:rPr>
                <w:sz w:val="23"/>
                <w:szCs w:val="23"/>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0.13​​ ​ ​ ​</w:t>
            </w:r>
          </w:p>
        </w:tc>
        <w:tc>
          <w:tcPr>
            <w:tcW w:w="5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​42,815,586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spacing w:after="0"/>
              <w:rPr>
                <w:sz w:val="24"/>
                <w:szCs w:val="24"/>
                <w:color w:val="auto"/>
              </w:rPr>
            </w:pPr>
          </w:p>
        </w:tc>
        <w:tc>
          <w:tcPr>
            <w:tcW w:w="520" w:type="dxa"/>
            <w:vAlign w:val="bottom"/>
            <w:gridSpan w:val="3"/>
          </w:tcPr>
          <w:p>
            <w:pPr>
              <w:jc w:val="right"/>
              <w:ind w:right="54"/>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-1816735</wp:posOffset>
            </wp:positionV>
            <wp:extent cx="4889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-1816735</wp:posOffset>
            </wp:positionV>
            <wp:extent cx="1714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-1816735</wp:posOffset>
            </wp:positionV>
            <wp:extent cx="29832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83230" cy="889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-2176780</wp:posOffset>
            </wp:positionV>
            <wp:extent cx="488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-2176780</wp:posOffset>
            </wp:positionV>
            <wp:extent cx="171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29832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-4062730</wp:posOffset>
            </wp:positionV>
            <wp:extent cx="4889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-4062730</wp:posOffset>
            </wp:positionV>
            <wp:extent cx="171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-4062730</wp:posOffset>
            </wp:positionV>
            <wp:extent cx="29832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-5734050</wp:posOffset>
            </wp:positionV>
            <wp:extent cx="4457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-5734050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-5734050</wp:posOffset>
            </wp:positionV>
            <wp:extent cx="29743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48"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The Business Combination has been accounted for as a reverse recapitalization, with no goodwill or other intangible assets recorded, in accordance with GAAP. Under this method of accounting, CNTQ has been treated as the “accounting acquiree” and Legacy Dragonfly as the “accounting acquirer” for financial reporting purposes. Accordingly, for accounting purposes, the Business Combination has been treated as the equivalent of Legacy Dragonfly issuing shares for the net assets of CNTQ, followed by a recapitalization. The net assets of Legacy Dragonfly have been stated at historical cost. Operations prior to the Business Combination are those of Legacy Dragonfly.</w:t>
      </w:r>
    </w:p>
    <w:p>
      <w:pPr>
        <w:spacing w:after="0" w:line="107"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gives effect to the Business Combination and related transactions as if they occurred on September 30, 2022. The unaudited pro forma condensed combined statements of operations for the nine months ended September 30, 2022 and for the year ended December 31, 2021 give effect to the Business Combination and related transactions as if they occurred on January 1, 2021. These periods are presented on the basis that Legacy Dragonfly is the acquirer for accounting purposes.</w:t>
      </w:r>
    </w:p>
    <w:p>
      <w:pPr>
        <w:spacing w:after="0" w:line="105" w:lineRule="exact"/>
        <w:rPr>
          <w:sz w:val="20"/>
          <w:szCs w:val="20"/>
          <w:color w:val="auto"/>
        </w:rPr>
      </w:pPr>
    </w:p>
    <w:p>
      <w:pPr>
        <w:ind w:left="1260" w:right="459" w:firstLine="360"/>
        <w:spacing w:after="0" w:line="233"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and the related transaction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The Company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1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 combination company. They should be read in conjunction with the historical financial statements and notes thereto of CNTQ and Legacy Dragonfly.</w:t>
      </w:r>
    </w:p>
    <w:p>
      <w:pPr>
        <w:spacing w:after="0" w:line="3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Accounting Policies and Reclassifications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Upon consummation of the Business Combination,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Conversion</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each share of Legacy Dragonfly’s pre-merger preferred stock has been converted into one share of Dragonfly common stock. Upon the Closing (after giving effect to the conversion of Legacy Dragonfly preferred stock into Legacy Dragonfly common stock), all shares of Legacy Dragonfly common stock outstanding have been converted into shares of Dragonfly common stock.</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 Option Conversion</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 consultants using a fair value method which requires the recognition of compensation expense for costs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related to all stock-based payments, including stock options. As of the Effective Time, each Legacy Dragonfly option prior to the business combination that was then outstanding has been converted into an option to purchase shares of Dragonfly common stock upon substantially the same terms and conditions as were in effect with respect to such option immediately prior to the Effective Time, subject to specific terms and conditions. As the Legacy Dragonfly post-merger options contain only service-based vesting conditions, management will recognize the incremental fair value related to the portion of the fully vested post- merger option and subject to service-based vesting conditions as consideration transferred. As there was no change in the terms of the options, management does not expect to recognize any incremental fair value.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Adjustments to Unaudited Pro Forma Condensed Combined Financial Information</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and has been prepared for informational purposes only.</w:t>
      </w:r>
    </w:p>
    <w:p>
      <w:pPr>
        <w:spacing w:after="0" w:line="10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following unaudited pro forma condensed combined financial information has been prepared in accordance with Article 11 of Regulation S-X as amended by the final rule, Release No. 33 -10786 “Amendments to Financial Disclosures about Acquired and Disposed Businesses.” Release No. 33-10786 replaces the existing pro forma adjustment criteria with simplified requirements to depict the accounting for the transaction (“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Dragonfly has elected not to present Management’s Adjustments and will only be 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Accounting Adjustments in the unaudited pro forma condensed combined financial information. CNTQ and Legacy Dragonfly have not had any historical relationship prior to the Business Combination. Accordingly, no pro forma adjustments were required to eliminate activities between the companies.</w:t>
      </w:r>
    </w:p>
    <w:p>
      <w:pPr>
        <w:spacing w:after="0" w:line="118"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Legacy Dragonfly’s ordinary shares outstanding, assuming the Business Combination and related transactions occurred on January 1, 2021.</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30, 2022 are as follows:</w:t>
      </w:r>
    </w:p>
    <w:p>
      <w:pPr>
        <w:spacing w:after="0" w:line="124" w:lineRule="exact"/>
        <w:rPr>
          <w:sz w:val="20"/>
          <w:szCs w:val="20"/>
          <w:color w:val="auto"/>
        </w:rPr>
      </w:pPr>
    </w:p>
    <w:p>
      <w:pPr>
        <w:ind w:left="1980" w:right="419" w:hanging="360"/>
        <w:spacing w:after="0" w:line="266"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$32.0 million held in the Trust Account, inclusive of interest earned on the Trust Account, to cash and cash equivalents that is available at the Closing, prior to the additional redemptions before the closing.</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52"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proceeds of approximately $73.5 million pursuant to the Term Loan. The Term Loan involves the issuance of $75.0 million in principal amount of term loans (with an original issue discount of 3%) and the related issuance of the Term Loan Warrants (i.e., the Penny Warrants and the $10 Warrants) for net proceeds of approximately $73.5 million. Until April 1, 2023, interest will accrue on all outstanding principal amount of the term loans at 13.5% per annum, payable quarterly and partially paid-in-kind. The Company preliminarily determined that the Term Loan Warrants will be liability-classified instruments to be recognized as warrant liabilities on the balance sheet based on their fair values at issuance, and as an offset to the debt instrument to be amortized over the life of the debt instrument, with changes in fair value of the warrant liabilities being recognized within earnings at each reporting period. If the Term Loan Warrants are determined to be equity-classified instruments, the Term Loan Warrants would be recognized within equity and an offset to the debt instrument based on their relative fair values. Certain transaction costs totaling $1.5 million have been allocated to these liability-classified instruments and have been expensed (see adjustment C). For purposes of the unaudited pro forma condensed combined balance sheet, the preliminary fair value of the Term Loan Warrants of $52.9 million has been recorded as warrant liabilities with an offset against the debt as debt issuance costs. The fair value of the Term Loan Warrants was based on a Black-Scholes simulation with key inputs and</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58" w:lineRule="auto"/>
        <w:rPr>
          <w:sz w:val="20"/>
          <w:szCs w:val="20"/>
          <w:color w:val="auto"/>
        </w:rPr>
      </w:pPr>
      <w:r>
        <w:rPr>
          <w:rFonts w:ascii="Times New Roman" w:cs="Times New Roman" w:eastAsia="Times New Roman" w:hAnsi="Times New Roman"/>
          <w:sz w:val="18"/>
          <w:szCs w:val="18"/>
          <w:color w:val="auto"/>
        </w:rPr>
        <w:t>assumptions such as stock price, term, dividend yield, risk-free rate, and volatility. An additional $2.1 million of transaction costs have been allocated to the Term Loan as debt issuance costs offset against the debt (see adjustment C).</w:t>
      </w:r>
    </w:p>
    <w:p>
      <w:pPr>
        <w:spacing w:after="0" w:line="48" w:lineRule="exact"/>
        <w:rPr>
          <w:sz w:val="20"/>
          <w:szCs w:val="20"/>
          <w:color w:val="auto"/>
        </w:rPr>
      </w:pPr>
    </w:p>
    <w:p>
      <w:pPr>
        <w:ind w:left="1980" w:right="439" w:hanging="360"/>
        <w:spacing w:after="0" w:line="251"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CNTQ related party promissory note of $0.4 million at closing, and payment of estimated transaction costs of $31.7 million in relation to the Business Combination, of which $28.9 million was paid at closing, and $2.7 million was paid prior to closing and included within other current assets of Legacy Dragonfly. Certain transaction costs totaling $0.7 million have been identified as direct and incremental to the execution of the Term Loan and Term Loan Warrants, of which $0.4 million was recognized as an offset against the debt, and $0.3 million was expensed based on allocation to these instruments based on their relative fair values. Certain transaction costs totaling $12.8 million, which include legal, accounting, and other services incurred related to the Business Combination have been allocated between the following financial instruments issued and assumed in the Business Combination based on their relative fair values at Closing: shares of CNTQ Common Stock, CNTQ Warrants, the Earnout Shares, the Term Loan, and the Term Loan Warrants. The allocation of these costs resulted in $1.7 million recognized as debt issuance costs offset against the Term Loan, $9.9 million recognized as equity issuance costs offset to additional paid-in capital, and $1.2 million recognized within expense. CNTQ incurred an estimated $18.1 million, inclusive of $4.1 million pursuant to a Business Combination Marketing Agreement with CCM, $7.1 million in legal costs, and $6.8 million of printing, legal, financial advisory, insurance, and accounting services including the Duff &amp; Phelps fairness opinion, all of which were expensed and recognized to CNTQ’s accumulated deficit and reclassified to additional paid-in capital at Closing to reflect the reclassification of CNTQ’s historical accumulated deficit. Dragonfly continues to evaluate eligible costs that may need to be allocated to the respective instruments issued or assumed pursuant to the Business Combination which could impact amounts reported as equity or debt issuance costs.</w:t>
      </w:r>
    </w:p>
    <w:p>
      <w:pPr>
        <w:spacing w:after="0" w:line="30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repayment of outstanding principal indebtedness of Legacy Dragonfly totaling</w:t>
      </w:r>
    </w:p>
    <w:p>
      <w:pPr>
        <w:spacing w:after="0" w:line="27" w:lineRule="exact"/>
        <w:rPr>
          <w:rFonts w:ascii="Times New Roman" w:cs="Times New Roman" w:eastAsia="Times New Roman" w:hAnsi="Times New Roman"/>
          <w:sz w:val="18"/>
          <w:szCs w:val="18"/>
          <w:color w:val="auto"/>
        </w:rPr>
      </w:pPr>
    </w:p>
    <w:p>
      <w:pPr>
        <w:ind w:left="1980" w:right="7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 million and the write off of unamortized debt discount and other settlement fees incurred totaling $1.6 million.</w:t>
      </w:r>
    </w:p>
    <w:p>
      <w:pPr>
        <w:spacing w:after="0" w:line="73"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$31.7 million of common stock subject to possible redemption to permanent equity.</w:t>
      </w:r>
    </w:p>
    <w:p>
      <w:pPr>
        <w:spacing w:after="0" w:line="40" w:lineRule="exact"/>
        <w:rPr>
          <w:rFonts w:ascii="Times New Roman" w:cs="Times New Roman" w:eastAsia="Times New Roman" w:hAnsi="Times New Roman"/>
          <w:sz w:val="18"/>
          <w:szCs w:val="18"/>
          <w:color w:val="auto"/>
        </w:rPr>
      </w:pPr>
    </w:p>
    <w:p>
      <w:pPr>
        <w:ind w:left="1980" w:right="779" w:hanging="360"/>
        <w:spacing w:after="0" w:line="266"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recapitalization of Legacy Dragonfly’s outstanding equity as a result of the reverse recapitalization and the issuance of common stock to Legacy Dragonfly Equity Holders as consideration for the reverse recapitalization.</w:t>
      </w:r>
    </w:p>
    <w:p>
      <w:pPr>
        <w:spacing w:after="0" w:line="54" w:lineRule="exact"/>
        <w:rPr>
          <w:rFonts w:ascii="Times New Roman" w:cs="Times New Roman" w:eastAsia="Times New Roman" w:hAnsi="Times New Roman"/>
          <w:sz w:val="18"/>
          <w:szCs w:val="18"/>
          <w:color w:val="auto"/>
        </w:rPr>
      </w:pPr>
    </w:p>
    <w:p>
      <w:pPr>
        <w:ind w:left="1980" w:right="899" w:hanging="360"/>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CNTQ’s historical accumulated deficit into additional paid-in capital as part of the reverse recapitalization.</w:t>
      </w:r>
    </w:p>
    <w:p>
      <w:pPr>
        <w:spacing w:after="0" w:line="40" w:lineRule="exact"/>
        <w:rPr>
          <w:rFonts w:ascii="Times New Roman" w:cs="Times New Roman" w:eastAsia="Times New Roman" w:hAnsi="Times New Roman"/>
          <w:sz w:val="18"/>
          <w:szCs w:val="18"/>
          <w:color w:val="auto"/>
        </w:rPr>
      </w:pPr>
    </w:p>
    <w:p>
      <w:pPr>
        <w:ind w:left="1980" w:right="479" w:hanging="360"/>
        <w:spacing w:after="0" w:line="259"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Legacy Dragonfly, as well as the amount of public warrants exercised following completion of the Business Combination.</w:t>
      </w:r>
    </w:p>
    <w:p>
      <w:pPr>
        <w:spacing w:after="0" w:line="281" w:lineRule="exact"/>
        <w:rPr>
          <w:rFonts w:ascii="Times New Roman" w:cs="Times New Roman" w:eastAsia="Times New Roman" w:hAnsi="Times New Roman"/>
          <w:sz w:val="18"/>
          <w:szCs w:val="18"/>
          <w:color w:val="auto"/>
        </w:rPr>
      </w:pPr>
    </w:p>
    <w:p>
      <w:pPr>
        <w:ind w:left="1980" w:right="879" w:hanging="360"/>
        <w:spacing w:after="0" w:line="261"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obligation to issue shares of Dragonfly common stock with a discount of up to $1.0 million over the term of the ChEF Equity Facility, payable by way of a reduction of the VWAP Purchase Price. Dragonfly may terminate the facility at any time subject to the full payment of a commitment fee of $1.0 million.</w:t>
      </w:r>
    </w:p>
    <w:p>
      <w:pPr>
        <w:spacing w:after="0" w:line="58"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additional redemptions of 2,031,910 Public Shares prior to closing, for aggregate payments to redeeming Public Shareholders of $21.0 million at a redemption price of $10.34 per share allocated to common stock and additional paid-in capital using par value $0.001 per share.</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148"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nine months ended September 30, 2022 and the year ended December 31, 2021 are as follows:</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AA. Reflects elimination of investment income on the Trust Account.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79" w:hanging="360"/>
        <w:spacing w:after="0" w:line="266"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transaction costs of $19.6 million as if incurred on January 1, 2021, the date the Business Combination occurred for the purposes of the unaudited pro forma condensed combined statement of operations. This is a non-recurring item.</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12"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expense recognized on Legacy Dragonfly indebtedness and the recognition of a loss on extinguishment of Legacy Dragonfly indebtedness as if the Business Combination closed, and the indebtedness was settled, on January 1, 2021 (see adjustment D).</w:t>
      </w:r>
    </w:p>
    <w:p>
      <w:pPr>
        <w:spacing w:after="0" w:line="94"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interest expense on the Term Loan as if the facility was executed on January 1, 2021, consisting of $7.6 million and $10.1 million of interest expense for the</w:t>
      </w:r>
    </w:p>
    <w:p>
      <w:pPr>
        <w:ind w:left="198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months ended September 30, 2022 and the year ended December 31, 2021, respectively, calculated using an approximated rate of 13.50% per annum (as further detailed in the Term Loan Agreement), and $5.2 million and $3.9 million of amortization of debt issuance costs related to the Term Loan for the for the nine months ended September 30, 2022 and the year ended December 31, 2021, respectively. The amortization of debt issuance costs was calculated using an effective interest rate of 70.1% based on an estimated initial book value of the Term Loan of $18.4 million after deducting the proceeds allocated to the Term Loan Warrants of $52.9 million, allocated transaction costs of $2.1 million, and a $1.5 million original issue discount (or 3% of proceeds).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Net Loss per Share</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4"/>
                <w:szCs w:val="14"/>
                <w:color w:val="auto"/>
              </w:rPr>
            </w:pPr>
          </w:p>
        </w:tc>
      </w:tr>
      <w:tr>
        <w:trPr>
          <w:trHeight w:val="200"/>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 September 30, 2022</w:t>
            </w:r>
            <w:r>
              <w:rPr>
                <w:rFonts w:ascii="Times New Roman" w:cs="Times New Roman" w:eastAsia="Times New Roman" w:hAnsi="Times New Roman"/>
                <w:sz w:val="17"/>
                <w:szCs w:val="17"/>
                <w:b w:val="1"/>
                <w:bCs w:val="1"/>
                <w:color w:val="auto"/>
                <w:vertAlign w:val="superscript"/>
              </w:rPr>
              <w:t>(1)</w:t>
            </w: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 December 31, 2021</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5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(18,392)</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(32,530)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8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r>
              <w:rPr>
                <w:rFonts w:ascii="Times New Roman" w:cs="Times New Roman" w:eastAsia="Times New Roman" w:hAnsi="Times New Roman"/>
                <w:sz w:val="23"/>
                <w:szCs w:val="23"/>
                <w:color w:val="auto"/>
                <w:vertAlign w:val="superscript"/>
              </w:rPr>
              <w:t>(2)</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​42,815,586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​42,815,586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 basic and diluted</w:t>
            </w: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8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i w:val="1"/>
                <w:iCs w:val="1"/>
                <w:color w:val="auto"/>
              </w:rPr>
              <w:t>Excluded securities:</w:t>
            </w:r>
            <w:r>
              <w:rPr>
                <w:rFonts w:ascii="Times New Roman" w:cs="Times New Roman" w:eastAsia="Times New Roman" w:hAnsi="Times New Roman"/>
                <w:sz w:val="23"/>
                <w:szCs w:val="23"/>
                <w:i w:val="1"/>
                <w:iCs w:val="1"/>
                <w:color w:val="auto"/>
                <w:vertAlign w:val="superscript"/>
              </w:rPr>
              <w:t>(3)</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 ​</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Earnout Shares</w:t>
            </w: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​40,000,000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​40,000,000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 9,487,500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 9,487,500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Warrants</w:t>
            </w: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4,627,858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4,627,858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Dragonfly Options</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 3,664,975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 3,664,975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Penny Warrants</w:t>
            </w: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2,593,056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2,593,056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 Warrants</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 1,600,000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 1,600,000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-1482090</wp:posOffset>
            </wp:positionV>
            <wp:extent cx="43973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973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579" w:hanging="360"/>
        <w:spacing w:after="0" w:line="282"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income (loss) per share includes the related pro forma adjustments as referred to within the section “Unaudited Pro Forma Condensed Combined Financial Information.”</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after Closing pursuant to the ChEF Equity Facility.</w:t>
      </w:r>
    </w:p>
    <w:p>
      <w:pPr>
        <w:spacing w:after="0" w:line="90" w:lineRule="exact"/>
        <w:rPr>
          <w:rFonts w:ascii="Times New Roman" w:cs="Times New Roman" w:eastAsia="Times New Roman" w:hAnsi="Times New Roman"/>
          <w:sz w:val="18"/>
          <w:szCs w:val="18"/>
          <w:color w:val="auto"/>
        </w:rPr>
      </w:pPr>
    </w:p>
    <w:p>
      <w:pPr>
        <w:ind w:left="1620" w:right="479" w:hanging="360"/>
        <w:spacing w:after="0" w:line="261"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Formed in 2012 and based in Reno, Nevada, we are a manufacturer of non-toxic deep cycle lithium-ion batteries that caters to customers in the RV, marine vessel and off-grid residence industries, with disruptive solid-state cell technology currently under development. We believe that green energy is more than just a trend.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09"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other companies, which still incorporate less stable components in their chemistries (such as sulfide glasses, which are chemically unstable and form hydrogen sulfide when exposed to air).</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 dual-brand strategy,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 to consumers, while the Dragonfly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popularity and brand recognition of Battle Born, these batteries have become increasingly popular with our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OEM customers. Based on the extensive research and optimization undertaken by our team, we have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developed a line of products with features including a proprietary battery management system and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internal battery heating feature for cold temperatures, and we expect to launch our unique battery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communication system during the first half of 2023. We currently source the LFP cells incorporated into our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batteries from a limited number of carefully selected suppliers that can meet our demanding quality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standards and with whom we have developed long-term relationships.</w:t>
      </w:r>
    </w:p>
    <w:p>
      <w:pPr>
        <w:spacing w:after="0" w:line="153"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direct-to-consumer sales in the RV market. Since 2020, we have sold over 198,000 batteries. For the nine months ended September 30, 2021 and 2022, we sold 59,082 and 72,873 batteries, respectively, and had $57.8 million and $66.0 million in net sales, respectively. For the years ended December 31, 2020 and 2021, we sold 51,434 and 74,652 batteries, respectively, and had $47.2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has agreed to fulfill certain of its LFP battery requirements exclusively through us for at least one year (with potential annual renewals), THOR, who has made a strategic investment in our business and with whom we intend to enter into a future, mutually agreed exclusive two-year North American distribution agreement (with potential annual renewals), Airstream, and REV, and we are in ongoing discussions with a number of additional RV OEMS to further increase adoption of our products.</w:t>
      </w:r>
    </w:p>
    <w:p>
      <w:pPr>
        <w:spacing w:after="0" w:line="345"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We currently offer a line of batteries across our two brands, each differentiated by size, power and capacity, consisting of eight different models, four of which come with a heated option. The following chart highlights the key features of each of our models:</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569595</wp:posOffset>
            </wp:positionV>
            <wp:extent cx="5143500" cy="2082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0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new 99,000 square foot facility,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$500 million in manufacturing sales capacity once fully utilized.</w:t>
      </w:r>
    </w:p>
    <w:p>
      <w:pPr>
        <w:spacing w:after="0" w:line="126"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We currently focus on three main end markets: RVs, marine vessels and off- 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14"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CEO, is currently developing the next generation of LFP solid- state cells. Running in parallel with our current business operations, to date we have fully self-funded our solid-state R&amp;D efforts.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 -like dendrites inside the cell and lacks the cyclability of an intercalation anode. Our design allows for a much safer, more efficient cell that we believe</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58" w:lineRule="auto"/>
        <w:rPr>
          <w:sz w:val="20"/>
          <w:szCs w:val="20"/>
          <w:color w:val="auto"/>
        </w:rPr>
      </w:pPr>
      <w:r>
        <w:rPr>
          <w:rFonts w:ascii="Times New Roman" w:cs="Times New Roman" w:eastAsia="Times New Roman" w:hAnsi="Times New Roman"/>
          <w:sz w:val="18"/>
          <w:szCs w:val="18"/>
          <w:color w:val="auto"/>
        </w:rPr>
        <w:t>will be a key 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10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the world transitions towards greater clean energy use and energy storage, we will continue to deliver on our mission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65" w:lineRule="exact"/>
        <w:rPr>
          <w:sz w:val="20"/>
          <w:szCs w:val="20"/>
          <w:color w:val="auto"/>
        </w:rPr>
      </w:pPr>
    </w:p>
    <w:p>
      <w:pPr>
        <w:ind w:left="1800" w:right="539" w:hanging="180"/>
        <w:spacing w:after="0" w:line="254"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Environmentally Friendly, Socially Responsible and Safer</w:t>
      </w:r>
      <w:r>
        <w:rPr>
          <w:rFonts w:ascii="Times New Roman" w:cs="Times New Roman" w:eastAsia="Times New Roman" w:hAnsi="Times New Roman"/>
          <w:sz w:val="18"/>
          <w:szCs w:val="18"/>
          <w:color w:val="auto"/>
        </w:rPr>
        <w:t>. Lead-acid batteries that are not recycled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disposed of properly 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and are 100% environmentally friendly.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293"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Longer Lifespan</w:t>
      </w:r>
      <w:r>
        <w:rPr>
          <w:rFonts w:ascii="Times New Roman" w:cs="Times New Roman" w:eastAsia="Times New Roman" w:hAnsi="Times New Roman"/>
          <w:sz w:val="18"/>
          <w:szCs w:val="18"/>
          <w:color w:val="auto"/>
        </w:rPr>
        <w:t>. Lithium-ion batteries have longer lifecycles compared to lead-acid batteries. LFP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are able to cycle (i.e.,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 acid batteries, which have a one- to two-year useful life in most applications.</w:t>
      </w:r>
    </w:p>
    <w:p>
      <w:pPr>
        <w:spacing w:after="0" w:line="77"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 and Performance</w:t>
      </w:r>
      <w:r>
        <w:rPr>
          <w:rFonts w:ascii="Times New Roman" w:cs="Times New Roman" w:eastAsia="Times New Roman" w:hAnsi="Times New Roman"/>
          <w:sz w:val="18"/>
          <w:szCs w:val="18"/>
          <w:color w:val="auto"/>
        </w:rPr>
        <w:t>. As new technologies evolve and people consume more electricity,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importance of battery power 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292"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Charging</w:t>
      </w:r>
      <w:r>
        <w:rPr>
          <w:rFonts w:ascii="Times New Roman" w:cs="Times New Roman" w:eastAsia="Times New Roman" w:hAnsi="Times New Roman"/>
          <w:sz w:val="18"/>
          <w:szCs w:val="18"/>
          <w:color w:val="auto"/>
        </w:rPr>
        <w:t>. Lead-acid batteries were the first rechargeable batteries on the market. However,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advancements in energy density (i.e., the amount of energy stored by mass volume) and charge/ discharge rates, lithium-ion batteries now significantly outperform traditional lead-acid batteries.</w:t>
      </w:r>
    </w:p>
    <w:p>
      <w:pPr>
        <w:ind w:left="1800" w:right="5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76" w:lineRule="exact"/>
        <w:rPr>
          <w:rFonts w:ascii="Times New Roman" w:cs="Times New Roman" w:eastAsia="Times New Roman" w:hAnsi="Times New Roman"/>
          <w:sz w:val="18"/>
          <w:szCs w:val="18"/>
          <w:color w:val="auto"/>
        </w:rPr>
      </w:pPr>
    </w:p>
    <w:p>
      <w:pPr>
        <w:ind w:left="1800" w:right="599" w:hanging="180"/>
        <w:spacing w:after="0" w:line="28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Maintenance-Free</w:t>
      </w:r>
      <w:r>
        <w:rPr>
          <w:rFonts w:ascii="Times New Roman" w:cs="Times New Roman" w:eastAsia="Times New Roman" w:hAnsi="Times New Roman"/>
          <w:sz w:val="18"/>
          <w:szCs w:val="18"/>
          <w:color w:val="auto"/>
        </w:rPr>
        <w:t>. LFP batteries provide the benefit of being a maintenance-free option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lead-acid batteries. Unlike lead-acid batteries which have no battery management system to</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69" w:lineRule="auto"/>
        <w:rPr>
          <w:sz w:val="20"/>
          <w:szCs w:val="20"/>
          <w:color w:val="auto"/>
        </w:rPr>
      </w:pPr>
      <w:r>
        <w:rPr>
          <w:rFonts w:ascii="Times New Roman" w:cs="Times New Roman" w:eastAsia="Times New Roman" w:hAnsi="Times New Roman"/>
          <w:sz w:val="18"/>
          <w:szCs w:val="18"/>
          <w:color w:val="auto"/>
        </w:rPr>
        <w:t>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End Markets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156" w:lineRule="exact"/>
        <w:rPr>
          <w:sz w:val="20"/>
          <w:szCs w:val="20"/>
          <w:color w:val="auto"/>
        </w:rPr>
      </w:pPr>
    </w:p>
    <w:p>
      <w:pPr>
        <w:ind w:left="1260" w:right="419" w:firstLine="360"/>
        <w:spacing w:after="0" w:line="302"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46" w:lineRule="exact"/>
        <w:rPr>
          <w:sz w:val="20"/>
          <w:szCs w:val="20"/>
          <w:color w:val="auto"/>
        </w:rPr>
      </w:pPr>
    </w:p>
    <w:p>
      <w:pPr>
        <w:jc w:val="both"/>
        <w:ind w:left="1800" w:right="459" w:hanging="180"/>
        <w:spacing w:after="0" w:line="259"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Recreational Vehicles</w:t>
      </w:r>
      <w:r>
        <w:rPr>
          <w:rFonts w:ascii="Times New Roman" w:cs="Times New Roman" w:eastAsia="Times New Roman" w:hAnsi="Times New Roman"/>
          <w:sz w:val="18"/>
          <w:szCs w:val="18"/>
          <w:color w:val="auto"/>
        </w:rPr>
        <w:t>. The growth of the RV market is expected to continue to drive demand for LFP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storage batteries. According to the RV 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there are over 11 million RVs on the road in America and 9.6 million households intend to purchase an RV within the next</w:t>
      </w:r>
    </w:p>
    <w:p>
      <w:pPr>
        <w:ind w:left="180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6.8% from 2012 to 2022, with RV shipments estimated to be over 549,900 in 2022. The need for greater power and power storage capabilities to power interiors is driving a shift towards the use of LFP batteries. Incumbent lead-acid batteries are heavy, take up a lot of space, have inefficient power discharge and require ventilation. Our solution addresses all of these problems by allowing for shorter charge times, weighing one-fifth of a standard lead-acid battery, providing a reliable and consistent source of power and being maintenance-free. Our market focus has traditionally been on motorized RVs (i.e., driveable RVs). OEMs have begun to introduce batteries into towable units (i.e., RVs that require another vehicle to drive them), which will create a new potential subsector in the RV market for LFP batteries. According to the RVIA’s 2021 RV Market Report, approximately 91% of wholesale RV units shipped in 2021 were towable units, representing a significant opportunity for LFP batteries.</w:t>
      </w:r>
    </w:p>
    <w:p>
      <w:pPr>
        <w:spacing w:after="0" w:line="92" w:lineRule="exact"/>
        <w:rPr>
          <w:rFonts w:ascii="Times New Roman" w:cs="Times New Roman" w:eastAsia="Times New Roman" w:hAnsi="Times New Roman"/>
          <w:sz w:val="18"/>
          <w:szCs w:val="18"/>
          <w:color w:val="auto"/>
        </w:rPr>
      </w:pPr>
    </w:p>
    <w:p>
      <w:pPr>
        <w:ind w:left="1800" w:right="619" w:hanging="180"/>
        <w:spacing w:after="0" w:line="25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Marine Vessels</w:t>
      </w:r>
      <w:r>
        <w:rPr>
          <w:rFonts w:ascii="Times New Roman" w:cs="Times New Roman" w:eastAsia="Times New Roman" w:hAnsi="Times New Roman"/>
          <w:sz w:val="18"/>
          <w:szCs w:val="18"/>
          <w:color w:val="auto"/>
        </w:rPr>
        <w:t>. As boating becomes more popular in North America, the need for a reliable, non-flammable energy storage system is becoming increasingly apparent. According to the 2020 Recreational Boating Statistics and the 2020 National Recreational Boating Safety Survey, in 2018 over 84 million Americans participated in some form of boating activity, with a total of over</w:t>
      </w:r>
    </w:p>
    <w:p>
      <w:pPr>
        <w:spacing w:after="0" w:line="3" w:lineRule="exact"/>
        <w:rPr>
          <w:rFonts w:ascii="Times New Roman" w:cs="Times New Roman" w:eastAsia="Times New Roman" w:hAnsi="Times New Roman"/>
          <w:sz w:val="18"/>
          <w:szCs w:val="18"/>
          <w:color w:val="auto"/>
        </w:rPr>
      </w:pPr>
    </w:p>
    <w:p>
      <w:pPr>
        <w:ind w:left="1800" w:right="5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7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Off-Grid Residences</w:t>
      </w:r>
      <w:r>
        <w:rPr>
          <w:rFonts w:ascii="Times New Roman" w:cs="Times New Roman" w:eastAsia="Times New Roman" w:hAnsi="Times New Roman"/>
          <w:sz w:val="18"/>
          <w:szCs w:val="18"/>
          <w:color w:val="auto"/>
        </w:rPr>
        <w:t>. Many people are turning to off-grid housing and, as individuals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governments become more 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BloombergNEF.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r>
        <w:rPr>
          <w:rFonts w:ascii="Times New Roman" w:cs="Times New Roman" w:eastAsia="Times New Roman" w:hAnsi="Times New Roman"/>
          <w:sz w:val="18"/>
          <w:szCs w:val="18"/>
          <w:i w:val="1"/>
          <w:iCs w:val="1"/>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Addressable Markets</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71" w:lineRule="exact"/>
        <w:rPr>
          <w:sz w:val="20"/>
          <w:szCs w:val="20"/>
          <w:color w:val="auto"/>
        </w:rPr>
      </w:pPr>
    </w:p>
    <w:p>
      <w:pPr>
        <w:ind w:left="1800" w:right="419" w:hanging="180"/>
        <w:spacing w:after="0" w:line="255"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Industrial / Material Handlings / Work Truck</w:t>
      </w:r>
      <w:r>
        <w:rPr>
          <w:rFonts w:ascii="Times New Roman" w:cs="Times New Roman" w:eastAsia="Times New Roman" w:hAnsi="Times New Roman"/>
          <w:sz w:val="18"/>
          <w:szCs w:val="18"/>
          <w:color w:val="auto"/>
        </w:rPr>
        <w:t>. The industrial vehicle market includes work trucks,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handling and warehousing equipment 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76"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Specialty Vehicles</w:t>
      </w:r>
      <w:r>
        <w:rPr>
          <w:rFonts w:ascii="Times New Roman" w:cs="Times New Roman" w:eastAsia="Times New Roman" w:hAnsi="Times New Roman"/>
          <w:sz w:val="18"/>
          <w:szCs w:val="18"/>
          <w:color w:val="auto"/>
        </w:rPr>
        <w:t>. According to Mordor Intelligence, as of 2019, approximately 40% of the specialty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 market in the 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292"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Emergency and Standby Power</w:t>
      </w:r>
      <w:r>
        <w:rPr>
          <w:rFonts w:ascii="Times New Roman" w:cs="Times New Roman" w:eastAsia="Times New Roman" w:hAnsi="Times New Roman"/>
          <w:sz w:val="18"/>
          <w:szCs w:val="18"/>
          <w:color w:val="auto"/>
        </w:rPr>
        <w:t>. Demand for reliable emergency and standby power sources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to continue to drive 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293" w:lineRule="exact"/>
        <w:rPr>
          <w:rFonts w:ascii="Times New Roman" w:cs="Times New Roman" w:eastAsia="Times New Roman" w:hAnsi="Times New Roman"/>
          <w:sz w:val="18"/>
          <w:szCs w:val="18"/>
          <w:color w:val="auto"/>
        </w:rPr>
      </w:pPr>
    </w:p>
    <w:p>
      <w:pPr>
        <w:jc w:val="both"/>
        <w:ind w:left="1800" w:right="439" w:hanging="180"/>
        <w:spacing w:after="0" w:line="259"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Telecom</w:t>
      </w:r>
      <w:r>
        <w:rPr>
          <w:rFonts w:ascii="Times New Roman" w:cs="Times New Roman" w:eastAsia="Times New Roman" w:hAnsi="Times New Roman"/>
          <w:sz w:val="18"/>
          <w:szCs w:val="18"/>
          <w:color w:val="auto"/>
        </w:rPr>
        <w:t>. Demand for mobile data continues to increase and network providers are investing heavily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5G networks, particularly in unserved and underserved regions, to support this demand. According to the CTIA’s 2021 annual survey, there were 417,215 cell sites in the United States in 2020.</w:t>
      </w:r>
    </w:p>
    <w:p>
      <w:pPr>
        <w:ind w:left="180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81" w:lineRule="exact"/>
        <w:rPr>
          <w:rFonts w:ascii="Times New Roman" w:cs="Times New Roman" w:eastAsia="Times New Roman" w:hAnsi="Times New Roman"/>
          <w:sz w:val="18"/>
          <w:szCs w:val="18"/>
          <w:color w:val="auto"/>
        </w:rPr>
      </w:pPr>
    </w:p>
    <w:p>
      <w:pPr>
        <w:ind w:left="1800" w:right="599" w:hanging="180"/>
        <w:spacing w:after="0" w:line="255"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Rail</w:t>
      </w:r>
      <w:r>
        <w:rPr>
          <w:rFonts w:ascii="Times New Roman" w:cs="Times New Roman" w:eastAsia="Times New Roman" w:hAnsi="Times New Roman"/>
          <w:sz w:val="18"/>
          <w:szCs w:val="18"/>
          <w:color w:val="auto"/>
        </w:rPr>
        <w:t>. Rail transportation is a large potential market, with an estimated market size of $98.6 billion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2022, according to 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1" w:lineRule="auto"/>
        <w:rPr>
          <w:sz w:val="20"/>
          <w:szCs w:val="20"/>
          <w:color w:val="auto"/>
        </w:rPr>
      </w:pPr>
      <w:r>
        <w:rPr>
          <w:rFonts w:ascii="Times New Roman" w:cs="Times New Roman" w:eastAsia="Times New Roman" w:hAnsi="Times New Roman"/>
          <w:sz w:val="18"/>
          <w:szCs w:val="18"/>
          <w:color w:val="auto"/>
        </w:rPr>
        <w:t>storage combined with renewable electricity on the grid, and (2) adding battery storage cars to diesel-electric trains. A battery -electric rail sector would provide more than 200GWh of modular and mobile storage, which could in turn provide grid services and improve the resilience of the power system.</w:t>
      </w:r>
    </w:p>
    <w:p>
      <w:pPr>
        <w:spacing w:after="0" w:line="278" w:lineRule="exact"/>
        <w:rPr>
          <w:sz w:val="20"/>
          <w:szCs w:val="20"/>
          <w:color w:val="auto"/>
        </w:rPr>
      </w:pPr>
    </w:p>
    <w:p>
      <w:pPr>
        <w:ind w:left="1800" w:right="459" w:hanging="180"/>
        <w:spacing w:after="0" w:line="253"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Centers</w:t>
      </w:r>
      <w:r>
        <w:rPr>
          <w:rFonts w:ascii="Times New Roman" w:cs="Times New Roman" w:eastAsia="Times New Roman" w:hAnsi="Times New Roman"/>
          <w:sz w:val="18"/>
          <w:szCs w:val="18"/>
          <w:color w:val="auto"/>
        </w:rPr>
        <w:t>. Data centers have seen strong growth in recent years, with over 2,750 data centers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United States as of 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81"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On-grid Storage</w:t>
      </w:r>
      <w:r>
        <w:rPr>
          <w:rFonts w:ascii="Times New Roman" w:cs="Times New Roman" w:eastAsia="Times New Roman" w:hAnsi="Times New Roman"/>
          <w:sz w:val="18"/>
          <w:szCs w:val="18"/>
          <w:color w:val="auto"/>
        </w:rPr>
        <w:t>. On-grid energy storage is used on a large-scale platform within an electrical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grid in conjunction with 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65" w:lineRule="exact"/>
        <w:rPr>
          <w:sz w:val="20"/>
          <w:szCs w:val="20"/>
          <w:color w:val="auto"/>
        </w:rPr>
      </w:pPr>
    </w:p>
    <w:p>
      <w:pPr>
        <w:ind w:left="1800" w:right="459" w:hanging="180"/>
        <w:spacing w:after="0" w:line="254"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Premier Lithium-Ion Battery Technology</w:t>
      </w:r>
      <w:r>
        <w:rPr>
          <w:rFonts w:ascii="Times New Roman" w:cs="Times New Roman" w:eastAsia="Times New Roman" w:hAnsi="Times New Roman"/>
          <w:sz w:val="18"/>
          <w:szCs w:val="18"/>
          <w:color w:val="auto"/>
        </w:rPr>
        <w:t>. Each of our innovative batteries features custom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components to enhance 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and stops drawing power from the battery at -4 degrees Fahrenheit. This technology increases performance in cold weather conditions while possessing a unique heating solution that does not require an external energy source.</w:t>
      </w:r>
    </w:p>
    <w:p>
      <w:pPr>
        <w:spacing w:after="0" w:line="77" w:lineRule="exact"/>
        <w:rPr>
          <w:rFonts w:ascii="Times New Roman" w:cs="Times New Roman" w:eastAsia="Times New Roman" w:hAnsi="Times New Roman"/>
          <w:sz w:val="18"/>
          <w:szCs w:val="18"/>
          <w:color w:val="auto"/>
        </w:rPr>
      </w:pPr>
    </w:p>
    <w:p>
      <w:pPr>
        <w:ind w:left="1800" w:right="899" w:hanging="180"/>
        <w:spacing w:after="0" w:line="26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Extensive, Growing Patent Portfolio</w:t>
      </w:r>
      <w:r>
        <w:rPr>
          <w:rFonts w:ascii="Times New Roman" w:cs="Times New Roman" w:eastAsia="Times New Roman" w:hAnsi="Times New Roman"/>
          <w:sz w:val="18"/>
          <w:szCs w:val="18"/>
          <w:color w:val="auto"/>
        </w:rPr>
        <w:t>. We have developed and filed patent applications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commercially relevant aspects of our business including chemical compositions systems and production processes. To date, we have owned 24 issued patents, with an additional 20 patent applications pending, in the United States, China, Europe, Australia, Canada and other regions.</w:t>
      </w:r>
    </w:p>
    <w:p>
      <w:pPr>
        <w:spacing w:after="0" w:line="68"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Proven Go-To-Market Strategy</w:t>
      </w:r>
      <w:r>
        <w:rPr>
          <w:rFonts w:ascii="Times New Roman" w:cs="Times New Roman" w:eastAsia="Times New Roman" w:hAnsi="Times New Roman"/>
          <w:sz w:val="18"/>
          <w:szCs w:val="18"/>
          <w:color w:val="auto"/>
        </w:rPr>
        <w:t>. We have successfully established a direct-to-consumer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developed strong working relationships 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spacing w:after="0" w:line="282" w:lineRule="auto"/>
        <w:rPr>
          <w:sz w:val="20"/>
          <w:szCs w:val="20"/>
          <w:color w:val="auto"/>
        </w:rPr>
      </w:pPr>
      <w:r>
        <w:rPr>
          <w:rFonts w:ascii="Times New Roman" w:cs="Times New Roman" w:eastAsia="Times New Roman" w:hAnsi="Times New Roman"/>
          <w:sz w:val="18"/>
          <w:szCs w:val="18"/>
          <w:color w:val="auto"/>
        </w:rPr>
        <w:t>service provide sales, technical and hands-on service support to facilitate consumer transition from traditional lead-acid or incumbent lithium-ion batteries to our products.</w:t>
      </w:r>
    </w:p>
    <w:p>
      <w:pPr>
        <w:spacing w:after="0" w:line="63" w:lineRule="exact"/>
        <w:rPr>
          <w:sz w:val="20"/>
          <w:szCs w:val="20"/>
          <w:color w:val="auto"/>
        </w:rPr>
      </w:pPr>
    </w:p>
    <w:p>
      <w:pPr>
        <w:ind w:left="1800" w:right="459" w:hanging="180"/>
        <w:spacing w:after="0" w:line="257"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Established Customer Base with Brand Recognition</w:t>
      </w:r>
      <w:r>
        <w:rPr>
          <w:rFonts w:ascii="Times New Roman" w:cs="Times New Roman" w:eastAsia="Times New Roman" w:hAnsi="Times New Roman"/>
          <w:sz w:val="18"/>
          <w:szCs w:val="18"/>
          <w:color w:val="auto"/>
        </w:rPr>
        <w:t>. We have a growing customer base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14,000 customers 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180% since 2018) with visibility for future growth through further expansion of our existing relationships.</w:t>
      </w:r>
    </w:p>
    <w:p>
      <w:pPr>
        <w:spacing w:after="0" w:line="74" w:lineRule="exact"/>
        <w:rPr>
          <w:rFonts w:ascii="Times New Roman" w:cs="Times New Roman" w:eastAsia="Times New Roman" w:hAnsi="Times New Roman"/>
          <w:sz w:val="18"/>
          <w:szCs w:val="18"/>
          <w:color w:val="auto"/>
        </w:rPr>
      </w:pPr>
    </w:p>
    <w:p>
      <w:pPr>
        <w:ind w:left="1800" w:right="719" w:hanging="180"/>
        <w:spacing w:after="0" w:line="26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Quality Manufacturing Process</w:t>
      </w:r>
      <w:r>
        <w:rPr>
          <w:rFonts w:ascii="Times New Roman" w:cs="Times New Roman" w:eastAsia="Times New Roman" w:hAnsi="Times New Roman"/>
          <w:sz w:val="18"/>
          <w:szCs w:val="18"/>
          <w:color w:val="auto"/>
        </w:rPr>
        <w:t>. Unlike competitors that outsource their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our batteries are designed, assembled and tested in the United States, ensuring that our manufacturing process is thoroughly tested and our batteries are of the highest quality.</w:t>
      </w:r>
    </w:p>
    <w:p>
      <w:pPr>
        <w:spacing w:after="0" w:line="62"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Drop-in Replacement</w:t>
      </w:r>
      <w:r>
        <w:rPr>
          <w:rFonts w:ascii="Times New Roman" w:cs="Times New Roman" w:eastAsia="Times New Roman" w:hAnsi="Times New Roman"/>
          <w:sz w:val="18"/>
          <w:szCs w:val="18"/>
          <w:color w:val="auto"/>
        </w:rPr>
        <w:t>. Our battery modules are largely designed to be “drop-in replacements”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 lead-acid 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63" w:lineRule="exact"/>
        <w:rPr>
          <w:sz w:val="20"/>
          <w:szCs w:val="20"/>
          <w:color w:val="auto"/>
        </w:rPr>
      </w:pPr>
    </w:p>
    <w:p>
      <w:pPr>
        <w:ind w:left="1800" w:right="419" w:hanging="180"/>
        <w:spacing w:after="0" w:line="25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Product Offerings</w:t>
      </w:r>
      <w:r>
        <w:rPr>
          <w:rFonts w:ascii="Times New Roman" w:cs="Times New Roman" w:eastAsia="Times New Roman" w:hAnsi="Times New Roman"/>
          <w:sz w:val="18"/>
          <w:szCs w:val="18"/>
          <w:color w:val="auto"/>
        </w:rPr>
        <w:t>. In the short-term, our aim is to further diversify our product offerings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give consumers, as well as OEMs and distributors, more options for additional applications. This will be accelerated by the expansion of our production capacity in our new manufacturing facility. We intend to launch and scale production of additional 12 voltage and 24 voltage batteries and introduce 48 voltage batteries, which we believe will extend our market reach in each of our targeted end markets. We believe the natural evolution of our product offering is to become a system integrator for solar and other energy storage solutions.</w:t>
      </w:r>
    </w:p>
    <w:p>
      <w:pPr>
        <w:spacing w:after="0" w:line="74" w:lineRule="exact"/>
        <w:rPr>
          <w:rFonts w:ascii="Times New Roman" w:cs="Times New Roman" w:eastAsia="Times New Roman" w:hAnsi="Times New Roman"/>
          <w:sz w:val="18"/>
          <w:szCs w:val="18"/>
          <w:color w:val="auto"/>
        </w:rPr>
      </w:pPr>
    </w:p>
    <w:p>
      <w:pPr>
        <w:ind w:left="1800" w:right="599" w:hanging="180"/>
        <w:spacing w:after="0" w:line="258"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End Markets</w:t>
      </w:r>
      <w:r>
        <w:rPr>
          <w:rFonts w:ascii="Times New Roman" w:cs="Times New Roman" w:eastAsia="Times New Roman" w:hAnsi="Times New Roman"/>
          <w:sz w:val="18"/>
          <w:szCs w:val="18"/>
          <w:color w:val="auto"/>
        </w:rPr>
        <w:t>. We have identified additional end markets that we believe in the medium-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longer-term will 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291" w:lineRule="exact"/>
        <w:rPr>
          <w:rFonts w:ascii="Times New Roman" w:cs="Times New Roman" w:eastAsia="Times New Roman" w:hAnsi="Times New Roman"/>
          <w:sz w:val="18"/>
          <w:szCs w:val="18"/>
          <w:color w:val="auto"/>
        </w:rPr>
      </w:pPr>
    </w:p>
    <w:p>
      <w:pPr>
        <w:ind w:left="1800" w:right="559" w:hanging="180"/>
        <w:spacing w:after="0" w:line="259"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Commercialize Solid-State Technology</w:t>
      </w:r>
      <w:r>
        <w:rPr>
          <w:rFonts w:ascii="Times New Roman" w:cs="Times New Roman" w:eastAsia="Times New Roman" w:hAnsi="Times New Roman"/>
          <w:sz w:val="18"/>
          <w:szCs w:val="18"/>
          <w:color w:val="auto"/>
        </w:rPr>
        <w:t>. We believe solid-state technology presents a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 to all products 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58" w:lineRule="auto"/>
        <w:rPr>
          <w:sz w:val="20"/>
          <w:szCs w:val="20"/>
          <w:color w:val="auto"/>
        </w:rPr>
      </w:pPr>
      <w:r>
        <w:rPr>
          <w:rFonts w:ascii="Times New Roman" w:cs="Times New Roman" w:eastAsia="Times New Roman" w:hAnsi="Times New Roman"/>
          <w:sz w:val="18"/>
          <w:szCs w:val="18"/>
          <w:color w:val="auto"/>
        </w:rPr>
        <w:t>lead-acid battery technology. The push to develop longer-lasting, lower-cost, more environmentally-friendly and faster- charging batteries has led to the development of lithium-ion batteries and, within the lithium-ion battery market, different chemistries.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xml:space="preserve">”), and nickel cobalt aluminum (“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100965</wp:posOffset>
            </wp:positionV>
            <wp:extent cx="5109210" cy="13373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092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“Lithium and Cobalt: A tale of two commodities,”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327"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32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 effective. The market for utility grade storage, particularly for clean energy projects, and the related adoption of lithium- 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148" w:lineRule="exact"/>
        <w:rPr>
          <w:sz w:val="20"/>
          <w:szCs w:val="20"/>
          <w:color w:val="auto"/>
        </w:rPr>
      </w:pPr>
    </w:p>
    <w:p>
      <w:pPr>
        <w:ind w:left="1260" w:right="779" w:firstLine="360"/>
        <w:spacing w:after="0" w:line="264"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LFP batteries have a tendency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 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1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currently offer non-toxic deep cycle LFP batteries for use in the RV, marine vessel and off-grid</w:t>
      </w:r>
    </w:p>
    <w:p>
      <w:pPr>
        <w:spacing w:after="0" w:line="16"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2021 and 2022 we sold 59,082 and 72,873 batteries,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respectively, and had $57.8 million and $66.0 million in sales, respectively. Net income for the nine months</w:t>
      </w:r>
    </w:p>
    <w:p>
      <w:pPr>
        <w:ind w:left="1260"/>
        <w:spacing w:after="0" w:line="234" w:lineRule="auto"/>
        <w:rPr>
          <w:sz w:val="20"/>
          <w:szCs w:val="20"/>
          <w:color w:val="auto"/>
        </w:rPr>
      </w:pPr>
      <w:r>
        <w:rPr>
          <w:rFonts w:ascii="Times New Roman" w:cs="Times New Roman" w:eastAsia="Times New Roman" w:hAnsi="Times New Roman"/>
          <w:sz w:val="18"/>
          <w:szCs w:val="18"/>
          <w:color w:val="auto"/>
        </w:rPr>
        <w:t>ended September 30, 2021 was $4.4 million and net loss for the nine months ended September 30, 2022 was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 million, respectively, and Adjusted EBITDA was $7.5 million and $(1.1) million, respectively. For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years ended December 31, 2020 and 2021 we sold 51,434 and 74,652 batteries, respectively, and had</w:t>
      </w:r>
    </w:p>
    <w:p>
      <w:pPr>
        <w:ind w:left="1260"/>
        <w:spacing w:after="0" w:line="234" w:lineRule="auto"/>
        <w:rPr>
          <w:sz w:val="20"/>
          <w:szCs w:val="20"/>
          <w:color w:val="auto"/>
        </w:rPr>
      </w:pPr>
      <w:r>
        <w:rPr>
          <w:rFonts w:ascii="Times New Roman" w:cs="Times New Roman" w:eastAsia="Times New Roman" w:hAnsi="Times New Roman"/>
          <w:sz w:val="18"/>
          <w:szCs w:val="18"/>
          <w:color w:val="auto"/>
        </w:rPr>
        <w:t>$47.2 million and $78.0 million in sales, respectively. Net income for the years ended December 31, 2020</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2021 was $6.9 million and $4.3 million, respectively, and Adjusted EBITDA was $9.4 million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$8.7 million, respectively. For a reconciliation of Adjusted EBITDA to its most directly comparable GAAP</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measure, information on why we consider Adjusted EBITDA useful and a discussion of the material risks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limitations of this measure, please see the section entitled, “</w:t>
      </w:r>
      <w:r>
        <w:rPr>
          <w:rFonts w:ascii="Times New Roman" w:cs="Times New Roman" w:eastAsia="Times New Roman" w:hAnsi="Times New Roman"/>
          <w:sz w:val="18"/>
          <w:szCs w:val="18"/>
          <w:i w:val="1"/>
          <w:iCs w:val="1"/>
          <w:color w:val="auto"/>
        </w:rPr>
        <w:t>Dragonfly’s Management’s Discussion and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Analysis of Financial Condition and Results of Operations — Non-GAAP Financial Measures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core products are LFP battery modules with a built-in battery management system offered under our two brand names: Dragonfly Energy, which sells only to OEMs, and Battle Born Batteries, which sells direct to consumers and increasingly to OEMs. We currently offer eight LFP battery models across our two brands, each differentiated by size, power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81280</wp:posOffset>
            </wp:positionV>
            <wp:extent cx="5143500" cy="2082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2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09" w:lineRule="exact"/>
        <w:rPr>
          <w:sz w:val="20"/>
          <w:szCs w:val="20"/>
          <w:color w:val="auto"/>
        </w:rPr>
      </w:pPr>
    </w:p>
    <w:p>
      <w:pPr>
        <w:ind w:left="1260" w:right="639" w:firstLine="360"/>
        <w:spacing w:after="0" w:line="267" w:lineRule="auto"/>
        <w:rPr>
          <w:sz w:val="20"/>
          <w:szCs w:val="20"/>
          <w:color w:val="auto"/>
        </w:rPr>
      </w:pPr>
      <w:r>
        <w:rPr>
          <w:rFonts w:ascii="Times New Roman" w:cs="Times New Roman" w:eastAsia="Times New Roman" w:hAnsi="Times New Roman"/>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347"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105410</wp:posOffset>
            </wp:positionV>
            <wp:extent cx="5212080" cy="2117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60" w:right="639" w:firstLine="360"/>
        <w:spacing w:after="0" w:line="281" w:lineRule="auto"/>
        <w:rPr>
          <w:sz w:val="20"/>
          <w:szCs w:val="20"/>
          <w:color w:val="auto"/>
        </w:rPr>
      </w:pPr>
      <w:r>
        <w:rPr>
          <w:rFonts w:ascii="Times New Roman" w:cs="Times New Roman" w:eastAsia="Times New Roman" w:hAnsi="Times New Roman"/>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569595</wp:posOffset>
            </wp:positionV>
            <wp:extent cx="5168900" cy="1920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689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14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Our proprietary battery management system is designed,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85" w:lineRule="exact"/>
        <w:rPr>
          <w:sz w:val="20"/>
          <w:szCs w:val="20"/>
          <w:color w:val="auto"/>
        </w:rPr>
      </w:pPr>
    </w:p>
    <w:p>
      <w:pPr>
        <w:ind w:left="1800" w:right="5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between -4 degrees Fahrenheit and 135 degrees Fahrenheit, and is designed to cut off charging at 24 degrees Fahrenheit to protect cells;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have developed a battery hub communication system,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this hub to customers as an adjacent component and in our product bundles during the first half of 2023.</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519" w:hanging="180"/>
        <w:spacing w:after="0" w:line="26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New Products</w:t>
      </w:r>
      <w:r>
        <w:rPr>
          <w:rFonts w:ascii="Times New Roman" w:cs="Times New Roman" w:eastAsia="Times New Roman" w:hAnsi="Times New Roman"/>
          <w:sz w:val="18"/>
          <w:szCs w:val="18"/>
          <w:color w:val="auto"/>
        </w:rPr>
        <w:t>. Our current offerings feature battery products that serve the RV, marine vessel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off-grid markets. Although manufacturing operations were previously capacity constrained the expansion into our new manufacturing facility will allow us to add production capacity and increase product offerings and scale based on demand.</w:t>
      </w:r>
    </w:p>
    <w:p>
      <w:pPr>
        <w:spacing w:after="0" w:line="72" w:lineRule="exact"/>
        <w:rPr>
          <w:rFonts w:ascii="Times New Roman" w:cs="Times New Roman" w:eastAsia="Times New Roman" w:hAnsi="Times New Roman"/>
          <w:sz w:val="18"/>
          <w:szCs w:val="18"/>
          <w:color w:val="auto"/>
        </w:rPr>
      </w:pPr>
    </w:p>
    <w:p>
      <w:pPr>
        <w:ind w:left="2160" w:right="459" w:hanging="180"/>
        <w:spacing w:after="0" w:line="256"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voltage batteries, which provide 85 amp hours of power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92" w:lineRule="exact"/>
        <w:rPr>
          <w:rFonts w:ascii="Times New Roman" w:cs="Times New Roman" w:eastAsia="Times New Roman" w:hAnsi="Times New Roman"/>
          <w:sz w:val="18"/>
          <w:szCs w:val="18"/>
          <w:color w:val="auto"/>
        </w:rPr>
      </w:pPr>
    </w:p>
    <w:p>
      <w:pPr>
        <w:ind w:left="2160" w:right="479" w:hanging="180"/>
        <w:spacing w:after="0" w:line="255"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ranging from 125 to 175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296" w:lineRule="exact"/>
        <w:rPr>
          <w:rFonts w:ascii="Times New Roman" w:cs="Times New Roman" w:eastAsia="Times New Roman" w:hAnsi="Times New Roman"/>
          <w:sz w:val="18"/>
          <w:szCs w:val="18"/>
          <w:color w:val="auto"/>
        </w:rPr>
      </w:pPr>
    </w:p>
    <w:p>
      <w:pPr>
        <w:ind w:left="2160" w:right="579" w:hanging="180"/>
        <w:spacing w:after="0" w:line="256"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that will range from an anticipated 60 to 85 amp hours.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75"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 Integrator</w:t>
      </w:r>
      <w:r>
        <w:rPr>
          <w:rFonts w:ascii="Times New Roman" w:cs="Times New Roman" w:eastAsia="Times New Roman" w:hAnsi="Times New Roman"/>
          <w:sz w:val="18"/>
          <w:szCs w:val="18"/>
          <w:color w:val="auto"/>
        </w:rPr>
        <w:t>. A natural evolution of our business is to offer customers a system integration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providing more efficient power solutions at a cost-effective price point. We currently offer direct parts, accessories, chargers and bundles to customers under the Battle Born Energy and Battle Born Solar brands to help establish our products as part of new green energy and solar power solutions. We have an in-house expert customer service team that assists customers in fully integrating their applications to our technologies for a seamless transition. Through our evolving technology and the customized architecture and application of our products, we are able to offer customers a seamless transition to creating a centralized coordinated system.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during 2023.</w:t>
      </w:r>
    </w:p>
    <w:p>
      <w:pPr>
        <w:spacing w:after="0" w:line="338"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 state cell is shown below.</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have developed proprietary processes, systems and materials that are protected by issued patents and pending patent applications that we believe place us at the forefront of solid-state storage -focused battery technology. Our cells utilize a layered electrolyte design, which increases stability by forming a stable solid electrolyte interface at both electrodes. Rather than requiring a solid-state separator, we have designed a patent- pending spray drying process that encapsulates each grain of cathode (LFP) or anode (graphite) with a solid electrolyte, which completely integrates the solid- 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114935</wp:posOffset>
            </wp:positionV>
            <wp:extent cx="3248660" cy="2339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4866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14"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0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146050</wp:posOffset>
            </wp:positionV>
            <wp:extent cx="5177790" cy="9683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7779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331"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On February 8, 2022, we entered into a 124-month lease for an additional 390,240 square foot warehouse, which, once built, we intend to utilize for the manufacture of our solid-state batteries.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w:t>
      </w: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manufacturers in China who are able to meet our demanding quality standards. As a result of our long-standing relationships with these suppliers, we are able to source LFP cells on favorable terms and within reasonable lead-times.</w:t>
      </w:r>
    </w:p>
    <w:p>
      <w:pPr>
        <w:spacing w:after="0" w:line="102"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As we look toward the production of our solid-state cells, we have signed a Memorandum of Understanding with a lithium mining company located in Nevada for the supply of lithium.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14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currently serve approximately 14,000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nine months ended September 30, 2022, OEM sales represented 36.8% of our total revenues and for the years ended December 31, 2020 and 2021, OEM sales represented 7.4% and 10.5% of our total revenues, respectively, which we expect to increase to approximately 37% of our total revenues by 2023 (including as a result of the strategic arrangements described below).</w:t>
      </w:r>
    </w:p>
    <w:p>
      <w:pPr>
        <w:spacing w:after="0" w:line="11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have deep, long -standing relationships with many of our customers. We also have a diverse customer base, with our top 10 customers accounting for 34% of our revenue for the nine months ended September 30, 2022. Our customers primarily utilize our products for RVs, marine vessels and off-grid residences. We work directly with OEMs to ensure compatibility with existing designs and also collaborate on custom designs for new applications.</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In January 2022, we entered into a long -term supply arrangement with Keystone, a member of the THOR group and the largest towable RV OEM in North America. Under this supply arrangement we will be the exclusive supplier to Keystone for certain of its future LFP battery requirements, solidifying our long-standing relationship with Keystone.</w:t>
      </w:r>
    </w:p>
    <w:p>
      <w:pPr>
        <w:spacing w:after="0" w:line="11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will be negotiated and agreed with THOR in the future, its terms are expected to include: (i) an initial term of</w:t>
      </w:r>
    </w:p>
    <w:p>
      <w:pPr>
        <w:spacing w:after="0" w:line="4"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24 months, which THOR may renew for successive one- 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17"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compact construction equipment) and specialty vehicles (such as emergency vehicles, utility vehicles and municipal vehicles) and we will seek to expand our market share in these segments in the future.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utilize a multi-pronged sales and marketing strategy to ensure that the Dragonfly Energy and Battle Born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as well as with professional anglers, to create a lasting relationship that showcases the performance of our products, rather than one-off promotions. Our products have also been featured in television shows and on podcasts that cater specifically to RV enthusiasts.</w:t>
      </w:r>
    </w:p>
    <w:p>
      <w:pPr>
        <w:spacing w:after="0" w:line="32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also value our direct relationships with retail customers. Our website and our customer service are key elements to our sales strategy. Our website enables customers to purchase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0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 focused energy storage companies such as EOS Energy, ESS and STEM.</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33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As of September 30, 2022 we owned 24 issued patents and 20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protecting the design of our GC2 and GC3 batteries, the device and method for monitoring battery systems, powderized solid-state electrolyte and electroactive materials, preparation and film deposition of these pre-coated powders and the manufacturing process for the solid-state cell technology which includes the manufacturing of conductive particle films for lithium-ion batteries and the dry powder coating of an electrochemical cell. Our issued patents start expiring on May 30, 2033.</w:t>
      </w:r>
    </w:p>
    <w:p>
      <w:pPr>
        <w:spacing w:after="0" w:line="32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September 30, 2022, we own four trademark registrations to cover our house marks in the United States and we have seven pending trademark applications relating to our design logos and slogans in the United States.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located in Reno, Nevada and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(for example, machine guarding, hot work, hazardous material management and transportation). We train our employees and conduct audits of our operations to assess our fulfillment of these policies.</w:t>
      </w:r>
    </w:p>
    <w:p>
      <w:pPr>
        <w:spacing w:after="0" w:line="127"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As of September 30, 2022, we have 174 employees; 168 full-time, 2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306" w:lineRule="exact"/>
        <w:rPr>
          <w:sz w:val="20"/>
          <w:szCs w:val="20"/>
          <w:color w:val="auto"/>
        </w:rPr>
      </w:pPr>
    </w:p>
    <w:p>
      <w:pPr>
        <w:ind w:left="1800" w:right="499" w:hanging="180"/>
        <w:spacing w:after="0" w:line="261"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 Employees are regularly educated in safety around their workspaces, and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volunteer roles on a safety committee, and in emergency readiness roles. We have a dedicated safety coordinator who tracks and measures our performance, and helps us benchmark our safety programs against our peers.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99" w:hanging="180"/>
        <w:spacing w:after="0" w:line="258"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&amp; Inclusion</w:t>
      </w:r>
      <w:r>
        <w:rPr>
          <w:rFonts w:ascii="Times New Roman" w:cs="Times New Roman" w:eastAsia="Times New Roman" w:hAnsi="Times New Roman"/>
          <w:sz w:val="18"/>
          <w:szCs w:val="18"/>
          <w:color w:val="auto"/>
        </w:rPr>
        <w:t> — Our culture has benefitted from the diversity of our workforce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very beginning. 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75" w:lineRule="exact"/>
        <w:rPr>
          <w:rFonts w:ascii="Times New Roman" w:cs="Times New Roman" w:eastAsia="Times New Roman" w:hAnsi="Times New Roman"/>
          <w:sz w:val="18"/>
          <w:szCs w:val="18"/>
          <w:color w:val="auto"/>
        </w:rPr>
      </w:pPr>
    </w:p>
    <w:p>
      <w:pPr>
        <w:ind w:left="1800" w:right="599" w:hanging="180"/>
        <w:spacing w:after="0" w:line="267"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 As we grow, opportunities for cross-functional collaboration are not as organic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used to be. We have responded to that change by staying mindful and acting intentionally to gather cross-functional input on new initiatives and continuous improvement efforts.</w:t>
      </w:r>
    </w:p>
    <w:p>
      <w:pPr>
        <w:spacing w:after="0" w:line="65" w:lineRule="exact"/>
        <w:rPr>
          <w:rFonts w:ascii="Times New Roman" w:cs="Times New Roman" w:eastAsia="Times New Roman" w:hAnsi="Times New Roman"/>
          <w:sz w:val="18"/>
          <w:szCs w:val="18"/>
          <w:color w:val="auto"/>
        </w:rPr>
      </w:pPr>
    </w:p>
    <w:p>
      <w:pPr>
        <w:ind w:left="1800" w:right="799" w:hanging="180"/>
        <w:spacing w:after="0" w:line="267"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Improvement</w:t>
      </w:r>
      <w:r>
        <w:rPr>
          <w:rFonts w:ascii="Times New Roman" w:cs="Times New Roman" w:eastAsia="Times New Roman" w:hAnsi="Times New Roman"/>
          <w:sz w:val="18"/>
          <w:szCs w:val="18"/>
          <w:color w:val="auto"/>
        </w:rPr>
        <w:t> — We apply continuous improvement measures to processes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We encourage professional development of our employees, through ongoing learning, credentialing, and collaboration with their industry peers.</w:t>
      </w:r>
    </w:p>
    <w:p>
      <w:pPr>
        <w:spacing w:after="0" w:line="10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 based compensation that rewards individual and organizational achievements.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DRAGONFLY’S MANAGEMENT’S DISCUSSION AND ANALYSIS OF</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Corp. and its consolidated subsidiaries prior to the Business Combination.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Holdings Corp. and its consolidated subsidiaries after giving effect to the Business Combination. The following discussion and analysis of our results of operations and financial condition should be read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and related notes and other information included elsewhere in this prospectus. This discussion contains forward -looking statements based upon our current expectations, estimates and projections that involve risks and uncertainties. Actual results could differ materially from those anticipated in these forward-looking statements due to, among other considerations, the matters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p>
    <w:p>
      <w:pPr>
        <w:spacing w:after="0" w:line="121"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Founded in 2012 and based in Reno, Nevada, we are a manufacturer of non-toxic deep cycle lithium-ion batteries that are designed to displace lead acid batteries in a number of different storage applications and end markets including RV, marine vessel, and solar and off- grid industries, with disruptive solid-state cell technology currently under development. Our mission is to develop technology to deliver environmentally impactful and affordable solutions for energy storage to everyone globally.</w:t>
      </w:r>
    </w:p>
    <w:p>
      <w:pPr>
        <w:spacing w:after="0" w:line="96"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Since 2020, we have sold over 198,000 batteries. For the nine months ended September 30, 2021 and 2022, we sold 59,082 and 72,873 batteries, respectively, and had $57.8 million and $66.0 million in net sales, respectively. For the years ended December 31, 2020 and 2021, we sold 51,434 and 74,652 batteries, respectively, and had $47.2 million and $78.0 million in net sales, respectively. We currently offer a line of batteries across our “Battle Born” and “Dragonfly” brands, each differentiated by size, power and capacity, consisting of eight different models, four of which come with a heated option. We primarily sell “Battle Born” branded batteries directly to consumers and “Dragonfly” branded batteries to OEMs.</w:t>
      </w:r>
    </w:p>
    <w:p>
      <w:pPr>
        <w:spacing w:after="0" w:line="114" w:lineRule="exact"/>
        <w:rPr>
          <w:sz w:val="20"/>
          <w:szCs w:val="20"/>
          <w:color w:val="auto"/>
        </w:rPr>
      </w:pPr>
    </w:p>
    <w:p>
      <w:pPr>
        <w:jc w:val="both"/>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increased total sales are a reflection of strong growth in OEM sales, partially offset by a decline in DTC sales. Our RV OEM customers currently include Keystone, THOR, Airstream, and REV, and we are in ongoing discussions with a number of additional RV OEMs to further increase adoption of our products.</w:t>
      </w:r>
    </w:p>
    <w:p>
      <w:pPr>
        <w:spacing w:after="0" w:line="2" w:lineRule="exact"/>
        <w:rPr>
          <w:sz w:val="20"/>
          <w:szCs w:val="20"/>
          <w:color w:val="auto"/>
        </w:rPr>
      </w:pPr>
    </w:p>
    <w:p>
      <w:pPr>
        <w:ind w:left="1260" w:right="779"/>
        <w:spacing w:after="0" w:line="246" w:lineRule="auto"/>
        <w:rPr>
          <w:sz w:val="20"/>
          <w:szCs w:val="20"/>
          <w:color w:val="auto"/>
        </w:rPr>
      </w:pPr>
      <w:r>
        <w:rPr>
          <w:rFonts w:ascii="Times New Roman" w:cs="Times New Roman" w:eastAsia="Times New Roman" w:hAnsi="Times New Roman"/>
          <w:sz w:val="18"/>
          <w:szCs w:val="18"/>
          <w:color w:val="auto"/>
        </w:rPr>
        <w:t>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13"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0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0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 Solid-state technology eliminates the use of a liquid electrolyte, which addresses the residual heat and flammability issues arising from traditional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On October 7, 2022,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Dragonfly is deemed the accounting acquirer, which means that Legacy Dragonfly’s financial statements for previous periods will be disclosed in our future periodic reports filed with the SEC.</w:t>
      </w:r>
    </w:p>
    <w:p>
      <w:pPr>
        <w:spacing w:after="0" w:line="12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Business Combination is anticipated to be accounted for as a reverse recapitalization. Under this method of accounting, CNTQ will be treated as the acquired company for financial statement reporting purposes.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approximately 11.6 million shares of CNTQ Common Stock were redeemed, which represented a significant portion of the publicly traded shares outstanding prior to the Business Combination and resulted in only approximately $11 million of the remaining cash from the Trust Account becoming available to us in connection with the closing of the Business Combination.</w:t>
      </w:r>
    </w:p>
    <w:p>
      <w:pPr>
        <w:spacing w:after="0" w:line="110" w:lineRule="exact"/>
        <w:rPr>
          <w:sz w:val="20"/>
          <w:szCs w:val="20"/>
          <w:color w:val="auto"/>
        </w:rPr>
      </w:pPr>
    </w:p>
    <w:p>
      <w:pPr>
        <w:ind w:left="1260" w:right="459" w:firstLine="360"/>
        <w:spacing w:after="0" w:line="262" w:lineRule="auto"/>
        <w:rPr>
          <w:sz w:val="20"/>
          <w:szCs w:val="20"/>
          <w:color w:val="auto"/>
        </w:rPr>
      </w:pPr>
      <w:r>
        <w:rPr>
          <w:rFonts w:ascii="Times New Roman" w:cs="Times New Roman" w:eastAsia="Times New Roman" w:hAnsi="Times New Roman"/>
          <w:sz w:val="18"/>
          <w:szCs w:val="18"/>
          <w:color w:val="auto"/>
        </w:rPr>
        <w:t>As discussed within the section entitled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we have entered into the ChEF Equity Facility, pursuant to which we have the option to direct CCM to purchase up to</w:t>
      </w:r>
    </w:p>
    <w:p>
      <w:pPr>
        <w:ind w:left="1260" w:right="559"/>
        <w:spacing w:after="0" w:line="251" w:lineRule="auto"/>
        <w:rPr>
          <w:sz w:val="20"/>
          <w:szCs w:val="20"/>
          <w:color w:val="auto"/>
        </w:rPr>
      </w:pPr>
      <w:r>
        <w:rPr>
          <w:rFonts w:ascii="Times New Roman" w:cs="Times New Roman" w:eastAsia="Times New Roman" w:hAnsi="Times New Roman"/>
          <w:sz w:val="18"/>
          <w:szCs w:val="18"/>
          <w:color w:val="auto"/>
        </w:rPr>
        <w:t>$150.0 million of common stock, pursuant to, on the terms of and subject to satisfaction of the terms and conditions of availability in the Purchase Agreement. Further, we have entered into the Term Loan, which allows us to borrow up to an aggregate principal amount of $75 million. We believe that our cash on hand, which we anticipate will include utilization of the borrowings under the Term Loan and equity issuances under the ChEF Equity Facility, will be sufficient to meet our working capital and capital expenditure requirements for a period of at least twelve months from the filing date of this registration statement. In considering our capital requirements and sources of liquidity, we have not relied on the receipt of proceeds from the exercise of our Public Warrants and Private Warrants and, since the exercise price of our Public Warrants and Private Warrants exceeds the recent trading prices for shares of our common stock, it is unlikely that we will receive significant proceeds, if any, from the exercise of the Public Warrants and Private Warrants in the near future.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more information regarding our liquidity and capital resources.</w:t>
      </w:r>
    </w:p>
    <w:p>
      <w:pPr>
        <w:spacing w:after="0" w:line="34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55,298,545 shares that may be resold and/or issued into the public markets pursuant to this prospectus represent approximately 128% of the shares of our common stock outstanding as of November 14, 2022 (after giving effect to the issuance of the Option Shares, Public Warrant Shares and Private Warrant Shares). The selling securityholders will determine the timing, pricing and rate at which they sell such shares into the public market. Although the current trading price of our common stock is below $10.00 per share, which was the sales price for units in the CNTQ IPO, certain of the selling securityholders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we filed a registration statement registering the resale of up to 21,512,027 shares that may be resold into the public markets by CCM.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32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As a result of becoming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addition, in connection with the Business Combination, we considered, among other things, certain internal financial projections and forecasts prepared by, or at the direction of, our management. Any projections and forecasts were inherently based on various estimates and assumptions that were subject to the judgment of those preparing them. Projections and forecasts are also subject to significant economic, competitive, industry and other uncertainties and contingencies, including the timing of closing of the Business Combination, increases in inflation and interest rates, volatility in financial and credit markets, the ongoing COVID-19 pandemic, the ongoing military conflict involving Russia and Ukraine, and the impact thereof on the global supply chain and the global economy, all of which are difficult or impossible to predict and many of which are beyond our control.</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148"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demand for our products ultimately depends on demand from consumers in our current end markets. We generate sales through (1)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and (2) through OEMs, particularly in the RV market.</w:t>
      </w:r>
    </w:p>
    <w:p>
      <w:pPr>
        <w:spacing w:after="0" w:line="95"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20"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(as a result of COVID-19 or otherwise), fuel costs and energy demands (including an increasing trend towards the use of green energy), as well as overall macro-economic conditions. Sales of our batteries have benefited from the increased adoption of the RV lifestyle and the demand for additional appliances and electronics in RVs during the COVID-19 pandemic. However, in recent months rising fuel costs and other macro-economic conditions have caused a downward shift in decisions taken by end market consumers around spending. We have also experienced delays and disruptions in our supply chain, as well as labor shortages and shutdowns, which disrupted the production of our batteries and impacted our ability to keep up with customer demand. In addition, the spreading of the virus may make it more difficult for us to find alternative suppliers due to the high concentration of such suppliers located in China.</w:t>
      </w:r>
    </w:p>
    <w:p>
      <w:pPr>
        <w:spacing w:after="0" w:line="12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343"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Memorandum of Understanding with a lithium mining company located in Nevada for the supply of lithium, which we expect will enable us to further manage our cost of goods.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product sales consist of sales of eight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(whether sold individually or as part of a bundle) typically have lower related margin. We expect DTC accessory sales to increase as we further develop full-system design expertise and product offerings and consumers increasingly demand more sophisticated systems, rather than simple drop-in replacement.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4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DTC, as well as chargers and other accessories, either individually or bundled.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6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jc w:val="both"/>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2"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160"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and debt issuance costs.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2022 and 2021</w:t>
      </w:r>
    </w:p>
    <w:p>
      <w:pPr>
        <w:spacing w:after="0" w:line="162"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2022 and 2021. This data should be read together with our unaudited financial statements and related notes included elsewhere in this prospectus, and is qualified in its entirety by reference to such financial statements and related notes.</w:t>
      </w:r>
    </w:p>
    <w:p>
      <w:pPr>
        <w:sectPr>
          <w:pgSz w:w="11900" w:h="16838" w:orient="portrait"/>
          <w:cols w:equalWidth="0" w:num="1">
            <w:col w:w="9879"/>
          </w:cols>
          <w:pgMar w:left="580" w:top="97" w:right="1440" w:bottom="1440" w:gutter="0" w:footer="0" w:header="0"/>
        </w:sectPr>
      </w:pPr>
    </w:p>
    <w:p>
      <w:pPr>
        <w:spacing w:after="0" w:line="1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Net Sales</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Gross profit</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Interest (Expense) Income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on Disposition of Assets</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(Loss) Income Before Taxes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(Benefit) Provision for Income Tax</w:t>
      </w:r>
    </w:p>
    <w:p>
      <w:pPr>
        <w:spacing w:after="0" w:line="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(Loss) Income</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Retailer</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Distributor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w:t>
      </w:r>
    </w:p>
    <w:p>
      <w:pPr>
        <w:spacing w:after="0" w:line="50" w:lineRule="exact"/>
        <w:rPr>
          <w:sz w:val="20"/>
          <w:szCs w:val="20"/>
          <w:color w:val="auto"/>
        </w:rPr>
      </w:pPr>
    </w:p>
    <w:p>
      <w:pPr>
        <w:ind w:left="2000" w:hanging="200"/>
        <w:spacing w:after="0"/>
        <w:tabs>
          <w:tab w:leader="none" w:pos="2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w:t>
      </w:r>
    </w:p>
    <w:p>
      <w:pPr>
        <w:spacing w:after="0" w:line="49" w:lineRule="exact"/>
        <w:rPr>
          <w:rFonts w:ascii="Times New Roman" w:cs="Times New Roman" w:eastAsia="Times New Roman" w:hAnsi="Times New Roman"/>
          <w:sz w:val="18"/>
          <w:szCs w:val="18"/>
          <w:color w:val="auto"/>
        </w:rPr>
      </w:pPr>
    </w:p>
    <w:p>
      <w:pPr>
        <w:ind w:left="1800" w:right="2740"/>
        <w:spacing w:after="0" w:line="329" w:lineRule="auto"/>
        <w:tabs>
          <w:tab w:leader="none" w:pos="200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Net Sales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2540" w:type="dxa"/>
            <w:vAlign w:val="bottom"/>
            <w:gridSpan w:val="16"/>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Net</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Sales  </w:t>
            </w:r>
            <w:r>
              <w:rPr>
                <w:rFonts w:ascii="Times New Roman" w:cs="Times New Roman" w:eastAsia="Times New Roman" w:hAnsi="Times New Roman"/>
                <w:sz w:val="24"/>
                <w:szCs w:val="24"/>
                <w:b w:val="1"/>
                <w:bCs w:val="1"/>
                <w:color w:val="auto"/>
                <w:vertAlign w:val="subscript"/>
              </w:rPr>
              <w:t>​</w:t>
            </w: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Sales</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7"/>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5"/>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​​$66,042​​ ​​100.0​​ ​​$57,821​​</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​46,481​​ ​​ 70.4​​ ​​ ​34,314​​</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59.3​</w:t>
            </w:r>
          </w:p>
        </w:tc>
        <w:tc>
          <w:tcPr>
            <w:tcW w:w="0" w:type="dxa"/>
            <w:vAlign w:val="bottom"/>
          </w:tcPr>
          <w:p>
            <w:pPr>
              <w:spacing w:after="0"/>
              <w:rPr>
                <w:sz w:val="1"/>
                <w:szCs w:val="1"/>
                <w:color w:val="auto"/>
              </w:rPr>
            </w:pPr>
          </w:p>
        </w:tc>
      </w:tr>
      <w:tr>
        <w:trPr>
          <w:trHeight w:val="261"/>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​19,561​​ ​​ 29.6​​ ​​ ​23,507​​</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40.7​</w:t>
            </w:r>
          </w:p>
        </w:tc>
        <w:tc>
          <w:tcPr>
            <w:tcW w:w="0" w:type="dxa"/>
            <w:vAlign w:val="bottom"/>
          </w:tcPr>
          <w:p>
            <w:pPr>
              <w:spacing w:after="0"/>
              <w:rPr>
                <w:sz w:val="1"/>
                <w:szCs w:val="1"/>
                <w:color w:val="auto"/>
              </w:rPr>
            </w:pPr>
          </w:p>
        </w:tc>
      </w:tr>
      <w:tr>
        <w:trPr>
          <w:trHeight w:val="252"/>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 1,951​​ ​​</w:t>
            </w:r>
          </w:p>
        </w:tc>
        <w:tc>
          <w:tcPr>
            <w:tcW w:w="12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3.0​​ ​​ ​ 1,899​​</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6"/>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 9,331​​ ​​ 14.1​​ ​​ ​ 6,654​​</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11.5​</w:t>
            </w:r>
          </w:p>
        </w:tc>
        <w:tc>
          <w:tcPr>
            <w:tcW w:w="0" w:type="dxa"/>
            <w:vAlign w:val="bottom"/>
          </w:tcPr>
          <w:p>
            <w:pPr>
              <w:spacing w:after="0"/>
              <w:rPr>
                <w:sz w:val="1"/>
                <w:szCs w:val="1"/>
                <w:color w:val="auto"/>
              </w:rPr>
            </w:pPr>
          </w:p>
        </w:tc>
      </w:tr>
      <w:tr>
        <w:trPr>
          <w:trHeight w:val="257"/>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​13,716​​ ​​ 20.8​​ ​​ ​ 8,428​​</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14.6​</w:t>
            </w:r>
          </w:p>
        </w:tc>
        <w:tc>
          <w:tcPr>
            <w:tcW w:w="0" w:type="dxa"/>
            <w:vAlign w:val="bottom"/>
          </w:tcPr>
          <w:p>
            <w:pPr>
              <w:spacing w:after="0"/>
              <w:rPr>
                <w:sz w:val="1"/>
                <w:szCs w:val="1"/>
                <w:color w:val="auto"/>
              </w:rPr>
            </w:pPr>
          </w:p>
        </w:tc>
      </w:tr>
      <w:tr>
        <w:trPr>
          <w:trHeight w:val="261"/>
        </w:trPr>
        <w:tc>
          <w:tcPr>
            <w:tcW w:w="242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 ​​ ​24,998​​ ​​ 37.9​​ ​​ ​16,981​​</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29.4​</w:t>
            </w:r>
          </w:p>
        </w:tc>
        <w:tc>
          <w:tcPr>
            <w:tcW w:w="0" w:type="dxa"/>
            <w:vAlign w:val="bottom"/>
          </w:tcPr>
          <w:p>
            <w:pPr>
              <w:spacing w:after="0"/>
              <w:rPr>
                <w:sz w:val="1"/>
                <w:szCs w:val="1"/>
                <w:color w:val="auto"/>
              </w:rPr>
            </w:pPr>
          </w:p>
        </w:tc>
      </w:tr>
      <w:tr>
        <w:trPr>
          <w:trHeight w:val="189"/>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​(5,437)</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w w:val="92"/>
              </w:rPr>
              <w:t>(8.2)</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 6,526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0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continue"/>
          </w:tcPr>
          <w:p>
            <w:pPr>
              <w:spacing w:after="0"/>
              <w:rPr>
                <w:sz w:val="10"/>
                <w:szCs w:val="10"/>
                <w:color w:val="auto"/>
              </w:rPr>
            </w:pPr>
          </w:p>
        </w:tc>
        <w:tc>
          <w:tcPr>
            <w:tcW w:w="4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4"/>
        </w:trPr>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​(3,657)</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w w:val="92"/>
              </w:rPr>
              <w:t>(5.5)</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vMerge w:val="continue"/>
          </w:tcPr>
          <w:p>
            <w:pPr>
              <w:spacing w:after="0"/>
              <w:rPr>
                <w:sz w:val="7"/>
                <w:szCs w:val="7"/>
                <w:color w:val="auto"/>
              </w:rPr>
            </w:pP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w w:val="92"/>
              </w:rPr>
              <w:t>(0.1)</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(124)</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vMerge w:val="continue"/>
          </w:tcPr>
          <w:p>
            <w:pPr>
              <w:spacing w:after="0"/>
              <w:rPr>
                <w:sz w:val="7"/>
                <w:szCs w:val="7"/>
                <w:color w:val="auto"/>
              </w:rPr>
            </w:pP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​(3,719)</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w w:val="92"/>
              </w:rPr>
              <w:t>(5.6)</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(124)</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vMerge w:val="continue"/>
          </w:tcPr>
          <w:p>
            <w:pPr>
              <w:spacing w:after="0"/>
              <w:rPr>
                <w:sz w:val="7"/>
                <w:szCs w:val="7"/>
                <w:color w:val="auto"/>
              </w:rPr>
            </w:pP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​(9,156)</w:t>
            </w:r>
          </w:p>
        </w:tc>
        <w:tc>
          <w:tcPr>
            <w:tcW w:w="660" w:type="dxa"/>
            <w:vAlign w:val="bottom"/>
            <w:gridSpan w:val="4"/>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rPr>
              <w:t>(13.9)</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 6,402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​(1,700)</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w w:val="92"/>
              </w:rPr>
              <w:t>(2.6)</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 1,981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vMerge w:val="continue"/>
          </w:tcPr>
          <w:p>
            <w:pPr>
              <w:spacing w:after="0"/>
              <w:rPr>
                <w:sz w:val="7"/>
                <w:szCs w:val="7"/>
                <w:color w:val="auto"/>
              </w:rPr>
            </w:pPr>
          </w:p>
        </w:tc>
        <w:tc>
          <w:tcPr>
            <w:tcW w:w="4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6"/>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 (7,456)</w:t>
            </w:r>
          </w:p>
        </w:tc>
        <w:tc>
          <w:tcPr>
            <w:tcW w:w="660" w:type="dxa"/>
            <w:vAlign w:val="bottom"/>
            <w:gridSpan w:val="4"/>
          </w:tcPr>
          <w:p>
            <w:pPr>
              <w:jc w:val="right"/>
              <w:ind w:right="28"/>
              <w:spacing w:after="0" w:line="181" w:lineRule="exact"/>
              <w:rPr>
                <w:sz w:val="20"/>
                <w:szCs w:val="20"/>
                <w:color w:val="auto"/>
              </w:rPr>
            </w:pPr>
            <w:r>
              <w:rPr>
                <w:rFonts w:ascii="Times New Roman" w:cs="Times New Roman" w:eastAsia="Times New Roman" w:hAnsi="Times New Roman"/>
                <w:sz w:val="18"/>
                <w:szCs w:val="18"/>
                <w:color w:val="auto"/>
              </w:rPr>
              <w:t>​(11.3)</w:t>
            </w:r>
          </w:p>
        </w:tc>
        <w:tc>
          <w:tcPr>
            <w:tcW w:w="1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5"/>
                <w:szCs w:val="15"/>
                <w:color w:val="auto"/>
              </w:rPr>
            </w:pPr>
          </w:p>
        </w:tc>
        <w:tc>
          <w:tcPr>
            <w:tcW w:w="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3"/>
              </w:rPr>
              <w:t>4,421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204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1"/>
                <w:szCs w:val="21"/>
                <w:color w:val="auto"/>
              </w:rPr>
            </w:pPr>
          </w:p>
        </w:tc>
        <w:tc>
          <w:tcPr>
            <w:tcW w:w="64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​35,211</w:t>
            </w:r>
          </w:p>
        </w:tc>
        <w:tc>
          <w:tcPr>
            <w:tcW w:w="80" w:type="dxa"/>
            <w:vAlign w:val="bottom"/>
          </w:tcPr>
          <w:p>
            <w:pPr>
              <w:spacing w:after="0"/>
              <w:rPr>
                <w:sz w:val="23"/>
                <w:szCs w:val="23"/>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​44,221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6,544</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6,910</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​41,755</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​51,131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88.4</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​24,287</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6,690</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80" w:type="dxa"/>
            <w:vAlign w:val="bottom"/>
          </w:tcPr>
          <w:p>
            <w:pPr>
              <w:spacing w:after="0"/>
              <w:rPr>
                <w:sz w:val="22"/>
                <w:szCs w:val="22"/>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​$57,821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-4405630</wp:posOffset>
            </wp:positionV>
            <wp:extent cx="474916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-4079875</wp:posOffset>
            </wp:positionV>
            <wp:extent cx="4749165"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-3754120</wp:posOffset>
            </wp:positionV>
            <wp:extent cx="474916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-3428365</wp:posOffset>
            </wp:positionV>
            <wp:extent cx="474916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-3102610</wp:posOffset>
            </wp:positionV>
            <wp:extent cx="474916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-2759710</wp:posOffset>
            </wp:positionV>
            <wp:extent cx="474916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-2416810</wp:posOffset>
            </wp:positionV>
            <wp:extent cx="474916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-2073910</wp:posOffset>
            </wp:positionV>
            <wp:extent cx="474916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-4568190</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-4568190</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-4568190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-1148080</wp:posOffset>
            </wp:positionV>
            <wp:extent cx="474916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-830580</wp:posOffset>
            </wp:positionV>
            <wp:extent cx="4749165"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-504825</wp:posOffset>
            </wp:positionV>
            <wp:extent cx="4749165"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-179070</wp:posOffset>
            </wp:positionV>
            <wp:extent cx="4749165"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-1319530</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5460" w:space="720"/>
            <w:col w:w="3699"/>
          </w:cols>
          <w:pgMar w:left="580" w:top="97" w:right="1440" w:bottom="1440" w:gutter="0" w:footer="0" w:header="0"/>
          <w:type w:val="continuous"/>
        </w:sectPr>
      </w:pP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Net sales increased by $8.2 million, or 14.2%, to $66.0 million for the nine months ended September 30, 2022, as compared to $57.8 million for the nine months ended September 30, 2021. This increase was primarily due to strong growth in the Company’s OEM business partially offset by a decline in DTC sales. For the nine months ended September 30, 2022, OEM revenue increased by $17.6 million primarily as a result of increased sales to RV OEM customers. DTC revenue decreased by $9.4 million compared to the nine months ended September 30, 2021, primarily due to lower unit volumes as a result of decreased demand due to macro-economic conditions.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Cost of revenue increased by $12.2 million, or 35.5%, to $46.5 million for the nine months ended September 30, 2022, as compared to $34.3 million for the nine months ended September 30, 2021. This increase was primarily due to growth in unit sales, higher material, shipping and logistics costs (which we expect are likely to continue) in the amount of $9.0 million, a $2.0 million increase in overhead expense associated with the new manufacturing facility, and higher labor costs due to growth in the Company’s operations.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Gross profit decreased by $3.9 million, or 16.8%, to $19.6 million for the nine months ended September 30, 2022, as compared to $23.5 million for the nine months ended September 30, 2021. The decrease in gross profit was primarily due to a change in revenue mix that included a larger percentage of lower margin OEM sales a lower percentage of DTC sales, together with an increase in cost of goods sold as noted above.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2.7%, to $2.0 million for the nine months ended September 30, 2022, as compared to $1.9 million for the nine months ended September 30, 2021. This increase was primarily due to higher wage expense partially offset by lower material costs in relation to research and development.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62.7%, to $13.7 million for the nine months ended September 30, 2022, as compared to $8.4 million for the nine months ended September 30, 2021. This increase was primarily due to higher professional fees associated with the Business Combination process in the amount of $1.9 million, a $2.0 million increase in costs associated with systems and personnel needed for public company readiness, and higher insurance fees due to growth in our operations.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$2.7 million, or 40.2%, to $9.3 million for the nine months ended September 30, 2022, as compared to $6.7 million for the nine months ended September 30, 2021. This increase was primarily due to an additional $1.6 million in wage expenses as a result of higher headcount to support growth initiatives in our existing and new adjacent markets, as well as increases across advertising, sponsorship and other sales and marketing expenses.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Other expense totaled $3.7 million for the nine months ended September 30, 2022 as compared to total other expense of $0.1 million for the nine months ended September 30, 2021. Other expense in 2022 is comprised primarily of interest expense related to $45.0 million in senior secured notes issued in November 2021. Interest expense will increase significantly as a result of approximately $75 million in post-closing indebtedness following completion of the Business Combination.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Income tax benefit was $1.7 million for the nine months ended September 30, 2022, as compared to a $2.0 million expense for the nine months ended September 30, 2021. The income tax benefit reflects the Company’s expected use of losses in the period against future tax obligations.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13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experienced a net loss of $7.5 million for the nine months ended September 30, 2022, as compared to net income of $4.4 million for the nine months ended September 30, 2021. As described above, this result was driven primarily by higher sales offset by increased cost of goods sold, higher operating expenses, and increased other expense.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and 2020</w:t>
      </w:r>
    </w:p>
    <w:p>
      <w:pPr>
        <w:spacing w:after="0" w:line="13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2021 and 2020. This data should be read together with our financial statements and related notes included elsewhere in this prospectus, and is qualified in its entirety by reference to such financial statements and related notes.</w:t>
      </w:r>
    </w:p>
    <w:p>
      <w:pPr>
        <w:sectPr>
          <w:pgSz w:w="11900" w:h="16838" w:orient="portrait"/>
          <w:cols w:equalWidth="0" w:num="1">
            <w:col w:w="9879"/>
          </w:cols>
          <w:pgMar w:left="580" w:top="97" w:right="1440" w:bottom="1440" w:gutter="0" w:footer="0" w:header="0"/>
        </w:sectPr>
      </w:pPr>
    </w:p>
    <w:p>
      <w:pPr>
        <w:spacing w:after="0" w:line="1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Sales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profit</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36"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 Income</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Interest Income (Expense)</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Income Before Taxes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Retailer</w:t>
      </w:r>
    </w:p>
    <w:p>
      <w:pPr>
        <w:spacing w:after="0" w:line="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Distributor</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w:t>
      </w:r>
    </w:p>
    <w:p>
      <w:pPr>
        <w:spacing w:after="0" w:line="36" w:lineRule="exact"/>
        <w:rPr>
          <w:sz w:val="20"/>
          <w:szCs w:val="20"/>
          <w:color w:val="auto"/>
        </w:rPr>
      </w:pPr>
    </w:p>
    <w:p>
      <w:pPr>
        <w:ind w:left="2000" w:hanging="200"/>
        <w:spacing w:after="0"/>
        <w:tabs>
          <w:tab w:leader="none" w:pos="2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w:t>
      </w:r>
    </w:p>
    <w:p>
      <w:pPr>
        <w:spacing w:after="0" w:line="49" w:lineRule="exact"/>
        <w:rPr>
          <w:rFonts w:ascii="Times New Roman" w:cs="Times New Roman" w:eastAsia="Times New Roman" w:hAnsi="Times New Roman"/>
          <w:sz w:val="18"/>
          <w:szCs w:val="18"/>
          <w:color w:val="auto"/>
        </w:rPr>
      </w:pPr>
    </w:p>
    <w:p>
      <w:pPr>
        <w:ind w:left="1800" w:right="2740"/>
        <w:spacing w:after="0" w:line="329" w:lineRule="auto"/>
        <w:tabs>
          <w:tab w:leader="none" w:pos="20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Net Sales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9"/>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6"/>
              </w:rPr>
              <w:t>Years ended December 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4"/>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w w:val="98"/>
              </w:rPr>
              <w:t>% Net</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 Net</w:t>
            </w:r>
          </w:p>
        </w:tc>
        <w:tc>
          <w:tcPr>
            <w:tcW w:w="20" w:type="dxa"/>
            <w:vAlign w:val="bottom"/>
          </w:tcPr>
          <w:p>
            <w:pPr>
              <w:spacing w:after="0"/>
              <w:rPr>
                <w:sz w:val="13"/>
                <w:szCs w:val="13"/>
                <w:color w:val="auto"/>
              </w:rPr>
            </w:pPr>
          </w:p>
        </w:tc>
      </w:tr>
      <w:tr>
        <w:trPr>
          <w:trHeight w:val="214"/>
        </w:trPr>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2021   </w:t>
            </w:r>
            <w:r>
              <w:rPr>
                <w:rFonts w:ascii="Times New Roman" w:cs="Times New Roman" w:eastAsia="Times New Roman" w:hAnsi="Times New Roman"/>
                <w:sz w:val="24"/>
                <w:szCs w:val="24"/>
                <w:b w:val="1"/>
                <w:bCs w:val="1"/>
                <w:color w:val="auto"/>
                <w:vertAlign w:val="subscript"/>
              </w:rPr>
              <w:t>​</w:t>
            </w:r>
          </w:p>
        </w:tc>
        <w:tc>
          <w:tcPr>
            <w:tcW w:w="4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Sales</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Sales </w:t>
            </w:r>
            <w:r>
              <w:rPr>
                <w:rFonts w:ascii="Times New Roman" w:cs="Times New Roman" w:eastAsia="Times New Roman" w:hAnsi="Times New Roman"/>
                <w:sz w:val="24"/>
                <w:szCs w:val="24"/>
                <w:b w:val="1"/>
                <w:bCs w:val="1"/>
                <w:color w:val="auto"/>
                <w:vertAlign w:val="subscript"/>
              </w:rPr>
              <w:t>​</w:t>
            </w:r>
          </w:p>
        </w:tc>
      </w:tr>
      <w:tr>
        <w:trPr>
          <w:trHeight w:val="213"/>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6"/>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​​$78,000​​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 ​​$47,187​​</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p>
        </w:tc>
      </w:tr>
      <w:tr>
        <w:trPr>
          <w:trHeight w:val="243"/>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​48,375​​ ​</w:t>
            </w:r>
            <w:r>
              <w:rPr>
                <w:rFonts w:ascii="Times New Roman" w:cs="Times New Roman" w:eastAsia="Times New Roman" w:hAnsi="Times New Roman"/>
                <w:sz w:val="18"/>
                <w:szCs w:val="18"/>
                <w:b w:val="1"/>
                <w:bCs w:val="1"/>
                <w:color w:val="auto"/>
              </w:rPr>
              <w:t>​</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62.0​​ ​​ ​26,580​​</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56.3​</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​29,625​​ ​</w:t>
            </w:r>
            <w:r>
              <w:rPr>
                <w:rFonts w:ascii="Times New Roman" w:cs="Times New Roman" w:eastAsia="Times New Roman" w:hAnsi="Times New Roman"/>
                <w:sz w:val="18"/>
                <w:szCs w:val="18"/>
                <w:b w:val="1"/>
                <w:bCs w:val="1"/>
                <w:color w:val="auto"/>
              </w:rPr>
              <w:t>​</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38.0​​ ​​ ​20,607​​</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43.7​</w:t>
            </w:r>
          </w:p>
        </w:tc>
      </w:tr>
      <w:tr>
        <w:trPr>
          <w:trHeight w:val="23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2,689​​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​10,621​​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8"/>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9,848​​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12.6​</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​23,158​​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​11,861​​</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25.1​</w:t>
            </w:r>
          </w:p>
        </w:tc>
      </w:tr>
      <w:tr>
        <w:trPr>
          <w:trHeight w:val="256"/>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6,467​​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18.5​</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2"/>
                <w:szCs w:val="22"/>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56"/>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56"/>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5,949​​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18.6​</w:t>
            </w:r>
          </w:p>
        </w:tc>
      </w:tr>
      <w:tr>
        <w:trPr>
          <w:trHeight w:val="257"/>
        </w:trPr>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1,611​​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6"/>
        </w:trPr>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5.6​​ ​​$</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6,878​​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14.6​</w:t>
            </w:r>
          </w:p>
        </w:tc>
      </w:tr>
      <w:tr>
        <w:trPr>
          <w:trHeight w:val="391"/>
        </w:trPr>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6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Years ended December 31, </w:t>
            </w:r>
            <w:r>
              <w:rPr>
                <w:rFonts w:ascii="Times New Roman" w:cs="Times New Roman" w:eastAsia="Times New Roman" w:hAnsi="Times New Roman"/>
                <w:sz w:val="28"/>
                <w:szCs w:val="28"/>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2020   </w:t>
            </w:r>
            <w:r>
              <w:rPr>
                <w:rFonts w:ascii="Times New Roman" w:cs="Times New Roman" w:eastAsia="Times New Roman" w:hAnsi="Times New Roman"/>
                <w:sz w:val="24"/>
                <w:szCs w:val="24"/>
                <w:b w:val="1"/>
                <w:bCs w:val="1"/>
                <w:color w:val="auto"/>
                <w:vertAlign w:val="subscript"/>
              </w:rPr>
              <w:t>​</w:t>
            </w:r>
          </w:p>
        </w:tc>
      </w:tr>
      <w:tr>
        <w:trPr>
          <w:trHeight w:val="213"/>
        </w:trPr>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Borders>
              <w:top w:val="single" w:sz="8" w:color="auto"/>
            </w:tcBorders>
          </w:tcPr>
          <w:p>
            <w:pPr>
              <w:spacing w:after="0"/>
              <w:rPr>
                <w:sz w:val="18"/>
                <w:szCs w:val="18"/>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8"/>
        </w:trPr>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xml:space="preserve">​ ​ ​ ​59,042 ​​ ​ ​ ​33,314 </w:t>
            </w:r>
            <w:r>
              <w:rPr>
                <w:rFonts w:ascii="Times New Roman" w:cs="Times New Roman" w:eastAsia="Times New Roman" w:hAnsi="Times New Roman"/>
                <w:sz w:val="18"/>
                <w:szCs w:val="18"/>
                <w:b w:val="1"/>
                <w:bCs w:val="1"/>
                <w:color w:val="auto"/>
              </w:rPr>
              <w:t>​</w:t>
            </w:r>
          </w:p>
        </w:tc>
      </w:tr>
      <w:tr>
        <w:trPr>
          <w:trHeight w:val="243"/>
        </w:trPr>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xml:space="preserve">​ ​ ​ ​10,733 ​​ ​ ​ ​10,381 </w:t>
            </w:r>
            <w:r>
              <w:rPr>
                <w:rFonts w:ascii="Times New Roman" w:cs="Times New Roman" w:eastAsia="Times New Roman" w:hAnsi="Times New Roman"/>
                <w:sz w:val="18"/>
                <w:szCs w:val="18"/>
                <w:b w:val="1"/>
                <w:bCs w:val="1"/>
                <w:color w:val="auto"/>
              </w:rPr>
              <w:t>​</w:t>
            </w:r>
          </w:p>
        </w:tc>
      </w:tr>
      <w:tr>
        <w:trPr>
          <w:trHeight w:val="243"/>
        </w:trPr>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xml:space="preserve">​ ​ ​ ​69,775 ​​ ​ ​ ​43,695 </w:t>
            </w: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89.5 ​​ ​ ​ ​</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92.6 </w:t>
            </w:r>
            <w:r>
              <w:rPr>
                <w:rFonts w:ascii="Times New Roman" w:cs="Times New Roman" w:eastAsia="Times New Roman" w:hAnsi="Times New Roman"/>
                <w:sz w:val="18"/>
                <w:szCs w:val="18"/>
                <w:b w:val="1"/>
                <w:bCs w:val="1"/>
                <w:color w:val="auto"/>
              </w:rPr>
              <w:t>​</w:t>
            </w:r>
          </w:p>
        </w:tc>
      </w:tr>
      <w:tr>
        <w:trPr>
          <w:trHeight w:val="256"/>
        </w:trPr>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xml:space="preserve">​ ​ ​ ​ 8,225 ​​ ​ ​ ​ 3,492 </w:t>
            </w:r>
            <w:r>
              <w:rPr>
                <w:rFonts w:ascii="Times New Roman" w:cs="Times New Roman" w:eastAsia="Times New Roman" w:hAnsi="Times New Roman"/>
                <w:sz w:val="18"/>
                <w:szCs w:val="18"/>
                <w:b w:val="1"/>
                <w:bCs w:val="1"/>
                <w:color w:val="auto"/>
              </w:rPr>
              <w:t>​</w:t>
            </w:r>
          </w:p>
        </w:tc>
      </w:tr>
      <w:tr>
        <w:trPr>
          <w:trHeight w:val="256"/>
        </w:trPr>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 ​​ ​ ​ ​</w:t>
            </w:r>
          </w:p>
        </w:tc>
        <w:tc>
          <w:tcPr>
            <w:tcW w:w="14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w:t>
            </w:r>
          </w:p>
        </w:tc>
      </w:tr>
      <w:tr>
        <w:trPr>
          <w:trHeight w:val="256"/>
        </w:trPr>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xml:space="preserve">​ ​ ​$78,000 ​​ ​ ​$47,187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-4208145</wp:posOffset>
            </wp:positionV>
            <wp:extent cx="474916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-3908425</wp:posOffset>
            </wp:positionV>
            <wp:extent cx="474916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-3599815</wp:posOffset>
            </wp:positionV>
            <wp:extent cx="474916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-3291205</wp:posOffset>
            </wp:positionV>
            <wp:extent cx="474916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-2973705</wp:posOffset>
            </wp:positionV>
            <wp:extent cx="4749165"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-2647950</wp:posOffset>
            </wp:positionV>
            <wp:extent cx="4749165"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-2322195</wp:posOffset>
            </wp:positionV>
            <wp:extent cx="4749165"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-1996440</wp:posOffset>
            </wp:positionV>
            <wp:extent cx="474916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-4354195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-4354195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-4354195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-1113790</wp:posOffset>
            </wp:positionV>
            <wp:extent cx="474916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-813435</wp:posOffset>
            </wp:positionV>
            <wp:extent cx="474916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-504825</wp:posOffset>
            </wp:positionV>
            <wp:extent cx="4749165"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-179070</wp:posOffset>
            </wp:positionV>
            <wp:extent cx="4749165"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-1259205</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5460" w:space="720"/>
            <w:col w:w="3699"/>
          </w:cols>
          <w:pgMar w:left="580" w:top="97" w:right="1440" w:bottom="1440" w:gutter="0" w:footer="0" w:header="0"/>
          <w:type w:val="continuous"/>
        </w:sect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Net sales increased by $30.8 million, or 65.3%, to $78.0 million for the years ended December 31, 2021, as compared to $47.2 million for the year ended December 31, 2020. This increase was primarily due to</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increased DTC sales and OEMs. For the year ended December 31, 2021, OEM revenue increased by</w:t>
      </w:r>
    </w:p>
    <w:p>
      <w:pPr>
        <w:spacing w:after="0" w:line="27" w:lineRule="exact"/>
        <w:rPr>
          <w:sz w:val="20"/>
          <w:szCs w:val="20"/>
          <w:color w:val="auto"/>
        </w:rPr>
      </w:pPr>
    </w:p>
    <w:p>
      <w:pPr>
        <w:ind w:left="1260" w:right="559"/>
        <w:spacing w:after="0" w:line="253" w:lineRule="auto"/>
        <w:rPr>
          <w:sz w:val="20"/>
          <w:szCs w:val="20"/>
          <w:color w:val="auto"/>
        </w:rPr>
      </w:pPr>
      <w:r>
        <w:rPr>
          <w:rFonts w:ascii="Times New Roman" w:cs="Times New Roman" w:eastAsia="Times New Roman" w:hAnsi="Times New Roman"/>
          <w:sz w:val="18"/>
          <w:szCs w:val="18"/>
          <w:color w:val="auto"/>
        </w:rPr>
        <w:t>$4.7 million as a result of increased adoption our products by existing customers, several of whom have begun to “design in” our batteries in various RV models as original equipment or have increased purchases in response to end- customer demand for safer, more efficient batteries and as a replacement for traditional lead-acid batteries.</w:t>
      </w:r>
    </w:p>
    <w:p>
      <w:pPr>
        <w:spacing w:after="0" w:line="12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DTC revenue increased by $26.1 million as a result of increased customer demand for existing products and the introduction of new products.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 increased by $21.8 million, or 82.0%, to $48.4 million for the year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as compared to $26.6 million for the year ended December 31, 2020. This increase was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primarily due to higher unit volumes and higher headcount associated with increased production, and higher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overhead costs which increased due to the Company’s relocation into a new 99,000 sq. ft. facility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2021.</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Gross profit increased by $9.0 million, or 43.8%, to $29.6 million for the year ended December 31, 2021, as compared to $20.6 million for the year ended December 31, 2020. This increase was primarily due to the increase in revenue, partially offset by the increase in cost of goods sold.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$1.5 million, or 117.0%, to $2.7 million for the year ended December 31, 2021, as compared to $1.2 million for the year ended December 31, 2020. This increase was primarily due to increased headcount as we continued to build our research and development staff associated with our solid-state technology development efforts and increased patent expenses.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$6.0 million, or 127.8%, to $10.6 million for the year ended December 31, 2021, as compared to $4.7 million for the year ended December 31, 2020. This increase was primarily due to increased headcount as we continued to expand our finance, legal and support teams, overhead costs associated with our large manufacturing facility and higher professional services fees arising from the Company’s business combination efforts.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4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$3.9 million, or 65.2%, to $9.8 million for the year ended December 31, 2021, as compared to $6.0 million for the year ended December 31, 2020. This increase was primarily due to the addition of sales and marketing personnel to support growth in our existing end markets, as well as to drive growth in the new, adjacent, end markets we are targeting, overhead costs associated with our large manufacturing facility, increased shipping expenses due to higher volumes and price increases, and advertising and sponsorship growth.</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Other income (expense) decreased to other expense of $0.5 million for the year ended December 31, 2021, as compared to other income of $0.02 million for the year ended December 31, 2020. This decrease was primarily due to interest expense related to the senior secured debt facility and a loss on the disposition of certain assets.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Income tax expense decreased by $0.3 million, or 14.6%, to $1.6 million for the year ended December 31, 2021, as compared to $1.9 million for the year ended December 31, 2020. This decrease was primarily due to lower income for the period.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Net income decreased by $2.5 million, or 36.9%, to $4.3 million for the year ended December 31, 2021, as compared to $6.9 million for the year ended December 31, 2020. This decrease was primarily due to higher costs which more than offset the increase in revenue for the period.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This prospectus includes a non-GAAP measure that we use to supplement our results presented in accordance with U.S. GAAP. EBITDA is defined as earnings before interest and other income, tax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20"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presents our adjusted EBITDA, reconciled to net income for the nine months ended September 30, 2022 and 2021.</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3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2022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​​$(7,456​​) ​​$4,421​</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​3,657​​ ​​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​(1,700​​) ​​ ​1,981​</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​(4,851​​) ​​ ​6,834​</w:t>
            </w:r>
          </w:p>
        </w:tc>
        <w:tc>
          <w:tcPr>
            <w:tcW w:w="20" w:type="dxa"/>
            <w:vAlign w:val="bottom"/>
          </w:tcPr>
          <w:p>
            <w:pPr>
              <w:spacing w:after="0"/>
              <w:rPr>
                <w:sz w:val="18"/>
                <w:szCs w:val="18"/>
                <w:color w:val="auto"/>
              </w:rPr>
            </w:pPr>
          </w:p>
        </w:tc>
      </w:tr>
      <w:tr>
        <w:trPr>
          <w:trHeight w:val="324"/>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 ​</w:t>
            </w:r>
          </w:p>
        </w:tc>
        <w:tc>
          <w:tcPr>
            <w:tcW w:w="320" w:type="dxa"/>
            <w:vAlign w:val="bottom"/>
          </w:tcPr>
          <w:p>
            <w:pPr>
              <w:spacing w:after="0"/>
              <w:rPr>
                <w:sz w:val="24"/>
                <w:szCs w:val="24"/>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43"/>
        </w:trPr>
        <w:tc>
          <w:tcPr>
            <w:tcW w:w="43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​1,155​​ ​​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21"/>
                <w:szCs w:val="21"/>
                <w:color w:val="auto"/>
              </w:rPr>
            </w:pPr>
          </w:p>
        </w:tc>
      </w:tr>
      <w:tr>
        <w:trPr>
          <w:trHeight w:val="243"/>
        </w:trPr>
        <w:tc>
          <w:tcPr>
            <w:tcW w:w="43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ERP Implementation</w:t>
            </w:r>
            <w:r>
              <w:rPr>
                <w:rFonts w:ascii="Times New Roman" w:cs="Times New Roman" w:eastAsia="Times New Roman" w:hAnsi="Times New Roman"/>
                <w:sz w:val="23"/>
                <w:szCs w:val="23"/>
                <w:color w:val="auto"/>
                <w:vertAlign w:val="superscript"/>
              </w:rPr>
              <w:t>(2)</w:t>
            </w:r>
          </w:p>
        </w:tc>
        <w:tc>
          <w:tcPr>
            <w:tcW w:w="16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43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Promissory Note Forgiveness</w:t>
            </w:r>
            <w:r>
              <w:rPr>
                <w:rFonts w:ascii="Times New Roman" w:cs="Times New Roman" w:eastAsia="Times New Roman" w:hAnsi="Times New Roman"/>
                <w:sz w:val="23"/>
                <w:szCs w:val="23"/>
                <w:color w:val="auto"/>
                <w:vertAlign w:val="superscript"/>
              </w:rPr>
              <w:t>(3)</w:t>
            </w: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43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Business Combination Expenses</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​1,886​​ ​​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​​$(1,143​​) ​​$7,452​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-1799590</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99"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13"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26"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 Forgiveness is comprised of the loan that was forgiven in connection with the promissory note, with a maturity date of March 1, 2026, between us and our Chief Financial Officer.</w:t>
      </w:r>
    </w:p>
    <w:p>
      <w:pPr>
        <w:spacing w:after="0" w:line="13"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w:t>
      </w:r>
    </w:p>
    <w:p>
      <w:pPr>
        <w:spacing w:after="0" w:line="50" w:lineRule="exact"/>
        <w:rPr>
          <w:sz w:val="20"/>
          <w:szCs w:val="20"/>
          <w:color w:val="auto"/>
        </w:rPr>
      </w:pPr>
    </w:p>
    <w:p>
      <w:pPr>
        <w:jc w:val="right"/>
        <w:ind w:right="2180"/>
        <w:spacing w:after="0"/>
        <w:rPr>
          <w:sz w:val="20"/>
          <w:szCs w:val="20"/>
          <w:color w:val="auto"/>
        </w:rPr>
      </w:pPr>
      <w:r>
        <w:rPr>
          <w:rFonts w:ascii="Times New Roman" w:cs="Times New Roman" w:eastAsia="Times New Roman" w:hAnsi="Times New Roman"/>
          <w:sz w:val="18"/>
          <w:szCs w:val="18"/>
          <w:color w:val="auto"/>
        </w:rPr>
        <w:t>Interest and 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Taxes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EBITDA</w:t>
      </w:r>
    </w:p>
    <w:p>
      <w:pPr>
        <w:spacing w:after="0" w:line="1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Adjusted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ERP Implementation</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Debt Transaction</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Loss on Disposal of Assets</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Business Combination Expenses</w:t>
      </w:r>
      <w:r>
        <w:rPr>
          <w:rFonts w:ascii="Times New Roman" w:cs="Times New Roman" w:eastAsia="Times New Roman" w:hAnsi="Times New Roman"/>
          <w:sz w:val="23"/>
          <w:szCs w:val="23"/>
          <w:color w:val="auto"/>
          <w:vertAlign w:val="superscript"/>
        </w:rPr>
        <w:t>(5)</w:t>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6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xml:space="preserve">Years ended December 31, </w:t>
            </w:r>
            <w:r>
              <w:rPr>
                <w:rFonts w:ascii="Times New Roman" w:cs="Times New Roman" w:eastAsia="Times New Roman" w:hAnsi="Times New Roman"/>
                <w:sz w:val="28"/>
                <w:szCs w:val="28"/>
                <w:b w:val="1"/>
                <w:bCs w:val="1"/>
                <w:color w:val="auto"/>
                <w:w w:val="98"/>
                <w:vertAlign w:val="subscript"/>
              </w:rPr>
              <w:t>​</w:t>
            </w: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​1,886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​7,084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​8,944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4"/>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 ​</w:t>
            </w: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t>
            </w:r>
          </w:p>
        </w:tc>
      </w:tr>
      <w:tr>
        <w:trPr>
          <w:trHeight w:val="28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-2288540</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2579"/>
          </w:cols>
          <w:pgMar w:left="580" w:top="97" w:right="1440" w:bottom="1440" w:gutter="0" w:footer="0" w:header="0"/>
        </w:sectPr>
      </w:pPr>
    </w:p>
    <w:p>
      <w:pPr>
        <w:spacing w:after="0" w:line="146" w:lineRule="exact"/>
        <w:rPr>
          <w:sz w:val="20"/>
          <w:szCs w:val="20"/>
          <w:color w:val="auto"/>
        </w:rPr>
      </w:pPr>
    </w:p>
    <w:p>
      <w:pPr>
        <w:ind w:left="1620" w:right="49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13"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3"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Transaction is comprised of costs and expenses associated with our issuance of $45 million fixed rate senior notes in November 2021.</w:t>
      </w:r>
    </w:p>
    <w:p>
      <w:pPr>
        <w:spacing w:after="0" w:line="13"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is comprised of amounts in relation to leasehold improvements that were written off in April 2021 as part of the transfer of our operations to our new manufacturing facility.</w:t>
      </w:r>
    </w:p>
    <w:p>
      <w:pPr>
        <w:spacing w:after="0" w:line="13"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2022, our principal source of liquidity was cash totaling $13.6 million. We intend to utilize borrowings under the Term Loan and equity issuances under the ChEF Equity Facility, pursuant to which we have the option to direct CCM to purchase up to $150.0 million of common stock, pursuant to, on the terms of and subject to satisfaction the terms and conditions of availability in the Purchase Agreement. Following the consummation of the Business Combination, as of November 1, 2022, we had cash totaling $18.9 million.</w:t>
      </w:r>
    </w:p>
    <w:p>
      <w:pPr>
        <w:spacing w:after="0" w:line="12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growth of our business and in anticipation of future needs and to protect against supply-chain and logistics related shortages, during the third quarter of 2022, we continued to increase our inventory purchasing activities. As a result, our inventory balance at September 30, 2022 increased by $12.4 million to $39.5 million, compared to $27.1 million at December 31, 2021.</w:t>
      </w:r>
    </w:p>
    <w:p>
      <w:pPr>
        <w:spacing w:after="0" w:line="9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We believe</w:t>
      </w:r>
    </w:p>
    <w:p>
      <w:pPr>
        <w:sectPr>
          <w:pgSz w:w="11900" w:h="16838" w:orient="portrait"/>
          <w:cols w:equalWidth="0" w:num="1">
            <w:col w:w="9879"/>
          </w:cols>
          <w:pgMar w:left="580" w:top="97" w:right="1440" w:bottom="1440" w:gutter="0" w:footer="0" w:header="0"/>
          <w:type w:val="continuous"/>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that our cash on hand following the Closing, which we assume will include utilization of the borrowings under the Term Loan and equity issuances under the ChEF Equity Facility, will be sufficient to meet our working capital and capital expenditure requirements for a period of at least twelve months from the date of this prospectus. We may, however, need additional cash if there are material changes to our business conditions or other developments, including unanticipated delays in production, supply chain challenges, disruptions due to the COVID-19 pandemic, competitive pressures and regulatory developments, or if we decide to accelerate our research and development efforts and/or any of our other growth strategies. To the extent that our resources are insufficient to satisfy our cash requirements, we may need to seek additional equity or debt financing. If the financing is not available, or if the terms of financing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For more information about risks related to our business, please see the sections</w:t>
      </w:r>
    </w:p>
    <w:p>
      <w:pPr>
        <w:spacing w:after="0" w:line="5" w:lineRule="exact"/>
        <w:rPr>
          <w:sz w:val="20"/>
          <w:szCs w:val="20"/>
          <w:color w:val="auto"/>
        </w:rPr>
      </w:pPr>
    </w:p>
    <w:p>
      <w:pPr>
        <w:ind w:left="1260" w:right="859"/>
        <w:spacing w:after="0" w:line="245" w:lineRule="auto"/>
        <w:rPr>
          <w:sz w:val="20"/>
          <w:szCs w:val="20"/>
          <w:color w:val="auto"/>
        </w:rPr>
      </w:pP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i w:val="1"/>
          <w:iCs w:val="1"/>
          <w:color w:val="auto"/>
        </w:rPr>
        <w:t>Risks Related to Our Existing Lithium-Ion Battery Operations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Solid-State Technology Development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to the foregoing, based on our current assessment, we do not expect any material adverse effect on our long-term liquidity due to the COVID-19 pandemic. However, we will continue to assess the effect of the pandemic to our operations. The pandemic has in recent periods moderated in the United States following the availability of vaccines (although vaccination rates often vary by geography, age and other factors) and increased immunity (including natural immunity from infection). However, the extent to which the COVID-19 pandemic will affect our business and operations will depend on future developments that are highly uncertain and cannot be predicted with confidence. These uncertainties include the ultimate geographic spread of the disease (including emergence of new variants against which existing vaccinations or treatments may be ineffective), the duration of the pandemic and the perceived effectiveness of actions taken in the United States and other countries to contain and treat the disease. While the potential economic impact of COVID-19 may be difficult to assess or predict, a widespread pandemic alone or in combination with other events, such as the Russia/Ukraine conflict, could result in significant disruption of global financial markets and supply chains, reducing our ability to access capital in the future or access required raw materials and components, which could result in price increases. In addition, a recession or long-term market correction resulting from the spread of COVID-19 or other events could materially affect our business and the value of our common stock.</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Historically, we funded development of our solid-state and cell manufacturing technologies internally through operationally generated cash and, in recent periods, with proceeds from our secured borrowings in November 2021 and in October 2022 (in connection with the consummation of the Business Combination). Additionally, we intend to utilize our borrowings under the Term Loan and equity issuances under our ChEF Equity Facility, subject to the terms and conditions thereof, along with our cash generated by operations, to fund the continued development of our solid-state technologies. To date, our focus has been on seeking to prove the fundamental soundness of our manufacturing techniques and our solid- state chemistry. Moving forward, our solid- 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162"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As of September 30, 2022, we had cash totaling $13.6 million. Since inception and until recently, we funded ourselves from internally generated cash and $2 million in equity raised in 2017. On November 24, 2021, we issued $45 million of fixed rate senior notes, secured by among other things, a security interest in our intellectual property.</w:t>
      </w:r>
    </w:p>
    <w:p>
      <w:pPr>
        <w:spacing w:after="0" w:line="110"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As part of the Business Combination, we entered into a series of transactions that is expected to provide us additional cash to fund our capital and liquidity requirements in the short and long-term. Following the consummation of the Business Combination, as of November 1, 2022, we had cash totaling $18.9 million.</w:t>
      </w:r>
    </w:p>
    <w:p>
      <w:pPr>
        <w:spacing w:after="0" w:line="323"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Term Loan proceeds were used to (i) to support the Business Combination, (ii) to prepay the fixed rate senior notes at closing of the Business Combination, (iii) to pay fees and expenses in connection with</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80"/>
        <w:spacing w:after="0" w:line="281" w:lineRule="auto"/>
        <w:rPr>
          <w:sz w:val="20"/>
          <w:szCs w:val="20"/>
          <w:color w:val="auto"/>
        </w:rPr>
      </w:pPr>
      <w:r>
        <w:rPr>
          <w:rFonts w:ascii="Times New Roman" w:cs="Times New Roman" w:eastAsia="Times New Roman" w:hAnsi="Times New Roman"/>
          <w:sz w:val="18"/>
          <w:szCs w:val="18"/>
          <w:color w:val="auto"/>
        </w:rPr>
        <w:t>the foregoing, (iv) to provide additional growth capital and (v) for other general corporate purposes. The Term Loan will mature four years from the Closing Date and will be subject to quarterly amortization of 5% per annum beginning 24 months after the Closing Date.</w:t>
      </w:r>
    </w:p>
    <w:p>
      <w:pPr>
        <w:spacing w:after="0" w:line="96" w:lineRule="exact"/>
        <w:rPr>
          <w:sz w:val="20"/>
          <w:szCs w:val="20"/>
          <w:color w:val="auto"/>
        </w:rPr>
      </w:pPr>
    </w:p>
    <w:p>
      <w:pPr>
        <w:ind w:left="1260" w:right="1480" w:firstLine="360"/>
        <w:spacing w:after="0" w:line="271" w:lineRule="auto"/>
        <w:rPr>
          <w:sz w:val="20"/>
          <w:szCs w:val="20"/>
          <w:color w:val="auto"/>
        </w:rPr>
      </w:pPr>
      <w:r>
        <w:rPr>
          <w:rFonts w:ascii="Times New Roman" w:cs="Times New Roman" w:eastAsia="Times New Roman" w:hAnsi="Times New Roman"/>
          <w:sz w:val="18"/>
          <w:szCs w:val="18"/>
          <w:color w:val="auto"/>
        </w:rPr>
        <w:t>The definitive documents for the Term Loan incorporate certain mandatory prepayment events and certain affirmative and negative covenants and exceptions thereto. The financial covenants for the Term Loan include a maximum senior leverage ratio covenant, a minimum liquidity covenant, a springing fixed charge coverage ratio covenant and a maximum capital expenditures covenant.</w:t>
      </w:r>
    </w:p>
    <w:p>
      <w:pPr>
        <w:spacing w:after="0" w:line="105" w:lineRule="exact"/>
        <w:rPr>
          <w:sz w:val="20"/>
          <w:szCs w:val="20"/>
          <w:color w:val="auto"/>
        </w:rPr>
      </w:pPr>
    </w:p>
    <w:p>
      <w:pPr>
        <w:ind w:left="1260" w:right="1320" w:firstLine="360"/>
        <w:spacing w:after="0" w:line="266" w:lineRule="auto"/>
        <w:rPr>
          <w:sz w:val="20"/>
          <w:szCs w:val="20"/>
          <w:color w:val="auto"/>
        </w:rPr>
      </w:pPr>
      <w:r>
        <w:rPr>
          <w:rFonts w:ascii="Times New Roman" w:cs="Times New Roman" w:eastAsia="Times New Roman" w:hAnsi="Times New Roman"/>
          <w:sz w:val="18"/>
          <w:szCs w:val="18"/>
          <w:color w:val="auto"/>
        </w:rPr>
        <w:t>The Term Loan accrues interest (i) until April 1, 2023 at a per annum rate equal to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09" w:lineRule="exact"/>
        <w:rPr>
          <w:sz w:val="20"/>
          <w:szCs w:val="20"/>
          <w:color w:val="auto"/>
        </w:rPr>
      </w:pPr>
    </w:p>
    <w:p>
      <w:pPr>
        <w:ind w:left="1260" w:right="1280" w:firstLine="360"/>
        <w:spacing w:after="0" w:line="266"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09" w:lineRule="exact"/>
        <w:rPr>
          <w:sz w:val="20"/>
          <w:szCs w:val="20"/>
          <w:color w:val="auto"/>
        </w:rPr>
      </w:pPr>
    </w:p>
    <w:p>
      <w:pPr>
        <w:ind w:left="1260" w:right="1320" w:firstLine="360"/>
        <w:spacing w:after="0" w:line="255"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Pursuant to the Term Loan Agreement, each of the Company and Legacy Dragonfly granted the Administrative Agent, a security interest in substantially all of its personal property, rights and assets to secure the payment of all amounts owed to lenders under the Term Loan Agreement. In addition, the Company entered into a Pledge Agreement pursuant to which the Company pledged to the Administrative Agent its equity interests in Legacy Dragonfly as further collateral security for the obligations under the Term Loan Agreement.</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Closing, we issued to the Term Loan Lenders (i) the Penny Warrants and (ii) the $10 Warrants.</w:t>
      </w:r>
    </w:p>
    <w:p>
      <w:pPr>
        <w:spacing w:after="0" w:line="144" w:lineRule="exact"/>
        <w:rPr>
          <w:sz w:val="20"/>
          <w:szCs w:val="20"/>
          <w:color w:val="auto"/>
        </w:rPr>
      </w:pPr>
    </w:p>
    <w:p>
      <w:pPr>
        <w:ind w:left="1260" w:right="1300" w:firstLine="360"/>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the Company will have the right from time to time at its option to direct CCM to purchase up to a specified maximum amount of shares of common stock, up to a maximum aggregate purchase price of $150 million over the term of the ChEF Equity Facility.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 — Nine months ended September 30,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4"/>
        </w:trPr>
        <w:tc>
          <w:tcPr>
            <w:tcW w:w="644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644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7"/>
                <w:szCs w:val="27"/>
                <w:b w:val="1"/>
                <w:bCs w:val="1"/>
                <w:color w:val="auto"/>
                <w:vertAlign w:val="subscript"/>
              </w:rPr>
              <w:t>​ ​</w:t>
            </w:r>
          </w:p>
        </w:tc>
        <w:tc>
          <w:tcPr>
            <w:tcW w:w="4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44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1"/>
                <w:szCs w:val="21"/>
                <w:color w:val="auto"/>
              </w:rPr>
            </w:pPr>
          </w:p>
        </w:tc>
        <w:tc>
          <w:tcPr>
            <w:tcW w:w="1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162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​​$(24,711​​) ​​$(2,733​)</w:t>
            </w:r>
          </w:p>
        </w:tc>
        <w:tc>
          <w:tcPr>
            <w:tcW w:w="1600" w:type="dxa"/>
            <w:vAlign w:val="bottom"/>
          </w:tcPr>
          <w:p>
            <w:pPr>
              <w:spacing w:after="0"/>
              <w:rPr>
                <w:sz w:val="21"/>
                <w:szCs w:val="21"/>
                <w:color w:val="auto"/>
              </w:rPr>
            </w:pPr>
          </w:p>
        </w:tc>
      </w:tr>
      <w:tr>
        <w:trPr>
          <w:trHeight w:val="243"/>
        </w:trPr>
        <w:tc>
          <w:tcPr>
            <w:tcW w:w="64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(6,065​​) ​​$(2,479​)</w:t>
            </w:r>
          </w:p>
        </w:tc>
      </w:tr>
      <w:tr>
        <w:trPr>
          <w:trHeight w:val="243"/>
        </w:trPr>
        <w:tc>
          <w:tcPr>
            <w:tcW w:w="162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0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​​$ 15,707​​ ​​$</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26​</w:t>
            </w:r>
          </w:p>
        </w:tc>
        <w:tc>
          <w:tcPr>
            <w:tcW w:w="1600" w:type="dxa"/>
            <w:vAlign w:val="bottom"/>
          </w:tcPr>
          <w:p>
            <w:pPr>
              <w:spacing w:after="0"/>
              <w:rPr>
                <w:sz w:val="21"/>
                <w:szCs w:val="21"/>
                <w:color w:val="auto"/>
              </w:rPr>
            </w:pPr>
          </w:p>
        </w:tc>
      </w:tr>
      <w:tr>
        <w:trPr>
          <w:trHeight w:val="608"/>
        </w:trPr>
        <w:tc>
          <w:tcPr>
            <w:tcW w:w="6440" w:type="dxa"/>
            <w:vAlign w:val="bottom"/>
            <w:gridSpan w:val="2"/>
          </w:tcPr>
          <w:p>
            <w:pPr>
              <w:ind w:left="5240"/>
              <w:spacing w:after="0"/>
              <w:rPr>
                <w:sz w:val="20"/>
                <w:szCs w:val="20"/>
                <w:color w:val="auto"/>
              </w:rPr>
            </w:pPr>
            <w:r>
              <w:rPr>
                <w:rFonts w:ascii="Times New Roman" w:cs="Times New Roman" w:eastAsia="Times New Roman" w:hAnsi="Times New Roman"/>
                <w:sz w:val="18"/>
                <w:szCs w:val="18"/>
                <w:color w:val="auto"/>
              </w:rPr>
              <w:t>78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-1285240</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Net cash used in operating activities was $24.7 million for the nine months ended September 30, 2022 primarily due to a net loss during the period, an increase in purchased inventory to support future growth and to protect against potential supply disruptions, and an increase in accounts payable and accrued expenses as a result of the increased sales to OEM customers.</w:t>
      </w:r>
    </w:p>
    <w:p>
      <w:pPr>
        <w:spacing w:after="0" w:line="105" w:lineRule="exact"/>
        <w:rPr>
          <w:sz w:val="20"/>
          <w:szCs w:val="20"/>
          <w:color w:val="auto"/>
        </w:rPr>
      </w:pPr>
    </w:p>
    <w:p>
      <w:pPr>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was $2.7 million for the nine months ended September 30, 2021 primarily due to net income during the period which was more than offset by an increase in working capital as a result of growth in the Company’s operations.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Net cash used in investing activities was $6.1 million for the nine months ended September 30, 2022, as compared to net cash used in investing activities of $2.5 million for the nine months ended September 30, 2021. The increase in cash used in investing activities was primarily due to an increase in capital expenditures to support the Company’s growing manufacturing base as well as its efforts to develop solid-state battery technology and manufacturing processes.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Net cash provided by financing activities was $15.7 million for the nine months ended September 30, 2022, as compared to net cash provided by financing activities of $0.03 million for the nine months ended September 30, 2021, and was primarily due to the strategic investment made by Thor Industries.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 — Years ended December 31, 2021 and 2020</w:t>
      </w:r>
    </w:p>
    <w:p>
      <w:pPr>
        <w:spacing w:after="0" w:line="3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Years ended December 31, </w:t>
            </w:r>
            <w:r>
              <w:rPr>
                <w:rFonts w:ascii="Times New Roman" w:cs="Times New Roman" w:eastAsia="Times New Roman" w:hAnsi="Times New Roman"/>
                <w:sz w:val="28"/>
                <w:szCs w:val="28"/>
                <w:b w:val="1"/>
                <w:bCs w:val="1"/>
                <w:color w:val="auto"/>
                <w:w w:val="99"/>
                <w:vertAlign w:val="subscript"/>
              </w:rPr>
              <w:t>​</w:t>
            </w: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6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​$(13,573)​​ ​ ​$ 6,640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96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(2,909)​​ ​ ​ ​(1,410)</w:t>
            </w:r>
            <w:r>
              <w:rPr>
                <w:rFonts w:ascii="Times New Roman" w:cs="Times New Roman" w:eastAsia="Times New Roman" w:hAnsi="Times New Roman"/>
                <w:sz w:val="18"/>
                <w:szCs w:val="18"/>
                <w:b w:val="1"/>
                <w:bCs w:val="1"/>
                <w:color w:val="auto"/>
              </w:rPr>
              <w:t>​</w:t>
            </w:r>
          </w:p>
        </w:tc>
      </w:tr>
      <w:tr>
        <w:trPr>
          <w:trHeight w:val="25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38,906 ​​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-650875</wp:posOffset>
            </wp:positionV>
            <wp:extent cx="137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left="1260" w:right="879" w:firstLine="360"/>
        <w:spacing w:after="0" w:line="268" w:lineRule="auto"/>
        <w:rPr>
          <w:sz w:val="20"/>
          <w:szCs w:val="20"/>
          <w:color w:val="auto"/>
        </w:rPr>
      </w:pPr>
      <w:r>
        <w:rPr>
          <w:rFonts w:ascii="Times New Roman" w:cs="Times New Roman" w:eastAsia="Times New Roman" w:hAnsi="Times New Roman"/>
          <w:sz w:val="18"/>
          <w:szCs w:val="18"/>
          <w:color w:val="auto"/>
        </w:rPr>
        <w:t>Net cash used in operating activities was $13.6 million for the year ended December 31, 2021, as compared to net cash provided by operating activities of $6.6 million for the year ended December 31,</w:t>
      </w:r>
    </w:p>
    <w:p>
      <w:pPr>
        <w:spacing w:after="0" w:line="2" w:lineRule="exact"/>
        <w:rPr>
          <w:sz w:val="20"/>
          <w:szCs w:val="20"/>
          <w:color w:val="auto"/>
        </w:rPr>
      </w:pPr>
    </w:p>
    <w:p>
      <w:pPr>
        <w:ind w:left="1260" w:right="419"/>
        <w:spacing w:after="0" w:line="276" w:lineRule="auto"/>
        <w:rPr>
          <w:sz w:val="20"/>
          <w:szCs w:val="20"/>
          <w:color w:val="auto"/>
        </w:rPr>
      </w:pPr>
      <w:r>
        <w:rPr>
          <w:rFonts w:ascii="Times New Roman" w:cs="Times New Roman" w:eastAsia="Times New Roman" w:hAnsi="Times New Roman"/>
          <w:sz w:val="18"/>
          <w:szCs w:val="18"/>
          <w:color w:val="auto"/>
        </w:rPr>
        <w:t>2020. The increase in cash used by operations was primarily due to an increase in working capital as a result of growth in Legacy Dragonfly’s operations.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was $2.9 million for the year ended December 31, 2021, as compared to $1.4 million for the year ended December 31, 2020. The increase in net cash used in investing activities was primarily due to an increase in capital expenditures to support our ongoing efforts to develop solid-state battery technology and manufacturing processes.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Net cash provided by financing activities was $38.9 million for the year ended December 31, 2021 and was primarily due to cash received from the issuance of fixed rate senior notes.</w:t>
      </w:r>
    </w:p>
    <w:p>
      <w:pPr>
        <w:spacing w:after="0" w:line="82"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Net cash provided by financing activities was $0.01 million for the year ended December 31, 2020 and was primarily due to cash utilized from the Company’s line of credit.</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September 30, 2022, we had $1.2 million in short-term operating lease liabilities and $3.8 million in long-term operating lease liabilities.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have not experienced any significant losses in such accounts, nor does management believe it is exposed to any significant credit risk. The risk-free interest rate is based on a treasury instrument whose term is consistent with the expected term of the stock options. We use an assumed dividend yield of zero as we have never paid dividends and have no current plans to pay any dividends on our common stock. We account for forfeitures as they occur.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w:t>
      </w:r>
    </w:p>
    <w:p>
      <w:pPr>
        <w:spacing w:after="0" w:line="3" w:lineRule="exact"/>
        <w:rPr>
          <w:sz w:val="20"/>
          <w:szCs w:val="20"/>
          <w:color w:val="auto"/>
        </w:rPr>
      </w:pPr>
    </w:p>
    <w:p>
      <w:pPr>
        <w:ind w:left="1260" w:right="419"/>
        <w:spacing w:after="0"/>
        <w:tabs>
          <w:tab w:leader="none" w:pos="15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entity satisfies a performance obligation. We only apply the five-step model to contracts when it is probable the entity will collect the consideration it is entitled to in exchange for the goods or services it transfers to the customer. At contract inception, once the contract is determined to be within the scope of Topic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exclude from the transaction price all taxes that are assessed by a governmental authority and imposed on and concurrent with our revenue transactions, and therefore present these taxes (such as sales tax) on a net basis in operating revenues on the Statement of Income.</w:t>
      </w:r>
    </w:p>
    <w:p>
      <w:pPr>
        <w:spacing w:after="0" w:line="327"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we expect to be entitled to in exchange for those goods and services. Revenue associated with products holding rights of return are recognized when we conclude there is no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may receive payments at the onset of the contract and before delivery of goods for customers in the retail channel. In such instances, we record a customer deposit liability. Payment terms for distributors and OEMs are due within 30 -60 days after shipment. We recognize these contract liabilities as sales after the revenue criteria are met. As of September 30, 2022, the contract liability related to our customer deposits approximated $0.3 million compared to approximately $0.4 million as of December 31, 2021. The entire contract liability balance as of December 31, 2021 was recognized as revenue during the nine months ended September 30, 2022.</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Inventories,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2021, and as of December 31, 2021 and 2020, no such reserves were necessary.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All our facilities are leased and none are owned. Depreciation and amortization are calculated by the straight- line method over the estimated useful lives for owned property, or, for leasehold improvements, over the shorter of the asset’s useful life or term of the lease. Depreciation expense for the nine months ended September 30, 2022 and 2021 was $0.6 million and $0.4 million, respectively. Depreciation expense for the years ended December 31, 2021 and 2020 was $617 and $198, respectively. The various classes of property and equipment and estimated useful lives are as follows:</w:t>
      </w:r>
    </w:p>
    <w:p>
      <w:pPr>
        <w:spacing w:after="0" w:line="12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3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 3 to 7 years</w:t>
            </w:r>
          </w:p>
        </w:tc>
        <w:tc>
          <w:tcPr>
            <w:tcW w:w="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5"/>
                <w:szCs w:val="15"/>
                <w:color w:val="auto"/>
              </w:rPr>
            </w:pPr>
          </w:p>
        </w:tc>
        <w:tc>
          <w:tcPr>
            <w:tcW w:w="6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70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80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Vehicles</w:t>
            </w:r>
          </w:p>
        </w:tc>
        <w:tc>
          <w:tcPr>
            <w:tcW w:w="66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5"/>
                <w:szCs w:val="15"/>
                <w:color w:val="auto"/>
              </w:rPr>
            </w:pPr>
          </w:p>
        </w:tc>
        <w:tc>
          <w:tcPr>
            <w:tcW w:w="6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 to 7 years</w:t>
            </w:r>
          </w:p>
        </w:tc>
        <w:tc>
          <w:tcPr>
            <w:tcW w:w="70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8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Machinery and equipment</w:t>
            </w:r>
          </w:p>
        </w:tc>
        <w:tc>
          <w:tcPr>
            <w:tcW w:w="66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spacing w:after="0"/>
              <w:rPr>
                <w:sz w:val="15"/>
                <w:szCs w:val="15"/>
                <w:color w:val="auto"/>
              </w:rPr>
            </w:pPr>
          </w:p>
        </w:tc>
        <w:tc>
          <w:tcPr>
            <w:tcW w:w="6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Remaining Term of Lease</w:t>
            </w:r>
          </w:p>
        </w:tc>
        <w:tc>
          <w:tcPr>
            <w:tcW w:w="70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As we add to our production capabilities and make related capital expenditures (including with respect to our solid-state battery capabilities) we expect our depreciation expenses to increase.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expense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 We expect our research and development costs to increase as we continue to develop our proprietary solid-state cell technology and manufacturing processes.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information regarding recently issued accounting pronouncements and recently adopted accounting pronouncements, please see Note 2, Summary of Significant Accounting Policies, to our consolidated financial statements included elsewhere in this prospectus.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Dragonfly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As a result, our financial statements may not be comparable to companies that comply with new or revised accounting pronouncements as of public company effective dates.</w:t>
      </w: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the CNTQ IPO, (ii) the last day of the fiscal year in which we have total annual gross revenue of at least $1.235 billion, (iii) the last day of the fiscal year in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b w:val="1"/>
          <w:bCs w:val="1"/>
          <w:color w:val="auto"/>
        </w:rPr>
        <w:t>CNTQ’S MANAGEMENT’S DISCUSSION AND ANALYSIS OF</w:t>
      </w:r>
    </w:p>
    <w:p>
      <w:pPr>
        <w:spacing w:after="0" w:line="31"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51"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i w:val="1"/>
          <w:iCs w:val="1"/>
          <w:color w:val="auto"/>
        </w:rPr>
        <w:t>Except where noted or the context otherwise requires, as used in this section, the terms “we,” “us,” “our,” “our company,” “our business” and similar terms refer to CNTQ before giving effect to the Business Combination. The following discussion and analysis of CNTQ’s results of operations and financial condition should be read in conjunction with CNTQ’s financial statements and related notes and other information included elsewhere in this prospectus.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Prior to the Closing, we were a blank check company formed under the laws of the State of Delaware on June 23, 2020, for the purpose of effecting a merger, capital stock exchange, asset acquisition, stock purchase, reorganization or other similar business combination with one or more businesses. We effectuated our initial business combination using cash from the proceeds of the CNTQ IPO and the sale of the private warrants, the proceeds of the sale of our securities in connection with our initial business combination (pursuant to forward purchase agreements or backstop agreements we may enter into following the consummation of the CNTQ IPO or otherwise), shares issued to the owners of the target, debt issued to bank or other lenders or the owners of the target, or a combination of the foregoing.</w:t>
      </w:r>
    </w:p>
    <w:p>
      <w:pPr>
        <w:spacing w:after="0" w:line="109"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Financial information included in this section are as of September 30, 2022 as in our September 30, 2022 Form 10-Q filed with the SEC on November 14, 2022 and for the year ended December 31, 2021 as in our December 31, 2021 Form 10-K filed with the SEC on March 29, 2022.</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156" w:lineRule="exact"/>
        <w:rPr>
          <w:sz w:val="20"/>
          <w:szCs w:val="20"/>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color w:val="auto"/>
        </w:rPr>
        <w:t>On August 5, 2022, we held a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11,331,512 shares of CNTQ Common Stock, were present in person or by proxy, representing approximately 71.66% of the voting power of the 15,812,500 shares of CNTQ Common Stock issued and outstanding entitled to vote at the Special Meeting at the close of business on July 11, 2022, which was the record date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for the Special Meeting. Stockholders of record as of the close of business on the Record Date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herein as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1260" w:right="619" w:firstLine="360"/>
        <w:spacing w:after="0" w:line="264" w:lineRule="auto"/>
        <w:rPr>
          <w:sz w:val="20"/>
          <w:szCs w:val="20"/>
          <w:color w:val="auto"/>
        </w:rPr>
      </w:pPr>
      <w:r>
        <w:rPr>
          <w:rFonts w:ascii="Times New Roman" w:cs="Times New Roman" w:eastAsia="Times New Roman" w:hAnsi="Times New Roman"/>
          <w:sz w:val="18"/>
          <w:szCs w:val="18"/>
          <w:color w:val="auto"/>
        </w:rPr>
        <w:t>At the Special Meeting, the Stockholders approved the proposal to amend CNTQ’s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provide CNTQ’s officers, directors, initial stockholders and Warrant Holdings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ability to extend the date by which CNTQ must complete a business combination up to three (3) times for an additional one (1) month each time (for a maximum of three (3) one-month extensions) upon the deposit into the Trust Account by the Insiders, their affiliates or designees of $200,000 upon five days’ advance notice prior to August 13, 2022 (or such other applicable deadline) (the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On July 29, 2022, to effectuate the Charter Amendment, the board of directors of CNTQ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and adopted the Second Amended and Restated Certificate of Incorporation of CNTQ (the “</w:t>
      </w:r>
      <w:r>
        <w:rPr>
          <w:rFonts w:ascii="Times New Roman" w:cs="Times New Roman" w:eastAsia="Times New Roman" w:hAnsi="Times New Roman"/>
          <w:sz w:val="18"/>
          <w:szCs w:val="18"/>
          <w:b w:val="1"/>
          <w:bCs w:val="1"/>
          <w:color w:val="auto"/>
        </w:rPr>
        <w:t>Second A&amp;R Charter</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CNTQ Common Stock, representing approximately 60.44% of the issued and outstanding shares of CNTQ Common Stock and 75.55% of the issued outstanding CNTQ Common Stock sold in the CNTQ IPO.</w:t>
      </w:r>
    </w:p>
    <w:p>
      <w:pPr>
        <w:spacing w:after="0" w:line="9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CNTQ and Continental Stock Transfer &amp;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authorize the Extension and its implementation by CNTQ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On July 29, 2022, to effectuate the Trust Amendment Proposal, the Board approved and adopted Amendment No. 1 to the Investment Management Trust Agreement (the “</w:t>
      </w:r>
      <w:r>
        <w:rPr>
          <w:rFonts w:ascii="Times New Roman" w:cs="Times New Roman" w:eastAsia="Times New Roman" w:hAnsi="Times New Roman"/>
          <w:sz w:val="18"/>
          <w:szCs w:val="18"/>
          <w:b w:val="1"/>
          <w:bCs w:val="1"/>
          <w:color w:val="auto"/>
        </w:rPr>
        <w:t>Trust Agreement Amendment</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Extension</w:t>
      </w:r>
    </w:p>
    <w:p>
      <w:pPr>
        <w:spacing w:after="0" w:line="160"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Extension, the Insiders notified CNTQ on August 8, 2022 of the Insiders’ intention to extend the date by which CNTQ must complete a business combination for an additional one</w:t>
      </w:r>
    </w:p>
    <w:p>
      <w:pPr>
        <w:ind w:left="1260"/>
        <w:spacing w:after="0"/>
        <w:rPr>
          <w:sz w:val="20"/>
          <w:szCs w:val="20"/>
          <w:color w:val="auto"/>
        </w:rPr>
      </w:pPr>
      <w:r>
        <w:rPr>
          <w:rFonts w:ascii="Times New Roman" w:cs="Times New Roman" w:eastAsia="Times New Roman" w:hAnsi="Times New Roman"/>
          <w:sz w:val="18"/>
          <w:szCs w:val="18"/>
          <w:color w:val="auto"/>
        </w:rPr>
        <w:t>(1) month by depositing $200,000 into the Trust Account.</w:t>
      </w:r>
    </w:p>
    <w:p>
      <w:pPr>
        <w:spacing w:after="0" w:line="12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Also in connection with the Extension, CNTQ and Warrant Holdings entered into a promissory note on August 11, 2022 (the “</w:t>
      </w:r>
      <w:r>
        <w:rPr>
          <w:rFonts w:ascii="Times New Roman" w:cs="Times New Roman" w:eastAsia="Times New Roman" w:hAnsi="Times New Roman"/>
          <w:sz w:val="18"/>
          <w:szCs w:val="18"/>
          <w:b w:val="1"/>
          <w:bCs w:val="1"/>
          <w:color w:val="auto"/>
        </w:rPr>
        <w:t>Extension Note</w:t>
      </w:r>
      <w:r>
        <w:rPr>
          <w:rFonts w:ascii="Times New Roman" w:cs="Times New Roman" w:eastAsia="Times New Roman" w:hAnsi="Times New Roman"/>
          <w:sz w:val="18"/>
          <w:szCs w:val="18"/>
          <w:color w:val="auto"/>
        </w:rPr>
        <w:t>”), whereby CNTQ agreed to pay $200,000 to Warrant Holdings.</w:t>
      </w:r>
    </w:p>
    <w:p>
      <w:pPr>
        <w:spacing w:after="0" w:line="9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Insiders notified CNTQ on September 6, 2022 of the Insiders’ intention to extend the date by which CNTQ must complete a business combination for an additional one (1) month by depositing $200,000 into the Trust Account (the “</w:t>
      </w:r>
      <w:r>
        <w:rPr>
          <w:rFonts w:ascii="Times New Roman" w:cs="Times New Roman" w:eastAsia="Times New Roman" w:hAnsi="Times New Roman"/>
          <w:sz w:val="18"/>
          <w:szCs w:val="18"/>
          <w:b w:val="1"/>
          <w:bCs w:val="1"/>
          <w:color w:val="auto"/>
        </w:rPr>
        <w:t>Extension No. 2</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Extension No. 2, CNTQ and Warrant Holdings entered into a promissory note on September 8, 2022 (the “</w:t>
      </w:r>
      <w:r>
        <w:rPr>
          <w:rFonts w:ascii="Times New Roman" w:cs="Times New Roman" w:eastAsia="Times New Roman" w:hAnsi="Times New Roman"/>
          <w:sz w:val="18"/>
          <w:szCs w:val="18"/>
          <w:b w:val="1"/>
          <w:bCs w:val="1"/>
          <w:color w:val="auto"/>
        </w:rPr>
        <w:t>Extension Note 2</w:t>
      </w:r>
      <w:r>
        <w:rPr>
          <w:rFonts w:ascii="Times New Roman" w:cs="Times New Roman" w:eastAsia="Times New Roman" w:hAnsi="Times New Roman"/>
          <w:sz w:val="18"/>
          <w:szCs w:val="18"/>
          <w:color w:val="auto"/>
        </w:rPr>
        <w:t>”), whereby CNTQ agreed to pay $200,000 to Warrant Holdings.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for the nine months ended September 30, 2022 and for the period from June 23, 2020 (inception) through September 30, 2022 were organizational activities, those necessary to prepare for the CNTQ IPO, described below, and, after the CNTQ IPO, activities related to identifying a target company for a business combination. We do not expect to generate any operating revenues until after the completion of our initial business combination. We generate non-operating income in the form of interest income on cash and cash equivalents held after the CNTQ IPO. We incur expenses as a result of being a public company (for legal, financial reporting, accounting and auditing compliance), as well as for due diligence expenses.</w:t>
      </w:r>
    </w:p>
    <w:p>
      <w:pPr>
        <w:spacing w:after="0" w:line="11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2022, we had a net loss of $1,919,615, which resulted from a net gain on marketable securities held in Trust Account in the amount of $279,627, which was partially offset by the change in fair value of warrant liabilities of $1,110,686, operating and formation costs of $999,216, franchise tax expense of $50,000, and income tax expense of $39.340.</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2022, we had a net loss of $1,298,108, which resulted from the change in fair value of warrant liabilities of $46,279 and a net gain on marketable securities held in Trust Account in the amount of $469,109, which was partially offset by operating and formation costs of $1,623,500, franchise tax expense of $150,656, and income tax expense of $39,340.</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2021, we had net income of $ 2,690,543, which resulted from by the change in fair value of warrant liabilities of $4,072,514 and a net gain on marketable securities held in Trust Account in the amount of $7,023, which was partially offset by operating and formation costs of $92,234, franchise tax expense of $24,034, loss on sale of Private Warrants of $1,253,929, and warrant issuance costs of $18,797.</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2021, we had net income of $2,689,709, which resulted from</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change in fair value of warrant liabilities of $4,072,514, and an unrealized gain on marketable securities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held in Trust Account in the amount of 7,023, which was partially offset by warrant issuance costs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$18,797 associated with the Initial Public Offering, operating and formation costs of $93,068, loss on sale of</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Private Warrants of $1,253,929, and franchise tax expense of $24,034.</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$316,023 and $799,808 in cash held outside of the Trust Account, respectively. As of September 30, 2022, the Company had a working capital deficit of $1,125,637. As of December 31, 2021, the Company had a working capital surplus of $988,187.</w:t>
      </w:r>
    </w:p>
    <w:p>
      <w:pPr>
        <w:spacing w:after="0" w:line="110"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was $583,456, which was due to the change in fair value of warrants of $46,279, a net gain on investments in the Trust Account of $469,109, and our net loss of $1,298,108, partially offset by changes in operating assets and liabilities of $1,230,040.</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operating activities was $459,653, which was due to the change in fair value of warrants of $ 4,072,514, changes in operating assets and liabilities of $ 342,550, and net gain on investments in the Trust Account of $7,023, partially offset by our net income of $2,689,709, loss on sale of Private Warrants of $1,253,929, and expensed offering costs of $18,797.</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2022, net cash provided by investing activities was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$96,894,621, of which was due to proceeds from the trust account for payment of redeeming stockholder</w:t>
      </w:r>
    </w:p>
    <w:p>
      <w:pPr>
        <w:ind w:left="1260"/>
        <w:spacing w:after="0"/>
        <w:rPr>
          <w:sz w:val="20"/>
          <w:szCs w:val="20"/>
          <w:color w:val="auto"/>
        </w:rPr>
      </w:pPr>
      <w:r>
        <w:rPr>
          <w:rFonts w:ascii="Times New Roman" w:cs="Times New Roman" w:eastAsia="Times New Roman" w:hAnsi="Times New Roman"/>
          <w:sz w:val="18"/>
          <w:szCs w:val="18"/>
          <w:color w:val="auto"/>
        </w:rPr>
        <w:t>$97,194,950, and $99,671 due to proceeds from the Trust Account to pay franchise tax, partially offset by</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$400,000 deposited into the Trust Account.</w:t>
      </w:r>
    </w:p>
    <w:p>
      <w:pPr>
        <w:spacing w:after="0" w:line="12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investing activities was $128,397,500, which was due to the amount of net proceeds from the Initial Public Offering being deposited to the Trust Account.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2022, net cash flows used in financing activities was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$96,794,950, which was due to $97,194,950 of payments to redeeming stockholders, partially offset by</w:t>
      </w:r>
    </w:p>
    <w:p>
      <w:pPr>
        <w:ind w:left="1260"/>
        <w:spacing w:after="0"/>
        <w:rPr>
          <w:sz w:val="20"/>
          <w:szCs w:val="20"/>
          <w:color w:val="auto"/>
        </w:rPr>
      </w:pPr>
      <w:r>
        <w:rPr>
          <w:rFonts w:ascii="Times New Roman" w:cs="Times New Roman" w:eastAsia="Times New Roman" w:hAnsi="Times New Roman"/>
          <w:sz w:val="18"/>
          <w:szCs w:val="18"/>
          <w:color w:val="auto"/>
        </w:rPr>
        <w:t>$400,000 of proceeds from promissory notes-related party.</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$129,719,361, which was comprised of $126,000,000 in proceeds from the issuance of units in the CNTQ</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IPO net of underwriter’s discount paid, $4,299,500 in proceeds from the issuance of warrants in a private</w:t>
      </w:r>
    </w:p>
    <w:p>
      <w:pPr>
        <w:ind w:left="1260"/>
        <w:spacing w:after="0" w:line="234" w:lineRule="auto"/>
        <w:rPr>
          <w:sz w:val="20"/>
          <w:szCs w:val="20"/>
          <w:color w:val="auto"/>
        </w:rPr>
      </w:pPr>
      <w:r>
        <w:rPr>
          <w:rFonts w:ascii="Times New Roman" w:cs="Times New Roman" w:eastAsia="Times New Roman" w:hAnsi="Times New Roman"/>
          <w:sz w:val="18"/>
          <w:szCs w:val="18"/>
          <w:color w:val="auto"/>
        </w:rPr>
        <w:t>placement to Warrant Holdings, and proceeds from issuance of a promissory note of $155,000 to our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Sponsor, offset in part by payment of $580,139 for offering costs associated with the CNTQ IPO and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repayment of the outstanding balance on the promissory note to our Sponsor of $155,000.</w:t>
      </w:r>
    </w:p>
    <w:p>
      <w:pPr>
        <w:spacing w:after="0" w:line="11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On August 13, 2021, we consummated the CNTQ IPO of 11,000,000 Units, at $10.00 per Unit, generating gross proceeds of $110,000,000. Each Unit consisted of one public share and three-quarters of one Public Warrant. Each Public Warrant entitles the holder to purchase one share of common stock at an exercise price of $11.50 per whole share.</w:t>
      </w:r>
    </w:p>
    <w:p>
      <w:pPr>
        <w:spacing w:after="0" w:line="11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CNTQ IPO, Warrant Holdings purchased an aggregate of 4,361,456 Private Warrants at a price of $0.93 per Private Warrant ($4,052,000 in the aggregate) . Each Private Warrant entitles the holder to purchase three-fourths of one share of common stock at an exercise price of $11.50 per share.</w:t>
      </w:r>
    </w:p>
    <w:p>
      <w:pPr>
        <w:spacing w:after="0" w:line="110"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0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September 30, 2022 or December 31, 2021.</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September 30, 2022 and December 31, 2021, we did not have any long-term debt, capital or</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operating lease obligations. We entered into an administrative services agreement pursuant to which we pay the Sponsor for office space and secretarial and administrative services provided to members of our management team, in an amount not to exceed $10,000 per month.</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Registration and Stockholder Rights Agreement</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are entitled to registration rights pursuant to a registration rights agreement dated as of August 10, 2021, by and between CNTQ, the Sponsor, Warrant Holdings, and the other parties thereto. The holders of a majority of these securities are entitled to make up to two demands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5" w:lineRule="auto"/>
        <w:rPr>
          <w:sz w:val="20"/>
          <w:szCs w:val="20"/>
          <w:color w:val="auto"/>
        </w:rPr>
      </w:pPr>
      <w:r>
        <w:rPr>
          <w:rFonts w:ascii="Times New Roman" w:cs="Times New Roman" w:eastAsia="Times New Roman" w:hAnsi="Times New Roman"/>
          <w:sz w:val="18"/>
          <w:szCs w:val="18"/>
          <w:color w:val="auto"/>
        </w:rPr>
        <w:t>that CNTQ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CNTQ consummates a business combination. In addition, the holders have certain “piggy-back” registration rights with respect to registration statements filed subsequent to the consummation of a business combination. CNTQ will bear the expenses incurred in connection with the filing of any such registration statements.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granted the underwriters a 45-day option to purchase up to 1,650,000 additional units to cover over-allotments at the CNTQ IPO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CNTQ IPO.</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engaged CCM as an advisor in connection with the Business Combination to assist us in holding meetings with the stockholders to discuss the potential Business Combination and the target business’ attributes, introduce us to potential investors that would be interested in purchasing our securities, assist us in obtaining stockholder approval for the Business Combination and assist us with press releases and public filings in connection with the Business Combination. CCM was entitled to a cash fee for such services upon the consummation of the initial Business Combination in an amount equal to, in the aggregate, $4,427,500, being 3.5% of the gross proceeds of the CNTQ IPO. CCM was not entitled to such fee unless we consummated the initial Business Combination. Mr. Grossman is the Chief Executive Officer of, and</w:t>
      </w:r>
    </w:p>
    <w:p>
      <w:pPr>
        <w:spacing w:after="0" w:line="1"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Mr. Weil is Managing Director and Co-Head of Fintech Investment Banking of, CCM, an affiliate of the Sponsor. Mr. Grossman and Mr. Propper are also members of the board of directors of CCM. CCM was also entitled to a cash fee of $1,170,000 for providing services for a private placement and for arranging the Term Loan.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6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and ASC 815, Derivatives and Hedging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consolidated statements of operations.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account for the Private Warrants issued concurrently in connection with the CNTQ IPO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with changes in fair value recognized in the consolidated statements of operations in the period of change.</w:t>
      </w:r>
    </w:p>
    <w:p>
      <w:pPr>
        <w:spacing w:after="0" w:line="12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our control) is classified as temporary equity. At all other times, common stock is classified as stockholders’ equity. Our common stock feature certain redemption rights that are considered to be outside of our control and subject to the occurrence of uncertain future events. Accordingly, as of September 30, 2022 and December 31, 2021, 12,650,000 shares of common stock subject to possible redemption are presented as temporary equity, outside of the stockholders’ equity section of our balance sheet. Effective with the closing of the CNTQ IPO, we recognized the accretion from the initial book value to redemption amount, which resulted in charges against additional paid-in capital (to the extent available) and accumulated deficit.</w:t>
      </w:r>
    </w:p>
    <w:p>
      <w:pPr>
        <w:spacing w:after="0" w:line="109"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Income (Loss) Per Share of Common Stock</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We have not considered the effect of the warrants sold in the CNTQ IPO and private placement to purchase an aggregate of 14,115,358 shares in the calculation of diluted income per share, since the exercise of the warrants are contingent upon the occurrence of future events and the inclusion of such warrants would be anti-dilutive.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60"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62"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tbl>
      <w:tblPr>
        <w:tblLayout w:type="fixed"/>
        <w:tblInd w:w="1620" w:type="dxa"/>
        <w:tblCellMar>
          <w:top w:w="0" w:type="dxa"/>
          <w:left w:w="0" w:type="dxa"/>
          <w:bottom w:w="0" w:type="dxa"/>
          <w:right w:w="0" w:type="dxa"/>
        </w:tblCellMar>
      </w:tblPr>
      <w:tr>
        <w:trPr>
          <w:trHeight w:val="279"/>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spacing w:after="0" w:line="28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w:t>
            </w:r>
          </w:p>
        </w:tc>
        <w:tc>
          <w:tcPr>
            <w:tcW w:w="20" w:type="dxa"/>
            <w:vAlign w:val="bottom"/>
          </w:tcPr>
          <w:p>
            <w:pPr>
              <w:spacing w:after="0"/>
              <w:rPr>
                <w:sz w:val="24"/>
                <w:szCs w:val="24"/>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20" w:type="dxa"/>
            <w:vAlign w:val="bottom"/>
            <w:tcBorders>
              <w:top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Founder, Chief Executive Officer and Chairman of the Board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1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31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26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General Counsel, Compliance Officer and Corporate Secretary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1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Independent Director</w:t>
            </w:r>
          </w:p>
        </w:tc>
        <w:tc>
          <w:tcPr>
            <w:tcW w:w="31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1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Independent Director</w:t>
            </w:r>
          </w:p>
        </w:tc>
        <w:tc>
          <w:tcPr>
            <w:tcW w:w="31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Perry Boyle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1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1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Rick Parod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14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w:t>
            </w:r>
          </w:p>
        </w:tc>
        <w:tc>
          <w:tcPr>
            <w:tcW w:w="31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12344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3" w:lineRule="exact"/>
        <w:rPr>
          <w:sz w:val="20"/>
          <w:szCs w:val="20"/>
          <w:color w:val="auto"/>
        </w:rPr>
      </w:pPr>
    </w:p>
    <w:p>
      <w:pPr>
        <w:ind w:left="1620" w:right="519" w:hanging="360"/>
        <w:spacing w:after="0" w:line="282"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the Company announced that Sean Nichols, Chief Operating Officer, would be leaving Dragonfly on November 7, 2022.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Dragonfly’s Chief Executive Officer and Chairman of the Board since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incorporated in 2012. From 2005 until 2012 Dr. Phares served as a faculty member of the Aerospace &amp; Mechanical Engineering Department at the University of Southern California, where he worked extensively on renewable energy technologies and received tenure in 2010. Dr. Phares holds a M.B.A. from University of Nevada — Reno, a Ph.D. in Engineering from the California Institute of Technology and a B.S. in Physics from Villanova University. Dr. Phares is qualified to serve on the Dragonfly Board based on his substantial business, leadership, and management experience as the CEO and Chairman of the Board of Dragonfly.</w:t>
      </w:r>
    </w:p>
    <w:p>
      <w:pPr>
        <w:spacing w:after="0" w:line="32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Marchetti </w:t>
      </w:r>
      <w:r>
        <w:rPr>
          <w:rFonts w:ascii="Times New Roman" w:cs="Times New Roman" w:eastAsia="Times New Roman" w:hAnsi="Times New Roman"/>
          <w:sz w:val="18"/>
          <w:szCs w:val="18"/>
          <w:color w:val="auto"/>
        </w:rPr>
        <w:t>has served as Dragonfly’s Chief Financial Officer since September 2021. Mr. Marchetti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over 20 years of experience in the technology and financial services industries. Prior to joining Dragonfly, Mr. Marchetti served as a Managing Director and senior research analyst at Stifel, focused on communications infrastructure and applied technology markets, including advanced battery technologies. From 2016 to 2018, Mr. Marchetti served as Senior Vice President for Strategy and Business Development of Cloudbus and, from 2012 to 2015, he served as Chief Strategy Officer and Executive Vice President at Fabrinet.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Nicole Harvey </w:t>
      </w:r>
      <w:r>
        <w:rPr>
          <w:rFonts w:ascii="Times New Roman" w:cs="Times New Roman" w:eastAsia="Times New Roman" w:hAnsi="Times New Roman"/>
          <w:sz w:val="18"/>
          <w:szCs w:val="18"/>
          <w:color w:val="auto"/>
        </w:rPr>
        <w:t>has served as Dragonfly’s General Counsel and Compliance Officer since October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Dragonfly’s Corporate Secretary since April 2022. From 2017 through 2019, Ms. Harvey served Harley-Davidson Financial Services as an American Bankers’ Association Certified Compliance and Risk Manager. In 2018, Ms. Harvey worked for Corix Group of Companies as Senior Corporate Counsel, overseeing the development and implementation of corporate policies, and providing legal services to affiliate and subsidiary companies. In 2020, Ms. Harvey returned to private practice with the law firm of Blanchard, Krasner &amp; French, where she focused on business transactions and litigation, including outside counsel services for Dragonfly. In 2021, Ms. Harvey had the opportunity to serve Northern Nevada HOPES, a non-profit providing medical and social services in Northern Nevada, as its General Counsel and Compliance Officer prior to joining Dragonfly as its full time General Counsel in October 2021. Ms. Harvey holds a J.D. from Arizona State University Sandra Day O’Connor College of Law, and a B.S. in Economics from the University of Nevada, Reno. She has been licensed to practice law in the State of Nevada since 2008.</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58"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Dragonfly’s board of directors since August 5, 2021.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Ms. Ingargiola has served as Chief Financial Officer of Avalon GlobalCare Corp., a publicly listed</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bio-tech health care company. Prior to joining Avalon GlobalCare Corp., Ms. Ingargiola served as the Chief Financial Officer and Co-Founder of MagneGas Corporation from 2007 to 2016. Ms. Ingargiola has also served as Board Director and Audit Committee Chair for various over-the-counter and Nasdaq companies. Ms. Ingargiola has served as a member of the Board of Directors and as Audit Committee Chair for Progress Acquisition Corporation since 2020, as a member of the Board of Directors and as Audit Committee Chair for AgEagle Aerial Systems since 2019, and as a member of the Board Directors and as Audit Committee Chair for Electra Meccanica since 2018. Ms. Ingargiola holds a M.B.A. in Health from the University of South Florida and a B.S. in Finance from Boston University. Ms. Ingargiola is qualified to serve on the Dragonfly Board based on her previous roles serving as Chief Financial Officer for multiple companies and extensive experience serving on multiple boards of directors for Nasdaq companies.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Dragonfly’s board of directors since April 18, 2022.</w:t>
      </w:r>
    </w:p>
    <w:p>
      <w:pPr>
        <w:spacing w:after="0" w:line="31"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the Dragonfly Board based on his years of business experience as President and Chief Executive Officer of Precision Surfacing Solutions Group and Lapmaster.</w:t>
      </w:r>
    </w:p>
    <w:p>
      <w:pPr>
        <w:spacing w:after="0" w:line="32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Perry Boyle. </w:t>
      </w:r>
      <w:r>
        <w:rPr>
          <w:rFonts w:ascii="Times New Roman" w:cs="Times New Roman" w:eastAsia="Times New Roman" w:hAnsi="Times New Roman"/>
          <w:sz w:val="18"/>
          <w:szCs w:val="18"/>
          <w:color w:val="auto"/>
        </w:rPr>
        <w:t>Mr. Boyle has served as a member of the Dragonfly Board since the consummation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Mr. Boyle was with Point 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LaunchPoint Program, and helped drive the internationalization of the Point72, overseeing offices in London, Hong Kong, Tokyo and Singapore.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1 upon the effectiveness of its registration statement. He was a 2018 and 2019 delegate from the IISS to the Shangri -La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He has lectured on investing at Brown, Yale, Dartmouth, Columbia, Tufts, Harvard, Cambridge and the University of North Carolina, and delivered testimony to Congress on financial regulation. Mr. Boyle is qualified to serve on the Dragonfly Board based on his industry leadership and capital markets experience from research to fundraising.</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Jonathan Bellows</w:t>
      </w:r>
      <w:r>
        <w:rPr>
          <w:rFonts w:ascii="Times New Roman" w:cs="Times New Roman" w:eastAsia="Times New Roman" w:hAnsi="Times New Roman"/>
          <w:sz w:val="18"/>
          <w:szCs w:val="18"/>
          <w:color w:val="auto"/>
        </w:rPr>
        <w:t>. Mr. Bellows has served as a member of the Dragonfly Board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Mr. Bellows currently serves as President of KORE Power, which acquired Northern Reliability in March 2022. He has served as President and Chief Executive Officer of Northern Reliability since April 2015. KORE Power is a fully integrated energy storage manufacturer, combining Northern Reliability’s energy storage technology with KORE Power’s cell manufacturing capabilities. Mr. Bellows is also President and CEO of Nomad Transportable Power Systems, a provider of commercial and industrial-scale mobile energy storage units, which was founded by affiliates of KORE Power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the Dragonfly Board based on his energy storage industry expertise and operating and leadership experience.</w:t>
      </w:r>
    </w:p>
    <w:p>
      <w:pPr>
        <w:spacing w:after="0" w:line="106"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Rick Parod</w:t>
      </w:r>
      <w:r>
        <w:rPr>
          <w:rFonts w:ascii="Times New Roman" w:cs="Times New Roman" w:eastAsia="Times New Roman" w:hAnsi="Times New Roman"/>
          <w:sz w:val="18"/>
          <w:szCs w:val="18"/>
          <w:color w:val="auto"/>
        </w:rPr>
        <w:t>. Mr. Parod has served as a member of the Dragonfly Board since the consummation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of Alamo Group Inc., a designer, manufacturer, distributor, and servicer of equipment for infrastructure maintenance and agriculture, since 2017. Mr. Parod is qualified to serve on the Dragonfly Board based on his experience in manufacturing operations, product development and sales and marketing.</w:t>
      </w:r>
    </w:p>
    <w:p>
      <w:pPr>
        <w:spacing w:after="0" w:line="32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Karina Edmonds</w:t>
      </w:r>
      <w:r>
        <w:rPr>
          <w:rFonts w:ascii="Times New Roman" w:cs="Times New Roman" w:eastAsia="Times New Roman" w:hAnsi="Times New Roman"/>
          <w:sz w:val="18"/>
          <w:szCs w:val="18"/>
          <w:color w:val="auto"/>
        </w:rPr>
        <w:t>. Dr. Edmonds has served as a member of the Dragonfly Board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a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the Dragonfly Board based on her industry leadership and expertise in technology transfer and commercialization.</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the Dragonfly Board. The Amended and Restated Charter provide for a staggered, or classified, Board consisting of three classes of directors, each serving a staggered three-year term and with one class being elected at each year’s annual meeting of stockholders, as follows:</w:t>
      </w:r>
    </w:p>
    <w:p>
      <w:pPr>
        <w:spacing w:after="0" w:line="69" w:lineRule="exact"/>
        <w:rPr>
          <w:sz w:val="20"/>
          <w:szCs w:val="20"/>
          <w:color w:val="auto"/>
        </w:rPr>
      </w:pPr>
    </w:p>
    <w:p>
      <w:pPr>
        <w:jc w:val="both"/>
        <w:ind w:left="1800" w:right="81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first annual meeting of stockholders to be held after the consummation of the Business Combination;</w:t>
      </w:r>
    </w:p>
    <w:p>
      <w:pPr>
        <w:spacing w:after="0" w:line="53" w:lineRule="exact"/>
        <w:rPr>
          <w:rFonts w:ascii="Times New Roman" w:cs="Times New Roman" w:eastAsia="Times New Roman" w:hAnsi="Times New Roman"/>
          <w:sz w:val="18"/>
          <w:szCs w:val="18"/>
          <w:color w:val="auto"/>
        </w:rPr>
      </w:pPr>
    </w:p>
    <w:p>
      <w:pPr>
        <w:ind w:left="1800" w:right="97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second annual meeting of stockholders to be held after the consummation of the Business Combination; and</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third annual meeting of stockholders to be held after the consummation of the Business Combination.</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directors for that class will be elected for a three-year term at the annual meeting of stockholders in the year in which the term</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expires. Each director’s term is subject to the election and qualification of his or her successor, or his or her earlier death, disqualification, resignation or removal. Subject to any rights applicable to any then outstanding preferred stock, any vacancies on the Dragonfly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the Dragonfly Board may have the effect of delaying or preventing changes in Dragonfly’s control or management. Dragonfly’s directors may be removed for cause by the affirmative vote of the holders of at least two-thirds of Dragonfly’s voting securities.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Dr. Denis Phares serves as the chairman of the Dragonfly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the independent Lead Director of Dragonfly.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Dragonfly Board has determined that each of the directors on the Dragonfly Board other than Denis Phares qualifies as independent directors, as defined under the rules of the Nasdaq, and the Dragonfly Board consists of a majority of “independent directors,” as defined under the rules of the SEC and the Nasdaq relating to director independence requirements. In addition, Dragonfly is subject to the rules of the SEC and the Nasdaq relating to the membership, qualifications, and operations of the audit committee, as discussed below. Luisa Ingargiola is the Dragonfly lead independent director under the Nasdaq rules.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Dragonfly Board in Risk Oversight/Risk Committee</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One of the key functions of the Dragonfly Board is informed oversight of Dragonfly’s risk management process. The Dragonfly Board does not anticipate having a standing risk management committee, but rather anticipates administering this oversight function directly through the Dragonfly Board as a whole, as well as through various standing committees of the Dragonfly Board that address risks inherent in their respective areas of oversight. In particular, the Dragonfly Board is responsible for monitoring and assessing strategic risk exposure and Dragonfly’s audit committee has the responsibility to consider and discuss Dragonfly’s major financial risk exposures and the steps our management will take to monitor and control such exposures, including guidelines and policies to govern the process by which risk assessment and management is undertaken.</w:t>
      </w:r>
    </w:p>
    <w:p>
      <w:pPr>
        <w:spacing w:after="0" w:line="328"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Dragonfly’s compensation committee also assess and monitors whether Dragonfly’s compensation plans, policies and programs comply with applicable legal and regulatory requirements.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Dragonfly Board has three standing committees — an audit committee, a compensation committee, and a nominating and corporate governance committee. Copies of the charters for each committee are available on our website.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Our audit committee consists of Luisa Ingargiola, Rick Parod and Perry Boyle. The Dragonfly Board determined that each of the members of the audit committee satisfy the independence requirements of the Nasdaq and Rule 10A-3 under the Securities Exchange Act of 1934 (the “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are able to read and understand fundamental financial statements in accordance with the Nasdaq audit committee requirements. In arriving at this determination, the Dragonfly Board examined each audit committee member’s scope of experience and the nature of their prior and/or current employment.</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Dragonfly Board determined that Luisa Ingargiola qualifies as an audit committee financial expert within the meaning of SEC regulations and meets the financial sophistication requirements of the Nasdaq rules. In making this determination, the Dragonfly Board considered Luisa Ingargiola’s formal education and previous experience in financial roles. Both Dragonfly’s independent registered public accounting firm and management will periodically meet privately with Dragonfly’s audit committee.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117" w:lineRule="exact"/>
        <w:rPr>
          <w:sz w:val="20"/>
          <w:szCs w:val="20"/>
          <w:color w:val="auto"/>
        </w:rPr>
      </w:pPr>
    </w:p>
    <w:p>
      <w:pPr>
        <w:ind w:left="1800" w:right="719" w:hanging="180"/>
        <w:spacing w:after="0" w:line="26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Dragonfly’s independent auditors and determining whether to retain Dragonfly’s existing independent auditors or engage new independent auditors;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financial reporting processes and disclosure controls;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Dragonfly’s independent auditors to perform audit services and any permissible non-audit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Dragonfly’s internal control policies and procedures;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Dragonfly;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Dragonfly’s independent auditors describing the independent auditors’ internal quality control procedures and any issues raised by the most recent internal quality-control review;</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Dragonfly’s independent auditors and consider regular rotation of the accounting firm serving as Dragonfly’s independent auditors;</w:t>
      </w:r>
    </w:p>
    <w:p>
      <w:pPr>
        <w:spacing w:after="0" w:line="53" w:lineRule="exact"/>
        <w:rPr>
          <w:rFonts w:ascii="Times New Roman" w:cs="Times New Roman" w:eastAsia="Times New Roman" w:hAnsi="Times New Roman"/>
          <w:sz w:val="18"/>
          <w:szCs w:val="18"/>
          <w:color w:val="auto"/>
        </w:rPr>
      </w:pPr>
    </w:p>
    <w:p>
      <w:pPr>
        <w:ind w:left="1800" w:right="141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annual and financial statements and reports and discussing the statements and reports with Dragonfly’s independent auditors and management;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Dragonfly’s independent auditors and management significant issues that arise regarding accounting principles and financial statement presentation and matters concerning the scope, adequacy, and effectiveness of Dragonfly’s financial controls and critical accounting policies;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Dragonfly regarding financial controls, accounting, auditing or other matters;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Dragonfly’s annual proxy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significant risk exposures; and</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all applicable U.S. Securities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 and regulations. We will comply with future requirements to the extent they become applicable to 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Luisa Ingargiola, Brian Nelson and Rick Parod. Brian Nelson serves as the chair of the compensation committee. The Dragonfly Board determined that each of the members of the compensation committee are a non-employee director, as defined in Rule 16b-3 promulgated under the Exchange Act and satisfies the independence requirements of the Nasdaq.</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the committee are expected to include, among other things: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9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8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Dragonfly’s executive officers;</w:t>
      </w:r>
    </w:p>
    <w:p>
      <w:pPr>
        <w:spacing w:after="0" w:line="67"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Dragonfly’s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assessing the CEO’s performance against these goals and objectives;</w:t>
      </w:r>
    </w:p>
    <w:p>
      <w:pPr>
        <w:spacing w:after="0" w:line="81"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Dragonfly Board regarding the adoption, termination, amendment of equity and cash incentive plans and approving amendments to such plans to the extent authorized by the Dragonfly Board;</w:t>
      </w:r>
    </w:p>
    <w:p>
      <w:pPr>
        <w:spacing w:after="0" w:line="94"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CEO and other executives;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Dragonfly’s disclosures under the caption</w:t>
      </w:r>
    </w:p>
    <w:p>
      <w:pPr>
        <w:spacing w:after="0" w:line="27" w:lineRule="exact"/>
        <w:rPr>
          <w:rFonts w:ascii="Times New Roman" w:cs="Times New Roman" w:eastAsia="Times New Roman" w:hAnsi="Times New Roman"/>
          <w:sz w:val="18"/>
          <w:szCs w:val="18"/>
          <w:color w:val="auto"/>
        </w:rPr>
      </w:pPr>
    </w:p>
    <w:p>
      <w:pPr>
        <w:ind w:left="180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in Dragonfly’s periodic reports or proxy statements to be filed with the SEC, to the extent such caption is included in any such report or proxy statement;</w:t>
      </w:r>
    </w:p>
    <w:p>
      <w:pPr>
        <w:spacing w:after="0" w:line="10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Dragonfly’s annual proxy statement; and</w:t>
      </w:r>
    </w:p>
    <w:p>
      <w:pPr>
        <w:spacing w:after="0" w:line="6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Dragonfly Board for executive officer development and retention and corporate succession plans.</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4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Our nominating committee consists of Brian Nelson, Jonathan Bellows and Karina Edmonds. Karina Edmonds serves as the chair of the nominating governance committee. The Dragonfly Board determined that each of the members of the nominating governance committee satisfies the independence requirements of the Nasdaq.</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117" w:lineRule="exact"/>
        <w:rPr>
          <w:sz w:val="20"/>
          <w:szCs w:val="20"/>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Dragonfly Board;</w:t>
      </w:r>
    </w:p>
    <w:p>
      <w:pPr>
        <w:spacing w:after="0" w:line="13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the Dragonfly’s proxy statement;</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the Dragonfly Board;</w:t>
      </w:r>
    </w:p>
    <w:p>
      <w:pPr>
        <w:spacing w:after="0" w:line="13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the Dragonfly Board’s committees and making recommendations to the Dragonfly Board for approvals;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Dragonfly Board any changes to such policies and principles; and</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14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will comply with all applicable requirements of the Sarbanes-Oxley Act and all applicable SEC and the Nasdaq rules and regulations. Dragonfly will comply with future requirements to the extent they become applicable.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the Dragonfly Board or compensation committee.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Conduct and Code of Ethics</w:t>
      </w:r>
    </w:p>
    <w:p>
      <w:pPr>
        <w:spacing w:after="0" w:line="15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Dragonfly Board adopted a code of conduct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and a code of ethics (“</w:t>
      </w:r>
      <w:r>
        <w:rPr>
          <w:rFonts w:ascii="Times New Roman" w:cs="Times New Roman" w:eastAsia="Times New Roman" w:hAnsi="Times New Roman"/>
          <w:sz w:val="18"/>
          <w:szCs w:val="18"/>
          <w:b w:val="1"/>
          <w:bCs w:val="1"/>
          <w:color w:val="auto"/>
        </w:rPr>
        <w:t>Code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Ethics</w:t>
      </w:r>
      <w:r>
        <w:rPr>
          <w:rFonts w:ascii="Times New Roman" w:cs="Times New Roman" w:eastAsia="Times New Roman" w:hAnsi="Times New Roman"/>
          <w:sz w:val="18"/>
          <w:szCs w:val="18"/>
          <w:color w:val="auto"/>
        </w:rPr>
        <w:t>”) that applies to all of Dragonfly’s directors, officers and employees. The full text of the Code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and Code of Ethics is posted on the investor relations page on our website at https://dragonflyenergy.com/investors/. We will disclose any amendments to our Code of Conduct and Code of Ethics, or waivers of its requirements on our website identified above, or in filings under the Exchange Act.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Amended and Restated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Dragonfly’s directors for monetary damages will be eliminated or limited to the fullest extent permitted by the DGCL, as so amended. Additionally, the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337"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Further, we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32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plan to maintain a directors’ and officers’ insurance policy pursuant to which our directors and officers are insured against liability for actions taken in their capacities as directors and officers. We believe these provisions in the Amended and Restated Charter and the Amended and Restated Bylaws and these indemnification agreements are necessary to attract and retain qualified persons as directors and officers.</w:t>
      </w:r>
    </w:p>
    <w:p>
      <w:pPr>
        <w:spacing w:after="0" w:line="11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62" w:lineRule="exact"/>
        <w:rPr>
          <w:sz w:val="20"/>
          <w:szCs w:val="20"/>
          <w:color w:val="auto"/>
        </w:rPr>
      </w:pPr>
    </w:p>
    <w:p>
      <w:pPr>
        <w:ind w:left="1260" w:right="680"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12" w:lineRule="exact"/>
        <w:rPr>
          <w:sz w:val="20"/>
          <w:szCs w:val="20"/>
          <w:color w:val="auto"/>
        </w:rPr>
      </w:pPr>
    </w:p>
    <w:p>
      <w:pPr>
        <w:ind w:left="1260" w:right="480" w:firstLine="360"/>
        <w:spacing w:after="0" w:line="256"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the long-term success of the company.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sets forth the compensation earned by, or awarded to, our NEOs for 2021.</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 — Fiscal 2021</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Qualified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840" w:type="dxa"/>
            <w:vAlign w:val="bottom"/>
            <w:gridSpan w:val="1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Salary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Bonus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Awards ($) </w:t>
            </w:r>
            <w:r>
              <w:rPr>
                <w:rFonts w:ascii="Times New Roman" w:cs="Times New Roman" w:eastAsia="Times New Roman" w:hAnsi="Times New Roman"/>
                <w:sz w:val="24"/>
                <w:szCs w:val="24"/>
                <w:b w:val="1"/>
                <w:bCs w:val="1"/>
                <w:color w:val="auto"/>
                <w:vertAlign w:val="subscript"/>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7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579,593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362,137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​22,234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​963,964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3"/>
                <w:szCs w:val="23"/>
                <w:color w:val="auto"/>
                <w:vertAlign w:val="superscript"/>
              </w:rPr>
              <w:t>(4)</w:t>
            </w:r>
          </w:p>
        </w:tc>
        <w:tc>
          <w:tcPr>
            <w:tcW w:w="21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579,593​​​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362,137 ​​​</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​20,244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​​​​961,974</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12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auto"/>
              </w:rPr>
              <w:t>​​​2021​​​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91,154​​​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82,000 ​​​</w:t>
            </w:r>
          </w:p>
        </w:tc>
        <w:tc>
          <w:tcPr>
            <w:tcW w:w="480" w:type="dxa"/>
            <w:vAlign w:val="bottom"/>
          </w:tcPr>
          <w:p>
            <w:pPr>
              <w:spacing w:after="0"/>
              <w:rPr>
                <w:sz w:val="20"/>
                <w:szCs w:val="20"/>
                <w:color w:val="auto"/>
              </w:rPr>
            </w:pPr>
          </w:p>
        </w:tc>
        <w:tc>
          <w:tcPr>
            <w:tcW w:w="9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​​​​682,000​​​</w:t>
            </w:r>
          </w:p>
        </w:tc>
        <w:tc>
          <w:tcPr>
            <w:tcW w:w="840" w:type="dxa"/>
            <w:vAlign w:val="bottom"/>
          </w:tcPr>
          <w:p>
            <w:pPr>
              <w:spacing w:after="0"/>
              <w:rPr>
                <w:sz w:val="20"/>
                <w:szCs w:val="2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​​​​855,154​</w:t>
            </w:r>
          </w:p>
        </w:tc>
        <w:tc>
          <w:tcPr>
            <w:tcW w:w="0" w:type="dxa"/>
            <w:vAlign w:val="bottom"/>
          </w:tcPr>
          <w:p>
            <w:pPr>
              <w:spacing w:after="0"/>
              <w:rPr>
                <w:sz w:val="1"/>
                <w:szCs w:val="1"/>
                <w:color w:val="auto"/>
              </w:rPr>
            </w:pPr>
          </w:p>
        </w:tc>
      </w:tr>
      <w:tr>
        <w:trPr>
          <w:trHeight w:val="258"/>
        </w:trPr>
        <w:tc>
          <w:tcPr>
            <w:tcW w:w="2040" w:type="dxa"/>
            <w:vAlign w:val="bottom"/>
          </w:tcPr>
          <w:p>
            <w:pPr>
              <w:spacing w:after="0" w:line="258" w:lineRule="exact"/>
              <w:rPr>
                <w:sz w:val="20"/>
                <w:szCs w:val="20"/>
                <w:color w:val="auto"/>
              </w:rPr>
            </w:pPr>
            <w:r>
              <w:rPr>
                <w:rFonts w:ascii="Times New Roman" w:cs="Times New Roman" w:eastAsia="Times New Roman" w:hAnsi="Times New Roman"/>
                <w:sz w:val="18"/>
                <w:szCs w:val="18"/>
                <w:color w:val="auto"/>
              </w:rPr>
              <w:t>John Marchetti</w:t>
            </w:r>
            <w:r>
              <w:rPr>
                <w:rFonts w:ascii="Times New Roman" w:cs="Times New Roman" w:eastAsia="Times New Roman" w:hAnsi="Times New Roman"/>
                <w:sz w:val="23"/>
                <w:szCs w:val="23"/>
                <w:color w:val="auto"/>
                <w:vertAlign w:val="superscript"/>
              </w:rPr>
              <w:t>(5)</w:t>
            </w:r>
          </w:p>
        </w:tc>
        <w:tc>
          <w:tcPr>
            <w:tcW w:w="2120" w:type="dxa"/>
            <w:vAlign w:val="bottom"/>
            <w:gridSpan w:val="8"/>
            <w:vMerge w:val="continue"/>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vMerge w:val="continue"/>
          </w:tcPr>
          <w:p>
            <w:pPr>
              <w:spacing w:after="0"/>
              <w:rPr>
                <w:sz w:val="22"/>
                <w:szCs w:val="22"/>
                <w:color w:val="auto"/>
              </w:rPr>
            </w:pPr>
          </w:p>
        </w:tc>
        <w:tc>
          <w:tcPr>
            <w:tcW w:w="84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2"/>
                <w:szCs w:val="22"/>
                <w:color w:val="auto"/>
              </w:rPr>
            </w:pPr>
          </w:p>
        </w:tc>
        <w:tc>
          <w:tcPr>
            <w:tcW w:w="80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vMerge w:val="continue"/>
          </w:tcPr>
          <w:p>
            <w:pPr>
              <w:spacing w:after="0"/>
              <w:rPr>
                <w:sz w:val="22"/>
                <w:szCs w:val="22"/>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-163195</wp:posOffset>
            </wp:positionV>
            <wp:extent cx="5760720" cy="2997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60720" cy="29972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-763270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-763270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-763270</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-763270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-763270</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-763270</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-763270</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-763270</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-763270</wp:posOffset>
            </wp:positionV>
            <wp:extent cx="51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7" w:lineRule="exact"/>
        <w:rPr>
          <w:sz w:val="20"/>
          <w:szCs w:val="20"/>
          <w:color w:val="auto"/>
        </w:rPr>
      </w:pPr>
    </w:p>
    <w:p>
      <w:pPr>
        <w:ind w:left="1620" w:right="800" w:hanging="360"/>
        <w:spacing w:after="0" w:line="261"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2021. Pursuant to Mr. Marchetti’s employment agreement with Dragonfly and subject to his continued employment, he is guaranteed to receive at least his target bonus amount of $75,000 per quarter for the first four quarters of his employment.</w:t>
      </w:r>
    </w:p>
    <w:p>
      <w:pPr>
        <w:spacing w:after="0" w:line="44" w:lineRule="exact"/>
        <w:rPr>
          <w:rFonts w:ascii="Times New Roman" w:cs="Times New Roman" w:eastAsia="Times New Roman" w:hAnsi="Times New Roman"/>
          <w:sz w:val="18"/>
          <w:szCs w:val="18"/>
          <w:color w:val="auto"/>
        </w:rPr>
      </w:pPr>
    </w:p>
    <w:p>
      <w:pPr>
        <w:ind w:left="1620" w:right="600" w:hanging="360"/>
        <w:spacing w:after="0" w:line="258"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2021 under the Dragonfly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F-59 of Dragonfly’s Notes to Consolidated Financial Statements included elsewhere in this prospectus for a discussion of the relevant assumptions used in calculating these amounts.</w:t>
      </w:r>
    </w:p>
    <w:p>
      <w:pPr>
        <w:spacing w:after="0" w:line="34" w:lineRule="exact"/>
        <w:rPr>
          <w:rFonts w:ascii="Times New Roman" w:cs="Times New Roman" w:eastAsia="Times New Roman" w:hAnsi="Times New Roman"/>
          <w:sz w:val="18"/>
          <w:szCs w:val="18"/>
          <w:color w:val="auto"/>
        </w:rPr>
      </w:pPr>
    </w:p>
    <w:p>
      <w:pPr>
        <w:ind w:left="1620" w:right="1060" w:hanging="360"/>
        <w:spacing w:after="0" w:line="28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Dragonfly’s matching contribution to the executive’s account under the Dragonfly’s 401(k) plan.</w:t>
      </w:r>
    </w:p>
    <w:p>
      <w:pPr>
        <w:spacing w:after="0" w:line="13" w:lineRule="exact"/>
        <w:rPr>
          <w:rFonts w:ascii="Times New Roman" w:cs="Times New Roman" w:eastAsia="Times New Roman" w:hAnsi="Times New Roman"/>
          <w:sz w:val="18"/>
          <w:szCs w:val="18"/>
          <w:color w:val="auto"/>
        </w:rPr>
      </w:pPr>
    </w:p>
    <w:p>
      <w:pPr>
        <w:ind w:left="1620" w:right="1240" w:hanging="360"/>
        <w:spacing w:after="0" w:line="28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Dragonfly announced that Mr. Nichols would be leaving Dragonfly on November 7, 2022.</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Dragonfly’s Chief Financial Officer on September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Dragonfly common stock held by each of the NEOs as of December 31, 2021, including the vesting dates for the portions of these awards that had not vested as of that date. The NEOs did not hold any other outstanding equity awards as of that date.</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 Awards</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6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62"/>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64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4"/>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Unexercisable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Options (#)</w:t>
            </w:r>
          </w:p>
        </w:tc>
        <w:tc>
          <w:tcPr>
            <w:tcW w:w="640" w:type="dxa"/>
            <w:vAlign w:val="bottom"/>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82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Date   </w:t>
            </w:r>
            <w:r>
              <w:rPr>
                <w:rFonts w:ascii="Times New Roman" w:cs="Times New Roman" w:eastAsia="Times New Roman" w:hAnsi="Times New Roman"/>
                <w:sz w:val="24"/>
                <w:szCs w:val="24"/>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60" w:space="720"/>
            <w:col w:w="46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3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shd w:val="clear" w:color="auto" w:fill="CCEEFF"/>
          </w:tcPr>
          <w:p>
            <w:pPr>
              <w:jc w:val="right"/>
              <w:ind w:right="140"/>
              <w:spacing w:after="0" w:line="230"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0.41</w:t>
            </w: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​12/4/24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Sean Nichols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4"/>
          </w:tcPr>
          <w:p>
            <w:pPr>
              <w:jc w:val="right"/>
              <w:ind w:right="140"/>
              <w:spacing w:after="0" w:line="256"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​12/4/29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2"/>
        </w:trPr>
        <w:tc>
          <w:tcPr>
            <w:tcW w:w="3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3.41</w:t>
            </w:r>
          </w:p>
        </w:tc>
        <w:tc>
          <w:tcPr>
            <w:tcW w:w="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​9/12/31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35"/>
        </w:trPr>
        <w:tc>
          <w:tcPr>
            <w:tcW w:w="39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940" w:type="dxa"/>
            <w:vAlign w:val="bottom"/>
            <w:gridSpan w:val="4"/>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5"/>
                <w:szCs w:val="15"/>
                <w:color w:val="auto"/>
              </w:rPr>
              <w:t>​200,000 ​​​</w:t>
            </w:r>
          </w:p>
        </w:tc>
        <w:tc>
          <w:tcPr>
            <w:tcW w:w="300" w:type="dxa"/>
            <w:vAlign w:val="bottom"/>
            <w:vMerge w:val="continue"/>
            <w:shd w:val="clear" w:color="auto" w:fill="CCEEFF"/>
          </w:tcPr>
          <w:p>
            <w:pPr>
              <w:spacing w:after="0"/>
              <w:rPr>
                <w:sz w:val="11"/>
                <w:szCs w:val="11"/>
                <w:color w:val="auto"/>
              </w:rPr>
            </w:pPr>
          </w:p>
        </w:tc>
        <w:tc>
          <w:tcPr>
            <w:tcW w:w="760" w:type="dxa"/>
            <w:vAlign w:val="bottom"/>
            <w:gridSpan w:val="3"/>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320" w:type="dxa"/>
            <w:vAlign w:val="bottom"/>
            <w:tcBorders>
              <w:right w:val="single" w:sz="8" w:color="CCEEFF"/>
            </w:tcBorders>
            <w:gridSpan w:val="2"/>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1039" w:hanging="360"/>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in 20 monthly installments from January 12, 2022 and August 12, 2023.</w:t>
      </w:r>
    </w:p>
    <w:p>
      <w:pPr>
        <w:spacing w:after="0" w:line="13"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as to 25% of the option on September 10, 2022 and as to 75% of the option in 36 monthly installments from October 10, 2022 through September 10,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Equity Grants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During 2021, Mr. Marchetti received an option to purchase 200,000 shares of our common stock at a price of $3.41 per share. This option was granted under Dragonfly’s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08"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http://www.sec.gov.</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Pre-Closing Stock Incentive Plans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these plans,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w:t>
      </w:r>
    </w:p>
    <w:p>
      <w:pPr>
        <w:sectPr>
          <w:pgSz w:w="11900" w:h="16838" w:orient="portrait"/>
          <w:cols w:equalWidth="0" w:num="1">
            <w:col w:w="9879"/>
          </w:cols>
          <w:pgMar w:left="580" w:top="97" w:right="1440" w:bottom="1440" w:gutter="0" w:footer="0" w:header="0"/>
          <w:type w:val="continuous"/>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options granted under the plans expire no later than ten years from their date of grant. No new awards may be granted under the 2019 Plan or the 2021 Plan following the Business Combination.</w:t>
      </w:r>
    </w:p>
    <w:p>
      <w:pPr>
        <w:spacing w:after="0" w:line="9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spacing w:after="0" w:line="121"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44" w:lineRule="exact"/>
        <w:rPr>
          <w:sz w:val="20"/>
          <w:szCs w:val="20"/>
          <w:color w:val="auto"/>
        </w:rPr>
      </w:pPr>
    </w:p>
    <w:p>
      <w:pPr>
        <w:ind w:left="1260" w:right="599" w:firstLine="360"/>
        <w:spacing w:after="0" w:line="268" w:lineRule="auto"/>
        <w:rPr>
          <w:sz w:val="20"/>
          <w:szCs w:val="20"/>
          <w:color w:val="auto"/>
        </w:rPr>
      </w:pPr>
      <w:r>
        <w:rPr>
          <w:rFonts w:ascii="Times New Roman" w:cs="Times New Roman" w:eastAsia="Times New Roman" w:hAnsi="Times New Roman"/>
          <w:sz w:val="18"/>
          <w:szCs w:val="18"/>
          <w:color w:val="auto"/>
        </w:rPr>
        <w:t>We maintain the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for purposes of granting equity-based awards to attract, motivate, retain and reward selected employees and other eligible persons. Our Board of Directors administers the 2022 Plan. The plan administrator has broad authority to (without limitation):</w:t>
      </w:r>
    </w:p>
    <w:p>
      <w:pPr>
        <w:spacing w:after="0" w:line="80" w:lineRule="exact"/>
        <w:rPr>
          <w:sz w:val="20"/>
          <w:szCs w:val="20"/>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16"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A total 2,785,950 shares of our common stock are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w:t>
      </w:r>
    </w:p>
    <w:p>
      <w:pPr>
        <w:spacing w:after="0" w:line="3" w:lineRule="exact"/>
        <w:rPr>
          <w:sz w:val="20"/>
          <w:szCs w:val="20"/>
          <w:color w:val="auto"/>
        </w:rPr>
      </w:pPr>
    </w:p>
    <w:p>
      <w:pPr>
        <w:ind w:left="1520" w:hanging="260"/>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total number of outstanding shares of our common stock on December 31 in the prior year or</w:t>
      </w:r>
    </w:p>
    <w:p>
      <w:pPr>
        <w:spacing w:after="0" w:line="9" w:lineRule="exact"/>
        <w:rPr>
          <w:rFonts w:ascii="Times New Roman" w:cs="Times New Roman" w:eastAsia="Times New Roman" w:hAnsi="Times New Roman"/>
          <w:sz w:val="18"/>
          <w:szCs w:val="18"/>
          <w:color w:val="auto"/>
        </w:rPr>
      </w:pPr>
    </w:p>
    <w:p>
      <w:pPr>
        <w:ind w:left="1260" w:right="499"/>
        <w:spacing w:after="0" w:line="252" w:lineRule="auto"/>
        <w:tabs>
          <w:tab w:leader="none" w:pos="15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the date of this prospectus, no awards have been granted under the 2022 Plan, and the full number of shares authorized under the 2022 Plan is available for award purposes.</w:t>
      </w:r>
    </w:p>
    <w:p>
      <w:pPr>
        <w:spacing w:after="0" w:line="109"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33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07"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336"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plan will terminate on May 13, 2032. However, the plan administrator will retain its authority until all outstanding awards are exercised or terminated.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0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 total of 2,464,400 shares of our common stock will initially be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the ESPP. The share 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1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six-month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However, the ESPP 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months per year may join an offering period on the start date of that period. Employees may participate in only one offering period at a time.</w:t>
      </w:r>
    </w:p>
    <w:p>
      <w:pPr>
        <w:spacing w:after="0" w:line="9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 A participant may contribute up to 15% of his or her cash earnings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payroll deductions, and the 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we are acquired by merger or sale of all or substantially all of our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325" w:lineRule="exact"/>
        <w:rPr>
          <w:sz w:val="20"/>
          <w:szCs w:val="20"/>
          <w:color w:val="auto"/>
        </w:rPr>
      </w:pPr>
    </w:p>
    <w:p>
      <w:pPr>
        <w:jc w:val="both"/>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may at any time amend, suspend or discontinue the ESPP. However, certain amendments may require stockholder approval.</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Company has entered into employment agreements, dated as of October 11, 2022 with each of Dr. Phares and Mr. Marchetti. Each agreement provides for a three-year initial employment term, with automatic three- year renewal terms thereafter, subject to 90 days’ notice of non- 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the Company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2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If the executive’s employment is terminated by the Company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w:t>
      </w:r>
    </w:p>
    <w:p>
      <w:pPr>
        <w:spacing w:after="0" w:line="4" w:lineRule="exact"/>
        <w:rPr>
          <w:sz w:val="20"/>
          <w:szCs w:val="20"/>
          <w:color w:val="auto"/>
        </w:rPr>
      </w:pPr>
    </w:p>
    <w:p>
      <w:pPr>
        <w:ind w:left="1260" w:right="459"/>
        <w:spacing w:after="0" w:line="244" w:lineRule="auto"/>
        <w:tabs>
          <w:tab w:leader="none" w:pos="15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 full of any time-based equity awards granted by the Company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1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the executive’s employment is terminated by the Company without cause (or as a result of the Company’s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provision for Dr. Phares described above would not apply). In addition, the executive’s outstanding stock options granted by the Company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1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his providing a release of claims to the Company and his continued compliance with the restrictive covenants in favor of the Company in the agreement.</w:t>
      </w:r>
    </w:p>
    <w:p>
      <w:pPr>
        <w:spacing w:after="0" w:line="10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to pursue other interests. His last day of employment was November 7, 2022. Mr. Nichols and the Company have entered into a separation and release agreement (the “Separation Agreement”) that became effective and fully irrevocable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As part of our overall compensation program, Dragonfly provides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Dragonfly’s current practice is to match 100% of an employee’s contributions to the plan up to 4% of the employee’s compensation.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Closing, we adopted a policy that provides for cash and equity compensation for members of the Board who are not employed by us or any of our subsidiaries (our “</w:t>
      </w:r>
      <w:r>
        <w:rPr>
          <w:rFonts w:ascii="Times New Roman" w:cs="Times New Roman" w:eastAsia="Times New Roman" w:hAnsi="Times New Roman"/>
          <w:sz w:val="18"/>
          <w:szCs w:val="18"/>
          <w:b w:val="1"/>
          <w:bCs w:val="1"/>
          <w:color w:val="auto"/>
        </w:rPr>
        <w:t>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The policy provides that each Non-Employee Director is entitled to receive the following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Board service, as applicable:</w:t>
      </w:r>
    </w:p>
    <w:p>
      <w:pPr>
        <w:spacing w:after="0" w:line="72" w:lineRule="exact"/>
        <w:rPr>
          <w:sz w:val="20"/>
          <w:szCs w:val="20"/>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117"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0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Board also has discretion under the director compensation policy to grant Non-Employee Directors equity-based awards under our 2022 Plan (or any successor equity compensation plan approved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by our stockholders). It is currently expected that Non-Employee Directors will receive an award of options or restricted stock units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21"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Dragonfly for their reasonable travel (including airfare and ground transportation), lodging and meal expenses incident to meetings of the Board or committees thereof or in connection with other Board-related business.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may change the terms of our director compensation policy from time to time.</w:t>
      </w:r>
    </w:p>
    <w:p>
      <w:pPr>
        <w:spacing w:after="0" w:line="144"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2021</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paid to Ms. Ingargiola for her services on the Dragonfly Board during 2021. Messrs. Phares and Nichols did not receive any additional compensation for their service on the Dragonfly Board during 2021. The other members of our board did not serve on the Dragonfly board during 2021.</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or Paid in Cash</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Stock Awards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6"/>
                <w:vertAlign w:val="subscript"/>
              </w:rPr>
              <w:t>($)</w:t>
            </w:r>
            <w:r>
              <w:rPr>
                <w:rFonts w:ascii="Times New Roman" w:cs="Times New Roman" w:eastAsia="Times New Roman" w:hAnsi="Times New Roman"/>
                <w:sz w:val="8"/>
                <w:szCs w:val="8"/>
                <w:b w:val="1"/>
                <w:bCs w:val="1"/>
                <w:color w:val="auto"/>
                <w:w w:val="96"/>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2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​281,325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​​281,325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-170815</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-170815</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-170815</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-170815</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-170815</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79" w:hanging="360"/>
        <w:spacing w:after="0" w:line="255"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Ingargiola was granted an option to purchase 82,500 shares of Dragonfly common stock in August 2021 with an exercise price of $3.41 per share and that was scheduled to vest in monthly installments over a three-year period after the grant date. The option has a five-year term and will fully vest and be exercisable if a change in control of Dragonfly or an initial public offering of Dragonfly’s stock occurs and Ms. Ingargiola is asked to resign from the Board through no fault of her own. As of December 31, 2021, Ms. Ingargiola did not hold any outstanding equity awards from Dragonfly other than this option to purchase 82,500 shares.</w:t>
      </w:r>
    </w:p>
    <w:p>
      <w:pPr>
        <w:spacing w:after="0" w:line="40" w:lineRule="exact"/>
        <w:rPr>
          <w:rFonts w:ascii="Times New Roman" w:cs="Times New Roman" w:eastAsia="Times New Roman" w:hAnsi="Times New Roman"/>
          <w:sz w:val="18"/>
          <w:szCs w:val="18"/>
          <w:color w:val="auto"/>
        </w:rPr>
      </w:pPr>
    </w:p>
    <w:p>
      <w:pPr>
        <w:ind w:left="1620" w:right="519" w:hanging="360"/>
        <w:spacing w:after="0" w:line="256"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reflects the grant date fair value of the stock option granted to Ms. Ingargiola during 2021 under the Dragonfly Energy Corp. stock incentive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F-59 of Dragonfly’s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elsewhere in this prospectus for a discussion of the relevant assumptions used in calculating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color w:val="auto"/>
        </w:rPr>
        <w:t>Business Arrangements with Dragonfly’s Executive Officers, Directors, 5% or more holders or their Immediate Family Members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As an inducement to hire Mr. John Marchetti as our Chief Financial Officer,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the Amended and Restated Charter and the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believes that these charter provisions and indemnification agreements are necessary to attract and retain qualified persons as directors and officers.</w:t>
      </w:r>
    </w:p>
    <w:p>
      <w:pPr>
        <w:spacing w:after="0" w:line="11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CNTQ Related Party Transactions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closing of the Business Combination, CNTQ, the Sponsor and certain other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Dragonfly stockholders entered into an Amended and Restated Registration Rights Agreement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Insiders and the undersigned parties listed thereto will be provided the right to demand registrations, piggy-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back registrations and shelf registrations with respect to Registrable Securities (as defined in the Amended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10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the Company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the Company’s receipt of $5,016,547 from the Trust Account (based on a per share redemption price of $ 10.34) and (ii) a reduction in CCM’s purchase commitment under the Subscription Agreement to zero in accordance with the Offset. At the Closing, the Company issued an additional 15,000 shares to CCM LLC pursuant to the terms of the Subscription Agreement.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16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Consistent with the Debt Commitment Letter, in connection with the Closing, CNTQ, Legacy Dragonfly and the Initial Term Loan Lenders entered into the Term Loan Agreement setting forth the terms of the Term Loan. The Chardan Lender backstopped its commitment under the Debt Commitment Letter by entering into the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14"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33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In addition, the Company entered into the Pledge Agreement pursuant to which the Company pledged to the Administrative Agent its equity interests in Legacy Dragonfly as further collateral security for the obligations under the Term Loan Agreement.</w:t>
      </w:r>
    </w:p>
    <w:p>
      <w:pPr>
        <w:spacing w:after="0" w:line="11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Term Loan Agreement also contains affirmative and restrictive covenants and representations and warranties. The Term Loan Agreement contains financial covenants requiring the credit parties to</w:t>
      </w:r>
    </w:p>
    <w:p>
      <w:pPr>
        <w:ind w:left="1260" w:right="439"/>
        <w:spacing w:after="0" w:line="250" w:lineRule="auto"/>
        <w:tabs>
          <w:tab w:leader="none" w:pos="15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w:t>
      </w:r>
    </w:p>
    <w:p>
      <w:pPr>
        <w:spacing w:after="0" w:line="3" w:lineRule="exact"/>
        <w:rPr>
          <w:rFonts w:ascii="Times New Roman" w:cs="Times New Roman" w:eastAsia="Times New Roman" w:hAnsi="Times New Roman"/>
          <w:sz w:val="18"/>
          <w:szCs w:val="18"/>
          <w:color w:val="auto"/>
        </w:rPr>
      </w:pPr>
    </w:p>
    <w:p>
      <w:pPr>
        <w:ind w:left="126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14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 (i) the Penny Warrants and (ii) the $10 Warrants. The $10 Warrants were exercised on a cashless basis on October 10, 2022, with the Company agreeing to issue 457,142 shares of Common Stock in connection with such exercise. The additional shares of common stock will dilute the pro forma ownership of the other Company stockholders of proportionately.</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$10 Warrants have been exercised in full and are no longer outstanding.</w:t>
      </w:r>
    </w:p>
    <w:p>
      <w:pPr>
        <w:spacing w:after="0" w:line="15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Company’s $150 million ChEF Equity Facility (or replacement thereof) sold at a per share price above $5.00.</w:t>
      </w:r>
    </w:p>
    <w:p>
      <w:pPr>
        <w:spacing w:after="0" w:line="119"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The shares issuable upon exercise of the Penny Warrants, and the shares issued upon exercise of the $10 Warrants have customary registration rights, which are contained in the respective forms of the Penny Warrants and the $10 Warrants, requiring the Company to file and keep effective a resale registration statement registering the resale of the shares of common stock underlying the Penny Warrants and the $10 Warrants.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the ChEF RRA in connection with the Closing. In addition, the Company appointed LifeSci Capital, LLC as “qualified independent underwriter” with respect to the transactions contemplated by the Purchase Agreement.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Dragonfly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32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1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79" w:lineRule="exact"/>
        <w:rPr>
          <w:sz w:val="20"/>
          <w:szCs w:val="20"/>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15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60"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You are encouraged to read the applicable provisions of the DGCL, the Amended and Restated Charter and Bylaws in their entirety for a complete description of the rights and preferences of the Company’s securities.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170,000,000 shares of common stock, par value $0.0001 per share, and 5,000,000 shares of preferred stock, par value $0.0001 per share.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170,000,000 shares of Dragonfly common stock, par value $0.0001 per share.</w:t>
      </w:r>
    </w:p>
    <w:p>
      <w:pPr>
        <w:spacing w:after="0" w:line="94"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w:t>
      </w:r>
    </w:p>
    <w:p>
      <w:pPr>
        <w:spacing w:after="0" w:line="1" w:lineRule="exact"/>
        <w:rPr>
          <w:sz w:val="20"/>
          <w:szCs w:val="20"/>
          <w:color w:val="auto"/>
        </w:rPr>
      </w:pPr>
    </w:p>
    <w:p>
      <w:pPr>
        <w:ind w:left="1260" w:right="499"/>
        <w:spacing w:after="0" w:line="255" w:lineRule="auto"/>
        <w:rPr>
          <w:sz w:val="20"/>
          <w:szCs w:val="20"/>
          <w:color w:val="auto"/>
        </w:rPr>
      </w:pPr>
      <w:r>
        <w:rPr>
          <w:rFonts w:ascii="Times New Roman" w:cs="Times New Roman" w:eastAsia="Times New Roman" w:hAnsi="Times New Roman"/>
          <w:sz w:val="18"/>
          <w:szCs w:val="18"/>
          <w:color w:val="auto"/>
        </w:rPr>
        <w:t>Holders of Dragonfly common stock are entitled to receive proportionately any dividends as may be declared by the Dragonfly Board, subject to any preferential dividend rights of any series of preferred stock that we may designate and issue in the future.</w:t>
      </w:r>
    </w:p>
    <w:p>
      <w:pPr>
        <w:spacing w:after="0" w:line="11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Dragonfly common stock are entitled to receive proportionately our net assets available for distribution to stockholders after the payment of all debts and other liabilities and subject to the prior rights of any outstanding preferred stock.</w:t>
      </w:r>
    </w:p>
    <w:p>
      <w:pPr>
        <w:spacing w:after="0" w:line="9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Holders of Dragonfly common stock have no preemptive, subscription, redemption or conversion rights. The rights, preferences and privileges of holders of Dragonfly common stock are subject to and may be adversely affected by the rights of the holders of shares of any series of preferred stock that we may designate and issue in the future.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whole redeemable warrant entitles the registered holder to purchase one share of common stock at a price of $11.50 per share, subject to adjustment as discussed below, at any time commencing 30 days after the completion of the Business Combination. Pursuant to the amended and restated warrant agreement, a warrant holder may exercise its warrants only for a whole number of shares of common stock. The warrants will expire five years after the completion of the Business Combination, at 5:00 p.m., New York City time, or earlier upon redemption or liquidation.</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the terms of the amended and restated warrant agreement, we have agreed to maintain an effective registration statement relating to the common stock issuable upon exercise of the warrants until the expiration of the warrants in accordance with the provisions of the amended and restated warrant agreement. If we do not maintain in 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w:t>
      </w:r>
    </w:p>
    <w:p>
      <w:pPr>
        <w:spacing w:after="0" w:line="6" w:lineRule="exact"/>
        <w:rPr>
          <w:sz w:val="20"/>
          <w:szCs w:val="20"/>
          <w:color w:val="auto"/>
        </w:rPr>
      </w:pPr>
    </w:p>
    <w:p>
      <w:pPr>
        <w:ind w:left="1260" w:right="459"/>
        <w:spacing w:after="0"/>
        <w:tabs>
          <w:tab w:leader="none" w:pos="15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2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(except as described herein with respect to the private placement warrants):</w:t>
      </w:r>
    </w:p>
    <w:p>
      <w:pPr>
        <w:spacing w:after="0" w:line="40" w:lineRule="exact"/>
        <w:rPr>
          <w:sz w:val="20"/>
          <w:szCs w:val="20"/>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3" w:lineRule="exact"/>
        <w:rPr>
          <w:rFonts w:ascii="Times New Roman" w:cs="Times New Roman" w:eastAsia="Times New Roman" w:hAnsi="Times New Roman"/>
          <w:sz w:val="18"/>
          <w:szCs w:val="18"/>
          <w:color w:val="auto"/>
        </w:rPr>
      </w:pPr>
    </w:p>
    <w:p>
      <w:pPr>
        <w:ind w:left="1800" w:right="559" w:hanging="180"/>
        <w:spacing w:after="0" w:line="28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w:t>
      </w:r>
    </w:p>
    <w:p>
      <w:pPr>
        <w:spacing w:after="0" w:line="27" w:lineRule="exact"/>
        <w:rPr>
          <w:rFonts w:ascii="Times New Roman" w:cs="Times New Roman" w:eastAsia="Times New Roman" w:hAnsi="Times New Roman"/>
          <w:sz w:val="18"/>
          <w:szCs w:val="18"/>
          <w:color w:val="auto"/>
        </w:rPr>
      </w:pPr>
    </w:p>
    <w:p>
      <w:pPr>
        <w:ind w:left="18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trading days within a 30-trading day period ending three business days before we send the notice of redemption; and</w:t>
      </w:r>
    </w:p>
    <w:p>
      <w:pPr>
        <w:spacing w:after="0" w:line="59"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CNTQ IPO. However, there may be instances in which registered holders of our public warrants may be unable to exercise such public warrants but registered holders of our private warrants may be able to exercise such private warrants.</w:t>
      </w:r>
    </w:p>
    <w:p>
      <w:pPr>
        <w:spacing w:after="0" w:line="32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we call the public warrants for redemption, our management will have the option to require all holders that wish to exercise warrants to do so on a cashless basis. In the event of an exercise on a cashless basis, a holder would pay the warrant exercise price by surrendering their warrants for that number of shares of common stock equal to the quotient obtained by dividing (x) the product of the number of shares of common stock underlying the warrants, multiplied by the difference between the exercise price of the</w:t>
      </w:r>
    </w:p>
    <w:p>
      <w:pPr>
        <w:spacing w:after="0" w:line="3" w:lineRule="exact"/>
        <w:rPr>
          <w:sz w:val="20"/>
          <w:szCs w:val="20"/>
          <w:color w:val="auto"/>
        </w:rPr>
      </w:pPr>
    </w:p>
    <w:p>
      <w:pPr>
        <w:jc w:val="both"/>
        <w:ind w:left="1260" w:right="439"/>
        <w:spacing w:after="0" w:line="246" w:lineRule="auto"/>
        <w:rPr>
          <w:sz w:val="20"/>
          <w:szCs w:val="20"/>
          <w:color w:val="auto"/>
        </w:rPr>
      </w:pPr>
      <w:r>
        <w:rPr>
          <w:rFonts w:ascii="Times New Roman" w:cs="Times New Roman" w:eastAsia="Times New Roman" w:hAnsi="Times New Roman"/>
          <w:sz w:val="18"/>
          <w:szCs w:val="18"/>
          <w:color w:val="auto"/>
        </w:rPr>
        <w:t>warrants and the “fair market value” (defined​ below) by (y) the fair market value. The “fair market value” is the volume weighted average last reported sale price of the common stock for the 10 trading days ending on the third trading day prior to the date on which the notice of exercise is received by the warrant agent or on</w:t>
      </w: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the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326"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warrants have certain anti-dilution and adjustment rights upon certain events.</w:t>
      </w:r>
    </w:p>
    <w:p>
      <w:pPr>
        <w:spacing w:after="0" w:line="15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32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exercise of the private warrants) will not be transferable, assignable or salable until 30 days after the completion of the Business Combination (except, among other limited exceptions, to our officers and directors and other persons or entities affiliated with our sponsor) and they will not be redeemable by us so long as they are held by our sponsor or its permitted transferees. Our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our sponsor or its permitted transferees, the private warrants will be redeemable by us and exercisable by the holders on the same basis as the public warrants.</w:t>
      </w:r>
    </w:p>
    <w:p>
      <w:pPr>
        <w:spacing w:after="0" w:line="33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In addition, holders of our private warrants are entitled to certain registration rights and any private warrants purchased by Warrant Holdings will not be exercisable more than five years from August 10, 2021, the effective date of the registration statement on Form S-1 for the Business Combination, in accordance with FINRA Rule 5110(g), as long as CNTQ or any of its related persons beneficially own these private warrants.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Pursuant to letter agreements that we have entered into with our sponsor, officers and directors, the private warrants (including the common stock issuable upon exercise of any of the private warrants) are not transferable or salable until 30 days after the completion of the Business Combination, except (a) to our officers or directors, any affiliates or family members of any of our officers or directors, any members of Warrant Holdings, our sponsor,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the Business Combination; or (g) by virtue of the laws of Delaware or the applicable limited liability company agreement upon dissolution of Warrant Holdings,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Warrant Holdings, our sponsor, officers, and directors of the Company, as the case may be, with respect to such securities (including provisions relating to voting, the trust account and liquidation distributions described in the prospectus relating to the CNTQ IPO).</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and are exercisable for an aggregate of 2,593,056 shares of Common Stock, representing 5.6% of fully-diluted outstanding shares of common stock calculated as of immediately following the Closing Date. The calculation of ownership of common stock “on a fully diluted basis” included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10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the Company’s planned $150 million equity line of credit (or replacement thereof) sold at a per share price above $5.00. The shares issuable upon exercise of the Penny Warrants have customary registration rights requiring the Company to file and keep effective a resale registration statement registering the resale of the shares of common stock underlying the Penny Warrants.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American Stock Transfer &amp; Trust Company, LLC.</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5,000,000 shares of preferred stock, par value $0.0001 per share.</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amended and restated certificate of incorporation, the Dragonfly board of directors is authorized to issue shares of preferred stock in one or more series without stockholder approval. The Dragonfly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0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amended and restated bylaws provide that, unless Dragonfly consents in writing to the selection of an alternative forum, (A) (i) any derivative action or proceeding brought on behalf of Dragonfly, (ii) any action asserting a claim of breach of a fiduciary duty owed by any current or former director, officer, other employee or stockholder of Dragonfly to Dragonfly or Dragonfly’s stockholders, (iii) any action asserting a claim arising pursuant to any provision of the DGCL, the amended and restated certificate of incorporation or the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200" w:lineRule="exact"/>
        <w:rPr>
          <w:sz w:val="20"/>
          <w:szCs w:val="20"/>
          <w:color w:val="auto"/>
        </w:rPr>
      </w:pPr>
    </w:p>
    <w:p>
      <w:pPr>
        <w:spacing w:after="0" w:line="208"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the Amended and Restated Certificate of Incorporation, the Amended and Restated Bylaws and Delaware Law</w:t>
      </w:r>
    </w:p>
    <w:p>
      <w:pPr>
        <w:spacing w:after="0" w:line="9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68" w:lineRule="exact"/>
        <w:rPr>
          <w:sz w:val="20"/>
          <w:szCs w:val="20"/>
          <w:color w:val="auto"/>
        </w:rPr>
      </w:pPr>
    </w:p>
    <w:p>
      <w:pPr>
        <w:ind w:left="1800" w:right="99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3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includes a merger or a sale of more than 10% of our assets. However, the above provisions of Section 203 do not apply if:</w:t>
      </w:r>
    </w:p>
    <w:p>
      <w:pPr>
        <w:spacing w:after="0" w:line="5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either the business combination or transaction that made the stockholder an “interested stockholder,” prior to the date of such business combination;</w:t>
      </w:r>
    </w:p>
    <w:p>
      <w:pPr>
        <w:spacing w:after="0" w:line="67"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1"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such business combination,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amended and restated certificate of incorporation provides otherwise. The amended and restated certificate of incorporation precludes stockholder action by written consent.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amended and restated certificate of incorporation further provides that the affirmative vote of holders of at least 66 2∕3% of the voting power of all of the then outstanding shares of voting stock, voting as a single class, is required to amend certain provisions of our amended and restated certificate of incorporation, including provisions relating to the size of the board, removal of directors, special meetings and actions by written consent. The affirmative vote of holders of at least 66 2/3% of the voting power of all of the then outstanding shares of voting stock, voting as a single class, is required to adopt, amend, alter or repeal our proposed bylaws, although our proposed bylaws may be amended by a majority vote of the board of directors.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common stock as of November 14, 2022, except as otherwise set forth below, by:</w:t>
      </w:r>
    </w:p>
    <w:p>
      <w:pPr>
        <w:spacing w:after="0" w:line="54" w:lineRule="exact"/>
        <w:rPr>
          <w:sz w:val="20"/>
          <w:szCs w:val="20"/>
          <w:color w:val="auto"/>
        </w:rPr>
      </w:pPr>
    </w:p>
    <w:p>
      <w:pPr>
        <w:ind w:left="1800" w:right="99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the Company to be the beneficial owner of more than 5% of the outstanding shares of the Company’s common stock;</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which includes the power to dispose of or to direct the disposition of the security or has the right to acquire such powers within 60 days. In computing the number of shares of the Company’s common stock beneficially owned by a person or entity and the percentage ownership, the Company deemed outstanding shares of its common stock subject to options and warrants held by that person or entity that are currently exercisable or exercisable within 60 days of the Closing Date. The Company did not deem these shares outstanding, however, for the purpose of computing the percentage ownership of any other person or entity.</w:t>
      </w:r>
    </w:p>
    <w:p>
      <w:pPr>
        <w:spacing w:after="0" w:line="327"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0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and other equity securities.</w:t>
      </w:r>
    </w:p>
    <w:p>
      <w:pPr>
        <w:spacing w:after="0" w:line="10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beneficial ownership of the Company’s common stock is based on 43,272,728 shares of the Company’s common stock issued and outstanding immediately following consummation of the Transactions, including the redemption of public shares of the Company’s common stock as described above.</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4"/>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32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gridSpan w:val="3"/>
          </w:tcPr>
          <w:p>
            <w:pPr>
              <w:jc w:val="right"/>
              <w:ind w:right="10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Owned   </w:t>
            </w:r>
            <w:r>
              <w:rPr>
                <w:rFonts w:ascii="Times New Roman" w:cs="Times New Roman" w:eastAsia="Times New Roman" w:hAnsi="Times New Roman"/>
                <w:sz w:val="24"/>
                <w:szCs w:val="24"/>
                <w:b w:val="1"/>
                <w:bCs w:val="1"/>
                <w:color w:val="auto"/>
                <w:vertAlign w:val="subscript"/>
              </w:rPr>
              <w:t>​ ​</w:t>
            </w:r>
          </w:p>
        </w:tc>
        <w:tc>
          <w:tcPr>
            <w:tcW w:w="4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45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3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19"/>
                <w:szCs w:val="19"/>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Dynavolt Technology (HK) Ltd.</w:t>
            </w:r>
          </w:p>
        </w:tc>
        <w:tc>
          <w:tcPr>
            <w:tcW w:w="1320" w:type="dxa"/>
            <w:vAlign w:val="bottom"/>
          </w:tcPr>
          <w:p>
            <w:pPr>
              <w:spacing w:after="0"/>
              <w:rPr>
                <w:sz w:val="21"/>
                <w:szCs w:val="21"/>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11,820,900​​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27.3​%</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r>
              <w:rPr>
                <w:rFonts w:ascii="Times New Roman" w:cs="Times New Roman" w:eastAsia="Times New Roman" w:hAnsi="Times New Roman"/>
                <w:sz w:val="23"/>
                <w:szCs w:val="23"/>
                <w:color w:val="auto"/>
                <w:vertAlign w:val="superscript"/>
              </w:rPr>
              <w:t>(1)(2)(3)</w:t>
            </w:r>
          </w:p>
        </w:tc>
        <w:tc>
          <w:tcPr>
            <w:tcW w:w="1320" w:type="dxa"/>
            <w:vAlign w:val="bottom"/>
          </w:tcPr>
          <w:p>
            <w:pPr>
              <w:spacing w:after="0"/>
              <w:rPr>
                <w:sz w:val="23"/>
                <w:szCs w:val="23"/>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3,030,500​​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Chardan NexTech Investments 2 LLC</w:t>
            </w:r>
            <w:r>
              <w:rPr>
                <w:rFonts w:ascii="Times New Roman" w:cs="Times New Roman" w:eastAsia="Times New Roman" w:hAnsi="Times New Roman"/>
                <w:sz w:val="23"/>
                <w:szCs w:val="23"/>
                <w:color w:val="auto"/>
                <w:vertAlign w:val="superscript"/>
              </w:rPr>
              <w:t>(1)(2)(3)</w:t>
            </w:r>
          </w:p>
        </w:tc>
        <w:tc>
          <w:tcPr>
            <w:tcW w:w="1320" w:type="dxa"/>
            <w:vAlign w:val="bottom"/>
          </w:tcPr>
          <w:p>
            <w:pPr>
              <w:spacing w:after="0"/>
              <w:rPr>
                <w:sz w:val="23"/>
                <w:szCs w:val="23"/>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3,030,500​​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David Gong</w:t>
            </w:r>
          </w:p>
        </w:tc>
        <w:tc>
          <w:tcPr>
            <w:tcW w:w="1320" w:type="dxa"/>
            <w:vAlign w:val="bottom"/>
          </w:tcPr>
          <w:p>
            <w:pPr>
              <w:spacing w:after="0"/>
              <w:rPr>
                <w:sz w:val="21"/>
                <w:szCs w:val="21"/>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2,364,180​​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5.5​%</w:t>
            </w: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3"/>
                <w:szCs w:val="23"/>
                <w:color w:val="auto"/>
                <w:vertAlign w:val="superscript"/>
              </w:rPr>
              <w:t>(4)(6)</w:t>
            </w:r>
          </w:p>
        </w:tc>
        <w:tc>
          <w:tcPr>
            <w:tcW w:w="1320" w:type="dxa"/>
            <w:vAlign w:val="bottom"/>
          </w:tcPr>
          <w:p>
            <w:pPr>
              <w:spacing w:after="0"/>
              <w:rPr>
                <w:sz w:val="23"/>
                <w:szCs w:val="23"/>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3,558,683​​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8.2​%</w:t>
            </w:r>
          </w:p>
        </w:tc>
      </w:tr>
      <w:tr>
        <w:trPr>
          <w:trHeight w:val="35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580" w:type="dxa"/>
            <w:vAlign w:val="bottom"/>
            <w:tcBorders>
              <w:right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r>
              <w:rPr>
                <w:rFonts w:ascii="Times New Roman" w:cs="Times New Roman" w:eastAsia="Times New Roman" w:hAnsi="Times New Roman"/>
                <w:sz w:val="23"/>
                <w:szCs w:val="23"/>
                <w:color w:val="auto"/>
                <w:vertAlign w:val="superscript"/>
              </w:rPr>
              <w:t>(4)(5)</w:t>
            </w:r>
          </w:p>
        </w:tc>
        <w:tc>
          <w:tcPr>
            <w:tcW w:w="1320" w:type="dxa"/>
            <w:vAlign w:val="bottom"/>
          </w:tcPr>
          <w:p>
            <w:pPr>
              <w:spacing w:after="0"/>
              <w:rPr>
                <w:sz w:val="23"/>
                <w:szCs w:val="23"/>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15,899,110​​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36.7​%</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3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11,821​​ ​</w:t>
            </w: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3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3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3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3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22,000​​ ​</w:t>
            </w: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3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Parod</w:t>
            </w:r>
          </w:p>
        </w:tc>
        <w:tc>
          <w:tcPr>
            <w:tcW w:w="13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r>
      <w:tr>
        <w:trPr>
          <w:trHeight w:val="27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32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-2313940</wp:posOffset>
            </wp:positionV>
            <wp:extent cx="474916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-1971040</wp:posOffset>
            </wp:positionV>
            <wp:extent cx="474916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-1250950</wp:posOffset>
            </wp:positionV>
            <wp:extent cx="474916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-633730</wp:posOffset>
            </wp:positionV>
            <wp:extent cx="4749165"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-2622550</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-2622550</wp:posOffset>
            </wp:positionV>
            <wp:extent cx="137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90" w:lineRule="exact"/>
        <w:rPr>
          <w:sz w:val="20"/>
          <w:szCs w:val="20"/>
          <w:color w:val="auto"/>
        </w:rPr>
      </w:pPr>
    </w:p>
    <w:p>
      <w:pPr>
        <w:ind w:left="1620" w:right="579" w:hanging="360"/>
        <w:spacing w:after="0"/>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10004.</w:t>
      </w:r>
    </w:p>
    <w:p>
      <w:pPr>
        <w:spacing w:after="0" w:line="259" w:lineRule="exact"/>
        <w:rPr>
          <w:rFonts w:ascii="Times New Roman" w:cs="Times New Roman" w:eastAsia="Times New Roman" w:hAnsi="Times New Roman"/>
          <w:sz w:val="18"/>
          <w:szCs w:val="18"/>
          <w:color w:val="auto"/>
        </w:rPr>
      </w:pPr>
    </w:p>
    <w:p>
      <w:pPr>
        <w:ind w:left="1620" w:right="639" w:hanging="360"/>
        <w:spacing w:after="0" w:line="261"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15,000 shares issued to CCM pursuant to the Subscription Agreement. CCM, an affiliate of the Sponsor, is a broker-dealer and a member of the Financial Industry Regulatory Authority, Inc.</w:t>
      </w: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CCM is 17 State Street, Suite 2130, New York, NY 10004.</w:t>
      </w:r>
    </w:p>
    <w:p>
      <w:pPr>
        <w:spacing w:after="0" w:line="256" w:lineRule="exact"/>
        <w:rPr>
          <w:rFonts w:ascii="Times New Roman" w:cs="Times New Roman" w:eastAsia="Times New Roman" w:hAnsi="Times New Roman"/>
          <w:sz w:val="18"/>
          <w:szCs w:val="18"/>
          <w:color w:val="auto"/>
        </w:rPr>
      </w:pPr>
    </w:p>
    <w:p>
      <w:pPr>
        <w:jc w:val="both"/>
        <w:ind w:left="1620" w:right="499" w:hanging="360"/>
        <w:spacing w:after="0" w:line="255"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10004.</w:t>
      </w:r>
    </w:p>
    <w:p>
      <w:pPr>
        <w:spacing w:after="0" w:line="1" w:lineRule="exact"/>
        <w:rPr>
          <w:rFonts w:ascii="Times New Roman" w:cs="Times New Roman" w:eastAsia="Times New Roman" w:hAnsi="Times New Roman"/>
          <w:sz w:val="18"/>
          <w:szCs w:val="18"/>
          <w:color w:val="auto"/>
        </w:rPr>
      </w:pPr>
    </w:p>
    <w:p>
      <w:pPr>
        <w:ind w:left="1620" w:right="579" w:hanging="360"/>
        <w:spacing w:after="0" w:line="258"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34" w:lineRule="exact"/>
        <w:rPr>
          <w:rFonts w:ascii="Times New Roman" w:cs="Times New Roman" w:eastAsia="Times New Roman" w:hAnsi="Times New Roman"/>
          <w:sz w:val="18"/>
          <w:szCs w:val="18"/>
          <w:color w:val="auto"/>
        </w:rPr>
      </w:pPr>
    </w:p>
    <w:p>
      <w:pPr>
        <w:ind w:left="1620" w:right="999" w:hanging="360"/>
        <w:spacing w:after="0" w:line="282"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13"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are registering the offer and sale of these securities to satisfy certain registration rights we have granted to the selling securityholders pursuant to the terms of the Registration Rights Agreement, the Private Warrants, the Public Warrants, the $10 Warrants and the Penny Warrants. The selling securityholders may offer and sell, from time to time, any or all of the shares of common stock or Private Warrants, Public Warrants and Penny Warrants being offered for resale by this prospectus, which consists of up to:</w:t>
      </w:r>
    </w:p>
    <w:p>
      <w:pPr>
        <w:spacing w:after="0" w:line="73" w:lineRule="exact"/>
        <w:rPr>
          <w:sz w:val="20"/>
          <w:szCs w:val="20"/>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31,290,514 Consideration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3,664,975 Option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3,162,500 Founder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Public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457,142 $10 Warrant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 Shares;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PIPE Investment Shares.</w:t>
      </w:r>
    </w:p>
    <w:p>
      <w:pPr>
        <w:spacing w:after="0" w:line="14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or Private Warrants and Penny Warrants set forth below pursuant to this prospectus. In this prospectus, the term “selling securityholders” includes (i) the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w:t>
      </w:r>
    </w:p>
    <w:p>
      <w:pPr>
        <w:spacing w:after="0" w:line="324"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beneficial ownership of our common stock and Private Warrants and Penny Warrants of each selling securityholder, the number of shares of common stock and number of Private Warrants and Penny Warrants that may be sold by each selling securityholder under this prospectus and that each selling securityholder will beneficially own after this offering. The immediately following table also sets forth the percentage of common stock beneficially owned by a selling securityholder after giving effect to the sale by the selling securityholder of all offered securities, based on 43,272,728 shares of common stock outstanding as of November 14, 2022.</w:t>
      </w:r>
    </w:p>
    <w:p>
      <w:pPr>
        <w:spacing w:after="0" w:line="32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For purposes of the table below, we have assumed that (i) no holders of Public Warrants exercise any of the outstanding Warrants, (ii) after termination of this offering, none of the shares of common stock covered by this prospectus will be beneficially owned by the selling securityholders and (iii) the selling securityholders will not acquire beneficial ownership of any additional securities during the offering. In addition, we assume that the selling securityholders have not sold, transferred or otherwise disposed of, our securities in transactions exempt from the registration requirements of the Securities Act. See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and Related Person Transactions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Certain of the selling securityholders have an incentive to sell because they purchased shares and/or warrants at prices below the initial public offering price of $10 per share and/or below the recent trading prices of our securities. Given the substantial number of shares of common stock being registered for potential resale by the selling securityholders pursuant to this prospectus, the sale of shares by the selling</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securityholders, or the perception in the market that the selling securityholders of a large number of shares intend to sell shares, may increase the volatility of the market price of our common stock, may prevent the trading price of our securities from exceeding the initial public offering price and may cause the trading prices of our securities to experience a further decline. Since many of our public stockholders purchased shares at prices above, and the exercise price of our warrants exceeds, the recent trading prices for shares of our common stock, other of our securityholders may not experience a positive rate of return if they were to sell at the same prices.</w:t>
      </w:r>
    </w:p>
    <w:p>
      <w:pPr>
        <w:spacing w:after="0" w:line="33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Selling securityholders information for each additional selling securityholders, if any, will be set forth by a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shares of common stock or Private Warrants, shares underlying the Penny Warrants registered on its behalf.</w:t>
      </w:r>
    </w:p>
    <w:p>
      <w:pPr>
        <w:spacing w:after="0" w:line="118" w:lineRule="exact"/>
        <w:rPr>
          <w:sz w:val="20"/>
          <w:szCs w:val="20"/>
          <w:color w:val="auto"/>
        </w:rPr>
      </w:pPr>
    </w:p>
    <w:p>
      <w:pPr>
        <w:jc w:val="both"/>
        <w:ind w:left="1260" w:right="899" w:firstLine="360"/>
        <w:spacing w:after="0" w:line="267"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shares of common stock and Private Warrants and Penny Warrants.</w:t>
      </w:r>
    </w:p>
    <w:p>
      <w:pPr>
        <w:spacing w:after="0" w:line="94"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selling securityholders is c/o Dragonfly Energy Holdings Corp., 1190 Trademark Drive #108, Reno, Nevada 89521.</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Beneficially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Beneficially</w:t>
            </w:r>
          </w:p>
        </w:tc>
        <w:tc>
          <w:tcPr>
            <w:tcW w:w="6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Prior to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Securities Being Offered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After the Offered</w:t>
            </w:r>
          </w:p>
        </w:tc>
        <w:tc>
          <w:tcPr>
            <w:tcW w:w="60" w:type="dxa"/>
            <w:vAlign w:val="bottom"/>
          </w:tcPr>
          <w:p>
            <w:pPr>
              <w:spacing w:after="0"/>
              <w:rPr>
                <w:sz w:val="14"/>
                <w:szCs w:val="14"/>
                <w:color w:val="auto"/>
              </w:rPr>
            </w:pPr>
          </w:p>
        </w:tc>
      </w:t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the Offering</w:t>
            </w:r>
          </w:p>
        </w:tc>
        <w:tc>
          <w:tcPr>
            <w:tcW w:w="1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8"/>
                <w:szCs w:val="18"/>
                <w:color w:val="auto"/>
              </w:rPr>
            </w:pPr>
          </w:p>
        </w:tc>
        <w:tc>
          <w:tcPr>
            <w:tcW w:w="12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in the Offering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are Sold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jc w:val="right"/>
              <w:ind w:right="360"/>
              <w:spacing w:after="0" w:line="158"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jc w:val="right"/>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7"/>
          </w:tcPr>
          <w:p>
            <w:pPr>
              <w:jc w:val="right"/>
              <w:ind w:righ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Stock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Warrants  </w:t>
            </w:r>
            <w:r>
              <w:rPr>
                <w:rFonts w:ascii="Times New Roman" w:cs="Times New Roman" w:eastAsia="Times New Roman" w:hAnsi="Times New Roman"/>
                <w:sz w:val="24"/>
                <w:szCs w:val="24"/>
                <w:b w:val="1"/>
                <w:bCs w:val="1"/>
                <w:color w:val="auto"/>
                <w:vertAlign w:val="subscript"/>
              </w:rPr>
              <w:t>​​</w:t>
            </w:r>
          </w:p>
        </w:tc>
        <w:tc>
          <w:tcPr>
            <w:tcW w:w="920" w:type="dxa"/>
            <w:vAlign w:val="bottom"/>
            <w:gridSpan w:val="3"/>
          </w:tcPr>
          <w:p>
            <w:pPr>
              <w:jc w:val="right"/>
              <w:ind w:righ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Stock    </w:t>
            </w:r>
            <w:r>
              <w:rPr>
                <w:rFonts w:ascii="Times New Roman" w:cs="Times New Roman" w:eastAsia="Times New Roman" w:hAnsi="Times New Roman"/>
                <w:sz w:val="24"/>
                <w:szCs w:val="24"/>
                <w:b w:val="1"/>
                <w:bCs w:val="1"/>
                <w:color w:val="auto"/>
                <w:vertAlign w:val="subscript"/>
              </w:rPr>
              <w:t>​​</w:t>
            </w:r>
          </w:p>
        </w:tc>
        <w:tc>
          <w:tcPr>
            <w:tcW w:w="166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Warrants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bscript"/>
              </w:rPr>
              <w:t>​​</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2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Warrants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2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Dr. Denis Phares</w:t>
            </w:r>
            <w:r>
              <w:rPr>
                <w:rFonts w:ascii="Times New Roman" w:cs="Times New Roman" w:eastAsia="Times New Roman" w:hAnsi="Times New Roman"/>
                <w:sz w:val="23"/>
                <w:szCs w:val="23"/>
                <w:color w:val="auto"/>
                <w:vertAlign w:val="superscript"/>
              </w:rPr>
              <w:t>(1)(2)</w:t>
            </w:r>
          </w:p>
        </w:tc>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15,899,110​​​</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1"/>
                <w:szCs w:val="21"/>
                <w:color w:val="auto"/>
              </w:rPr>
            </w:pPr>
          </w:p>
        </w:tc>
        <w:tc>
          <w:tcPr>
            <w:tcW w:w="2300" w:type="dxa"/>
            <w:vAlign w:val="bottom"/>
            <w:gridSpan w:val="9"/>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15,899,110​​​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36.7​​%​</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Dynavolt Technology (HK)</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Ltd.</w:t>
            </w: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11,820,900​​​</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2300" w:type="dxa"/>
            <w:vAlign w:val="bottom"/>
            <w:gridSpan w:val="9"/>
          </w:tcPr>
          <w:p>
            <w:pPr>
              <w:jc w:val="right"/>
              <w:ind w:righ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11,820,900​​​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27.3​​%​</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r>
              <w:rPr>
                <w:rFonts w:ascii="Times New Roman" w:cs="Times New Roman" w:eastAsia="Times New Roman" w:hAnsi="Times New Roman"/>
                <w:sz w:val="23"/>
                <w:szCs w:val="23"/>
                <w:color w:val="auto"/>
                <w:vertAlign w:val="superscript"/>
              </w:rPr>
              <w:t>(3)(4)(5)</w:t>
            </w:r>
          </w:p>
        </w:tc>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3,030,500​​​</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3"/>
                <w:szCs w:val="23"/>
                <w:color w:val="auto"/>
              </w:rPr>
            </w:pPr>
          </w:p>
        </w:tc>
        <w:tc>
          <w:tcPr>
            <w:tcW w:w="2300" w:type="dxa"/>
            <w:vAlign w:val="bottom"/>
            <w:gridSpan w:val="9"/>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3,030,500​​​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3"/>
                <w:szCs w:val="23"/>
                <w:color w:val="auto"/>
              </w:rPr>
            </w:pP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Chardan NexTech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5"/>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2 LLC</w:t>
            </w:r>
            <w:r>
              <w:rPr>
                <w:rFonts w:ascii="Times New Roman" w:cs="Times New Roman" w:eastAsia="Times New Roman" w:hAnsi="Times New Roman"/>
                <w:sz w:val="23"/>
                <w:szCs w:val="23"/>
                <w:color w:val="auto"/>
                <w:vertAlign w:val="superscript"/>
              </w:rPr>
              <w:t>(5)</w:t>
            </w: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3,030,500​​​</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2300" w:type="dxa"/>
            <w:vAlign w:val="bottom"/>
            <w:gridSpan w:val="9"/>
          </w:tcPr>
          <w:p>
            <w:pPr>
              <w:jc w:val="right"/>
              <w:ind w:righ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3,030,500​​​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3"/>
                <w:szCs w:val="23"/>
                <w:color w:val="auto"/>
              </w:rPr>
            </w:pP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NexTech 2 Warrant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65"/>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3"/>
                <w:szCs w:val="23"/>
                <w:color w:val="auto"/>
                <w:vertAlign w:val="superscript"/>
              </w:rPr>
              <w:t>(6)</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74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4,627,858​​​</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6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4,627,858​​​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3"/>
                <w:szCs w:val="23"/>
                <w:color w:val="auto"/>
                <w:vertAlign w:val="superscript"/>
              </w:rPr>
              <w:t>(1)(7)</w:t>
            </w: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3,558,683​​​</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2300" w:type="dxa"/>
            <w:vAlign w:val="bottom"/>
            <w:gridSpan w:val="9"/>
          </w:tcPr>
          <w:p>
            <w:pPr>
              <w:jc w:val="right"/>
              <w:ind w:righ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3,558,683​​​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8.2​​%​</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r>
              <w:rPr>
                <w:rFonts w:ascii="Times New Roman" w:cs="Times New Roman" w:eastAsia="Times New Roman" w:hAnsi="Times New Roman"/>
                <w:sz w:val="23"/>
                <w:szCs w:val="23"/>
                <w:color w:val="auto"/>
                <w:vertAlign w:val="superscript"/>
              </w:rPr>
              <w:t>(8)</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236,417​​​</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236,417​​​</w:t>
            </w: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3"/>
                <w:szCs w:val="23"/>
                <w:color w:val="auto"/>
              </w:rPr>
            </w:pP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11,821​​​</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11,821​​​</w:t>
            </w: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65"/>
        </w:trPr>
        <w:tc>
          <w:tcPr>
            <w:tcW w:w="2200" w:type="dxa"/>
            <w:vAlign w:val="bottom"/>
            <w:shd w:val="clear" w:color="auto" w:fill="CCEEFF"/>
          </w:tcPr>
          <w:p>
            <w:pPr>
              <w:ind w:left="180"/>
              <w:spacing w:after="0" w:line="265" w:lineRule="exact"/>
              <w:rPr>
                <w:sz w:val="20"/>
                <w:szCs w:val="20"/>
                <w:color w:val="auto"/>
              </w:rPr>
            </w:pPr>
            <w:r>
              <w:rPr>
                <w:rFonts w:ascii="Times New Roman" w:cs="Times New Roman" w:eastAsia="Times New Roman" w:hAnsi="Times New Roman"/>
                <w:sz w:val="30"/>
                <w:szCs w:val="30"/>
                <w:color w:val="auto"/>
                <w:vertAlign w:val="subscript"/>
              </w:rPr>
              <w:t>LLC</w:t>
            </w:r>
            <w:r>
              <w:rPr>
                <w:rFonts w:ascii="Times New Roman" w:cs="Times New Roman" w:eastAsia="Times New Roman" w:hAnsi="Times New Roman"/>
                <w:sz w:val="11"/>
                <w:szCs w:val="11"/>
                <w:color w:val="auto"/>
              </w:rPr>
              <w:t>(9)</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3"/>
                <w:szCs w:val="23"/>
                <w:color w:val="auto"/>
              </w:rPr>
            </w:pP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Jonathan Biele</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Roderick Hardamon</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Jory Des Jardins</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Hitesh Thakrar</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Thomson</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22,000​​​</w:t>
            </w: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BP Holdings XVII LP</w:t>
            </w:r>
            <w:r>
              <w:rPr>
                <w:rFonts w:ascii="Times New Roman" w:cs="Times New Roman" w:eastAsia="Times New Roman" w:hAnsi="Times New Roman"/>
                <w:sz w:val="23"/>
                <w:szCs w:val="23"/>
                <w:color w:val="auto"/>
                <w:vertAlign w:val="superscript"/>
              </w:rPr>
              <w:t>(10)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74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274,285​​​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1,555,834​​​</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Impact Credit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65"/>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II LP</w:t>
            </w:r>
            <w:r>
              <w:rPr>
                <w:rFonts w:ascii="Times New Roman" w:cs="Times New Roman" w:eastAsia="Times New Roman" w:hAnsi="Times New Roman"/>
                <w:sz w:val="23"/>
                <w:szCs w:val="23"/>
                <w:color w:val="auto"/>
                <w:vertAlign w:val="superscript"/>
              </w:rPr>
              <w:t>(11)</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121,920​​​</w:t>
            </w:r>
            <w:r>
              <w:rPr>
                <w:rFonts w:ascii="Times New Roman" w:cs="Times New Roman" w:eastAsia="Times New Roman" w:hAnsi="Times New Roman"/>
                <w:sz w:val="18"/>
                <w:szCs w:val="18"/>
                <w:b w:val="1"/>
                <w:bCs w:val="1"/>
                <w:color w:val="auto"/>
              </w:rPr>
              <w:t>​</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691,568​​​</w:t>
            </w: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Energy Impact Credit Fund I</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75"/>
        </w:trPr>
        <w:tc>
          <w:tcPr>
            <w:tcW w:w="2200" w:type="dxa"/>
            <w:vAlign w:val="bottom"/>
          </w:tcPr>
          <w:p>
            <w:pPr>
              <w:ind w:left="180"/>
              <w:spacing w:after="0"/>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(12)</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60,937​​​</w:t>
            </w:r>
            <w:r>
              <w:rPr>
                <w:rFonts w:ascii="Times New Roman" w:cs="Times New Roman" w:eastAsia="Times New Roman" w:hAnsi="Times New Roman"/>
                <w:sz w:val="18"/>
                <w:szCs w:val="18"/>
                <w:b w:val="1"/>
                <w:bCs w:val="1"/>
                <w:color w:val="auto"/>
              </w:rPr>
              <w:t>​</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345,654​​​</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-3862070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-3862070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-3862070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-3862070</wp:posOffset>
            </wp:positionV>
            <wp:extent cx="137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-3862070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-3862070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-3862070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-3862070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12065</wp:posOffset>
            </wp:positionV>
            <wp:extent cx="12344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3" w:lineRule="exact"/>
        <w:rPr>
          <w:sz w:val="20"/>
          <w:szCs w:val="20"/>
          <w:color w:val="auto"/>
        </w:rPr>
      </w:pPr>
    </w:p>
    <w:p>
      <w:pPr>
        <w:ind w:left="1620" w:hanging="360"/>
        <w:spacing w:after="0"/>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one percent.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hanging="36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26" w:lineRule="exact"/>
        <w:rPr>
          <w:rFonts w:ascii="Times New Roman" w:cs="Times New Roman" w:eastAsia="Times New Roman" w:hAnsi="Times New Roman"/>
          <w:sz w:val="18"/>
          <w:szCs w:val="18"/>
          <w:color w:val="auto"/>
        </w:rPr>
      </w:pPr>
    </w:p>
    <w:p>
      <w:pPr>
        <w:ind w:left="1620" w:right="999" w:hanging="36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13" w:lineRule="exact"/>
        <w:rPr>
          <w:rFonts w:ascii="Times New Roman" w:cs="Times New Roman" w:eastAsia="Times New Roman" w:hAnsi="Times New Roman"/>
          <w:sz w:val="18"/>
          <w:szCs w:val="18"/>
          <w:color w:val="auto"/>
        </w:rPr>
      </w:pPr>
    </w:p>
    <w:p>
      <w:pPr>
        <w:ind w:left="1620" w:right="579" w:hanging="360"/>
        <w:spacing w:after="0" w:line="256"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21st Floor, New York, NY 10004.</w:t>
      </w:r>
    </w:p>
    <w:p>
      <w:pPr>
        <w:spacing w:after="0" w:line="254" w:lineRule="exact"/>
        <w:rPr>
          <w:rFonts w:ascii="Times New Roman" w:cs="Times New Roman" w:eastAsia="Times New Roman" w:hAnsi="Times New Roman"/>
          <w:sz w:val="18"/>
          <w:szCs w:val="18"/>
          <w:color w:val="auto"/>
        </w:rPr>
      </w:pPr>
    </w:p>
    <w:p>
      <w:pPr>
        <w:ind w:left="1620" w:right="1099" w:hanging="360"/>
        <w:spacing w:after="0" w:line="261"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the Sponsor on October 12, 2022. CCM, an affiliate of the Sponsor, is a broker-dealer and a member of the Financial Industry Regulatory Authority, Inc.</w:t>
      </w: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w:t>
      </w:r>
    </w:p>
    <w:p>
      <w:pPr>
        <w:spacing w:after="0" w:line="51" w:lineRule="exact"/>
        <w:rPr>
          <w:rFonts w:ascii="Times New Roman" w:cs="Times New Roman" w:eastAsia="Times New Roman" w:hAnsi="Times New Roman"/>
          <w:sz w:val="18"/>
          <w:szCs w:val="18"/>
          <w:color w:val="auto"/>
        </w:rPr>
      </w:pPr>
    </w:p>
    <w:p>
      <w:pPr>
        <w:ind w:left="1620" w:right="499" w:hanging="360"/>
        <w:spacing w:after="0" w:line="258"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Warrant Holdings is an affiliate of the Sponsor. The business address of Warrant Holdings is 17 State Street, 21st Floor, New York, NY 10004.</w:t>
      </w:r>
    </w:p>
    <w:p>
      <w:pPr>
        <w:spacing w:after="0" w:line="34"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31"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236,417 shares of common stock issuable upon the exercise of stock options.</w:t>
      </w:r>
    </w:p>
    <w:p>
      <w:pPr>
        <w:spacing w:after="0" w:line="76" w:lineRule="exact"/>
        <w:rPr>
          <w:rFonts w:ascii="Times New Roman" w:cs="Times New Roman" w:eastAsia="Times New Roman" w:hAnsi="Times New Roman"/>
          <w:sz w:val="18"/>
          <w:szCs w:val="18"/>
          <w:color w:val="auto"/>
        </w:rPr>
      </w:pPr>
    </w:p>
    <w:p>
      <w:pPr>
        <w:ind w:left="1620" w:right="439" w:hanging="360"/>
        <w:spacing w:after="0" w:line="25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 We have excluded from the number of shares beneficially owned prior to the offering all of the shares that CCM may be required to purchase upon the terms of the ChEF Equity Facility, because the issuance of such shares of common stock is solely at our discretion and is subject to conditions and limitations contained in the Purchase Agreement, the satisfaction of which are entirely outside of CCM’s control.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48" w:lineRule="exact"/>
        <w:rPr>
          <w:rFonts w:ascii="Times New Roman" w:cs="Times New Roman" w:eastAsia="Times New Roman" w:hAnsi="Times New Roman"/>
          <w:sz w:val="18"/>
          <w:szCs w:val="18"/>
          <w:color w:val="auto"/>
        </w:rPr>
      </w:pPr>
    </w:p>
    <w:p>
      <w:pPr>
        <w:ind w:left="1620" w:right="499" w:hanging="36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274,285 shares purchased upon exercise of the $10 Warrants and 1,555,834 shares underlying the Penny Warrants.</w:t>
      </w:r>
    </w:p>
    <w:p>
      <w:pPr>
        <w:spacing w:after="0" w:line="26" w:lineRule="exact"/>
        <w:rPr>
          <w:rFonts w:ascii="Times New Roman" w:cs="Times New Roman" w:eastAsia="Times New Roman" w:hAnsi="Times New Roman"/>
          <w:sz w:val="18"/>
          <w:szCs w:val="18"/>
          <w:color w:val="auto"/>
        </w:rPr>
      </w:pPr>
    </w:p>
    <w:p>
      <w:pPr>
        <w:ind w:left="1620" w:right="639" w:hanging="36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121,920 shares purchased upon exercise of the $10 Warrants and 691,568 shares underlying the Penny Warrants.</w:t>
      </w:r>
    </w:p>
    <w:p>
      <w:pPr>
        <w:spacing w:after="0" w:line="13"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60,937 shares purchased upon exercise of the $10 Warrants and 345,654 shares underlying the Penny Warrants.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79" w:lineRule="exact"/>
        <w:rPr>
          <w:sz w:val="20"/>
          <w:szCs w:val="20"/>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08"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consequences described herein. This discussion does not address any aspect of state, local or non-U.S.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taxation, or any U.S. federal taxes other than income taxes (such as gift and estate taxes).</w:t>
      </w:r>
    </w:p>
    <w:p>
      <w:pPr>
        <w:spacing w:after="0" w:line="13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21"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0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67" w:lineRule="exact"/>
        <w:rPr>
          <w:sz w:val="20"/>
          <w:szCs w:val="20"/>
          <w:color w:val="auto"/>
        </w:rPr>
      </w:pPr>
    </w:p>
    <w:p>
      <w:pPr>
        <w:ind w:left="1800" w:right="57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extent paid out of our current or accumulated earnings and profits (as determined under U.S. federal income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principles), will constitute dividends for U.S. federal income tax purposes and, provided such dividends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 not effectively connected with the Non-U.S. Holder’s conduct of a trade or business within the United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States, we will be required to withhold tax from the gross amount of the dividend at a rate of 30%, unless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Non-U.S. Holder is eligible for a reduced rate of withholding tax under an applicable income tax treaty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provides proper certification of its eligibility for such reduced rate (usually on an IRS Form W-8BEN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W-8BEN-E). Any distribution not constituting a dividend will be treated first as reducing (but not below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zero) the Non-U.S. Holder’s adjusted tax basis in its shares of our common stock and, to the extent such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distribution exceeds the Non-U.S. Holder’s adjusted tax basis, as gain realized from the sale or other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disposition of the common stock, which will be treated as described under “</w:t>
      </w:r>
      <w:r>
        <w:rPr>
          <w:rFonts w:ascii="Times New Roman" w:cs="Times New Roman" w:eastAsia="Times New Roman" w:hAnsi="Times New Roman"/>
          <w:sz w:val="18"/>
          <w:szCs w:val="18"/>
          <w:i w:val="1"/>
          <w:iCs w:val="1"/>
          <w:color w:val="auto"/>
        </w:rPr>
        <w:t>Non-U.S. Holders — Gain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Our Common Stock</w:t>
      </w:r>
      <w:r>
        <w:rPr>
          <w:rFonts w:ascii="Times New Roman" w:cs="Times New Roman" w:eastAsia="Times New Roman" w:hAnsi="Times New Roman"/>
          <w:sz w:val="18"/>
          <w:szCs w:val="18"/>
          <w:color w:val="auto"/>
        </w:rPr>
        <w:t>” below. In addition, if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determine that we are likely to be classified as a “United States real property holding corporation” (see​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Non-U.S. Holders — Gain on Sale, Taxable Exchange or Other Taxable Disposition of Our Common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below), we generally will withhold 15% of any distribution that exceeds our current and accumulated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earnings and profits.</w:t>
      </w:r>
    </w:p>
    <w:p>
      <w:pPr>
        <w:spacing w:after="0" w:line="139" w:lineRule="exact"/>
        <w:rPr>
          <w:sz w:val="20"/>
          <w:szCs w:val="20"/>
          <w:color w:val="auto"/>
        </w:rPr>
      </w:pPr>
    </w:p>
    <w:p>
      <w:pPr>
        <w:jc w:val="both"/>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8" w:lineRule="auto"/>
        <w:rPr>
          <w:sz w:val="20"/>
          <w:szCs w:val="20"/>
          <w:color w:val="auto"/>
        </w:rPr>
      </w:pPr>
      <w:r>
        <w:rPr>
          <w:rFonts w:ascii="Times New Roman" w:cs="Times New Roman" w:eastAsia="Times New Roman" w:hAnsi="Times New Roman"/>
          <w:sz w:val="18"/>
          <w:szCs w:val="18"/>
          <w:color w:val="auto"/>
        </w:rPr>
        <w:t>income tax treaty providing otherwise. A corporate Non-U.S. Holder receiving effectively connected dividends may also be subject to an additional “branch profits tax” imposed at a rate of 30% (or a lower applicable treaty rate).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54" w:lineRule="exact"/>
        <w:rPr>
          <w:sz w:val="20"/>
          <w:szCs w:val="20"/>
          <w:color w:val="auto"/>
        </w:rPr>
      </w:pPr>
    </w:p>
    <w:p>
      <w:pPr>
        <w:jc w:val="both"/>
        <w:ind w:left="1800" w:right="799" w:hanging="180"/>
        <w:spacing w:after="0" w:line="266"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2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 -U.S. Holder that is a foreign corporation may also be subject to an additional “branch profits tax” imposed at a 30% rate (or lower treaty rate).</w:t>
      </w:r>
    </w:p>
    <w:p>
      <w:pPr>
        <w:spacing w:after="0" w:line="32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w:t>
      </w:r>
    </w:p>
    <w:p>
      <w:pPr>
        <w:spacing w:after="0" w:line="27"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selling securityholder and any of their pledgees, assignees, transferees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securityholder may use any one or more of the following methods when selling securities:</w:t>
      </w:r>
    </w:p>
    <w:p>
      <w:pPr>
        <w:spacing w:after="0" w:line="75" w:lineRule="exact"/>
        <w:rPr>
          <w:sz w:val="20"/>
          <w:szCs w:val="20"/>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subscribers;</w:t>
      </w:r>
    </w:p>
    <w:p>
      <w:pPr>
        <w:spacing w:after="0" w:line="13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securityholders to sell a specified number of such securities at a stipulated price per security;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if available, rather than under this prospectus.</w:t>
      </w:r>
    </w:p>
    <w:p>
      <w:pPr>
        <w:spacing w:after="0" w:line="81"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0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all of the securities have been sold pursuant to this prospectus or Rule 144 under the Securities Act or any other rule of similar effect or</w:t>
      </w:r>
    </w:p>
    <w:p>
      <w:pPr>
        <w:ind w:left="1260" w:right="539"/>
        <w:spacing w:after="0" w:line="253" w:lineRule="auto"/>
        <w:tabs>
          <w:tab w:leader="none" w:pos="15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be sold pursuant to Rule 144 without volume or manner-of-sale restrictions, as determined by the Company.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or Public Warrants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or Public Warrants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O’Melveny &amp; Myers LLP has passed upon the validity of the securities offered by this prospectus and certain other legal matters related to this prospectus.</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of Dragonfly and its subsidiaries as of December 31, 2021 and December 31, 2020, and for the years then ended, included in this prospectus and in this Registration Statement, have been so included in reliance on the reports of BDO USA, LLP, an independent registered public accounting firm, given on the authority of said firms as experts in auditing and accounting.</w:t>
      </w:r>
    </w:p>
    <w:p>
      <w:pPr>
        <w:spacing w:after="0" w:line="9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financial statements of CNTQ as of December 31, 2021 and 2020, and for the year ended December 31, 2021 and for the period from June 23, 2020 (inception) through December 31, 2020 included in this prospectus have been audited by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an independent registered public accounting firm, as set forth in their report thereon, (which report expresses an unqualified opinion and includes an explanatory paragraph relating to a going concern) appearing elsewhere in this prospectus, and are included in reliance on such report given upon such firm as experts in auditing and accounting.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On October 7, 2022, the Audit Committee informed Withum, the Company’s independent registered public accounting firm prior to the Transactions, that Withum will be dismissed effective following the completion of the Company’s review for the nine month period ended September 30, 2022, which consists only of the pre-Transactions accounts of CNTQ.</w:t>
      </w:r>
    </w:p>
    <w:p>
      <w:pPr>
        <w:spacing w:after="0" w:line="11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report of Withum on CNTQ’s financial statements as of September 30, 2022,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spacing w:after="0" w:line="32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304(a)(1)(v) of Regulation S-K under the Exchange Act other than the previously disclosed material weakness over financial reporting.</w:t>
      </w:r>
    </w:p>
    <w:p>
      <w:pPr>
        <w:spacing w:after="0" w:line="124"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 Company provided Withum with a copy of the foregoing disclosures prior to the filing of this prospectus and requested that Withum furnish a letter addressed to the SEC, which is attached hereto as Exhibit 16.1, stating whether it agrees with such disclosures, and, if not, stating the respects in which is does not agree.</w:t>
      </w:r>
    </w:p>
    <w:p>
      <w:pPr>
        <w:spacing w:after="0" w:line="11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On the Closing Date, the Audit Committee approved the engagement of BDO as the Company’s independent registered public accounting firm to audit the Company’s consolidated financial statements for the year ending December 31, 2022. BDO served as the independent registered public accounting firm of Legacy Dragonfly prior to the Transactions, including the audit of the consolidated financial statements of Legacy Dragonfly for the fiscal year ending December 31, 2021. During the fiscal years ended December 31, 2020 and December 31, 2021, Legacy Dragonfly did not consult with BDO with respect to</w:t>
      </w:r>
    </w:p>
    <w:p>
      <w:pPr>
        <w:spacing w:after="0" w:line="5" w:lineRule="exact"/>
        <w:rPr>
          <w:sz w:val="20"/>
          <w:szCs w:val="20"/>
          <w:color w:val="auto"/>
        </w:rPr>
      </w:pPr>
    </w:p>
    <w:p>
      <w:pPr>
        <w:ind w:left="1260" w:right="459"/>
        <w:spacing w:after="0" w:line="250" w:lineRule="auto"/>
        <w:tabs>
          <w:tab w:leader="none" w:pos="14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accounting principles to a specified transaction, either completed or proposed, the type of audit opinion that might be rendered on Legacy Dragonfly’s financial statements, and neither a written report nor oral advice was provided to Legacy Dragonfly that BDO concluded was an important factor considered by BDO in reaching a decision as to any accounting, auditing or financial reporting issue, or</w:t>
      </w:r>
    </w:p>
    <w:p>
      <w:pPr>
        <w:spacing w:after="0" w:line="1"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that was the subject of a disagreement or a reportable event (each as defined above).</w:t>
      </w: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1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https://www.dragonflyenergy.com/</w:t>
      </w:r>
      <w:r>
        <w:rPr>
          <w:rFonts w:ascii="Times New Roman" w:cs="Times New Roman" w:eastAsia="Times New Roman" w:hAnsi="Times New Roman"/>
          <w:sz w:val="18"/>
          <w:szCs w:val="18"/>
          <w:color w:val="auto"/>
        </w:rPr>
        <w:t>.​ Through our website,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available, free of charge, annual, quarterly and current reports, 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Report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Balance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Sheets as of December 31, 2021 and December 31, 2020</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Statements of Operations for the year ended December 31, 2021 and for the period from June 23,</w:t>
      </w:r>
    </w:p>
    <w:p>
      <w:pPr>
        <w:spacing w:after="0" w:line="23" w:lineRule="exact"/>
        <w:rPr>
          <w:sz w:val="20"/>
          <w:szCs w:val="20"/>
          <w:color w:val="auto"/>
        </w:rPr>
      </w:pPr>
    </w:p>
    <w:p>
      <w:pPr>
        <w:ind w:left="1440" w:hanging="180"/>
        <w:spacing w:after="0"/>
        <w:tabs>
          <w:tab w:leader="none" w:pos="14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2020 (inception) through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Statements of Changes in Stockholders’ Equity (Deficit) for the year ended December 31, 2021 and</w:t>
      </w:r>
    </w:p>
    <w:p>
      <w:pPr>
        <w:spacing w:after="0" w:line="27" w:lineRule="exact"/>
        <w:rPr>
          <w:sz w:val="20"/>
          <w:szCs w:val="20"/>
          <w:color w:val="auto"/>
        </w:rPr>
      </w:pPr>
    </w:p>
    <w:p>
      <w:pPr>
        <w:ind w:left="1440" w:hanging="180"/>
        <w:spacing w:after="0"/>
        <w:tabs>
          <w:tab w:leader="none" w:pos="1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for the period from June 23, 2020 (inception) through December 31, 2020</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Statements of Cash Flows for the year ended December 31, 2021 and for the period from June 23,</w:t>
      </w:r>
    </w:p>
    <w:p>
      <w:pPr>
        <w:spacing w:after="0" w:line="27" w:lineRule="exact"/>
        <w:rPr>
          <w:sz w:val="20"/>
          <w:szCs w:val="20"/>
          <w:color w:val="auto"/>
        </w:rPr>
      </w:pPr>
    </w:p>
    <w:p>
      <w:pPr>
        <w:ind w:left="1440" w:hanging="180"/>
        <w:spacing w:after="0"/>
        <w:tabs>
          <w:tab w:leader="none" w:pos="1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2020 (inception) through December 31, 2020</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Financial Statements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Condensed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Balance Sheets as of September 30, 2022 (unaudited)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651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Statements of Operations for the nine months ended September 30, 2022</w:t>
      </w:r>
    </w:p>
    <w:p>
      <w:pPr>
        <w:spacing w:after="0" w:line="23" w:lineRule="exact"/>
        <w:rPr>
          <w:sz w:val="20"/>
          <w:szCs w:val="20"/>
          <w:color w:val="auto"/>
        </w:rPr>
      </w:pPr>
    </w:p>
    <w:p>
      <w:pPr>
        <w:ind w:left="1440" w:hanging="180"/>
        <w:spacing w:after="0"/>
        <w:tabs>
          <w:tab w:leader="none" w:pos="1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and 2021</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Statements of Changes in Stockholders’ (Deficit) Equity for the nine months</w:t>
      </w:r>
    </w:p>
    <w:p>
      <w:pPr>
        <w:spacing w:after="0" w:line="27" w:lineRule="exact"/>
        <w:rPr>
          <w:sz w:val="20"/>
          <w:szCs w:val="20"/>
          <w:color w:val="auto"/>
        </w:rPr>
      </w:pPr>
    </w:p>
    <w:p>
      <w:pPr>
        <w:ind w:left="1440" w:hanging="180"/>
        <w:spacing w:after="0"/>
        <w:tabs>
          <w:tab w:leader="none" w:pos="1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Unaudited Condensed Statements of Cash Flows for the nine months ended September 30, 2022</w:t>
      </w:r>
    </w:p>
    <w:p>
      <w:pPr>
        <w:spacing w:after="0" w:line="27" w:lineRule="exact"/>
        <w:rPr>
          <w:sz w:val="20"/>
          <w:szCs w:val="20"/>
          <w:color w:val="auto"/>
        </w:rPr>
      </w:pPr>
    </w:p>
    <w:p>
      <w:pPr>
        <w:ind w:left="1440" w:hanging="180"/>
        <w:spacing w:after="0"/>
        <w:tabs>
          <w:tab w:leader="none" w:pos="14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and 2021</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5203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2"/>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5"/>
              </w:rPr>
              <w:t>F-2</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F-3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F-4</w:t>
            </w:r>
            <w:r>
              <w:rPr>
                <w:rFonts w:ascii="Times New Roman" w:cs="Times New Roman" w:eastAsia="Times New Roman" w:hAnsi="Times New Roman"/>
                <w:sz w:val="18"/>
                <w:szCs w:val="18"/>
                <w:color w:val="auto"/>
              </w:rPr>
              <w:t>​</w:t>
            </w: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F-5</w:t>
            </w:r>
            <w:r>
              <w:rPr>
                <w:rFonts w:ascii="Times New Roman" w:cs="Times New Roman" w:eastAsia="Times New Roman" w:hAnsi="Times New Roman"/>
                <w:sz w:val="18"/>
                <w:szCs w:val="18"/>
                <w:color w:val="000000"/>
              </w:rPr>
              <w:t>​</w:t>
            </w: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F-22</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F-23</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F-24</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F-26</w:t>
      </w:r>
      <w:r>
        <w:rPr>
          <w:rFonts w:ascii="Times New Roman" w:cs="Times New Roman" w:eastAsia="Times New Roman" w:hAnsi="Times New Roman"/>
          <w:sz w:val="18"/>
          <w:szCs w:val="18"/>
          <w:color w:val="auto"/>
        </w:rPr>
        <w:t>​</w:t>
      </w:r>
    </w:p>
    <w:p>
      <w:pPr>
        <w:spacing w:after="0" w:line="585" w:lineRule="exact"/>
        <w:rPr>
          <w:sz w:val="20"/>
          <w:szCs w:val="20"/>
          <w:color w:val="auto"/>
        </w:rPr>
      </w:pPr>
    </w:p>
    <w:p>
      <w:pPr>
        <w:sectPr>
          <w:pgSz w:w="11900" w:h="16838" w:orient="portrait"/>
          <w:cols w:equalWidth="0" w:num="2">
            <w:col w:w="8780" w:space="160"/>
            <w:col w:w="9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Report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Balance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Sheets as of December 31, 2021 and December 31, 2020</w:t>
      </w:r>
    </w:p>
    <w:p>
      <w:pPr>
        <w:spacing w:after="0" w:line="63" w:lineRule="exact"/>
        <w:rPr>
          <w:sz w:val="20"/>
          <w:szCs w:val="20"/>
          <w:color w:val="auto"/>
        </w:rPr>
      </w:pPr>
    </w:p>
    <w:p>
      <w:pPr>
        <w:ind w:left="1260"/>
        <w:spacing w:after="0" w:line="284" w:lineRule="auto"/>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Operations for the years ended December 31, 2021 and December 31, 2020 </w:t>
      </w:r>
      <w:r>
        <w:rPr>
          <w:rFonts w:ascii="Times New Roman" w:cs="Times New Roman" w:eastAsia="Times New Roman" w:hAnsi="Times New Roman"/>
          <w:sz w:val="18"/>
          <w:szCs w:val="18"/>
          <w:u w:val="single" w:color="auto"/>
          <w:color w:val="0000EE"/>
        </w:rPr>
        <w:t>Statements of Changes in Stockholders’ Equity (Deficit) for the years ended December 31, 2021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-187325</wp:posOffset>
            </wp:positionV>
            <wp:extent cx="5212080" cy="3340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2080" cy="334010"/>
                    </a:xfrm>
                    <a:prstGeom prst="rect">
                      <a:avLst/>
                    </a:prstGeom>
                    <a:noFill/>
                  </pic:spPr>
                </pic:pic>
              </a:graphicData>
            </a:graphic>
          </wp:anchor>
        </w:drawing>
      </w:r>
    </w:p>
    <w:p>
      <w:pPr>
        <w:ind w:left="1440" w:hanging="180"/>
        <w:spacing w:after="0"/>
        <w:tabs>
          <w:tab w:leader="none" w:pos="14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December 31, 2020</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Cash Flows for the years ended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Financial Statements</w:t>
      </w:r>
    </w:p>
    <w:p>
      <w:pPr>
        <w:spacing w:after="0" w:line="63" w:lineRule="exact"/>
        <w:rPr>
          <w:sz w:val="20"/>
          <w:szCs w:val="20"/>
          <w:color w:val="auto"/>
        </w:rPr>
      </w:pPr>
    </w:p>
    <w:p>
      <w:pPr>
        <w:ind w:left="1260" w:right="420"/>
        <w:spacing w:after="0" w:line="284" w:lineRule="auto"/>
        <w:rPr>
          <w:sz w:val="20"/>
          <w:szCs w:val="20"/>
          <w:color w:val="auto"/>
        </w:rPr>
      </w:pPr>
      <w:r>
        <w:rPr>
          <w:rFonts w:ascii="Times New Roman" w:cs="Times New Roman" w:eastAsia="Times New Roman" w:hAnsi="Times New Roman"/>
          <w:sz w:val="18"/>
          <w:szCs w:val="18"/>
          <w:color w:val="0000EE"/>
        </w:rPr>
        <w:t>Condensed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Balance Sheets at September 30, 2022 and December 31, 2021 (unaudited) </w:t>
      </w:r>
      <w:r>
        <w:rPr>
          <w:rFonts w:ascii="Times New Roman" w:cs="Times New Roman" w:eastAsia="Times New Roman" w:hAnsi="Times New Roman"/>
          <w:sz w:val="18"/>
          <w:szCs w:val="18"/>
          <w:u w:val="single" w:color="auto"/>
          <w:color w:val="0000EE"/>
        </w:rPr>
        <w:t>Condensed Statements of Operations for the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-187325</wp:posOffset>
            </wp:positionV>
            <wp:extent cx="5212080" cy="3340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2080" cy="334010"/>
                    </a:xfrm>
                    <a:prstGeom prst="rect">
                      <a:avLst/>
                    </a:prstGeom>
                    <a:noFill/>
                  </pic:spPr>
                </pic:pic>
              </a:graphicData>
            </a:graphic>
          </wp:anchor>
        </w:drawing>
      </w:r>
    </w:p>
    <w:p>
      <w:pPr>
        <w:ind w:left="1440" w:hanging="180"/>
        <w:spacing w:after="0"/>
        <w:tabs>
          <w:tab w:leader="none" w:pos="14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(unaudited)</w:t>
      </w:r>
    </w:p>
    <w:p>
      <w:pPr>
        <w:spacing w:after="0" w:line="4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u w:val="single" w:color="auto"/>
          <w:color w:val="0000EE"/>
        </w:rPr>
        <w:t>Condensed Statements of Changes in Stockholders’ Equity for the Nine Months Ended</w:t>
      </w:r>
    </w:p>
    <w:p>
      <w:pPr>
        <w:spacing w:after="0" w:line="27" w:lineRule="exact"/>
        <w:rPr>
          <w:sz w:val="20"/>
          <w:szCs w:val="20"/>
          <w:color w:val="auto"/>
        </w:rPr>
      </w:pPr>
    </w:p>
    <w:p>
      <w:pPr>
        <w:ind w:left="1440" w:hanging="180"/>
        <w:spacing w:after="0"/>
        <w:tabs>
          <w:tab w:leader="none" w:pos="14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September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Statements of Cash Flows for the Nine Months Ended September 30, 2022 and 2021</w:t>
      </w:r>
    </w:p>
    <w:p>
      <w:pPr>
        <w:spacing w:after="0" w:line="27" w:lineRule="exact"/>
        <w:rPr>
          <w:sz w:val="20"/>
          <w:szCs w:val="20"/>
          <w:color w:val="auto"/>
        </w:rPr>
      </w:pPr>
    </w:p>
    <w:p>
      <w:pPr>
        <w:ind w:left="1440" w:hanging="180"/>
        <w:spacing w:after="0"/>
        <w:tabs>
          <w:tab w:leader="none" w:pos="14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(unaudited)</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19615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F-52</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F-74</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F-75</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F-76</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F-78</w:t>
      </w:r>
      <w:r>
        <w:rPr>
          <w:rFonts w:ascii="Times New Roman" w:cs="Times New Roman" w:eastAsia="Times New Roman" w:hAnsi="Times New Roman"/>
          <w:sz w:val="18"/>
          <w:szCs w:val="18"/>
          <w:color w:val="auto"/>
        </w:rPr>
        <w:t>​</w:t>
      </w:r>
    </w:p>
    <w:p>
      <w:pPr>
        <w:sectPr>
          <w:pgSz w:w="11900" w:h="16838" w:orient="portrait"/>
          <w:cols w:equalWidth="0" w:num="2">
            <w:col w:w="8860" w:space="100"/>
            <w:col w:w="91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balance sheets of Chardan NexTech Acquisition 2 Corp. (the “Company”) as of December 31, 2021 and 2020, the related statements of operations, changes in stockholders’ equity and cash flows for the year ended December 31, 2021 and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June 23, 2020 (inception) through December 31, 2020, in conformity with accounting principles generally accepted in the United States of America.</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23,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28, 2022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PCAOB ID Number 100</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0" w:type="dxa"/>
            <w:vAlign w:val="bottom"/>
          </w:tcPr>
          <w:p>
            <w:pPr>
              <w:spacing w:after="0"/>
              <w:rPr>
                <w:sz w:val="14"/>
                <w:szCs w:val="14"/>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vMerge w:val="continue"/>
            <w:shd w:val="clear" w:color="auto" w:fill="CCEEFF"/>
          </w:tcPr>
          <w:p>
            <w:pPr>
              <w:spacing w:after="0"/>
              <w:rPr>
                <w:sz w:val="21"/>
                <w:szCs w:val="21"/>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1"/>
                <w:szCs w:val="21"/>
                <w:color w:val="auto"/>
              </w:rPr>
            </w:pPr>
          </w:p>
        </w:tc>
        <w:tc>
          <w:tcPr>
            <w:tcW w:w="1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2"/>
                <w:szCs w:val="22"/>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799,808​​​</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​$25,000</w:t>
            </w:r>
          </w:p>
        </w:tc>
        <w:tc>
          <w:tcPr>
            <w:tcW w:w="120" w:type="dxa"/>
            <w:vAlign w:val="bottom"/>
            <w:tcBorders>
              <w:left w:val="single" w:sz="8" w:color="CCEEFF"/>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40" w:type="dxa"/>
            <w:vAlign w:val="bottom"/>
            <w:gridSpan w:val="3"/>
          </w:tcPr>
          <w:p>
            <w:pPr>
              <w:jc w:val="right"/>
              <w:ind w:right="48"/>
              <w:spacing w:after="0" w:line="269" w:lineRule="exact"/>
              <w:rPr>
                <w:sz w:val="20"/>
                <w:szCs w:val="20"/>
                <w:color w:val="auto"/>
              </w:rPr>
            </w:pPr>
            <w:r>
              <w:rPr>
                <w:rFonts w:ascii="Times New Roman" w:cs="Times New Roman" w:eastAsia="Times New Roman" w:hAnsi="Times New Roman"/>
                <w:sz w:val="17"/>
                <w:szCs w:val="17"/>
                <w:color w:val="auto"/>
              </w:rPr>
              <w:t>302,590</w:t>
            </w:r>
            <w:r>
              <w:rPr>
                <w:rFonts w:ascii="Times New Roman" w:cs="Times New Roman" w:eastAsia="Times New Roman" w:hAnsi="Times New Roman"/>
                <w:sz w:val="31"/>
                <w:szCs w:val="31"/>
                <w:color w:val="auto"/>
                <w:vertAlign w:val="subscript"/>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vMerge w:val="continue"/>
            <w:shd w:val="clear" w:color="auto" w:fill="CCEEFF"/>
          </w:tcPr>
          <w:p>
            <w:pPr>
              <w:spacing w:after="0"/>
              <w:rPr>
                <w:sz w:val="21"/>
                <w:szCs w:val="21"/>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1,102,398​​​</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​25,000</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360" w:type="dxa"/>
            <w:vAlign w:val="bottom"/>
            <w:gridSpan w:val="6"/>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​128,421,215</w:t>
            </w:r>
            <w:r>
              <w:rPr>
                <w:rFonts w:ascii="Times New Roman" w:cs="Times New Roman" w:eastAsia="Times New Roman" w:hAnsi="Times New Roman"/>
                <w:sz w:val="31"/>
                <w:szCs w:val="31"/>
                <w:color w:val="auto"/>
                <w:vertAlign w:val="subscript"/>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gridSpan w:val="6"/>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129,523,613</w:t>
            </w:r>
            <w:r>
              <w:rPr>
                <w:rFonts w:ascii="Times New Roman" w:cs="Times New Roman" w:eastAsia="Times New Roman" w:hAnsi="Times New Roman"/>
                <w:sz w:val="28"/>
                <w:szCs w:val="28"/>
                <w:b w:val="1"/>
                <w:bCs w:val="1"/>
                <w:color w:val="auto"/>
                <w:vertAlign w:val="subscript"/>
              </w:rPr>
              <w:t>​​​</w:t>
            </w:r>
          </w:p>
        </w:tc>
        <w:tc>
          <w:tcPr>
            <w:tcW w:w="60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25,000</w:t>
            </w:r>
          </w:p>
        </w:tc>
        <w:tc>
          <w:tcPr>
            <w:tcW w:w="120" w:type="dxa"/>
            <w:vAlign w:val="bottom"/>
            <w:tcBorders>
              <w:left w:val="single" w:sz="8" w:color="CCEEFF"/>
              <w:right w:val="single" w:sz="8" w:color="CCEEFF"/>
            </w:tcBorders>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LIABILITIES, COMMON STOCK SUBJECT TO POSSIBLE REDEMPTION</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spacing w:after="0"/>
              <w:rPr>
                <w:sz w:val="21"/>
                <w:szCs w:val="21"/>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1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16,862​​​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31,749​​​</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1,000</w:t>
            </w:r>
          </w:p>
        </w:tc>
        <w:tc>
          <w:tcPr>
            <w:tcW w:w="120" w:type="dxa"/>
            <w:vAlign w:val="bottom"/>
            <w:tcBorders>
              <w:left w:val="single" w:sz="8" w:color="CCEEFF"/>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40" w:type="dxa"/>
            <w:vAlign w:val="bottom"/>
            <w:gridSpan w:val="3"/>
          </w:tcPr>
          <w:p>
            <w:pPr>
              <w:jc w:val="right"/>
              <w:ind w:right="48"/>
              <w:spacing w:after="0" w:line="269" w:lineRule="exact"/>
              <w:rPr>
                <w:sz w:val="20"/>
                <w:szCs w:val="20"/>
                <w:color w:val="auto"/>
              </w:rPr>
            </w:pPr>
            <w:r>
              <w:rPr>
                <w:rFonts w:ascii="Times New Roman" w:cs="Times New Roman" w:eastAsia="Times New Roman" w:hAnsi="Times New Roman"/>
                <w:sz w:val="17"/>
                <w:szCs w:val="17"/>
                <w:color w:val="auto"/>
              </w:rPr>
              <w:t>65,600</w:t>
            </w:r>
            <w:r>
              <w:rPr>
                <w:rFonts w:ascii="Times New Roman" w:cs="Times New Roman" w:eastAsia="Times New Roman" w:hAnsi="Times New Roman"/>
                <w:sz w:val="31"/>
                <w:szCs w:val="31"/>
                <w:color w:val="auto"/>
                <w:vertAlign w:val="subscript"/>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vMerge w:val="continue"/>
            <w:shd w:val="clear" w:color="auto" w:fill="CCEEFF"/>
          </w:tcPr>
          <w:p>
            <w:pPr>
              <w:spacing w:after="0"/>
              <w:rPr>
                <w:sz w:val="21"/>
                <w:szCs w:val="21"/>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114,211​​​</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1,000</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40" w:type="dxa"/>
            <w:vAlign w:val="bottom"/>
            <w:gridSpan w:val="3"/>
          </w:tcPr>
          <w:p>
            <w:pPr>
              <w:jc w:val="right"/>
              <w:ind w:right="48"/>
              <w:spacing w:after="0" w:line="269" w:lineRule="exact"/>
              <w:rPr>
                <w:sz w:val="20"/>
                <w:szCs w:val="20"/>
                <w:color w:val="auto"/>
              </w:rPr>
            </w:pPr>
            <w:r>
              <w:rPr>
                <w:rFonts w:ascii="Times New Roman" w:cs="Times New Roman" w:eastAsia="Times New Roman" w:hAnsi="Times New Roman"/>
                <w:sz w:val="17"/>
                <w:szCs w:val="17"/>
                <w:color w:val="auto"/>
              </w:rPr>
              <w:t>2,036,258</w:t>
            </w:r>
            <w:r>
              <w:rPr>
                <w:rFonts w:ascii="Times New Roman" w:cs="Times New Roman" w:eastAsia="Times New Roman" w:hAnsi="Times New Roman"/>
                <w:sz w:val="31"/>
                <w:szCs w:val="31"/>
                <w:color w:val="auto"/>
                <w:vertAlign w:val="subscript"/>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1040" w:type="dxa"/>
            <w:vAlign w:val="bottom"/>
            <w:gridSpan w:val="3"/>
            <w:shd w:val="clear" w:color="auto" w:fill="CCEEFF"/>
          </w:tcPr>
          <w:p>
            <w:pPr>
              <w:jc w:val="right"/>
              <w:ind w:right="48"/>
              <w:spacing w:after="0" w:line="264" w:lineRule="exact"/>
              <w:rPr>
                <w:sz w:val="20"/>
                <w:szCs w:val="20"/>
                <w:color w:val="auto"/>
              </w:rPr>
            </w:pPr>
            <w:r>
              <w:rPr>
                <w:rFonts w:ascii="Times New Roman" w:cs="Times New Roman" w:eastAsia="Times New Roman" w:hAnsi="Times New Roman"/>
                <w:sz w:val="16"/>
                <w:szCs w:val="16"/>
                <w:b w:val="1"/>
                <w:bCs w:val="1"/>
                <w:color w:val="auto"/>
              </w:rPr>
              <w:t>2,150,469</w:t>
            </w:r>
            <w:r>
              <w:rPr>
                <w:rFonts w:ascii="Times New Roman" w:cs="Times New Roman" w:eastAsia="Times New Roman" w:hAnsi="Times New Roman"/>
                <w:sz w:val="30"/>
                <w:szCs w:val="30"/>
                <w:b w:val="1"/>
                <w:bCs w:val="1"/>
                <w:color w:val="auto"/>
                <w:vertAlign w:val="subscript"/>
              </w:rPr>
              <w:t>​​​</w:t>
            </w:r>
          </w:p>
        </w:tc>
        <w:tc>
          <w:tcPr>
            <w:tcW w:w="60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1,000</w:t>
            </w:r>
          </w:p>
        </w:tc>
        <w:tc>
          <w:tcPr>
            <w:tcW w:w="120" w:type="dxa"/>
            <w:vAlign w:val="bottom"/>
            <w:tcBorders>
              <w:left w:val="single" w:sz="8" w:color="CCEEFF"/>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spacing w:after="0"/>
              <w:rPr>
                <w:sz w:val="21"/>
                <w:szCs w:val="21"/>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$0.0001 par value; 12,650,000 and 0 shares at redemption value</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$10.15 at December 31, 2021 and December 31, 2020, respectively</w:t>
            </w:r>
          </w:p>
        </w:tc>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​128,397,500​​​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spacing w:after="0"/>
              <w:rPr>
                <w:sz w:val="23"/>
                <w:szCs w:val="23"/>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tcBorders>
              <w:left w:val="single" w:sz="8" w:color="CCEEFF"/>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2021 and December 31, 2020, respectively</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 50,000,000 shares authorized; 3,162,500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(excluding 12,650,000 and 12,650,000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 at December 31, 2021 and 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 respectively</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​24,683</w:t>
            </w:r>
          </w:p>
        </w:tc>
        <w:tc>
          <w:tcPr>
            <w:tcW w:w="120" w:type="dxa"/>
            <w:vAlign w:val="bottom"/>
            <w:tcBorders>
              <w:left w:val="single" w:sz="8" w:color="CCEEFF"/>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08"/>
              <w:spacing w:after="0"/>
              <w:rPr>
                <w:sz w:val="20"/>
                <w:szCs w:val="20"/>
                <w:color w:val="auto"/>
              </w:rPr>
            </w:pPr>
            <w:r>
              <w:rPr>
                <w:rFonts w:ascii="Times New Roman" w:cs="Times New Roman" w:eastAsia="Times New Roman" w:hAnsi="Times New Roman"/>
                <w:sz w:val="18"/>
                <w:szCs w:val="18"/>
                <w:color w:val="auto"/>
              </w:rPr>
              <w:t>​ (1,024,673)</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gridSpan w:val="2"/>
          </w:tcPr>
          <w:p>
            <w:pPr>
              <w:jc w:val="right"/>
              <w:ind w:right="48"/>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shd w:val="clear" w:color="auto" w:fill="CCEEFF"/>
          </w:tcPr>
          <w:p>
            <w:pPr>
              <w:spacing w:after="0"/>
              <w:rPr>
                <w:sz w:val="18"/>
                <w:szCs w:val="18"/>
                <w:color w:val="auto"/>
              </w:rPr>
            </w:pP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(1,024,356)</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​24,000</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6120" w:type="dxa"/>
            <w:vAlign w:val="bottom"/>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ind w:right="48"/>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 w:type="dxa"/>
            <w:vAlign w:val="bottom"/>
            <w:tcBorders>
              <w:left w:val="single" w:sz="8" w:color="CCEEFF"/>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Total Liabilities, Common Stock Subject to Possible Redemption and Stockholders’</w:t>
            </w:r>
          </w:p>
        </w:tc>
        <w:tc>
          <w:tcPr>
            <w:tcW w:w="1360" w:type="dxa"/>
            <w:vAlign w:val="bottom"/>
            <w:gridSpan w:val="6"/>
            <w:vMerge w:val="restart"/>
          </w:tcPr>
          <w:p>
            <w:pPr>
              <w:ind w:left="2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129,523,613</w:t>
            </w:r>
            <w:r>
              <w:rPr>
                <w:rFonts w:ascii="Times New Roman" w:cs="Times New Roman" w:eastAsia="Times New Roman" w:hAnsi="Times New Roman"/>
                <w:sz w:val="35"/>
                <w:szCs w:val="35"/>
                <w:b w:val="1"/>
                <w:bCs w:val="1"/>
                <w:color w:val="auto"/>
                <w:vertAlign w:val="subscript"/>
              </w:rPr>
              <w:t>​​​</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35"/>
                <w:szCs w:val="35"/>
                <w:b w:val="1"/>
                <w:bCs w:val="1"/>
                <w:color w:val="auto"/>
                <w:w w:val="95"/>
                <w:vertAlign w:val="subscript"/>
              </w:rPr>
              <w:t>​</w:t>
            </w: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25,000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1360" w:type="dxa"/>
            <w:vAlign w:val="bottom"/>
            <w:gridSpan w:val="6"/>
            <w:vMerge w:val="continue"/>
          </w:tcPr>
          <w:p>
            <w:pPr>
              <w:spacing w:after="0"/>
              <w:rPr>
                <w:sz w:val="21"/>
                <w:szCs w:val="21"/>
                <w:color w:val="auto"/>
              </w:rPr>
            </w:pPr>
          </w:p>
        </w:tc>
        <w:tc>
          <w:tcPr>
            <w:tcW w:w="6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-539115</wp:posOffset>
            </wp:positionV>
            <wp:extent cx="52120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-2605405</wp:posOffset>
            </wp:positionV>
            <wp:extent cx="52120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-2948305</wp:posOffset>
            </wp:positionV>
            <wp:extent cx="52120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-4097020</wp:posOffset>
            </wp:positionV>
            <wp:extent cx="52120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-4439920</wp:posOffset>
            </wp:positionV>
            <wp:extent cx="52120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-5108575</wp:posOffset>
            </wp:positionV>
            <wp:extent cx="46716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For the period from</w:t>
            </w:r>
          </w:p>
        </w:tc>
        <w:tc>
          <w:tcPr>
            <w:tcW w:w="60" w:type="dxa"/>
            <w:vAlign w:val="bottom"/>
          </w:tcPr>
          <w:p>
            <w:pPr>
              <w:spacing w:after="0"/>
              <w:rPr>
                <w:sz w:val="14"/>
                <w:szCs w:val="14"/>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June 23, 2020</w:t>
            </w:r>
          </w:p>
        </w:tc>
        <w:tc>
          <w:tcPr>
            <w:tcW w:w="60" w:type="dxa"/>
            <w:vAlign w:val="bottom"/>
          </w:tcPr>
          <w:p>
            <w:pPr>
              <w:spacing w:after="0"/>
              <w:rPr>
                <w:sz w:val="14"/>
                <w:szCs w:val="14"/>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2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(inception) through</w:t>
            </w:r>
          </w:p>
        </w:tc>
        <w:tc>
          <w:tcPr>
            <w:tcW w:w="60" w:type="dxa"/>
            <w:vAlign w:val="bottom"/>
          </w:tcPr>
          <w:p>
            <w:pPr>
              <w:spacing w:after="0"/>
              <w:rPr>
                <w:sz w:val="14"/>
                <w:szCs w:val="14"/>
                <w:color w:val="auto"/>
              </w:rPr>
            </w:pPr>
          </w:p>
        </w:tc>
      </w:tr>
      <w:tr>
        <w:trPr>
          <w:trHeight w:val="214"/>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gridSpan w:val="11"/>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2021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2020 </w:t>
            </w:r>
            <w:r>
              <w:rPr>
                <w:rFonts w:ascii="Times New Roman" w:cs="Times New Roman" w:eastAsia="Times New Roman" w:hAnsi="Times New Roman"/>
                <w:sz w:val="24"/>
                <w:szCs w:val="24"/>
                <w:b w:val="1"/>
                <w:bCs w:val="1"/>
                <w:color w:val="auto"/>
                <w:vertAlign w:val="subscript"/>
              </w:rPr>
              <w:t>​</w:t>
            </w:r>
          </w:p>
        </w:tc>
      </w:tr>
      <w:tr>
        <w:trPr>
          <w:trHeight w:val="20"/>
        </w:trPr>
        <w:tc>
          <w:tcPr>
            <w:tcW w:w="5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292,074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2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(357,674) ​​ ​</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(18,797) ​​ ​</w:t>
            </w:r>
          </w:p>
        </w:tc>
        <w:tc>
          <w:tcPr>
            <w:tcW w:w="16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​(1,253,928)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1020" w:type="dxa"/>
            <w:vAlign w:val="bottom"/>
            <w:tcBorders>
              <w:right w:val="single" w:sz="8" w:color="CCEEFF"/>
            </w:tcBorders>
            <w:gridSpan w:val="3"/>
            <w:shd w:val="clear" w:color="auto" w:fill="CCEEFF"/>
          </w:tcPr>
          <w:p>
            <w:pPr>
              <w:jc w:val="right"/>
              <w:ind w:righ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​3,517,171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1020" w:type="dxa"/>
            <w:vAlign w:val="bottom"/>
            <w:gridSpan w:val="3"/>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$ 1,910,487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28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1020" w:type="dxa"/>
            <w:vAlign w:val="bottom"/>
            <w:tcBorders>
              <w:right w:val="single" w:sz="8" w:color="CCEEFF"/>
            </w:tcBorders>
            <w:gridSpan w:val="3"/>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​7,732,021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3"/>
            <w:shd w:val="clear" w:color="auto" w:fill="CCEEFF"/>
          </w:tcPr>
          <w:p>
            <w:pPr>
              <w:jc w:val="right"/>
              <w:ind w:righ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​2,750,000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6"/>
                <w:szCs w:val="26"/>
                <w:b w:val="1"/>
                <w:bCs w:val="1"/>
                <w:color w:val="auto"/>
                <w:vertAlign w:val="superscript"/>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0"/>
                <w:szCs w:val="20"/>
                <w:color w:val="auto"/>
              </w:rPr>
            </w:pPr>
          </w:p>
        </w:tc>
        <w:tc>
          <w:tcPr>
            <w:tcW w:w="280" w:type="dxa"/>
            <w:vAlign w:val="bottom"/>
          </w:tcPr>
          <w:p>
            <w:pPr>
              <w:spacing w:after="0" w:line="23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6"/>
                <w:szCs w:val="26"/>
                <w:b w:val="1"/>
                <w:bCs w:val="1"/>
                <w:color w:val="auto"/>
                <w:vertAlign w:val="superscript"/>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1020" w:type="dxa"/>
            <w:vAlign w:val="bottom"/>
            <w:tcBorders>
              <w:right w:val="single" w:sz="8" w:color="CCEEFF"/>
            </w:tcBorders>
            <w:gridSpan w:val="3"/>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​7,991,952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3"/>
            <w:shd w:val="clear" w:color="auto" w:fill="CCEEFF"/>
          </w:tcPr>
          <w:p>
            <w:pPr>
              <w:jc w:val="right"/>
              <w:ind w:righ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​2,750,000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6"/>
                <w:szCs w:val="26"/>
                <w:b w:val="1"/>
                <w:bCs w:val="1"/>
                <w:color w:val="auto"/>
                <w:vertAlign w:val="superscript"/>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0"/>
                <w:szCs w:val="20"/>
                <w:color w:val="auto"/>
              </w:rPr>
            </w:pPr>
          </w:p>
        </w:tc>
        <w:tc>
          <w:tcPr>
            <w:tcW w:w="280" w:type="dxa"/>
            <w:vAlign w:val="bottom"/>
          </w:tcPr>
          <w:p>
            <w:pPr>
              <w:spacing w:after="0" w:line="231"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6"/>
                <w:szCs w:val="26"/>
                <w:b w:val="1"/>
                <w:bCs w:val="1"/>
                <w:color w:val="auto"/>
                <w:vertAlign w:val="superscript"/>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-1833880</wp:posOffset>
            </wp:positionV>
            <wp:extent cx="1200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-1833880</wp:posOffset>
            </wp:positionV>
            <wp:extent cx="45516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44405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31" w:lineRule="exact"/>
        <w:rPr>
          <w:sz w:val="20"/>
          <w:szCs w:val="20"/>
          <w:color w:val="auto"/>
        </w:rPr>
      </w:pPr>
    </w:p>
    <w:p>
      <w:pPr>
        <w:jc w:val="center"/>
        <w:ind w:left="1780" w:right="120"/>
        <w:spacing w:after="0" w:line="260" w:lineRule="auto"/>
        <w:rPr>
          <w:sz w:val="20"/>
          <w:szCs w:val="20"/>
          <w:color w:val="auto"/>
        </w:rPr>
      </w:pPr>
      <w:r>
        <w:rPr>
          <w:rFonts w:ascii="Times New Roman" w:cs="Times New Roman" w:eastAsia="Times New Roman" w:hAnsi="Times New Roman"/>
          <w:sz w:val="18"/>
          <w:szCs w:val="18"/>
          <w:b w:val="1"/>
          <w:bCs w:val="1"/>
          <w:color w:val="auto"/>
        </w:rPr>
        <w:t>FOR THE YEAR ENDED DECEMBER 31, 2021 AND THE PERIOD FROM JUNE 23, 2020 (INCEPTION) THROUGH DECEMBER 31, 2020</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7"/>
                <w:szCs w:val="7"/>
                <w:color w:val="auto"/>
              </w:rPr>
            </w:pPr>
          </w:p>
        </w:tc>
        <w:tc>
          <w:tcPr>
            <w:tcW w:w="1020" w:type="dxa"/>
            <w:vAlign w:val="bottom"/>
            <w:gridSpan w:val="3"/>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480" w:type="dxa"/>
            <w:vAlign w:val="bottom"/>
            <w:gridSpan w:val="5"/>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6"/>
                <w:szCs w:val="26"/>
                <w:b w:val="1"/>
                <w:bCs w:val="1"/>
                <w:color w:val="auto"/>
                <w:vertAlign w:val="subscript"/>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Equity (Deficit)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23, 2020 (inception)</w:t>
            </w:r>
          </w:p>
        </w:tc>
        <w:tc>
          <w:tcPr>
            <w:tcW w:w="4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vMerge w:val="continue"/>
            <w:shd w:val="clear" w:color="auto" w:fill="CCEEFF"/>
          </w:tcPr>
          <w:p>
            <w:pPr>
              <w:spacing w:after="0"/>
              <w:rPr>
                <w:sz w:val="21"/>
                <w:szCs w:val="21"/>
                <w:color w:val="auto"/>
              </w:rPr>
            </w:pP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5948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ind w:left="1260"/>
        <w:spacing w:after="0" w:line="199" w:lineRule="auto"/>
        <w:rPr>
          <w:sz w:val="20"/>
          <w:szCs w:val="20"/>
          <w:color w:val="auto"/>
        </w:rPr>
      </w:pPr>
      <w:r>
        <w:rPr>
          <w:rFonts w:ascii="Times New Roman" w:cs="Times New Roman" w:eastAsia="Times New Roman" w:hAnsi="Times New Roman"/>
          <w:sz w:val="18"/>
          <w:szCs w:val="18"/>
          <w:color w:val="auto"/>
        </w:rPr>
        <w:t>Issuance of common stock to Sponsor</w:t>
      </w:r>
      <w:r>
        <w:rPr>
          <w:rFonts w:ascii="Times New Roman" w:cs="Times New Roman" w:eastAsia="Times New Roman" w:hAnsi="Times New Roman"/>
          <w:sz w:val="23"/>
          <w:szCs w:val="23"/>
          <w:color w:val="auto"/>
          <w:vertAlign w:val="superscript"/>
        </w:rPr>
        <w:t>(1)</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(2)</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loss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p>
      <w:pPr>
        <w:spacing w:after="0" w:line="40" w:lineRule="exact"/>
        <w:rPr>
          <w:sz w:val="20"/>
          <w:szCs w:val="20"/>
          <w:color w:val="auto"/>
        </w:rPr>
      </w:pPr>
    </w:p>
    <w:p>
      <w:pPr>
        <w:jc w:val="both"/>
        <w:ind w:left="1440" w:hanging="179"/>
        <w:spacing w:after="0" w:line="266" w:lineRule="auto"/>
        <w:rPr>
          <w:sz w:val="20"/>
          <w:szCs w:val="20"/>
          <w:color w:val="auto"/>
        </w:rPr>
      </w:pPr>
      <w:r>
        <w:rPr>
          <w:rFonts w:ascii="Times New Roman" w:cs="Times New Roman" w:eastAsia="Times New Roman" w:hAnsi="Times New Roman"/>
          <w:sz w:val="18"/>
          <w:szCs w:val="18"/>
          <w:color w:val="auto"/>
        </w:rPr>
        <w:t>Proceeds from Initial Public Offering Costs allocated to Public Warrants (net of offering costs)</w:t>
      </w:r>
    </w:p>
    <w:p>
      <w:pPr>
        <w:ind w:left="1440" w:right="540" w:hanging="179"/>
        <w:spacing w:after="0" w:line="281" w:lineRule="auto"/>
        <w:rPr>
          <w:sz w:val="20"/>
          <w:szCs w:val="20"/>
          <w:color w:val="auto"/>
        </w:rPr>
      </w:pPr>
      <w:r>
        <w:rPr>
          <w:rFonts w:ascii="Times New Roman" w:cs="Times New Roman" w:eastAsia="Times New Roman" w:hAnsi="Times New Roman"/>
          <w:sz w:val="18"/>
          <w:szCs w:val="18"/>
          <w:color w:val="auto"/>
        </w:rPr>
        <w:t>Accretion of common stock to redemption amount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114300</wp:posOffset>
            </wp:positionV>
            <wp:extent cx="12344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3,162,500​​ ​</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​317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3"/>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400" w:type="dxa"/>
            <w:vAlign w:val="bottom"/>
            <w:gridSpan w:val="2"/>
          </w:tcPr>
          <w:p>
            <w:pPr>
              <w:jc w:val="right"/>
              <w:ind w:right="170"/>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3,162,500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24,683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35"/>
        </w:trPr>
        <w:tc>
          <w:tcPr>
            <w:tcW w:w="120" w:type="dxa"/>
            <w:vAlign w:val="bottom"/>
            <w:vMerge w:val="continue"/>
          </w:tcPr>
          <w:p>
            <w:pPr>
              <w:spacing w:after="0"/>
              <w:rPr>
                <w:sz w:val="20"/>
                <w:szCs w:val="20"/>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07"/>
        </w:trPr>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​15,052,646​​</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​15,052,646​</w:t>
            </w:r>
          </w:p>
        </w:tc>
        <w:tc>
          <w:tcPr>
            <w:tcW w:w="0" w:type="dxa"/>
            <w:vAlign w:val="bottom"/>
          </w:tcPr>
          <w:p>
            <w:pPr>
              <w:spacing w:after="0"/>
              <w:rPr>
                <w:sz w:val="1"/>
                <w:szCs w:val="1"/>
                <w:color w:val="auto"/>
              </w:rPr>
            </w:pPr>
          </w:p>
        </w:tc>
      </w:tr>
      <w:tr>
        <w:trPr>
          <w:trHeight w:val="473"/>
        </w:trPr>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 —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​(15,077,329​​)</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​(2,934,160​​)</w:t>
            </w: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​(18,011,489​)</w:t>
            </w:r>
          </w:p>
        </w:tc>
        <w:tc>
          <w:tcPr>
            <w:tcW w:w="0" w:type="dxa"/>
            <w:vAlign w:val="bottom"/>
          </w:tcPr>
          <w:p>
            <w:pPr>
              <w:spacing w:after="0"/>
              <w:rPr>
                <w:sz w:val="1"/>
                <w:szCs w:val="1"/>
                <w:color w:val="auto"/>
              </w:rPr>
            </w:pPr>
          </w:p>
        </w:tc>
      </w:tr>
      <w:tr>
        <w:trPr>
          <w:trHeight w:val="270"/>
        </w:trPr>
        <w:tc>
          <w:tcPr>
            <w:tcW w:w="520" w:type="dxa"/>
            <w:vAlign w:val="bottom"/>
            <w:gridSpan w:val="3"/>
          </w:tcPr>
          <w:p>
            <w:pPr>
              <w:jc w:val="right"/>
              <w:ind w:right="15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2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760" w:type="dxa"/>
            <w:vAlign w:val="bottom"/>
            <w:gridSpan w:val="5"/>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1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​1,910,487</w:t>
            </w:r>
            <w:r>
              <w:rPr>
                <w:rFonts w:ascii="Times New Roman" w:cs="Times New Roman" w:eastAsia="Times New Roman" w:hAnsi="Times New Roman"/>
                <w:sz w:val="31"/>
                <w:szCs w:val="31"/>
                <w:color w:val="auto"/>
                <w:vertAlign w:val="subscript"/>
              </w:rPr>
              <w:t>​​</w:t>
            </w:r>
          </w:p>
        </w:tc>
        <w:tc>
          <w:tcPr>
            <w:tcW w:w="28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2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1,910,487</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$317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4"/>
          </w:tcPr>
          <w:p>
            <w:pPr>
              <w:jc w:val="right"/>
              <w:ind w:right="31"/>
              <w:spacing w:after="0" w:line="196" w:lineRule="exact"/>
              <w:rPr>
                <w:sz w:val="20"/>
                <w:szCs w:val="20"/>
                <w:color w:val="auto"/>
              </w:rPr>
            </w:pPr>
            <w:r>
              <w:rPr>
                <w:rFonts w:ascii="Times New Roman" w:cs="Times New Roman" w:eastAsia="Times New Roman" w:hAnsi="Times New Roman"/>
                <w:sz w:val="18"/>
                <w:szCs w:val="18"/>
                <w:b w:val="1"/>
                <w:bCs w:val="1"/>
                <w:color w:val="auto"/>
              </w:rPr>
              <w:t>$(1,024,673)</w:t>
            </w:r>
          </w:p>
        </w:tc>
        <w:tc>
          <w:tcPr>
            <w:tcW w:w="110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(1,024,356)</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4"/>
                <w:szCs w:val="4"/>
                <w:b w:val="1"/>
                <w:bCs w:val="1"/>
                <w:color w:val="auto"/>
              </w:rPr>
              <w:t>​​</w:t>
            </w: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b w:val="1"/>
                <w:bCs w:val="1"/>
                <w:color w:val="auto"/>
              </w:rPr>
              <w:t>​</w:t>
            </w:r>
          </w:p>
        </w:tc>
        <w:tc>
          <w:tcPr>
            <w:tcW w:w="3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b w:val="1"/>
                <w:bCs w:val="1"/>
                <w:color w:val="auto"/>
              </w:rPr>
              <w:t>​​</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b w:val="1"/>
                <w:bCs w:val="1"/>
                <w:color w:val="auto"/>
              </w:rPr>
              <w:t>​​</w:t>
            </w: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4"/>
                <w:szCs w:val="4"/>
                <w:b w:val="1"/>
                <w:bCs w:val="1"/>
                <w:color w:val="auto"/>
              </w:rPr>
              <w:t>​​</w:t>
            </w: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-1122045</wp:posOffset>
            </wp:positionV>
            <wp:extent cx="5212080" cy="436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212080" cy="43688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-385445</wp:posOffset>
            </wp:positionV>
            <wp:extent cx="5212080"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-1464945</wp:posOffset>
            </wp:positionV>
            <wp:extent cx="5212080"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220"/>
            <w:col w:w="5579"/>
          </w:cols>
          <w:pgMar w:left="580" w:top="97" w:right="1440" w:bottom="1440" w:gutter="0" w:footer="0" w:header="0"/>
          <w:type w:val="continuous"/>
        </w:sectPr>
      </w:pPr>
    </w:p>
    <w:p>
      <w:pPr>
        <w:spacing w:after="0" w:line="38" w:lineRule="exact"/>
        <w:rPr>
          <w:sz w:val="20"/>
          <w:szCs w:val="20"/>
          <w:color w:val="auto"/>
        </w:rPr>
      </w:pPr>
    </w:p>
    <w:p>
      <w:pPr>
        <w:ind w:left="1620" w:right="519" w:hanging="360"/>
        <w:spacing w:after="0" w:line="266"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412,500 shares of common stock subject to forfeiture if the over-allotment option is not exercised in full or in part by the underwriter. On August 18, 2021, the underwriters’ exercised the over-allotment option in full, thus these shares are no longer subject to forfeiture (see Note 6).</w:t>
      </w:r>
    </w:p>
    <w:p>
      <w:pPr>
        <w:spacing w:after="0" w:line="27" w:lineRule="exact"/>
        <w:rPr>
          <w:rFonts w:ascii="Times New Roman" w:cs="Times New Roman" w:eastAsia="Times New Roman" w:hAnsi="Times New Roman"/>
          <w:sz w:val="18"/>
          <w:szCs w:val="18"/>
          <w:color w:val="auto"/>
        </w:rPr>
      </w:pPr>
    </w:p>
    <w:p>
      <w:pPr>
        <w:ind w:left="1620" w:right="699" w:hanging="360"/>
        <w:spacing w:after="0" w:line="261"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Period from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23,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1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Through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2021</w:t>
            </w:r>
          </w:p>
        </w:tc>
        <w:tc>
          <w:tcPr>
            <w:tcW w:w="146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2020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vMerge w:val="continue"/>
            <w:shd w:val="clear" w:color="auto" w:fill="CCEEFF"/>
          </w:tcPr>
          <w:p>
            <w:pPr>
              <w:spacing w:after="0"/>
              <w:rPr>
                <w:sz w:val="21"/>
                <w:szCs w:val="21"/>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9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1,910,487 ​​ ​</w:t>
            </w:r>
          </w:p>
        </w:tc>
        <w:tc>
          <w:tcPr>
            <w:tcW w:w="12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w:t>
            </w: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1,253,928 ​​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2"/>
                <w:szCs w:val="22"/>
                <w:color w:val="auto"/>
              </w:rPr>
            </w:pPr>
          </w:p>
        </w:tc>
        <w:tc>
          <w:tcPr>
            <w:tcW w:w="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(302,590)​​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46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vMerge w:val="continue"/>
            <w:shd w:val="clear" w:color="auto" w:fill="CCEEFF"/>
          </w:tcPr>
          <w:p>
            <w:pPr>
              <w:spacing w:after="0"/>
              <w:rPr>
                <w:sz w:val="22"/>
                <w:szCs w:val="22"/>
                <w:color w:val="auto"/>
              </w:rPr>
            </w:pPr>
          </w:p>
        </w:tc>
        <w:tc>
          <w:tcPr>
            <w:tcW w:w="46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perscript"/>
              </w:rPr>
              <w:t>​</w:t>
            </w:r>
          </w:p>
        </w:tc>
        <w:tc>
          <w:tcPr>
            <w:tcW w:w="110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(547,052)</w:t>
            </w:r>
            <w:r>
              <w:rPr>
                <w:rFonts w:ascii="Times New Roman" w:cs="Times New Roman" w:eastAsia="Times New Roman" w:hAnsi="Times New Roman"/>
                <w:sz w:val="30"/>
                <w:szCs w:val="30"/>
                <w:color w:val="auto"/>
                <w:vertAlign w:val="subscript"/>
              </w:rPr>
              <w:t>​​ ​</w:t>
            </w:r>
          </w:p>
        </w:tc>
        <w:tc>
          <w:tcPr>
            <w:tcW w:w="460" w:type="dxa"/>
            <w:vAlign w:val="bottom"/>
            <w:gridSpan w:val="2"/>
            <w:shd w:val="clear" w:color="auto" w:fill="CCEEFF"/>
          </w:tcPr>
          <w:p>
            <w:pPr>
              <w:ind w:left="30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9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1"/>
                <w:szCs w:val="21"/>
                <w:color w:val="auto"/>
              </w:rPr>
            </w:pPr>
          </w:p>
        </w:tc>
        <w:tc>
          <w:tcPr>
            <w:tcW w:w="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56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​(128,397,500)</w:t>
            </w:r>
            <w:r>
              <w:rPr>
                <w:rFonts w:ascii="Times New Roman" w:cs="Times New Roman" w:eastAsia="Times New Roman" w:hAnsi="Times New Roman"/>
                <w:sz w:val="31"/>
                <w:szCs w:val="31"/>
                <w:color w:val="auto"/>
                <w:vertAlign w:val="subscript"/>
              </w:rPr>
              <w:t>​​ ​</w:t>
            </w:r>
          </w:p>
        </w:tc>
        <w:tc>
          <w:tcPr>
            <w:tcW w:w="460" w:type="dxa"/>
            <w:vAlign w:val="bottom"/>
            <w:gridSpan w:val="2"/>
            <w:shd w:val="clear" w:color="auto" w:fill="CCEEFF"/>
          </w:tcPr>
          <w:p>
            <w:pPr>
              <w:ind w:left="3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​(128,397,500)</w:t>
            </w:r>
            <w:r>
              <w:rPr>
                <w:rFonts w:ascii="Times New Roman" w:cs="Times New Roman" w:eastAsia="Times New Roman" w:hAnsi="Times New Roman"/>
                <w:sz w:val="30"/>
                <w:szCs w:val="30"/>
                <w:color w:val="auto"/>
                <w:vertAlign w:val="subscript"/>
              </w:rPr>
              <w:t>​​ ​</w:t>
            </w:r>
          </w:p>
        </w:tc>
        <w:tc>
          <w:tcPr>
            <w:tcW w:w="460" w:type="dxa"/>
            <w:vAlign w:val="bottom"/>
            <w:gridSpan w:val="2"/>
          </w:tcPr>
          <w:p>
            <w:pPr>
              <w:ind w:left="3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vMerge w:val="continue"/>
            <w:shd w:val="clear" w:color="auto" w:fill="CCEEFF"/>
          </w:tcPr>
          <w:p>
            <w:pPr>
              <w:spacing w:after="0"/>
              <w:rPr>
                <w:sz w:val="21"/>
                <w:szCs w:val="21"/>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9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 ​ ​ ​ ​ 126,000,000 ​​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Founder Shares to Sponsor</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22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​25,000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4,299,500 ​​ ​</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460" w:type="dxa"/>
            <w:vAlign w:val="bottom"/>
            <w:gridSpan w:val="2"/>
            <w:shd w:val="clear" w:color="auto" w:fill="CCEEFF"/>
          </w:tcPr>
          <w:p>
            <w:pPr>
              <w:ind w:left="60"/>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110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(580,140)</w:t>
            </w:r>
            <w:r>
              <w:rPr>
                <w:rFonts w:ascii="Times New Roman" w:cs="Times New Roman" w:eastAsia="Times New Roman" w:hAnsi="Times New Roman"/>
                <w:sz w:val="32"/>
                <w:szCs w:val="32"/>
                <w:color w:val="auto"/>
                <w:vertAlign w:val="subscript"/>
              </w:rPr>
              <w:t>​​ ​</w:t>
            </w:r>
          </w:p>
        </w:tc>
        <w:tc>
          <w:tcPr>
            <w:tcW w:w="460" w:type="dxa"/>
            <w:vAlign w:val="bottom"/>
            <w:gridSpan w:val="2"/>
            <w:shd w:val="clear" w:color="auto" w:fill="CCEEFF"/>
          </w:tcPr>
          <w:p>
            <w:pPr>
              <w:ind w:left="30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7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560" w:type="dxa"/>
            <w:vAlign w:val="bottom"/>
            <w:gridSpan w:val="4"/>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 ​ ​</w:t>
            </w:r>
            <w:r>
              <w:rPr>
                <w:rFonts w:ascii="Times New Roman" w:cs="Times New Roman" w:eastAsia="Times New Roman" w:hAnsi="Times New Roman"/>
                <w:sz w:val="17"/>
                <w:szCs w:val="17"/>
                <w:color w:val="auto"/>
              </w:rPr>
              <w:t xml:space="preserve"> ​ 129,719,360 </w:t>
            </w:r>
            <w:r>
              <w:rPr>
                <w:rFonts w:ascii="Times New Roman" w:cs="Times New Roman" w:eastAsia="Times New Roman" w:hAnsi="Times New Roman"/>
                <w:sz w:val="32"/>
                <w:szCs w:val="32"/>
                <w:color w:val="auto"/>
                <w:vertAlign w:val="subscript"/>
              </w:rPr>
              <w:t>​​ ​</w:t>
            </w:r>
          </w:p>
        </w:tc>
        <w:tc>
          <w:tcPr>
            <w:tcW w:w="1220" w:type="dxa"/>
            <w:vAlign w:val="bottom"/>
            <w:gridSpan w:val="4"/>
          </w:tcPr>
          <w:p>
            <w:pPr>
              <w:ind w:left="30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​25,000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vMerge w:val="continue"/>
            <w:shd w:val="clear" w:color="auto" w:fill="CCEEFF"/>
          </w:tcPr>
          <w:p>
            <w:pPr>
              <w:spacing w:after="0"/>
              <w:rPr>
                <w:sz w:val="22"/>
                <w:szCs w:val="22"/>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right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​25,000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460" w:type="dxa"/>
            <w:vAlign w:val="bottom"/>
            <w:gridSpan w:val="2"/>
          </w:tcPr>
          <w:p>
            <w:pPr>
              <w:ind w:left="60"/>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30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46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20" w:type="dxa"/>
            <w:vAlign w:val="bottom"/>
            <w:tcBorders>
              <w:right w:val="single" w:sz="8" w:color="CCEEFF"/>
            </w:tcBorders>
            <w:gridSpan w:val="4"/>
            <w:shd w:val="clear" w:color="auto" w:fill="CCEEFF"/>
          </w:tcPr>
          <w:p>
            <w:pPr>
              <w:ind w:left="3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5806440</wp:posOffset>
            </wp:positionH>
            <wp:positionV relativeFrom="paragraph">
              <wp:posOffset>-222250</wp:posOffset>
            </wp:positionV>
            <wp:extent cx="2057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6202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620260" cy="8890"/>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-582295</wp:posOffset>
            </wp:positionV>
            <wp:extent cx="2057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-582295</wp:posOffset>
            </wp:positionV>
            <wp:extent cx="46202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-1971040</wp:posOffset>
            </wp:positionV>
            <wp:extent cx="2057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-1971040</wp:posOffset>
            </wp:positionV>
            <wp:extent cx="46202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620260" cy="8890"/>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-2673985</wp:posOffset>
            </wp:positionV>
            <wp:extent cx="2057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-2673985</wp:posOffset>
            </wp:positionV>
            <wp:extent cx="46202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202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-4782820</wp:posOffset>
            </wp:positionV>
            <wp:extent cx="443166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year ended December 31, 2021 and for the period from June 23, 2020 (inception) through December 31, 2020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325"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 day option to purchase up to 1,650,000 Units to cover over-allotments, if any (see Note 6) .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323"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Act</w:t>
      </w:r>
      <w:r>
        <w:rPr>
          <w:rFonts w:ascii="Times New Roman" w:cs="Times New Roman" w:eastAsia="Times New Roman" w:hAnsi="Times New Roman"/>
          <w:sz w:val="18"/>
          <w:szCs w:val="18"/>
          <w:color w:val="auto"/>
        </w:rPr>
        <w:t>”), with a maturity of 185 days or in money market funds meeting certain conditions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2a- 7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1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(“ASC 480”).</w:t>
      </w:r>
    </w:p>
    <w:p>
      <w:pPr>
        <w:spacing w:after="0" w:line="32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3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18" w:lineRule="exact"/>
        <w:rPr>
          <w:sz w:val="20"/>
          <w:szCs w:val="20"/>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679"/>
        <w:spacing w:after="0" w:line="271" w:lineRule="auto"/>
        <w:rPr>
          <w:sz w:val="20"/>
          <w:szCs w:val="20"/>
          <w:color w:val="auto"/>
        </w:rPr>
      </w:pPr>
      <w:r>
        <w:rPr>
          <w:rFonts w:ascii="Times New Roman" w:cs="Times New Roman" w:eastAsia="Times New Roman" w:hAnsi="Times New Roman"/>
          <w:sz w:val="18"/>
          <w:szCs w:val="18"/>
          <w:color w:val="auto"/>
        </w:rPr>
        <w:t>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1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As of December 31, 2021, the Company had $799,808 in cash held outside of the Trust Account and working capital of $988,186. The Company has incurred and expects to continue to incur significant costs in pursuit of its acquisition plans. In connection with our assessment of going concern considerations in accordance with FASB ASC Topic 205-40, “Presentation of Financial Statements — Going Concern,” the Company has until February 13,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2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conformity with accounting principles generally accepted in the United States of America (“GAAP”) and pursuant to the rules and regulations of the SEC.</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and 2020.</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statement of operations. The estimated fair values of investments held in the Trust Account are determined using available market information.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 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33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16"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2021, the common stock reflected in the balance sheet is reconciled in the following table:</w:t>
      </w:r>
    </w:p>
    <w:p>
      <w:pPr>
        <w:sectPr>
          <w:pgSz w:w="11900" w:h="16838" w:orient="portrait"/>
          <w:cols w:equalWidth="0" w:num="1">
            <w:col w:w="9879"/>
          </w:cols>
          <w:pgMar w:left="580" w:top="97" w:right="1440" w:bottom="1440" w:gutter="0" w:footer="0" w:header="0"/>
        </w:sectPr>
      </w:pP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Proceeds​ allocated to Public Warrants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Issuance​ costs allocated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Plus:​</w:t>
      </w:r>
    </w:p>
    <w:p>
      <w:pPr>
        <w:ind w:left="1620"/>
        <w:spacing w:after="0" w:line="190" w:lineRule="auto"/>
        <w:rPr>
          <w:sz w:val="20"/>
          <w:szCs w:val="20"/>
          <w:color w:val="auto"/>
        </w:rPr>
      </w:pPr>
      <w:r>
        <w:rPr>
          <w:rFonts w:ascii="Times New Roman" w:cs="Times New Roman" w:eastAsia="Times New Roman" w:hAnsi="Times New Roman"/>
          <w:sz w:val="18"/>
          <w:szCs w:val="18"/>
          <w:color w:val="auto"/>
        </w:rPr>
        <w:t>Accretion</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of carrying value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968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stock subject to possible redemption</w:t>
      </w:r>
    </w:p>
    <w:p>
      <w:pPr>
        <w:spacing w:after="0" w:line="2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​​$126,500,000​</w:t>
      </w:r>
    </w:p>
    <w:p>
      <w:pPr>
        <w:spacing w:after="0" w:line="63" w:lineRule="exact"/>
        <w:rPr>
          <w:sz w:val="20"/>
          <w:szCs w:val="20"/>
          <w:color w:val="auto"/>
        </w:rPr>
      </w:pPr>
    </w:p>
    <w:p>
      <w:pPr>
        <w:ind w:left="2"/>
        <w:spacing w:after="0"/>
        <w:tabs>
          <w:tab w:leader="none" w:pos="1142"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02" w:hanging="102"/>
        <w:spacing w:after="0"/>
        <w:tabs>
          <w:tab w:leader="none" w:pos="1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​(15,180,000​)</w:t>
      </w:r>
    </w:p>
    <w:p>
      <w:pPr>
        <w:spacing w:after="0" w:line="49"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(933,989​)</w:t>
      </w:r>
    </w:p>
    <w:p>
      <w:pPr>
        <w:spacing w:after="0" w:line="72" w:lineRule="exact"/>
        <w:rPr>
          <w:sz w:val="20"/>
          <w:szCs w:val="20"/>
          <w:color w:val="auto"/>
        </w:rPr>
      </w:pPr>
    </w:p>
    <w:p>
      <w:pPr>
        <w:ind w:left="2"/>
        <w:spacing w:after="0"/>
        <w:tabs>
          <w:tab w:leader="none" w:pos="1142"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ind w:left="2"/>
        <w:spacing w:after="0" w:line="182" w:lineRule="auto"/>
        <w:rPr>
          <w:sz w:val="20"/>
          <w:szCs w:val="20"/>
          <w:color w:val="auto"/>
        </w:rPr>
      </w:pPr>
      <w:r>
        <w:rPr>
          <w:rFonts w:ascii="Times New Roman" w:cs="Times New Roman" w:eastAsia="Times New Roman" w:hAnsi="Times New Roman"/>
          <w:sz w:val="34"/>
          <w:szCs w:val="34"/>
          <w:color w:val="auto"/>
          <w:vertAlign w:val="subscript"/>
        </w:rPr>
        <w:t>​ ​</w:t>
      </w:r>
      <w:r>
        <w:rPr>
          <w:rFonts w:ascii="Times New Roman" w:cs="Times New Roman" w:eastAsia="Times New Roman" w:hAnsi="Times New Roman"/>
          <w:sz w:val="34"/>
          <w:szCs w:val="34"/>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18,011,489</w:t>
      </w:r>
      <w:r>
        <w:rPr>
          <w:rFonts w:ascii="Times New Roman" w:cs="Times New Roman" w:eastAsia="Times New Roman" w:hAnsi="Times New Roman"/>
          <w:sz w:val="34"/>
          <w:szCs w:val="34"/>
          <w:color w:val="auto"/>
          <w:vertAlign w:val="subscript"/>
        </w:rPr>
        <w:t>​</w:t>
      </w:r>
    </w:p>
    <w:p>
      <w:pPr>
        <w:ind w:left="2"/>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$128,397,500</w:t>
      </w:r>
      <w:r>
        <w:rPr>
          <w:rFonts w:ascii="Times New Roman" w:cs="Times New Roman" w:eastAsia="Times New Roman" w:hAnsi="Times New Roman"/>
          <w:sz w:val="35"/>
          <w:szCs w:val="35"/>
          <w:b w:val="1"/>
          <w:bCs w:val="1"/>
          <w:color w:val="auto"/>
          <w:vertAlign w:val="subscript"/>
        </w:rPr>
        <w:t>​</w:t>
      </w:r>
    </w:p>
    <w:p>
      <w:pPr>
        <w:spacing w:after="0" w:line="644" w:lineRule="exact"/>
        <w:rPr>
          <w:sz w:val="20"/>
          <w:szCs w:val="20"/>
          <w:color w:val="auto"/>
        </w:rPr>
      </w:pPr>
    </w:p>
    <w:p>
      <w:pPr>
        <w:sectPr>
          <w:pgSz w:w="11900" w:h="16838" w:orient="portrait"/>
          <w:cols w:equalWidth="0" w:num="2">
            <w:col w:w="7218" w:space="720"/>
            <w:col w:w="1941"/>
          </w:cols>
          <w:pgMar w:left="580" w:top="97" w:right="1440" w:bottom="1440" w:gutter="0" w:footer="0" w:header="0"/>
          <w:type w:val="continuous"/>
        </w:sectPr>
      </w:pPr>
    </w:p>
    <w:p>
      <w:pPr>
        <w:ind w:left="1260" w:right="979" w:firstLine="36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underwriting fees and $580,140 of other offering costs. The Company recorded $933,989 of offering costs as a reduction of temporary equity in connection with the redeemable common stock included in the Units. The Company recorded $ 127,354 as a reduction of permanent equity in connection with the Public Warrants included in the Units and immediately expensed $18,797 of offering costs in connection with the Private Warrants that were classified as liabilities.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32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32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with changes in fair value recognized in the statements of operations in the period of change.</w:t>
      </w:r>
    </w:p>
    <w:p>
      <w:pPr>
        <w:spacing w:after="0" w:line="11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(“ASC 740”), which requires an asset and liability approach to financial accounting and reporting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1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effective tax rate is less than the U.S. statutory corporate tax rate of 21% because of the unrealized change in fair value of warrant liabilities, which was the biggest factor in net income and is not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taxable. The Company had a loss from operations during the year ended December 31, 2021. The Company is subject to income tax examinations by major taxing authorities since inception.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11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Basic and diluted net income (loss) per share: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Basic weighted average shares outstanding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Basic net income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Diluted weighted average shares outstanding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Diluted net income (loss) per common share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period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June 23,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2020 (inception)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5"/>
              </w:rPr>
              <w:t>through</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6"/>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December 31, 2021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4"/>
                <w:szCs w:val="24"/>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180"/>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$1,910,487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gridSpan w:val="2"/>
          </w:tcPr>
          <w:p>
            <w:pPr>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​7,732,021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​2,750,000</w:t>
            </w:r>
          </w:p>
        </w:tc>
        <w:tc>
          <w:tcPr>
            <w:tcW w:w="60" w:type="dxa"/>
            <w:vAlign w:val="bottom"/>
          </w:tcPr>
          <w:p>
            <w:pPr>
              <w:spacing w:after="0"/>
              <w:rPr>
                <w:sz w:val="23"/>
                <w:szCs w:val="23"/>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​7,991,952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​2,750,000</w:t>
            </w:r>
          </w:p>
        </w:tc>
        <w:tc>
          <w:tcPr>
            <w:tcW w:w="60" w:type="dxa"/>
            <w:vAlign w:val="bottom"/>
          </w:tcPr>
          <w:p>
            <w:pPr>
              <w:spacing w:after="0"/>
              <w:rPr>
                <w:sz w:val="23"/>
                <w:szCs w:val="23"/>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535" w:lineRule="exact"/>
        <w:rPr>
          <w:sz w:val="20"/>
          <w:szCs w:val="20"/>
          <w:color w:val="auto"/>
        </w:rPr>
      </w:pPr>
    </w:p>
    <w:p>
      <w:pPr>
        <w:sectPr>
          <w:pgSz w:w="11900" w:h="16838" w:orient="portrait"/>
          <w:cols w:equalWidth="0" w:num="2">
            <w:col w:w="5840" w:space="720"/>
            <w:col w:w="3319"/>
          </w:cols>
          <w:pgMar w:left="580" w:top="97" w:right="1440" w:bottom="1440" w:gutter="0" w:footer="0" w:header="0"/>
          <w:type w:val="continuous"/>
        </w:sect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24"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 for current assets and current liabilities approximate fair value due to their short-term nature.</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jc w:val="both"/>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02"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324"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financial statements.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62" w:lineRule="exact"/>
        <w:rPr>
          <w:sz w:val="20"/>
          <w:szCs w:val="20"/>
          <w:color w:val="auto"/>
        </w:rPr>
      </w:pPr>
    </w:p>
    <w:p>
      <w:pPr>
        <w:ind w:left="1260" w:right="1059" w:firstLine="360"/>
        <w:spacing w:after="0" w:line="253"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 2021, the Company completed its Initial Public Offering of</w:t>
      </w:r>
    </w:p>
    <w:p>
      <w:pPr>
        <w:ind w:left="1260" w:right="719"/>
        <w:spacing w:after="0"/>
        <w:rPr>
          <w:sz w:val="20"/>
          <w:szCs w:val="20"/>
          <w:color w:val="auto"/>
        </w:rPr>
      </w:pPr>
      <w:r>
        <w:rPr>
          <w:rFonts w:ascii="Times New Roman" w:cs="Times New Roman" w:eastAsia="Times New Roman" w:hAnsi="Times New Roman"/>
          <w:sz w:val="18"/>
          <w:szCs w:val="18"/>
          <w:color w:val="auto"/>
        </w:rPr>
        <w:t>11,000,000 Units, at $ 10.00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17"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1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proceeds from the Private Warrants were added to the proceeds from the Initial Public Offering to be held in the Trust Account. If the Company does not complete a Business Combination within 12 months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1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13"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With certain limited exceptions,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expenses related to the Initial Public Offering pursuant to a promissory note (the “Promissory Note”).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promissory note was non-interest bearing, unsecured and was repaid at August 19, 2021.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and December 31, 2020, there was no outstanding balance under the note. The Company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cannot make any additional draws under this promissory note.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an affiliate of the Sponsor a total of $10,000 per month for office space, administrative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support services. Upon completion of a Business Combination or liquidation, the Company will cease paying these monthly fees. To date, the Company has not exercised its option to use such services.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2021 and December 31, 2020, the Company had no working capital loans outstanding.</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As of December 31,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 of $ 11.50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21" w:lineRule="exact"/>
        <w:rPr>
          <w:sz w:val="20"/>
          <w:szCs w:val="20"/>
          <w:color w:val="auto"/>
        </w:rPr>
      </w:pPr>
    </w:p>
    <w:p>
      <w:pPr>
        <w:jc w:val="both"/>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1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331"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1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32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815- 40.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1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58"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with such designations, voting and other rights and preferences as may be determined from time to time by the Company’s board of directors. As of December 31, 2021 and December 31, 2020, the Company had no issued or outstanding shares of preferred stock.</w:t>
      </w:r>
    </w:p>
    <w:p>
      <w:pPr>
        <w:spacing w:after="0" w:line="103"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50,000,000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On December 31,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INCOME TAX</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p>
      <w:pPr>
        <w:sectPr>
          <w:pgSz w:w="11900" w:h="16838" w:orient="portrait"/>
          <w:cols w:equalWidth="0" w:num="1">
            <w:col w:w="9879"/>
          </w:cols>
          <w:pgMar w:left="580" w:top="97" w:right="1440" w:bottom="1440" w:gutter="0" w:footer="0" w:header="0"/>
        </w:sectPr>
      </w:pP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Start​-up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line="190" w:lineRule="auto"/>
        <w:rPr>
          <w:sz w:val="20"/>
          <w:szCs w:val="20"/>
          <w:color w:val="auto"/>
        </w:rPr>
      </w:pPr>
      <w:r>
        <w:rPr>
          <w:rFonts w:ascii="Times New Roman" w:cs="Times New Roman" w:eastAsia="Times New Roman" w:hAnsi="Times New Roman"/>
          <w:sz w:val="18"/>
          <w:szCs w:val="18"/>
          <w:color w:val="auto"/>
        </w:rPr>
        <w:t>Valuation</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allowance</w:t>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line="193" w:lineRule="auto"/>
        <w:rPr>
          <w:sz w:val="20"/>
          <w:szCs w:val="20"/>
          <w:color w:val="auto"/>
        </w:rPr>
      </w:pPr>
      <w:r>
        <w:rPr>
          <w:rFonts w:ascii="Times New Roman" w:cs="Times New Roman" w:eastAsia="Times New Roman" w:hAnsi="Times New Roman"/>
          <w:sz w:val="18"/>
          <w:szCs w:val="18"/>
          <w:color w:val="auto"/>
        </w:rPr>
        <w:t>Unrealized</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gain on investments</w:t>
      </w:r>
    </w:p>
    <w:p>
      <w:pPr>
        <w:ind w:left="1620"/>
        <w:spacing w:after="0" w:line="185" w:lineRule="auto"/>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968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color w:val="auto"/>
        </w:rPr>
        <w:t>Deferred</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tax assets, net of allowance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2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61,335​</w:t>
            </w:r>
          </w:p>
        </w:tc>
      </w:tr>
    </w:tbl>
    <w:p>
      <w:pPr>
        <w:ind w:left="5"/>
        <w:spacing w:after="0"/>
        <w:rPr>
          <w:sz w:val="20"/>
          <w:szCs w:val="20"/>
          <w:color w:val="auto"/>
        </w:rPr>
      </w:pPr>
      <w:r>
        <w:rPr>
          <w:rFonts w:ascii="Times New Roman" w:cs="Times New Roman" w:eastAsia="Times New Roman" w:hAnsi="Times New Roman"/>
          <w:sz w:val="18"/>
          <w:szCs w:val="18"/>
          <w:color w:val="auto"/>
        </w:rPr>
        <w:t>​ ​​ ​298,437​</w:t>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 ​359,772​</w:t>
      </w:r>
    </w:p>
    <w:p>
      <w:pPr>
        <w:ind w:left="105" w:hanging="105"/>
        <w:spacing w:after="0" w:line="185" w:lineRule="auto"/>
        <w:tabs>
          <w:tab w:leader="none" w:pos="105" w:val="left"/>
        </w:tabs>
        <w:numPr>
          <w:ilvl w:val="0"/>
          <w:numId w:val="10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​(354,792</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5"/>
        <w:spacing w:after="0"/>
        <w:tabs>
          <w:tab w:leader="none" w:pos="885"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ind w:left="105" w:hanging="105"/>
        <w:spacing w:after="0" w:line="182" w:lineRule="auto"/>
        <w:tabs>
          <w:tab w:leader="none" w:pos="105" w:val="left"/>
        </w:tabs>
        <w:numPr>
          <w:ilvl w:val="0"/>
          <w:numId w:val="10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33"/>
          <w:szCs w:val="33"/>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(4,980</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w:t>
      </w:r>
    </w:p>
    <w:p>
      <w:pPr>
        <w:ind w:left="105" w:hanging="105"/>
        <w:spacing w:after="0" w:line="184" w:lineRule="auto"/>
        <w:tabs>
          <w:tab w:leader="none" w:pos="105" w:val="left"/>
        </w:tabs>
        <w:numPr>
          <w:ilvl w:val="0"/>
          <w:numId w:val="10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(4,980</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10" w:lineRule="exact"/>
        <w:rPr>
          <w:rFonts w:ascii="Times New Roman" w:cs="Times New Roman" w:eastAsia="Times New Roman" w:hAnsi="Times New Roman"/>
          <w:sz w:val="32"/>
          <w:szCs w:val="32"/>
          <w:color w:val="auto"/>
          <w:vertAlign w:val="subscript"/>
        </w:rPr>
      </w:pPr>
    </w:p>
    <w:p>
      <w:pPr>
        <w:ind w:left="105" w:hanging="105"/>
        <w:spacing w:after="0"/>
        <w:tabs>
          <w:tab w:leader="none" w:pos="1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-71755</wp:posOffset>
            </wp:positionV>
            <wp:extent cx="4718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7475" w:space="720"/>
            <w:col w:w="1685"/>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2021 consists of the following:</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560" w:type="dxa"/>
            <w:vAlign w:val="bottom"/>
            <w:gridSpan w:val="3"/>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​(354,792</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5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​354,792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5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$357,674 that may be carried forward indefinitely.</w:t>
      </w:r>
    </w:p>
    <w:p>
      <w:pPr>
        <w:spacing w:after="0" w:line="9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 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valuation allowance was $354,792.</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w:t>
      </w:r>
    </w:p>
    <w:p>
      <w:pPr>
        <w:sectPr>
          <w:pgSz w:w="11900" w:h="16838" w:orient="portrait"/>
          <w:cols w:equalWidth="0" w:num="1">
            <w:col w:w="10720"/>
          </w:cols>
          <w:pgMar w:left="580" w:top="97" w:right="599" w:bottom="1440" w:gutter="0" w:footer="0" w:header="0"/>
        </w:sectPr>
      </w:pP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2021 is as follows:</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117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49165" cy="1117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State​ taxes, net of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Non​-deductible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allowance</w:t>
      </w:r>
    </w:p>
    <w:p>
      <w:pPr>
        <w:ind w:left="1620"/>
        <w:spacing w:after="0" w:line="198" w:lineRule="auto"/>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tax provision</w:t>
      </w:r>
    </w:p>
    <w:p>
      <w:pPr>
        <w:spacing w:after="0" w:line="2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 assets were deemed to be de minimis as of December 31, 2020.</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01" w:hanging="101"/>
        <w:spacing w:after="0"/>
        <w:tabs>
          <w:tab w:leader="none" w:pos="1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w:t>
      </w:r>
    </w:p>
    <w:p>
      <w:pPr>
        <w:spacing w:after="0" w:line="27"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0.0​%</w:t>
      </w:r>
    </w:p>
    <w:p>
      <w:pPr>
        <w:spacing w:after="0" w:line="36"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(40.8​)%</w:t>
      </w:r>
    </w:p>
    <w:p>
      <w:pPr>
        <w:spacing w:after="0" w:line="36"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0.2​%</w:t>
      </w:r>
    </w:p>
    <w:p>
      <w:pPr>
        <w:spacing w:after="0" w:line="36"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19.6</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auto"/>
          <w:vertAlign w:val="superscript"/>
        </w:rPr>
        <w:t>0.0</w:t>
      </w: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p>
      <w:pPr>
        <w:spacing w:after="0" w:line="889" w:lineRule="exact"/>
        <w:rPr>
          <w:sz w:val="20"/>
          <w:szCs w:val="20"/>
          <w:color w:val="auto"/>
        </w:rPr>
      </w:pPr>
    </w:p>
    <w:p>
      <w:pPr>
        <w:sectPr>
          <w:pgSz w:w="11900" w:h="16838" w:orient="portrait"/>
          <w:cols w:equalWidth="0" w:num="2">
            <w:col w:w="7839" w:space="720"/>
            <w:col w:w="2161"/>
          </w:cols>
          <w:pgMar w:left="580" w:top="97" w:right="599" w:bottom="1440" w:gutter="0" w:footer="0" w:header="0"/>
          <w:type w:val="continuous"/>
        </w:sectPr>
      </w:pPr>
    </w:p>
    <w:p>
      <w:pPr>
        <w:jc w:val="both"/>
        <w:ind w:left="1260" w:right="142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December 31, 2021, and indicates the fair value hierarchy of the valuation inputs the Company utilized to determine such fair value:</w:t>
      </w:r>
    </w:p>
    <w:p>
      <w:pPr>
        <w:sectPr>
          <w:pgSz w:w="11900" w:h="16838" w:orient="portrait"/>
          <w:cols w:equalWidth="0" w:num="1">
            <w:col w:w="10720"/>
          </w:cols>
          <w:pgMar w:left="580" w:top="97" w:right="599" w:bottom="1440" w:gutter="0" w:footer="0" w:header="0"/>
          <w:type w:val="continuous"/>
        </w:sectPr>
      </w:pPr>
    </w:p>
    <w:p>
      <w:pPr>
        <w:spacing w:after="0" w:line="2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Assets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Investments held in Trust Account:</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Money Market investments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Liabilities</w:t>
      </w:r>
    </w:p>
    <w:p>
      <w:pPr>
        <w:spacing w:after="0" w:line="50"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Warrant liabilities – Private warrants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Amount 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Level 2 </w:t>
            </w:r>
            <w:r>
              <w:rPr>
                <w:rFonts w:ascii="Times New Roman" w:cs="Times New Roman" w:eastAsia="Times New Roman" w:hAnsi="Times New Roman"/>
                <w:sz w:val="24"/>
                <w:szCs w:val="24"/>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Level 3   </w:t>
            </w:r>
            <w:r>
              <w:rPr>
                <w:rFonts w:ascii="Times New Roman" w:cs="Times New Roman" w:eastAsia="Times New Roman" w:hAnsi="Times New Roman"/>
                <w:sz w:val="24"/>
                <w:szCs w:val="24"/>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​​$128,421,215​​</w:t>
            </w: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​​$128,421,215​​</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​​$2,036,258​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-642620</wp:posOffset>
            </wp:positionV>
            <wp:extent cx="521208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-333375</wp:posOffset>
            </wp:positionV>
            <wp:extent cx="5212080"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-950595</wp:posOffset>
            </wp:positionV>
            <wp:extent cx="521208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600" w:space="720"/>
            <w:col w:w="5400"/>
          </w:cols>
          <w:pgMar w:left="580" w:top="97" w:right="59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as of December 31, 2020.</w:t>
      </w:r>
    </w:p>
    <w:p>
      <w:pPr>
        <w:spacing w:after="0" w:line="144" w:lineRule="exact"/>
        <w:rPr>
          <w:sz w:val="20"/>
          <w:szCs w:val="20"/>
          <w:color w:val="auto"/>
        </w:rPr>
      </w:pPr>
    </w:p>
    <w:p>
      <w:pPr>
        <w:ind w:left="1260" w:right="1320" w:firstLine="360"/>
        <w:spacing w:after="0" w:line="244"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 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1620" w:type="dxa"/>
            <w:vAlign w:val="bottom"/>
          </w:tcPr>
          <w:p>
            <w:pPr>
              <w:spacing w:after="0"/>
              <w:rPr>
                <w:sz w:val="14"/>
                <w:szCs w:val="14"/>
                <w:color w:val="auto"/>
              </w:rPr>
            </w:pPr>
          </w:p>
        </w:tc>
      </w:tr>
      <w:tr>
        <w:trPr>
          <w:trHeight w:val="200"/>
        </w:trPr>
        <w:tc>
          <w:tcPr>
            <w:tcW w:w="162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gridSpan w:val="5"/>
          </w:tcPr>
          <w:p>
            <w:pPr>
              <w:ind w:left="2320"/>
              <w:spacing w:after="0"/>
              <w:rPr>
                <w:sz w:val="20"/>
                <w:szCs w:val="20"/>
                <w:color w:val="auto"/>
              </w:rPr>
            </w:pPr>
            <w:r>
              <w:rPr>
                <w:rFonts w:ascii="Times New Roman" w:cs="Times New Roman" w:eastAsia="Times New Roman" w:hAnsi="Times New Roman"/>
                <w:sz w:val="14"/>
                <w:szCs w:val="14"/>
                <w:b w:val="1"/>
                <w:bCs w:val="1"/>
                <w:color w:val="auto"/>
              </w:rPr>
              <w:t>​ ​ Measurement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20" w:type="dxa"/>
            <w:vAlign w:val="bottom"/>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9"/>
        </w:trPr>
        <w:tc>
          <w:tcPr>
            <w:tcW w:w="16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4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5"/>
              </w:rPr>
              <w:t>9.97</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Strike price</w:t>
            </w:r>
          </w:p>
        </w:tc>
        <w:tc>
          <w:tcPr>
            <w:tcW w:w="24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​$11.50</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6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Remaining term (in years)</w:t>
            </w:r>
          </w:p>
        </w:tc>
        <w:tc>
          <w:tcPr>
            <w:tcW w:w="24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 5.00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4.61</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6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19.0%​​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3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Risk-free rate</w:t>
            </w:r>
          </w:p>
        </w:tc>
        <w:tc>
          <w:tcPr>
            <w:tcW w:w="24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 0.81%​​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1.20%</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6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24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5"/>
              </w:rPr>
              <w:t>0.44</w:t>
            </w:r>
          </w:p>
        </w:tc>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7"/>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F-20</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-1670685</wp:posOffset>
            </wp:positionV>
            <wp:extent cx="39858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ectPr>
          <w:pgSz w:w="11900" w:h="16838" w:orient="portrait"/>
          <w:cols w:equalWidth="0" w:num="1">
            <w:col w:w="9879"/>
          </w:cols>
          <w:pgMar w:left="580" w:top="97" w:right="1440" w:bottom="1440" w:gutter="0" w:footer="0" w:header="0"/>
        </w:sect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Fair value as of June 23, 2020 (inception)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Initial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Fair value as of December 31, 2021</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Warrant</w:t>
      </w:r>
    </w:p>
    <w:p>
      <w:pPr>
        <w:spacing w:after="0" w:line="182" w:lineRule="auto"/>
        <w:tabs>
          <w:tab w:leader="none" w:pos="300" w:val="left"/>
        </w:tabs>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ab/>
        <w:t xml:space="preserve">Liabilities  </w:t>
      </w:r>
      <w:r>
        <w:rPr>
          <w:rFonts w:ascii="Times New Roman" w:cs="Times New Roman" w:eastAsia="Times New Roman" w:hAnsi="Times New Roman"/>
          <w:sz w:val="25"/>
          <w:szCs w:val="25"/>
          <w:b w:val="1"/>
          <w:bCs w:val="1"/>
          <w:color w:val="auto"/>
          <w:vertAlign w:val="subscript"/>
        </w:rPr>
        <w:t>​</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​​5,553,429​</w:t>
            </w:r>
          </w:p>
        </w:tc>
      </w:tr>
    </w:tbl>
    <w:p>
      <w:pPr>
        <w:ind w:left="160" w:hanging="99"/>
        <w:spacing w:after="0" w:line="181" w:lineRule="auto"/>
        <w:tabs>
          <w:tab w:leader="none" w:pos="160" w:val="left"/>
        </w:tabs>
        <w:numPr>
          <w:ilvl w:val="0"/>
          <w:numId w:val="107"/>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​(3,517,171</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31"/>
          <w:szCs w:val="31"/>
          <w:color w:val="auto"/>
          <w:vertAlign w:val="subscript"/>
        </w:rPr>
      </w:pPr>
    </w:p>
    <w:p>
      <w:pPr>
        <w:ind w:left="160" w:hanging="99"/>
        <w:spacing w:after="0" w:line="180" w:lineRule="auto"/>
        <w:tabs>
          <w:tab w:leader="none" w:pos="160" w:val="left"/>
        </w:tabs>
        <w:numPr>
          <w:ilvl w:val="0"/>
          <w:numId w:val="10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​2,036,258</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360" w:space="720"/>
            <w:col w:w="1799"/>
          </w:cols>
          <w:pgMar w:left="580" w:top="97" w:right="1440" w:bottom="1440" w:gutter="0" w:footer="0" w:header="0"/>
          <w:type w:val="continuous"/>
        </w:sectPr>
      </w:pPr>
    </w:p>
    <w:p>
      <w:pPr>
        <w:spacing w:after="0" w:line="11"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December 31, 2021.</w:t>
      </w:r>
    </w:p>
    <w:p>
      <w:pPr>
        <w:spacing w:after="0" w:line="33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recognized gains in connection with changes in the fair value of warrant liabilities of $3,517,171 within change in fair value of warrant liabilities in the Statements of Operations for the year ended December 31, 2021 and $0 for the period from June 23, 2020 (inception) through December 31, 2020.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48"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060" w:type="dxa"/>
            <w:vAlign w:val="bottom"/>
            <w:gridSpan w:val="5"/>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(Unaudited)</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6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316,023​​ ​​$</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171,026</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8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302,590</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487,049​​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in Trust Account</w:t>
            </w:r>
          </w:p>
        </w:tc>
        <w:tc>
          <w:tcPr>
            <w:tcW w:w="2320" w:type="dxa"/>
            <w:vAlign w:val="bottom"/>
            <w:gridSpan w:val="9"/>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​31,995,703</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​128,421,215</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60" w:type="dxa"/>
            <w:vAlign w:val="bottom"/>
            <w:gridSpan w:val="8"/>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32,482,752</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129,523,613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6"/>
              </w:rPr>
              <w:t>LIABILITIES, COMMON STOCK SUBJECT TO POSSIBLE REDEMPTION</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9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STOCKHOLDERS’ DEFICIT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990,587​​ ​​$</w:t>
            </w:r>
          </w:p>
        </w:tc>
        <w:tc>
          <w:tcPr>
            <w:tcW w:w="12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150,000​​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 ​​ ​</w:t>
            </w: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4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39,340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520" w:type="dxa"/>
            <w:vAlign w:val="bottom"/>
          </w:tcPr>
          <w:p>
            <w:pPr>
              <w:spacing w:after="0"/>
              <w:rPr>
                <w:sz w:val="23"/>
                <w:szCs w:val="23"/>
                <w:color w:val="auto"/>
              </w:rPr>
            </w:pPr>
          </w:p>
        </w:tc>
        <w:tc>
          <w:tcPr>
            <w:tcW w:w="3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1,612,686​​ ​​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480" w:type="dxa"/>
            <w:vAlign w:val="bottom"/>
            <w:gridSpan w:val="6"/>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1,989,979</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8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2,036,258</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gridSpan w:val="6"/>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 3,602,665</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2,150,469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45777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457771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5777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-2005330</wp:posOffset>
            </wp:positionV>
            <wp:extent cx="45777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-2348230</wp:posOffset>
            </wp:positionV>
            <wp:extent cx="45777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514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12080" cy="514350"/>
                    </a:xfrm>
                    <a:prstGeom prst="rect">
                      <a:avLst/>
                    </a:prstGeom>
                    <a:noFill/>
                  </pic:spPr>
                </pic:pic>
              </a:graphicData>
            </a:graphic>
          </wp:anchor>
        </w:drawing>
      </w:r>
    </w:p>
    <w:p>
      <w:pPr>
        <w:spacing w:after="0" w:line="142" w:lineRule="exact"/>
        <w:rPr>
          <w:sz w:val="20"/>
          <w:szCs w:val="20"/>
          <w:color w:val="auto"/>
        </w:rPr>
      </w:pPr>
    </w:p>
    <w:p>
      <w:pPr>
        <w:ind w:left="1440" w:hanging="179"/>
        <w:spacing w:after="0" w:line="266" w:lineRule="auto"/>
        <w:rPr>
          <w:sz w:val="20"/>
          <w:szCs w:val="20"/>
          <w:color w:val="auto"/>
        </w:rPr>
      </w:pPr>
      <w:r>
        <w:rPr>
          <w:rFonts w:ascii="Times New Roman" w:cs="Times New Roman" w:eastAsia="Times New Roman" w:hAnsi="Times New Roman"/>
          <w:sz w:val="18"/>
          <w:szCs w:val="18"/>
          <w:color w:val="auto"/>
        </w:rPr>
        <w:t>Common stock subject to possible redemption, $0.0001 par value; 3,093,348 and 12,650,000 shares at approximately $10.25 and $10.15 per share at September 30, 2022 and December 31, 2021, respectively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1020" w:val="left"/>
          <w:tab w:leader="none" w:pos="220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​31,706,363​​ ​​ ​128,397,500​</w:t>
      </w:r>
    </w:p>
    <w:p>
      <w:pPr>
        <w:spacing w:after="0" w:line="180" w:lineRule="exact"/>
        <w:rPr>
          <w:sz w:val="20"/>
          <w:szCs w:val="20"/>
          <w:color w:val="auto"/>
        </w:rPr>
      </w:pPr>
    </w:p>
    <w:p>
      <w:pPr>
        <w:sectPr>
          <w:pgSz w:w="11900" w:h="16838" w:orient="portrait"/>
          <w:cols w:equalWidth="0" w:num="2">
            <w:col w:w="7060" w:space="180"/>
            <w:col w:w="26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3086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620" w:right="340" w:hanging="179"/>
        <w:spacing w:after="0" w:line="281" w:lineRule="auto"/>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 September 30, 2022 and December 31, 2021</w:t>
      </w:r>
    </w:p>
    <w:p>
      <w:pPr>
        <w:spacing w:after="0" w:line="1" w:lineRule="exact"/>
        <w:rPr>
          <w:sz w:val="20"/>
          <w:szCs w:val="20"/>
          <w:color w:val="auto"/>
        </w:rPr>
      </w:pPr>
    </w:p>
    <w:p>
      <w:pPr>
        <w:ind w:left="1620" w:hanging="179"/>
        <w:spacing w:after="0" w:line="261" w:lineRule="auto"/>
        <w:rPr>
          <w:sz w:val="20"/>
          <w:szCs w:val="20"/>
          <w:color w:val="auto"/>
        </w:rPr>
      </w:pPr>
      <w:r>
        <w:rPr>
          <w:rFonts w:ascii="Times New Roman" w:cs="Times New Roman" w:eastAsia="Times New Roman" w:hAnsi="Times New Roman"/>
          <w:sz w:val="18"/>
          <w:szCs w:val="18"/>
          <w:color w:val="auto"/>
        </w:rPr>
        <w:t>Common stock, $0.0001 par value; 50,000,000 shares authorized; 3,162,500 shares issued and outstanding (excluding 3,093,348 and 12,650,000 shares subject to possible redemption) at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38830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59"/>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18"/>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97"/>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​(2,826,593)</w:t>
            </w:r>
          </w:p>
        </w:tc>
        <w:tc>
          <w:tcPr>
            <w:tcW w:w="9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 (1,024,673)</w:t>
            </w:r>
          </w:p>
        </w:tc>
        <w:tc>
          <w:tcPr>
            <w:tcW w:w="0" w:type="dxa"/>
            <w:vAlign w:val="bottom"/>
          </w:tcPr>
          <w:p>
            <w:pPr>
              <w:spacing w:after="0"/>
              <w:rPr>
                <w:sz w:val="1"/>
                <w:szCs w:val="1"/>
                <w:color w:val="auto"/>
              </w:rPr>
            </w:pPr>
          </w:p>
        </w:tc>
      </w:tr>
      <w:tr>
        <w:trPr>
          <w:trHeight w:val="68"/>
        </w:trPr>
        <w:tc>
          <w:tcPr>
            <w:tcW w:w="2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w:t>
            </w: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-8255</wp:posOffset>
            </wp:positionV>
            <wp:extent cx="1200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7140" w:space="100"/>
            <w:col w:w="26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​(2,826,276)</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 (1,024,356)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240" w:type="dxa"/>
            <w:vAlign w:val="bottom"/>
            <w:tcBorders>
              <w:right w:val="single" w:sz="8" w:color="CCEEFF"/>
            </w:tcBorders>
            <w:vMerge w:val="continue"/>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6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92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32,482,752</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129,523,613</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52"/>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32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w:t>
      </w:r>
    </w:p>
    <w:p>
      <w:pPr>
        <w:ind w:left="4940"/>
        <w:spacing w:after="0" w:line="198" w:lineRule="auto"/>
        <w:rPr>
          <w:sz w:val="20"/>
          <w:szCs w:val="20"/>
          <w:color w:val="auto"/>
        </w:rPr>
      </w:pPr>
      <w:r>
        <w:rPr>
          <w:rFonts w:ascii="Times New Roman" w:cs="Times New Roman" w:eastAsia="Times New Roman" w:hAnsi="Times New Roman"/>
          <w:sz w:val="13"/>
          <w:szCs w:val="13"/>
          <w:color w:val="auto"/>
        </w:rPr>
        <w:t>statements.</w:t>
      </w: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00" w:type="dxa"/>
            <w:vAlign w:val="bottom"/>
          </w:tcPr>
          <w:p>
            <w:pPr>
              <w:spacing w:after="0"/>
              <w:rPr>
                <w:sz w:val="14"/>
                <w:szCs w:val="1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00" w:type="dxa"/>
            <w:vAlign w:val="bottom"/>
          </w:tcPr>
          <w:p>
            <w:pPr>
              <w:spacing w:after="0"/>
              <w:rPr>
                <w:sz w:val="14"/>
                <w:szCs w:val="14"/>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20" w:type="dxa"/>
            <w:vAlign w:val="bottom"/>
          </w:tcPr>
          <w:p>
            <w:pPr>
              <w:spacing w:after="0"/>
              <w:rPr>
                <w:sz w:val="14"/>
                <w:szCs w:val="14"/>
                <w:color w:val="auto"/>
              </w:rPr>
            </w:pP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6"/>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September 30, 2022</w:t>
            </w:r>
          </w:p>
        </w:tc>
        <w:tc>
          <w:tcPr>
            <w:tcW w:w="1400" w:type="dxa"/>
            <w:vAlign w:val="bottom"/>
            <w:gridSpan w:val="5"/>
          </w:tcPr>
          <w:p>
            <w:pPr>
              <w:jc w:val="right"/>
              <w:ind w:righ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September 30, 2021</w:t>
            </w:r>
          </w:p>
        </w:tc>
        <w:tc>
          <w:tcPr>
            <w:tcW w:w="2740" w:type="dxa"/>
            <w:vAlign w:val="bottom"/>
            <w:gridSpan w:val="1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September 30, 2022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September 30, 2021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999,216</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92,234</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1,623,500</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93,068</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24,034</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150,656</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24,034</w:t>
            </w:r>
          </w:p>
        </w:tc>
        <w:tc>
          <w:tcPr>
            <w:tcW w:w="1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​(1,049,216)</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(116,268)</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​(1,774,156)</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(117,102)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(18,797)</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(18,797)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​(1,253,929)</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​(1,253,929)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Account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279,627</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469,109</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7,023</w:t>
            </w: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​(1,110,686)</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 4,072,514</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46,279</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 4,072,514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27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before income</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(1,880,275)</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2,690,543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 (1,258,768)</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​$ 2,689,709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8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(39,340)</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(39,340)</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4"/>
          </w:tcPr>
          <w:p>
            <w:pPr>
              <w:jc w:val="right"/>
              <w:ind w:right="1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(1,919,615)</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2,690,543</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(1,298,108)</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4"/>
          </w:tcPr>
          <w:p>
            <w:pPr>
              <w:jc w:val="right"/>
              <w:ind w:right="1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$ 2,689,709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weighted average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​10,307,037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9,453,125</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right w:val="single" w:sz="8" w:color="CCEEFF"/>
            </w:tcBorders>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​13,957,179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5,008,929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4"/>
            <w:vMerge w:val="continue"/>
            <w:shd w:val="clear" w:color="auto" w:fill="CCEEFF"/>
          </w:tcPr>
          <w:p>
            <w:pPr>
              <w:spacing w:after="0"/>
              <w:rPr>
                <w:sz w:val="23"/>
                <w:szCs w:val="23"/>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vMerge w:val="continue"/>
            <w:shd w:val="clear" w:color="auto" w:fill="CCEEFF"/>
          </w:tcPr>
          <w:p>
            <w:pPr>
              <w:spacing w:after="0"/>
              <w:rPr>
                <w:sz w:val="23"/>
                <w:szCs w:val="23"/>
                <w:color w:val="auto"/>
              </w:rPr>
            </w:pP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3"/>
            <w:vMerge w:val="continue"/>
            <w:shd w:val="clear" w:color="auto" w:fill="CCEEFF"/>
          </w:tcPr>
          <w:p>
            <w:pPr>
              <w:spacing w:after="0"/>
              <w:rPr>
                <w:sz w:val="23"/>
                <w:szCs w:val="23"/>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4"/>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Basic net income (loss) per common</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Diluted weighted average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​10,307,037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9,672,826</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right w:val="single" w:sz="8" w:color="CCEEFF"/>
            </w:tcBorders>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​13,957,179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 5,356,456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gridSpan w:val="4"/>
            <w:vMerge w:val="continue"/>
            <w:shd w:val="clear" w:color="auto" w:fill="CCEEFF"/>
          </w:tcPr>
          <w:p>
            <w:pPr>
              <w:spacing w:after="0"/>
              <w:rPr>
                <w:sz w:val="23"/>
                <w:szCs w:val="23"/>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vMerge w:val="continue"/>
            <w:shd w:val="clear" w:color="auto" w:fill="CCEEFF"/>
          </w:tcPr>
          <w:p>
            <w:pPr>
              <w:spacing w:after="0"/>
              <w:rPr>
                <w:sz w:val="23"/>
                <w:szCs w:val="23"/>
                <w:color w:val="auto"/>
              </w:rPr>
            </w:pPr>
          </w:p>
        </w:tc>
        <w:tc>
          <w:tcPr>
            <w:tcW w:w="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3"/>
            <w:vMerge w:val="continue"/>
            <w:shd w:val="clear" w:color="auto" w:fill="CCEEFF"/>
          </w:tcPr>
          <w:p>
            <w:pPr>
              <w:spacing w:after="0"/>
              <w:rPr>
                <w:sz w:val="23"/>
                <w:szCs w:val="23"/>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4"/>
            <w:vMerge w:val="continue"/>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perscript"/>
              </w:rPr>
              <w:t>$</w:t>
            </w: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-3102610</wp:posOffset>
            </wp:positionV>
            <wp:extent cx="1111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-3102610</wp:posOffset>
            </wp:positionV>
            <wp:extent cx="2825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-3102610</wp:posOffset>
            </wp:positionV>
            <wp:extent cx="2914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-3102610</wp:posOffset>
            </wp:positionV>
            <wp:extent cx="2802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0289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-3445510</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-3445510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-3445510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-3445510</wp:posOffset>
            </wp:positionV>
            <wp:extent cx="17913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w:t>
      </w:r>
    </w:p>
    <w:p>
      <w:pPr>
        <w:ind w:left="4940"/>
        <w:spacing w:after="0" w:line="198" w:lineRule="auto"/>
        <w:rPr>
          <w:sz w:val="20"/>
          <w:szCs w:val="20"/>
          <w:color w:val="auto"/>
        </w:rPr>
      </w:pPr>
      <w:r>
        <w:rPr>
          <w:rFonts w:ascii="Times New Roman" w:cs="Times New Roman" w:eastAsia="Times New Roman" w:hAnsi="Times New Roman"/>
          <w:sz w:val="13"/>
          <w:szCs w:val="13"/>
          <w:color w:val="auto"/>
        </w:rPr>
        <w:t>statements.</w:t>
      </w: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EQUITY (DEFICIT)</w:t>
      </w: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3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4"/>
            <w:vMerge w:val="restart"/>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(Accumulated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center"/>
              <w:ind w:right="117"/>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1520" w:type="dxa"/>
            <w:vAlign w:val="bottom"/>
            <w:gridSpan w:val="7"/>
          </w:tcPr>
          <w:p>
            <w:pPr>
              <w:jc w:val="center"/>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Amount </w:t>
            </w:r>
            <w:r>
              <w:rPr>
                <w:rFonts w:ascii="Times New Roman" w:cs="Times New Roman" w:eastAsia="Times New Roman" w:hAnsi="Times New Roman"/>
                <w:sz w:val="26"/>
                <w:szCs w:val="26"/>
                <w:b w:val="1"/>
                <w:bCs w:val="1"/>
                <w:color w:val="auto"/>
                <w:vertAlign w:val="subscript"/>
              </w:rPr>
              <w:t>​ ​</w:t>
            </w:r>
          </w:p>
        </w:tc>
        <w:tc>
          <w:tcPr>
            <w:tcW w:w="80" w:type="dxa"/>
            <w:vAlign w:val="bottom"/>
          </w:tcPr>
          <w:p>
            <w:pPr>
              <w:spacing w:after="0"/>
              <w:rPr>
                <w:sz w:val="19"/>
                <w:szCs w:val="19"/>
                <w:color w:val="auto"/>
              </w:rPr>
            </w:pPr>
          </w:p>
        </w:tc>
        <w:tc>
          <w:tcPr>
            <w:tcW w:w="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$317</w:t>
            </w:r>
          </w:p>
        </w:tc>
        <w:tc>
          <w:tcPr>
            <w:tcW w:w="260" w:type="dxa"/>
            <w:vAlign w:val="bottom"/>
            <w:tcBorders>
              <w:lef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shd w:val="clear" w:color="auto" w:fill="CCEEFF"/>
          </w:tcPr>
          <w:p>
            <w:pPr>
              <w:spacing w:after="0"/>
              <w:rPr>
                <w:sz w:val="17"/>
                <w:szCs w:val="17"/>
                <w:color w:val="auto"/>
              </w:rPr>
            </w:pPr>
          </w:p>
        </w:tc>
        <w:tc>
          <w:tcPr>
            <w:tcW w:w="380" w:type="dxa"/>
            <w:vAlign w:val="bottom"/>
            <w:tcBorders>
              <w:right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left w:val="single" w:sz="8" w:color="CCEEFF"/>
            </w:tcBorders>
            <w:gridSpan w:val="6"/>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b w:val="1"/>
                <w:bCs w:val="1"/>
                <w:color w:val="auto"/>
              </w:rPr>
              <w:t>$(1,024,673)</w:t>
            </w:r>
          </w:p>
        </w:tc>
        <w:tc>
          <w:tcPr>
            <w:tcW w:w="10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$(1,024,356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60" w:type="dxa"/>
            <w:vAlign w:val="bottom"/>
            <w:tcBorders>
              <w:left w:val="single" w:sz="8" w:color="CCEEFF"/>
            </w:tcBorders>
            <w:vMerge w:val="continue"/>
            <w:shd w:val="clear" w:color="auto" w:fill="CCEEFF"/>
          </w:tcPr>
          <w:p>
            <w:pPr>
              <w:spacing w:after="0"/>
              <w:rPr>
                <w:sz w:val="4"/>
                <w:szCs w:val="4"/>
                <w:color w:val="auto"/>
              </w:rPr>
            </w:pPr>
          </w:p>
        </w:tc>
        <w:tc>
          <w:tcPr>
            <w:tcW w:w="180" w:type="dxa"/>
            <w:vAlign w:val="bottom"/>
            <w:gridSpan w:val="2"/>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80" w:type="dxa"/>
            <w:vAlign w:val="bottom"/>
            <w:tcBorders>
              <w:left w:val="single" w:sz="8" w:color="CCEEFF"/>
            </w:tcBorders>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7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b w:val="1"/>
                <w:bCs w:val="1"/>
                <w:color w:val="auto"/>
                <w:vertAlign w:val="superscript"/>
              </w:rPr>
              <w:t>​</w:t>
            </w:r>
          </w:p>
        </w:tc>
        <w:tc>
          <w:tcPr>
            <w:tcW w:w="420" w:type="dxa"/>
            <w:vAlign w:val="bottom"/>
          </w:tcPr>
          <w:p>
            <w:pPr>
              <w:spacing w:after="0"/>
              <w:rPr>
                <w:sz w:val="23"/>
                <w:szCs w:val="23"/>
                <w:color w:val="auto"/>
              </w:rPr>
            </w:pPr>
          </w:p>
        </w:tc>
        <w:tc>
          <w:tcPr>
            <w:tcW w:w="1100" w:type="dxa"/>
            <w:vAlign w:val="bottom"/>
            <w:gridSpan w:val="6"/>
          </w:tcPr>
          <w:p>
            <w:pPr>
              <w:ind w:left="40"/>
              <w:spacing w:after="0" w:line="269" w:lineRule="exact"/>
              <w:rPr>
                <w:sz w:val="20"/>
                <w:szCs w:val="20"/>
                <w:color w:val="auto"/>
              </w:rPr>
            </w:pP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b w:val="1"/>
                <w:bCs w:val="1"/>
                <w:color w:val="auto"/>
                <w:vertAlign w:val="superscript"/>
              </w:rPr>
              <w:t>​ —</w:t>
            </w:r>
            <w:r>
              <w:rPr>
                <w:rFonts w:ascii="Times New Roman" w:cs="Times New Roman" w:eastAsia="Times New Roman" w:hAnsi="Times New Roman"/>
                <w:sz w:val="17"/>
                <w:szCs w:val="17"/>
                <w:color w:val="auto"/>
              </w:rPr>
              <w:t xml:space="preserve"> ​​ ​</w:t>
            </w:r>
          </w:p>
        </w:tc>
        <w:tc>
          <w:tcPr>
            <w:tcW w:w="300" w:type="dxa"/>
            <w:vAlign w:val="bottom"/>
            <w:gridSpan w:val="3"/>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1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​1,191,840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​1,191,840</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 (unaudited)</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7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​​3,162,500​​ ​ ​ ​317 ​​ ​</w:t>
            </w: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11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167,167​​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rPr>
              <w:t>(570,333)</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(570,333)</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June 30, 2022 (unaudited)</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​317</w:t>
            </w:r>
          </w:p>
        </w:tc>
        <w:tc>
          <w:tcPr>
            <w:tcW w:w="260" w:type="dxa"/>
            <w:vAlign w:val="bottom"/>
            <w:tcBorders>
              <w:lef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lef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b w:val="1"/>
                <w:bCs w:val="1"/>
                <w:color w:val="auto"/>
              </w:rPr>
              <w:t>(403,166)</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(402,849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60" w:type="dxa"/>
            <w:vAlign w:val="bottom"/>
            <w:tcBorders>
              <w:left w:val="single" w:sz="8" w:color="CCEEFF"/>
            </w:tcBorders>
            <w:vMerge w:val="continue"/>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80" w:type="dxa"/>
            <w:vAlign w:val="bottom"/>
            <w:tcBorders>
              <w:left w:val="single" w:sz="8" w:color="CCEEFF"/>
            </w:tcBorders>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25"/>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10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 xml:space="preserve"> ​ — </w:t>
            </w:r>
            <w:r>
              <w:rPr>
                <w:rFonts w:ascii="Times New Roman" w:cs="Times New Roman" w:eastAsia="Times New Roman" w:hAnsi="Times New Roman"/>
                <w:sz w:val="18"/>
                <w:szCs w:val="18"/>
                <w:color w:val="auto"/>
              </w:rPr>
              <w:t>​​ ​</w:t>
            </w:r>
          </w:p>
        </w:tc>
        <w:tc>
          <w:tcPr>
            <w:tcW w:w="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gridSpan w:val="6"/>
            <w:vMerge w:val="continue"/>
          </w:tcPr>
          <w:p>
            <w:pPr>
              <w:spacing w:after="0"/>
              <w:rPr>
                <w:sz w:val="21"/>
                <w:szCs w:val="21"/>
                <w:color w:val="auto"/>
              </w:rPr>
            </w:pPr>
          </w:p>
        </w:tc>
        <w:tc>
          <w:tcPr>
            <w:tcW w:w="300" w:type="dxa"/>
            <w:vAlign w:val="bottom"/>
            <w:gridSpan w:val="3"/>
            <w:vMerge w:val="continue"/>
          </w:tcPr>
          <w:p>
            <w:pPr>
              <w:spacing w:after="0"/>
              <w:rPr>
                <w:sz w:val="21"/>
                <w:szCs w:val="21"/>
                <w:color w:val="auto"/>
              </w:rPr>
            </w:pPr>
          </w:p>
        </w:tc>
        <w:tc>
          <w:tcPr>
            <w:tcW w:w="720" w:type="dxa"/>
            <w:vAlign w:val="bottom"/>
            <w:gridSpan w:val="6"/>
            <w:vMerge w:val="continue"/>
          </w:tcPr>
          <w:p>
            <w:pPr>
              <w:spacing w:after="0"/>
              <w:rPr>
                <w:sz w:val="21"/>
                <w:szCs w:val="21"/>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(503,812​​)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(503,812​)</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Borders>
              <w:lef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w w:val="99"/>
              </w:rPr>
              <w:t>​(1,919,615)</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​(1,919,615)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6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260" w:type="dxa"/>
            <w:vAlign w:val="bottom"/>
            <w:tcBorders>
              <w:lef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80" w:type="dxa"/>
            <w:vAlign w:val="bottom"/>
            <w:tcBorders>
              <w:left w:val="single" w:sz="8" w:color="CCEEFF"/>
            </w:tcBorders>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 (unaudited)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​3,162,500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$317</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6"/>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$(2,826,593)</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$(2,826,276)</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3"/>
                <w:szCs w:val="3"/>
                <w:b w:val="1"/>
                <w:bCs w:val="1"/>
                <w:color w:val="auto"/>
              </w:rPr>
              <w:t>​ ​​</w:t>
            </w: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3"/>
                <w:szCs w:val="3"/>
                <w:b w:val="1"/>
                <w:bCs w:val="1"/>
                <w:color w:val="auto"/>
              </w:rPr>
              <w:t>​</w:t>
            </w: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3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8"/>
              </w:rPr>
              <w:t>For the Three and Nine Months Ended September 30, 2021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4"/>
                <w:szCs w:val="14"/>
                <w:color w:val="auto"/>
              </w:rPr>
            </w:pP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Stockholders’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94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6"/>
                <w:szCs w:val="26"/>
                <w:b w:val="1"/>
                <w:bCs w:val="1"/>
                <w:color w:val="auto"/>
                <w:vertAlign w:val="subscript"/>
              </w:rPr>
              <w:t>​ ​</w:t>
            </w:r>
          </w:p>
        </w:tc>
        <w:tc>
          <w:tcPr>
            <w:tcW w:w="9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7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77"/>
              </w:rPr>
              <w:t>$317</w:t>
            </w: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24,683</w:t>
            </w: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59"/>
              <w:spacing w:after="0" w:line="196" w:lineRule="exact"/>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8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22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26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tcBorders>
              <w:right w:val="single" w:sz="8" w:color="CCEEFF"/>
            </w:tcBorders>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7"/>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4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80" w:type="dxa"/>
            <w:vAlign w:val="bottom"/>
          </w:tcPr>
          <w:p>
            <w:pPr>
              <w:spacing w:after="0"/>
              <w:rPr>
                <w:sz w:val="23"/>
                <w:szCs w:val="23"/>
                <w:color w:val="auto"/>
              </w:rPr>
            </w:pP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March 31, 2021 (unaudited)</w:t>
            </w: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​317</w:t>
            </w:r>
          </w:p>
        </w:tc>
        <w:tc>
          <w:tcPr>
            <w:tcW w:w="2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Borders>
              <w:left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24,683</w:t>
            </w:r>
          </w:p>
        </w:tc>
        <w:tc>
          <w:tcPr>
            <w:tcW w:w="2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59"/>
              <w:spacing w:after="0" w:line="196" w:lineRule="exact"/>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8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vMerge w:val="continue"/>
            <w:shd w:val="clear" w:color="auto" w:fill="CCEEFF"/>
          </w:tcPr>
          <w:p>
            <w:pPr>
              <w:spacing w:after="0"/>
              <w:rPr>
                <w:sz w:val="4"/>
                <w:szCs w:val="4"/>
                <w:color w:val="auto"/>
              </w:rPr>
            </w:pPr>
          </w:p>
        </w:tc>
        <w:tc>
          <w:tcPr>
            <w:tcW w:w="26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3"/>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tcBorders>
              <w:right w:val="single" w:sz="8" w:color="CCEEFF"/>
            </w:tcBorders>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7"/>
                <w:szCs w:val="17"/>
                <w:color w:val="auto"/>
              </w:rPr>
            </w:pPr>
          </w:p>
        </w:tc>
        <w:tc>
          <w:tcPr>
            <w:tcW w:w="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59"/>
              <w:spacing w:after="0" w:line="202" w:lineRule="exact"/>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67"/>
        </w:trPr>
        <w:tc>
          <w:tcPr>
            <w:tcW w:w="3380" w:type="dxa"/>
            <w:vAlign w:val="bottom"/>
          </w:tcPr>
          <w:p>
            <w:pPr>
              <w:spacing w:after="0"/>
              <w:rPr>
                <w:sz w:val="5"/>
                <w:szCs w:val="5"/>
                <w:color w:val="auto"/>
              </w:rPr>
            </w:pPr>
          </w:p>
        </w:tc>
        <w:tc>
          <w:tcPr>
            <w:tcW w:w="18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June 30, 2021 (unaudited)</w:t>
            </w: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3,162,500</w:t>
            </w:r>
          </w:p>
        </w:tc>
        <w:tc>
          <w:tcPr>
            <w:tcW w:w="2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​317</w:t>
            </w:r>
          </w:p>
        </w:tc>
        <w:tc>
          <w:tcPr>
            <w:tcW w:w="2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Borders>
              <w:left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2"/>
              </w:rPr>
              <w:t>24,683</w:t>
            </w:r>
          </w:p>
        </w:tc>
        <w:tc>
          <w:tcPr>
            <w:tcW w:w="2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59"/>
              <w:spacing w:after="0" w:line="196" w:lineRule="exact"/>
              <w:rPr>
                <w:sz w:val="20"/>
                <w:szCs w:val="20"/>
                <w:color w:val="auto"/>
              </w:rPr>
            </w:pPr>
            <w:r>
              <w:rPr>
                <w:rFonts w:ascii="Times New Roman" w:cs="Times New Roman" w:eastAsia="Times New Roman" w:hAnsi="Times New Roman"/>
                <w:sz w:val="18"/>
                <w:szCs w:val="18"/>
                <w:b w:val="1"/>
                <w:bCs w:val="1"/>
                <w:color w:val="auto"/>
              </w:rPr>
              <w:t>(1,834)</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23,166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380" w:type="dxa"/>
            <w:vAlign w:val="bottom"/>
            <w:shd w:val="clear" w:color="auto" w:fill="CCEEFF"/>
          </w:tcPr>
          <w:p>
            <w:pPr>
              <w:spacing w:after="0"/>
              <w:rPr>
                <w:sz w:val="4"/>
                <w:szCs w:val="4"/>
                <w:color w:val="auto"/>
              </w:rPr>
            </w:pPr>
          </w:p>
        </w:tc>
        <w:tc>
          <w:tcPr>
            <w:tcW w:w="18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vMerge w:val="continue"/>
            <w:shd w:val="clear" w:color="auto" w:fill="CCEEFF"/>
          </w:tcPr>
          <w:p>
            <w:pPr>
              <w:spacing w:after="0"/>
              <w:rPr>
                <w:sz w:val="4"/>
                <w:szCs w:val="4"/>
                <w:color w:val="auto"/>
              </w:rPr>
            </w:pPr>
          </w:p>
        </w:tc>
        <w:tc>
          <w:tcPr>
            <w:tcW w:w="26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3"/>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tcBorders>
              <w:right w:val="single" w:sz="8" w:color="CCEEFF"/>
            </w:tcBorders>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Initial Public Offering Costs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allocated to Public Warrants (net of</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1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 — </w:t>
            </w:r>
            <w:r>
              <w:rPr>
                <w:rFonts w:ascii="Times New Roman" w:cs="Times New Roman" w:eastAsia="Times New Roman" w:hAnsi="Times New Roman"/>
                <w:sz w:val="18"/>
                <w:szCs w:val="18"/>
                <w:color w:val="auto"/>
              </w:rPr>
              <w:t>​​ ​​ ​15,052,646​​ ​​ ​</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16"/>
            <w:vMerge w:val="continue"/>
          </w:tcPr>
          <w:p>
            <w:pPr>
              <w:spacing w:after="0"/>
              <w:rPr>
                <w:sz w:val="21"/>
                <w:szCs w:val="21"/>
                <w:color w:val="auto"/>
              </w:rPr>
            </w:pPr>
          </w:p>
        </w:tc>
        <w:tc>
          <w:tcPr>
            <w:tcW w:w="1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​15,052,646​</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80" w:type="dxa"/>
            <w:vAlign w:val="bottom"/>
            <w:gridSpan w:val="2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 — </w:t>
            </w:r>
            <w:r>
              <w:rPr>
                <w:rFonts w:ascii="Times New Roman" w:cs="Times New Roman" w:eastAsia="Times New Roman" w:hAnsi="Times New Roman"/>
                <w:sz w:val="18"/>
                <w:szCs w:val="18"/>
                <w:color w:val="auto"/>
              </w:rPr>
              <w:t>​​ ​​ ​(15,077,329​​) ​​ ​(2,934,160​​) ​​ ​(18,011,489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380" w:type="dxa"/>
            <w:vAlign w:val="bottom"/>
            <w:gridSpan w:val="23"/>
            <w:vMerge w:val="continue"/>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b w:val="1"/>
                <w:bCs w:val="1"/>
                <w:color w:val="auto"/>
                <w:vertAlign w:val="superscript"/>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7"/>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b w:val="1"/>
                <w:bCs w:val="1"/>
                <w:color w:val="auto"/>
                <w:vertAlign w:val="superscript"/>
              </w:rPr>
              <w:t>​ —</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11"/>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​2,690,543</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80" w:type="dxa"/>
            <w:vAlign w:val="bottom"/>
          </w:tcPr>
          <w:p>
            <w:pPr>
              <w:spacing w:after="0"/>
              <w:rPr>
                <w:sz w:val="23"/>
                <w:szCs w:val="23"/>
                <w:color w:val="auto"/>
              </w:rPr>
            </w:pP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2,690,543</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 (unaudited)</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​3,162,500</w:t>
            </w: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$317</w:t>
            </w:r>
          </w:p>
        </w:tc>
        <w:tc>
          <w:tcPr>
            <w:tcW w:w="280" w:type="dxa"/>
            <w:vAlign w:val="bottom"/>
            <w:tcBorders>
              <w:right w:val="single" w:sz="8" w:color="CCEEFF"/>
            </w:tcBorders>
            <w:gridSpan w:val="2"/>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(245,451)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(245,134)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3380" w:type="dxa"/>
            <w:vAlign w:val="bottom"/>
            <w:shd w:val="clear" w:color="auto" w:fill="CCEEFF"/>
          </w:tcPr>
          <w:p>
            <w:pPr>
              <w:spacing w:after="0"/>
              <w:rPr>
                <w:sz w:val="6"/>
                <w:szCs w:val="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3"/>
                <w:szCs w:val="3"/>
                <w:b w:val="1"/>
                <w:bCs w:val="1"/>
                <w:color w:val="auto"/>
              </w:rPr>
              <w:t>​​​</w:t>
            </w: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22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 ​​</w:t>
            </w:r>
          </w:p>
        </w:tc>
        <w:tc>
          <w:tcPr>
            <w:tcW w:w="260" w:type="dxa"/>
            <w:vAlign w:val="bottom"/>
            <w:tcBorders>
              <w:lef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 ​​</w:t>
            </w:r>
          </w:p>
        </w:tc>
        <w:tc>
          <w:tcPr>
            <w:tcW w:w="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 ​​</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-3719830</wp:posOffset>
            </wp:positionV>
            <wp:extent cx="1460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-3719830</wp:posOffset>
            </wp:positionV>
            <wp:extent cx="2146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-3719830</wp:posOffset>
            </wp:positionV>
            <wp:extent cx="34461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-4062730</wp:posOffset>
            </wp:positionV>
            <wp:extent cx="1460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-4062730</wp:posOffset>
            </wp:positionV>
            <wp:extent cx="2146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-4062730</wp:posOffset>
            </wp:positionV>
            <wp:extent cx="344614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-4405630</wp:posOffset>
            </wp:positionV>
            <wp:extent cx="46462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64629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-213995</wp:posOffset>
            </wp:positionV>
            <wp:extent cx="1111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-213995</wp:posOffset>
            </wp:positionV>
            <wp:extent cx="1111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2061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-1294130</wp:posOffset>
            </wp:positionV>
            <wp:extent cx="1111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-1294130</wp:posOffset>
            </wp:positionV>
            <wp:extent cx="1111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-1294130</wp:posOffset>
            </wp:positionV>
            <wp:extent cx="320611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-1636395</wp:posOffset>
            </wp:positionV>
            <wp:extent cx="1111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-1636395</wp:posOffset>
            </wp:positionV>
            <wp:extent cx="1111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-1636395</wp:posOffset>
            </wp:positionV>
            <wp:extent cx="32061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-1979295</wp:posOffset>
            </wp:positionV>
            <wp:extent cx="45948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w:t>
      </w:r>
    </w:p>
    <w:p>
      <w:pPr>
        <w:ind w:left="4940"/>
        <w:spacing w:after="0" w:line="198" w:lineRule="auto"/>
        <w:rPr>
          <w:sz w:val="20"/>
          <w:szCs w:val="20"/>
          <w:color w:val="auto"/>
        </w:rPr>
      </w:pPr>
      <w:r>
        <w:rPr>
          <w:rFonts w:ascii="Times New Roman" w:cs="Times New Roman" w:eastAsia="Times New Roman" w:hAnsi="Times New Roman"/>
          <w:sz w:val="13"/>
          <w:szCs w:val="13"/>
          <w:color w:val="auto"/>
        </w:rPr>
        <w:t>statements.</w:t>
      </w: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c>
          <w:tcPr>
            <w:tcW w:w="40" w:type="dxa"/>
            <w:vAlign w:val="bottom"/>
          </w:tcPr>
          <w:p>
            <w:pPr>
              <w:spacing w:after="0"/>
              <w:rPr>
                <w:sz w:val="14"/>
                <w:szCs w:val="14"/>
                <w:color w:val="auto"/>
              </w:rPr>
            </w:pP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20"/>
                <w:szCs w:val="20"/>
                <w:color w:val="auto"/>
              </w:rPr>
            </w:pPr>
          </w:p>
        </w:tc>
        <w:tc>
          <w:tcPr>
            <w:tcW w:w="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03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440" w:right="140" w:hanging="179"/>
        <w:spacing w:after="0" w:line="281" w:lineRule="auto"/>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Warrant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Loss on sale of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Change in fair value of warrant liability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Franchise tax payable</w:t>
      </w:r>
    </w:p>
    <w:p>
      <w:pPr>
        <w:spacing w:after="0" w:line="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2400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54" w:lineRule="exact"/>
        <w:rPr>
          <w:sz w:val="20"/>
          <w:szCs w:val="20"/>
          <w:color w:val="auto"/>
        </w:rPr>
      </w:pPr>
    </w:p>
    <w:p>
      <w:pPr>
        <w:ind w:left="1440" w:right="640"/>
        <w:spacing w:after="0" w:line="276" w:lineRule="auto"/>
        <w:rPr>
          <w:sz w:val="20"/>
          <w:szCs w:val="20"/>
          <w:color w:val="auto"/>
        </w:rPr>
      </w:pPr>
      <w:r>
        <w:rPr>
          <w:rFonts w:ascii="Times New Roman" w:cs="Times New Roman" w:eastAsia="Times New Roman" w:hAnsi="Times New Roman"/>
          <w:sz w:val="18"/>
          <w:szCs w:val="18"/>
          <w:color w:val="auto"/>
        </w:rPr>
        <w:t>Cash withdrawn from Trust Account for payment of taxes Cash withdrawn from Trust Account for payment to redeeming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-153035</wp:posOffset>
            </wp:positionV>
            <wp:extent cx="5212080" cy="2997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2080" cy="29972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stockholders</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Cash deposited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Payment to redeeming stockholders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Proceeds from sale of private warrants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5"/>
                <w:szCs w:val="15"/>
                <w:color w:val="auto"/>
              </w:rPr>
            </w:pPr>
          </w:p>
        </w:tc>
        <w:tc>
          <w:tcPr>
            <w:tcW w:w="10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(1,298,108)  $</w:t>
            </w:r>
          </w:p>
        </w:tc>
        <w:tc>
          <w:tcPr>
            <w:tcW w:w="1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2,689,709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0" w:type="dxa"/>
            <w:vAlign w:val="bottom"/>
          </w:tcPr>
          <w:p>
            <w:pPr>
              <w:spacing w:after="0"/>
              <w:rPr>
                <w:sz w:val="1"/>
                <w:szCs w:val="1"/>
                <w:color w:val="auto"/>
              </w:rPr>
            </w:pPr>
          </w:p>
        </w:tc>
      </w:tr>
      <w:tr>
        <w:trPr>
          <w:trHeight w:val="180"/>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2"/>
              <w:spacing w:after="0" w:line="181" w:lineRule="exact"/>
              <w:rPr>
                <w:sz w:val="20"/>
                <w:szCs w:val="20"/>
                <w:color w:val="auto"/>
              </w:rPr>
            </w:pPr>
            <w:r>
              <w:rPr>
                <w:rFonts w:ascii="Times New Roman" w:cs="Times New Roman" w:eastAsia="Times New Roman" w:hAnsi="Times New Roman"/>
                <w:sz w:val="18"/>
                <w:szCs w:val="18"/>
                <w:color w:val="auto"/>
              </w:rPr>
              <w:t>(469,109)</w:t>
            </w:r>
          </w:p>
        </w:tc>
        <w:tc>
          <w:tcPr>
            <w:tcW w:w="100" w:type="dxa"/>
            <w:vAlign w:val="bottom"/>
          </w:tcPr>
          <w:p>
            <w:pPr>
              <w:spacing w:after="0"/>
              <w:rPr>
                <w:sz w:val="15"/>
                <w:szCs w:val="15"/>
                <w:color w:val="auto"/>
              </w:rPr>
            </w:pP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(7,023)</w:t>
            </w:r>
          </w:p>
        </w:tc>
        <w:tc>
          <w:tcPr>
            <w:tcW w:w="0" w:type="dxa"/>
            <w:vAlign w:val="bottom"/>
          </w:tcPr>
          <w:p>
            <w:pPr>
              <w:spacing w:after="0"/>
              <w:rPr>
                <w:sz w:val="1"/>
                <w:szCs w:val="1"/>
                <w:color w:val="auto"/>
              </w:rPr>
            </w:pPr>
          </w:p>
        </w:tc>
      </w:tr>
      <w:tr>
        <w:trPr>
          <w:trHeight w:val="76"/>
        </w:trPr>
        <w:tc>
          <w:tcPr>
            <w:tcW w:w="2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color w:val="auto"/>
              </w:rPr>
              <w:t>​​ ​​</w:t>
            </w: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1,253,928​</w:t>
            </w:r>
          </w:p>
        </w:tc>
        <w:tc>
          <w:tcPr>
            <w:tcW w:w="0" w:type="dxa"/>
            <w:vAlign w:val="bottom"/>
          </w:tcPr>
          <w:p>
            <w:pPr>
              <w:spacing w:after="0"/>
              <w:rPr>
                <w:sz w:val="1"/>
                <w:szCs w:val="1"/>
                <w:color w:val="auto"/>
              </w:rPr>
            </w:pPr>
          </w:p>
        </w:tc>
      </w:tr>
      <w:tr>
        <w:trPr>
          <w:trHeight w:val="180"/>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2"/>
              <w:spacing w:after="0" w:line="181" w:lineRule="exact"/>
              <w:rPr>
                <w:sz w:val="20"/>
                <w:szCs w:val="20"/>
                <w:color w:val="auto"/>
              </w:rPr>
            </w:pPr>
            <w:r>
              <w:rPr>
                <w:rFonts w:ascii="Times New Roman" w:cs="Times New Roman" w:eastAsia="Times New Roman" w:hAnsi="Times New Roman"/>
                <w:sz w:val="18"/>
                <w:szCs w:val="18"/>
                <w:color w:val="auto"/>
              </w:rPr>
              <w:t>(46,279)</w:t>
            </w:r>
          </w:p>
        </w:tc>
        <w:tc>
          <w:tcPr>
            <w:tcW w:w="100" w:type="dxa"/>
            <w:vAlign w:val="bottom"/>
          </w:tcPr>
          <w:p>
            <w:pPr>
              <w:spacing w:after="0"/>
              <w:rPr>
                <w:sz w:val="15"/>
                <w:szCs w:val="15"/>
                <w:color w:val="auto"/>
              </w:rPr>
            </w:pP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(4,072,514)</w:t>
            </w:r>
          </w:p>
        </w:tc>
        <w:tc>
          <w:tcPr>
            <w:tcW w:w="0" w:type="dxa"/>
            <w:vAlign w:val="bottom"/>
          </w:tcPr>
          <w:p>
            <w:pPr>
              <w:spacing w:after="0"/>
              <w:rPr>
                <w:sz w:val="1"/>
                <w:szCs w:val="1"/>
                <w:color w:val="auto"/>
              </w:rPr>
            </w:pPr>
          </w:p>
        </w:tc>
      </w:tr>
      <w:tr>
        <w:trPr>
          <w:trHeight w:val="103"/>
        </w:trPr>
        <w:tc>
          <w:tcPr>
            <w:tcW w:w="2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9"/>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973,726​​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131,564​​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(366,584​)</w:t>
            </w:r>
          </w:p>
        </w:tc>
        <w:tc>
          <w:tcPr>
            <w:tcW w:w="0" w:type="dxa"/>
            <w:vAlign w:val="bottom"/>
          </w:tcPr>
          <w:p>
            <w:pPr>
              <w:spacing w:after="0"/>
              <w:rPr>
                <w:sz w:val="1"/>
                <w:szCs w:val="1"/>
                <w:color w:val="auto"/>
              </w:rPr>
            </w:pPr>
          </w:p>
        </w:tc>
      </w:tr>
      <w:tr>
        <w:trPr>
          <w:trHeight w:val="256"/>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39,340​​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1080" w:type="dxa"/>
            <w:vAlign w:val="bottom"/>
            <w:gridSpan w:val="3"/>
          </w:tcPr>
          <w:p>
            <w:pPr>
              <w:jc w:val="right"/>
              <w:ind w:right="60"/>
              <w:spacing w:after="0" w:line="247" w:lineRule="exact"/>
              <w:rPr>
                <w:sz w:val="20"/>
                <w:szCs w:val="20"/>
                <w:color w:val="auto"/>
              </w:rPr>
            </w:pPr>
            <w:r>
              <w:rPr>
                <w:rFonts w:ascii="Times New Roman" w:cs="Times New Roman" w:eastAsia="Times New Roman" w:hAnsi="Times New Roman"/>
                <w:sz w:val="15"/>
                <w:szCs w:val="15"/>
                <w:color w:val="auto"/>
              </w:rPr>
              <w:t>84,400</w:t>
            </w:r>
            <w:r>
              <w:rPr>
                <w:rFonts w:ascii="Times New Roman" w:cs="Times New Roman" w:eastAsia="Times New Roman" w:hAnsi="Times New Roman"/>
                <w:sz w:val="28"/>
                <w:szCs w:val="28"/>
                <w:color w:val="auto"/>
                <w:vertAlign w:val="subscript"/>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24,034</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52"/>
              <w:spacing w:after="0" w:line="196" w:lineRule="exact"/>
              <w:rPr>
                <w:sz w:val="20"/>
                <w:szCs w:val="20"/>
                <w:color w:val="auto"/>
              </w:rPr>
            </w:pPr>
            <w:r>
              <w:rPr>
                <w:rFonts w:ascii="Times New Roman" w:cs="Times New Roman" w:eastAsia="Times New Roman" w:hAnsi="Times New Roman"/>
                <w:sz w:val="18"/>
                <w:szCs w:val="18"/>
                <w:b w:val="1"/>
                <w:bCs w:val="1"/>
                <w:color w:val="auto"/>
              </w:rPr>
              <w:t>(583,456)</w:t>
            </w:r>
          </w:p>
        </w:tc>
        <w:tc>
          <w:tcPr>
            <w:tcW w:w="1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(459,653)</w:t>
            </w:r>
          </w:p>
        </w:tc>
        <w:tc>
          <w:tcPr>
            <w:tcW w:w="0" w:type="dxa"/>
            <w:vAlign w:val="bottom"/>
          </w:tcPr>
          <w:p>
            <w:pPr>
              <w:spacing w:after="0"/>
              <w:rPr>
                <w:sz w:val="1"/>
                <w:szCs w:val="1"/>
                <w:color w:val="auto"/>
              </w:rPr>
            </w:pPr>
          </w:p>
        </w:tc>
      </w:tr>
      <w:tr>
        <w:trPr>
          <w:trHeight w:val="68"/>
        </w:trPr>
        <w:tc>
          <w:tcPr>
            <w:tcW w:w="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99,671​​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14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 ​​ ​97,194,950​​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2"/>
              <w:spacing w:after="0" w:line="202" w:lineRule="exact"/>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7"/>
                <w:szCs w:val="17"/>
                <w:color w:val="auto"/>
              </w:rPr>
            </w:pPr>
          </w:p>
        </w:tc>
        <w:tc>
          <w:tcPr>
            <w:tcW w:w="10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​(128,397,500)</w:t>
            </w:r>
          </w:p>
        </w:tc>
        <w:tc>
          <w:tcPr>
            <w:tcW w:w="0" w:type="dxa"/>
            <w:vAlign w:val="bottom"/>
          </w:tcPr>
          <w:p>
            <w:pPr>
              <w:spacing w:after="0"/>
              <w:rPr>
                <w:sz w:val="1"/>
                <w:szCs w:val="1"/>
                <w:color w:val="auto"/>
              </w:rPr>
            </w:pPr>
          </w:p>
        </w:tc>
      </w:tr>
      <w:tr>
        <w:trPr>
          <w:trHeight w:val="68"/>
        </w:trPr>
        <w:tc>
          <w:tcPr>
            <w:tcW w:w="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hanging="81"/>
        <w:spacing w:after="0" w:line="182" w:lineRule="auto"/>
        <w:tabs>
          <w:tab w:leader="none" w:pos="120" w:val="left"/>
        </w:tabs>
        <w:numPr>
          <w:ilvl w:val="0"/>
          <w:numId w:val="10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33"/>
          <w:szCs w:val="33"/>
          <w:b w:val="1"/>
          <w:bCs w:val="1"/>
          <w:u w:val="single" w:color="auto"/>
          <w:color w:val="auto"/>
          <w:vertAlign w:val="sub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​96,894,621</w:t>
      </w:r>
      <w:r>
        <w:rPr>
          <w:rFonts w:ascii="Times New Roman" w:cs="Times New Roman" w:eastAsia="Times New Roman" w:hAnsi="Times New Roman"/>
          <w:sz w:val="33"/>
          <w:szCs w:val="33"/>
          <w:b w:val="1"/>
          <w:bCs w:val="1"/>
          <w:color w:val="auto"/>
          <w:vertAlign w:val="subscript"/>
        </w:rPr>
        <w:t>​​ ​</w:t>
      </w:r>
      <w:r>
        <w:rPr>
          <w:rFonts w:ascii="Times New Roman" w:cs="Times New Roman" w:eastAsia="Times New Roman" w:hAnsi="Times New Roman"/>
          <w:sz w:val="33"/>
          <w:szCs w:val="33"/>
          <w:b w:val="1"/>
          <w:bCs w:val="1"/>
          <w:u w:val="single" w:color="auto"/>
          <w:color w:val="auto"/>
          <w:vertAlign w:val="sub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​(128,397,500</w:t>
      </w: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17"/>
          <w:szCs w:val="17"/>
          <w:b w:val="1"/>
          <w:b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7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0" w:type="dxa"/>
            <w:vAlign w:val="bottom"/>
          </w:tcPr>
          <w:p>
            <w:pPr>
              <w:spacing w:after="0"/>
              <w:rPr>
                <w:sz w:val="1"/>
                <w:szCs w:val="1"/>
                <w:color w:val="auto"/>
              </w:rPr>
            </w:pPr>
          </w:p>
        </w:tc>
      </w:tr>
      <w:tr>
        <w:trPr>
          <w:trHeight w:val="270"/>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400,000​​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189"/>
        </w:trPr>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tcPr>
          <w:p>
            <w:pPr>
              <w:jc w:val="right"/>
              <w:ind w:right="129"/>
              <w:spacing w:after="0" w:line="189" w:lineRule="exact"/>
              <w:rPr>
                <w:sz w:val="20"/>
                <w:szCs w:val="20"/>
                <w:color w:val="auto"/>
              </w:rPr>
            </w:pPr>
            <w:r>
              <w:rPr>
                <w:rFonts w:ascii="Times New Roman" w:cs="Times New Roman" w:eastAsia="Times New Roman" w:hAnsi="Times New Roman"/>
                <w:sz w:val="18"/>
                <w:szCs w:val="18"/>
                <w:color w:val="auto"/>
              </w:rPr>
              <w:t>​(97,194,950)</w:t>
            </w: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270"/>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4,299,500​</w:t>
            </w:r>
          </w:p>
        </w:tc>
        <w:tc>
          <w:tcPr>
            <w:tcW w:w="0" w:type="dxa"/>
            <w:vAlign w:val="bottom"/>
          </w:tcPr>
          <w:p>
            <w:pPr>
              <w:spacing w:after="0"/>
              <w:rPr>
                <w:sz w:val="1"/>
                <w:szCs w:val="1"/>
                <w:color w:val="auto"/>
              </w:rPr>
            </w:pPr>
          </w:p>
        </w:tc>
      </w:tr>
      <w:tr>
        <w:trPr>
          <w:trHeight w:val="256"/>
        </w:trPr>
        <w:tc>
          <w:tcPr>
            <w:tcW w:w="40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108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9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(580,139</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gridSpan w:val="3"/>
          </w:tcPr>
          <w:p>
            <w:pPr>
              <w:jc w:val="right"/>
              <w:ind w:right="129"/>
              <w:spacing w:after="0"/>
              <w:rPr>
                <w:sz w:val="20"/>
                <w:szCs w:val="20"/>
                <w:color w:val="auto"/>
              </w:rPr>
            </w:pPr>
            <w:r>
              <w:rPr>
                <w:rFonts w:ascii="Times New Roman" w:cs="Times New Roman" w:eastAsia="Times New Roman" w:hAnsi="Times New Roman"/>
                <w:sz w:val="18"/>
                <w:szCs w:val="18"/>
                <w:b w:val="1"/>
                <w:bCs w:val="1"/>
                <w:color w:val="auto"/>
              </w:rPr>
              <w:t>​(96,794,950)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129,719,361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b w:val="1"/>
                <w:bCs w:val="1"/>
                <w:color w:val="auto"/>
              </w:rPr>
              <w:t>(483,785)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862,208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2"/>
        </w:trPr>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b w:val="1"/>
                <w:bCs w:val="1"/>
                <w:color w:val="auto"/>
              </w:rPr>
              <w:t>​​ ​​</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40" w:space="240"/>
            <w:col w:w="27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8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440" w:type="dxa"/>
            <w:vAlign w:val="bottom"/>
            <w:gridSpan w:val="2"/>
            <w:shd w:val="clear" w:color="auto" w:fill="CCEEFF"/>
          </w:tcPr>
          <w:p>
            <w:pPr>
              <w:ind w:left="40"/>
              <w:spacing w:after="0" w:line="285"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3"/>
                <w:szCs w:val="33"/>
                <w:color w:val="auto"/>
                <w:vertAlign w:val="superscript"/>
              </w:rPr>
              <w:t>​</w:t>
            </w:r>
          </w:p>
        </w:tc>
        <w:tc>
          <w:tcPr>
            <w:tcW w:w="1200" w:type="dxa"/>
            <w:vAlign w:val="bottom"/>
            <w:gridSpan w:val="3"/>
            <w:shd w:val="clear" w:color="auto" w:fill="CCEEFF"/>
          </w:tcPr>
          <w:p>
            <w:pPr>
              <w:ind w:left="120"/>
              <w:spacing w:after="0" w:line="285" w:lineRule="exact"/>
              <w:rPr>
                <w:sz w:val="20"/>
                <w:szCs w:val="20"/>
                <w:color w:val="auto"/>
              </w:rPr>
            </w:pPr>
            <w:r>
              <w:rPr>
                <w:rFonts w:ascii="Times New Roman" w:cs="Times New Roman" w:eastAsia="Times New Roman" w:hAnsi="Times New Roman"/>
                <w:sz w:val="17"/>
                <w:szCs w:val="17"/>
                <w:color w:val="auto"/>
              </w:rPr>
              <w:t>799,808</w:t>
            </w: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 xml:space="preserve">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44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20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16"/>
                <w:szCs w:val="16"/>
                <w:b w:val="1"/>
                <w:bCs w:val="1"/>
                <w:color w:val="auto"/>
              </w:rPr>
              <w:t>316,023</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8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887,208</w:t>
            </w:r>
            <w:r>
              <w:rPr>
                <w:rFonts w:ascii="Times New Roman" w:cs="Times New Roman" w:eastAsia="Times New Roman" w:hAnsi="Times New Roman"/>
                <w:sz w:val="30"/>
                <w:szCs w:val="30"/>
                <w:b w:val="1"/>
                <w:bCs w:val="1"/>
                <w:color w:val="auto"/>
                <w:vertAlign w:val="subscript"/>
              </w:rPr>
              <w:t>​</w:t>
            </w:r>
          </w:p>
        </w:tc>
      </w:tr>
      <w:tr>
        <w:trPr>
          <w:trHeight w:val="20"/>
        </w:trPr>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w:t>
      </w:r>
    </w:p>
    <w:p>
      <w:pPr>
        <w:ind w:left="4940"/>
        <w:spacing w:after="0" w:line="198" w:lineRule="auto"/>
        <w:rPr>
          <w:sz w:val="20"/>
          <w:szCs w:val="20"/>
          <w:color w:val="auto"/>
        </w:rPr>
      </w:pPr>
      <w:r>
        <w:rPr>
          <w:rFonts w:ascii="Times New Roman" w:cs="Times New Roman" w:eastAsia="Times New Roman" w:hAnsi="Times New Roman"/>
          <w:sz w:val="13"/>
          <w:szCs w:val="13"/>
          <w:color w:val="auto"/>
        </w:rPr>
        <w:t>statements.</w:t>
      </w: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Chardan NexTech Acquisition 2 Corp (the “Company” or “Chardan”)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As of September 30, 2022, the Company had not yet commenced any operations. All activity for the period from June 23, 2020 (Inception) through September 30,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32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14"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 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 Allotment Private Warrants”) at a purchase price of $0.93 per Over-Allotment Private Warrant in a private placement to the Holdings, generating gross proceeds of $247,500.</w:t>
      </w:r>
    </w:p>
    <w:p>
      <w:pPr>
        <w:spacing w:after="0" w:line="323"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1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(“ASC 480”).</w:t>
      </w:r>
    </w:p>
    <w:p>
      <w:pPr>
        <w:spacing w:after="0" w:line="32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3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Company had 12 months, or until August 13, 2022, from the closing of the Initial Public Offering to consummate an initial Business Combination. However, prior to such date, the Stockholders (as defined in this Note 1) approved a proposal to amend the Company’s Amended and Restated Certificate of Incorporation (the “Charter”), to extend the date by which the Company must complete a Business Combination, as further discussed in this Note 1.</w:t>
      </w:r>
    </w:p>
    <w:p>
      <w:pPr>
        <w:spacing w:after="0" w:line="110"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2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provides that, among other things and upon the terms and subject to the conditions thereof, the following transactions will occur:</w:t>
      </w:r>
    </w:p>
    <w:p>
      <w:pPr>
        <w:spacing w:after="0" w:line="114" w:lineRule="exact"/>
        <w:rPr>
          <w:sz w:val="20"/>
          <w:szCs w:val="20"/>
          <w:color w:val="auto"/>
        </w:rPr>
      </w:pPr>
    </w:p>
    <w:p>
      <w:pPr>
        <w:ind w:left="1980" w:right="439" w:hanging="360"/>
        <w:spacing w:after="0" w:line="256" w:lineRule="auto"/>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ceased and Dragonfly was the surviving corporation and a wholly owned subsidiary of Chardan (the “Merger”);</w:t>
      </w:r>
    </w:p>
    <w:p>
      <w:pPr>
        <w:spacing w:after="0" w:line="106"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Chardan changed its name to “Dragonfly Energy Holdings Corp.” and is referred to herein as “New Dragonfly”;</w:t>
      </w:r>
    </w:p>
    <w:p>
      <w:pPr>
        <w:spacing w:after="0" w:line="94"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among other things, all shares of capital stock of Dragonfly outstanding as of immediately prior to the effective time of the Merger were canceled in exchange for the right to receive shares of common stock, par value $0.0001 per share, of New Dragonfly (“New Dragonfly Common Stock”);</w:t>
      </w:r>
    </w:p>
    <w:p>
      <w:pPr>
        <w:spacing w:after="0" w:line="98"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each Dragonfly option outstanding as of immediately prior to the effective time of the Merger converted into the right to receive a New Dragonfly option, subject to certain exceptions and conditions as set forth in the Merger Agreement;</w:t>
      </w:r>
    </w:p>
    <w:p>
      <w:pPr>
        <w:spacing w:after="0" w:line="108"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40,000,000 shares of New Dragonfly Common Stock became issuable to existing holders of Dragonfly capital stock or pursuant to the aforementioned converted options; and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existing holders of Dragonfly capital stock will have the right to receive up to an aggregate of 40,000,000 additional shares of New Dragonfly Common Stock in three tranches as follows:</w:t>
      </w:r>
    </w:p>
    <w:p>
      <w:pPr>
        <w:spacing w:after="0" w:line="94" w:lineRule="exact"/>
        <w:rPr>
          <w:rFonts w:ascii="Times New Roman" w:cs="Times New Roman" w:eastAsia="Times New Roman" w:hAnsi="Times New Roman"/>
          <w:sz w:val="18"/>
          <w:szCs w:val="18"/>
          <w:color w:val="auto"/>
        </w:rPr>
      </w:pPr>
    </w:p>
    <w:p>
      <w:pPr>
        <w:ind w:left="2340" w:right="559" w:hanging="360"/>
        <w:spacing w:after="0" w:line="256" w:lineRule="auto"/>
        <w:tabs>
          <w:tab w:leader="none" w:pos="23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“SEC”), New Dragonfly’s (x) total audited revenue for the year ended December 31, 2023 is equal to or greater than $250,000,000, and (y) audited operating income for the year ended December 31, 2023 is equal to or greater than $35,000,000;</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2" w:lineRule="exact"/>
        <w:rPr>
          <w:sz w:val="20"/>
          <w:szCs w:val="20"/>
          <w:color w:val="auto"/>
        </w:rPr>
      </w:pPr>
    </w:p>
    <w:p>
      <w:pPr>
        <w:ind w:left="2340" w:right="419" w:hanging="360"/>
        <w:spacing w:after="0" w:line="256" w:lineRule="auto"/>
        <w:tabs>
          <w:tab w:leader="none" w:pos="2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“Second Milestone”); and</w:t>
      </w:r>
    </w:p>
    <w:p>
      <w:pPr>
        <w:spacing w:after="0" w:line="92" w:lineRule="exact"/>
        <w:rPr>
          <w:rFonts w:ascii="Times New Roman" w:cs="Times New Roman" w:eastAsia="Times New Roman" w:hAnsi="Times New Roman"/>
          <w:sz w:val="18"/>
          <w:szCs w:val="18"/>
          <w:color w:val="auto"/>
        </w:rPr>
      </w:pPr>
    </w:p>
    <w:p>
      <w:pPr>
        <w:ind w:left="2340" w:right="479" w:hanging="360"/>
        <w:spacing w:after="0" w:line="255" w:lineRule="auto"/>
        <w:tabs>
          <w:tab w:leader="none" w:pos="2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“Third Earnout”), if at any time during the period beginning on the Closing Date and ending on December 31, 2028, the VWAP of the New Dragonfly common stock over any 20 Trading Days (which may or may not be consecutive) within any</w:t>
      </w:r>
    </w:p>
    <w:p>
      <w:pPr>
        <w:spacing w:after="0" w:line="2" w:lineRule="exact"/>
        <w:rPr>
          <w:rFonts w:ascii="Times New Roman" w:cs="Times New Roman" w:eastAsia="Times New Roman" w:hAnsi="Times New Roman"/>
          <w:sz w:val="18"/>
          <w:szCs w:val="18"/>
          <w:color w:val="auto"/>
        </w:rPr>
      </w:pPr>
    </w:p>
    <w:p>
      <w:pPr>
        <w:ind w:left="2340" w:right="9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consecutive Trading Day period is greater than or equal to $32.50 per share of New Dragonfly common stock (the “Third Milestone”).</w:t>
      </w:r>
    </w:p>
    <w:p>
      <w:pPr>
        <w:spacing w:after="0" w:line="114" w:lineRule="exact"/>
        <w:rPr>
          <w:sz w:val="20"/>
          <w:szCs w:val="20"/>
          <w:color w:val="auto"/>
        </w:rPr>
      </w:pPr>
    </w:p>
    <w:p>
      <w:pPr>
        <w:ind w:left="1260" w:right="699" w:firstLine="360"/>
        <w:spacing w:after="0" w:line="244" w:lineRule="auto"/>
        <w:rPr>
          <w:sz w:val="20"/>
          <w:szCs w:val="20"/>
          <w:color w:val="auto"/>
        </w:rPr>
      </w:pPr>
      <w:r>
        <w:rPr>
          <w:rFonts w:ascii="Times New Roman" w:cs="Times New Roman" w:eastAsia="Times New Roman" w:hAnsi="Times New Roman"/>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of Chardan (the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0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Board will be composed of seven members, five of whom will be designated by Dragonfly and two of whom will be designated by Chardan.</w:t>
      </w:r>
    </w:p>
    <w:p>
      <w:pPr>
        <w:spacing w:after="0" w:line="9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1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0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32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July 12, 2022, the Company, Dragonfly and Merger Sub entered into that certain Amendment to the Agreement and Plan of Merger, between the Company, Dragonfly and Merger Sub (the “Amendment”),</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619"/>
        <w:spacing w:after="0" w:line="247" w:lineRule="auto"/>
        <w:rPr>
          <w:sz w:val="20"/>
          <w:szCs w:val="20"/>
          <w:color w:val="auto"/>
        </w:rPr>
      </w:pPr>
      <w:r>
        <w:rPr>
          <w:rFonts w:ascii="Times New Roman" w:cs="Times New Roman" w:eastAsia="Times New Roman" w:hAnsi="Times New Roman"/>
          <w:sz w:val="18"/>
          <w:szCs w:val="18"/>
          <w:color w:val="auto"/>
        </w:rPr>
        <w:t>which amended the Merger Agreement to, among other things, reflect a $15 million increase in the consideration to be issued in the business combination in connection with Dragonfly entering into a Stock Purchase Agreement with THOR Industries, Inc. (“THOR”), dated as of July 12, 2022, whereby for</w:t>
      </w:r>
    </w:p>
    <w:p>
      <w:pPr>
        <w:spacing w:after="0" w:line="2"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$15 million in cash, THOR purchased 1,267,502 shares of Dragonfly common stock (the “THOR Investment”) .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 Other than as expressly modified by the Amendment, the Merger Agreement remains in full force and effect.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August 5, 2022, Chardan held a special meeting (the “Special Meeting”), at which holders of</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11,331,512 shares of common stock of Chardan, par value $0.0001 per share (“Chardan Common Stock”), were present in person or by proxy, representing approximately 71.66% of the voting power of the 15,812,500 shares of Chardan Common Stock issued and outstanding entitled to vote at the Special Meeting at the close of business on July 11, 2022, which was the record date (the “Record Date”) for the Special Meeting. Stockholders of record as of the close of business on the Record Date are referred to herein as “Stockholders.”</w:t>
      </w:r>
    </w:p>
    <w:p>
      <w:pPr>
        <w:spacing w:after="0" w:line="32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the Special Meeting, the Stockholders approved the proposal to amend the Company’s Amended and Restated Certificate of Incorporation (the “Charter”) to provide the Company’s officers, directors, initial stockholders and Chardan NexTech 2 Warrant Holdings, LLC (collectively, the “Insiders”) the ability to extend the date by which the Company must complete a business combination up to three (3) times for an additional one (1) month each time (for a maximum of three (3) one-month extensions) upon the deposit into the trust account (the “Trust Account”) by the Insiders, their affiliates or designees of $200,000 upon five days’ advance notice prior to August 13, 2022 (or such other applicable deadline) (the “Extension,” and such proposal, the “Charter Amendment”). On July 29, 2022, to effectuate the Charter Amendment, the board of directors of the Company (the “Board”) approved and adopted the Second Amended and Restated Memorandum and Articles of Association of the Company (the “Second A&amp;R Charter”).</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 resulting in the distribution of $97,194,950 from the Trust Account to the redeeming Stockholders. Following such redemptions, approximately $31,460,579 remains in the Trust Account and 6,255,848 shares of Chardan Common Stock will remain issued and outstanding.</w:t>
      </w:r>
    </w:p>
    <w:p>
      <w:pPr>
        <w:spacing w:after="0" w:line="114"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“Trust Agreement”), by and between the Company and Continental Stock Transfer &amp; Company (the “Trustee”) to authorize the Extension and its implementation by the Company (the “Trust Amendment Proposal”). On July 29, 2022, to effectuate the Trust Amendment Proposal, the Board approved and adopted Amendment No. 1 to the Investment Management Trust Agreement (the “Trust Agreement Amendment”).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Registration Rights &amp; Certain Restrictions on Transfer</w:t>
      </w:r>
    </w:p>
    <w:p>
      <w:pPr>
        <w:spacing w:after="0" w:line="146"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Merger Agreement contemplates that, at the Closing, New Dragonfly, Chardan NexTech Investments 2 LLC, a Delaware limited liability company (the “Sponsor”), Chardan’s initial stockholders, certain stockholders of Dragonfly and certain of each of their respective affiliates, as applicable, and the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parties thereto, will enter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“Lock-up Shares”). Such restrictions begin at the Closing and end on the date that is six months after Closing.</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46"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14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1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As set forth in the Subscription Agreement, the PIPE Investor may purchase shares of the Chardan common stock, par value $0.0001 per share (“Chardan Common Stock”) in the open market, and reduce</w:t>
      </w:r>
    </w:p>
    <w:p>
      <w:pPr>
        <w:ind w:left="1260" w:right="439"/>
        <w:spacing w:after="0" w:line="252" w:lineRule="auto"/>
        <w:tabs>
          <w:tab w:leader="none" w:pos="148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PIPE Investment was consummated substantially concurrently with the Closing.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Debt Commitment Letter</w:t>
      </w:r>
    </w:p>
    <w:p>
      <w:pPr>
        <w:spacing w:after="0" w:line="16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0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 (v) 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w:t>
      </w:r>
    </w:p>
    <w:p>
      <w:pPr>
        <w:spacing w:after="0" w:line="2" w:lineRule="exact"/>
        <w:rPr>
          <w:sz w:val="20"/>
          <w:szCs w:val="20"/>
          <w:color w:val="auto"/>
        </w:rPr>
      </w:pPr>
    </w:p>
    <w:p>
      <w:pPr>
        <w:ind w:left="1260" w:right="459"/>
        <w:spacing w:after="0" w:line="241" w:lineRule="auto"/>
        <w:tabs>
          <w:tab w:leader="none" w:pos="15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Facility Letter Agreement</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32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were filed on Form 8-K, as filed on May 16, 2022.</w:t>
      </w:r>
    </w:p>
    <w:p>
      <w:pPr>
        <w:spacing w:after="0" w:line="33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w:t>
      </w: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12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unaudited condensed consolidated financial statements. The specific impact on the Company’s financial condition, results of operations, and cash flows is also not determinable as of the date of these unaudited condensed consolidated financial statements.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NOTE 2. BASIS OF PRESENTATION AND SUMMARY OF SIGNIFICANT ACCOUNTING POLICIES</w:t>
      </w: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as filed with the SEC on March 29, 2022. The interim results for the three and</w:t>
      </w:r>
    </w:p>
    <w:p>
      <w:pPr>
        <w:spacing w:after="0" w:line="2" w:lineRule="exact"/>
        <w:rPr>
          <w:sz w:val="20"/>
          <w:szCs w:val="20"/>
          <w:color w:val="auto"/>
        </w:rPr>
      </w:pPr>
    </w:p>
    <w:p>
      <w:pPr>
        <w:ind w:left="1260" w:right="679"/>
        <w:spacing w:after="0" w:line="260" w:lineRule="auto"/>
        <w:rPr>
          <w:sz w:val="20"/>
          <w:szCs w:val="20"/>
          <w:color w:val="auto"/>
        </w:rPr>
      </w:pPr>
      <w:r>
        <w:rPr>
          <w:rFonts w:ascii="Times New Roman" w:cs="Times New Roman" w:eastAsia="Times New Roman" w:hAnsi="Times New Roman"/>
          <w:sz w:val="18"/>
          <w:szCs w:val="18"/>
          <w:color w:val="auto"/>
        </w:rPr>
        <w:t>nine months ended September 30, 2022 are not necessarily indicative of the results to be expected for the year ending December 31, 2022 or for any future periods.</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periods.</w:t>
      </w:r>
    </w:p>
    <w:p>
      <w:pPr>
        <w:spacing w:after="0" w:line="113"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2022 and December 31, 2021.</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Investments Held in Trust Account</w:t>
      </w:r>
    </w:p>
    <w:p>
      <w:pPr>
        <w:spacing w:after="0" w:line="14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Account in the accompanying statement of operations. The estimated fair values of investments held in the Trust Account are determined using available market information. At September 30, 2022, cash held in the Trust Account was $31,995,703. As of December 31, 2021, investments held in the Trust Account were $128,421,215.</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4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On August 5, 2022, in connection with the Charter Amendment, 9,556,652 shares of Chardan common stock were redeemed, resulting in the distribution of $97,194,950 from the Trust Account to the redeeming stockholders. Following such redemptions, approximately $31,460,579 million remained in the Trust Account and 6,255,848 shares of Common Stock remained issued and outstanding. Accordingly, as of September 30, 2022 and December 31, 2021, 3,093,348 and 12,650,000 shares of common stock subject to possible redemption are presented as temporary equity, outside of the stockholders’ equity (deficit) section of the Company’s unaudited condensed consolidated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32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14"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common stock reflected in the unaudited condensed consolidated balance sheets are reconciled in the following table:</w:t>
      </w:r>
    </w:p>
    <w:p>
      <w:pPr>
        <w:sectPr>
          <w:pgSz w:w="11900" w:h="16838" w:orient="portrait"/>
          <w:cols w:equalWidth="0" w:num="1">
            <w:col w:w="9879"/>
          </w:cols>
          <w:pgMar w:left="580" w:top="97" w:right="1440" w:bottom="1440" w:gutter="0" w:footer="0" w:header="0"/>
        </w:sectPr>
      </w:pP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allocated to Public Warrants</w:t>
      </w:r>
    </w:p>
    <w:p>
      <w:pPr>
        <w:spacing w:after="0" w:line="4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costs allocated to common stock</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w:t>
      </w:r>
    </w:p>
    <w:p>
      <w:pPr>
        <w:spacing w:after="0" w:line="49" w:lineRule="exact"/>
        <w:rPr>
          <w:rFonts w:ascii="Times New Roman" w:cs="Times New Roman" w:eastAsia="Times New Roman" w:hAnsi="Times New Roman"/>
          <w:sz w:val="18"/>
          <w:szCs w:val="18"/>
          <w:color w:val="auto"/>
        </w:rPr>
      </w:pPr>
    </w:p>
    <w:p>
      <w:pPr>
        <w:ind w:left="1800" w:hanging="180"/>
        <w:spacing w:after="0" w:line="184" w:lineRule="auto"/>
        <w:tabs>
          <w:tab w:leader="none" w:pos="1800" w:val="left"/>
        </w:tabs>
        <w:numPr>
          <w:ilvl w:val="0"/>
          <w:numId w:val="113"/>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Accretion of common stock to redemption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-325120</wp:posOffset>
            </wp:positionV>
            <wp:extent cx="4749165" cy="1631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 at December 31, 2021</w:t>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hanging="180"/>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common stock by stockholders</w:t>
      </w:r>
    </w:p>
    <w:p>
      <w:pPr>
        <w:spacing w:after="0" w:line="4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w:t>
      </w:r>
    </w:p>
    <w:p>
      <w:pPr>
        <w:spacing w:after="0" w:line="49" w:lineRule="exact"/>
        <w:rPr>
          <w:rFonts w:ascii="Times New Roman" w:cs="Times New Roman" w:eastAsia="Times New Roman" w:hAnsi="Times New Roman"/>
          <w:sz w:val="18"/>
          <w:szCs w:val="18"/>
          <w:color w:val="auto"/>
        </w:rPr>
      </w:pPr>
    </w:p>
    <w:p>
      <w:pPr>
        <w:ind w:left="1800" w:hanging="180"/>
        <w:spacing w:after="0" w:line="181" w:lineRule="auto"/>
        <w:tabs>
          <w:tab w:leader="none" w:pos="1800" w:val="left"/>
        </w:tabs>
        <w:numPr>
          <w:ilvl w:val="0"/>
          <w:numId w:val="114"/>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Accretion of common stock to redemption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-170815</wp:posOffset>
            </wp:positionV>
            <wp:extent cx="4749165" cy="1885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620"/>
        <w:spacing w:after="0" w:line="230" w:lineRule="auto"/>
        <w:rPr>
          <w:sz w:val="20"/>
          <w:szCs w:val="20"/>
          <w:color w:val="auto"/>
        </w:rPr>
      </w:pPr>
      <w:r>
        <w:rPr>
          <w:rFonts w:ascii="Times New Roman" w:cs="Times New Roman" w:eastAsia="Times New Roman" w:hAnsi="Times New Roman"/>
          <w:sz w:val="17"/>
          <w:szCs w:val="17"/>
          <w:b w:val="1"/>
          <w:bCs w:val="1"/>
          <w:color w:val="auto"/>
        </w:rPr>
        <w:t>Common</w:t>
      </w: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17"/>
          <w:szCs w:val="17"/>
          <w:b w:val="1"/>
          <w:bCs w:val="1"/>
          <w:color w:val="auto"/>
        </w:rPr>
        <w:t xml:space="preserve"> stock subject to possible redemption at September 30, 2022</w:t>
      </w: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​​$126,500,000​</w:t>
      </w:r>
    </w:p>
    <w:p>
      <w:pPr>
        <w:spacing w:after="0" w:line="63"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60" w:hanging="102"/>
        <w:spacing w:after="0"/>
        <w:tabs>
          <w:tab w:leader="none" w:pos="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​(15,180,000​)</w:t>
      </w:r>
    </w:p>
    <w:p>
      <w:pPr>
        <w:spacing w:after="0" w:line="49" w:lineRule="exact"/>
        <w:rPr>
          <w:rFonts w:ascii="Times New Roman" w:cs="Times New Roman" w:eastAsia="Times New Roman" w:hAnsi="Times New Roman"/>
          <w:sz w:val="18"/>
          <w:szCs w:val="18"/>
          <w:color w:val="auto"/>
        </w:rPr>
      </w:pPr>
    </w:p>
    <w:p>
      <w:pPr>
        <w:ind w:left="160" w:hanging="102"/>
        <w:spacing w:after="0"/>
        <w:tabs>
          <w:tab w:leader="none" w:pos="1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(933,989​)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ind w:right="20"/>
              <w:spacing w:after="0" w:line="247" w:lineRule="exact"/>
              <w:rPr>
                <w:sz w:val="20"/>
                <w:szCs w:val="20"/>
                <w:color w:val="auto"/>
              </w:rPr>
            </w:pPr>
            <w:r>
              <w:rPr>
                <w:rFonts w:ascii="Times New Roman" w:cs="Times New Roman" w:eastAsia="Times New Roman" w:hAnsi="Times New Roman"/>
                <w:sz w:val="15"/>
                <w:szCs w:val="15"/>
                <w:color w:val="auto"/>
              </w:rPr>
              <w:t>​ 18,011,489</w:t>
            </w:r>
            <w:r>
              <w:rPr>
                <w:rFonts w:ascii="Times New Roman" w:cs="Times New Roman" w:eastAsia="Times New Roman" w:hAnsi="Times New Roman"/>
                <w:sz w:val="28"/>
                <w:szCs w:val="28"/>
                <w:color w:val="auto"/>
                <w:vertAlign w:val="subscript"/>
              </w:rPr>
              <w:t>​</w:t>
            </w:r>
          </w:p>
        </w:tc>
      </w:tr>
      <w:tr>
        <w:trPr>
          <w:trHeight w:val="20"/>
        </w:trPr>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52"/>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​(97,194,950​)</w:t>
            </w: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2"/>
                <w:szCs w:val="22"/>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900" w:type="dxa"/>
            <w:vAlign w:val="bottom"/>
            <w:gridSpan w:val="3"/>
          </w:tcPr>
          <w:p>
            <w:pPr>
              <w:jc w:val="right"/>
              <w:ind w:right="20"/>
              <w:spacing w:after="0" w:line="256" w:lineRule="exact"/>
              <w:rPr>
                <w:sz w:val="20"/>
                <w:szCs w:val="20"/>
                <w:color w:val="auto"/>
              </w:rPr>
            </w:pPr>
            <w:r>
              <w:rPr>
                <w:rFonts w:ascii="Times New Roman" w:cs="Times New Roman" w:eastAsia="Times New Roman" w:hAnsi="Times New Roman"/>
                <w:sz w:val="16"/>
                <w:szCs w:val="16"/>
                <w:color w:val="auto"/>
              </w:rPr>
              <w:t>503,812</w:t>
            </w:r>
            <w:r>
              <w:rPr>
                <w:rFonts w:ascii="Times New Roman" w:cs="Times New Roman" w:eastAsia="Times New Roman" w:hAnsi="Times New Roman"/>
                <w:sz w:val="29"/>
                <w:szCs w:val="29"/>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60" w:type="dxa"/>
            <w:vAlign w:val="bottom"/>
          </w:tcPr>
          <w:p>
            <w:pPr>
              <w:spacing w:after="0"/>
              <w:rPr>
                <w:sz w:val="24"/>
                <w:szCs w:val="24"/>
                <w:color w:val="auto"/>
              </w:rPr>
            </w:pPr>
          </w:p>
        </w:tc>
        <w:tc>
          <w:tcPr>
            <w:tcW w:w="900" w:type="dxa"/>
            <w:vAlign w:val="bottom"/>
            <w:gridSpan w:val="3"/>
          </w:tcPr>
          <w:p>
            <w:pPr>
              <w:jc w:val="right"/>
              <w:ind w:right="20"/>
              <w:spacing w:after="0" w:line="264" w:lineRule="exact"/>
              <w:rPr>
                <w:sz w:val="20"/>
                <w:szCs w:val="20"/>
                <w:color w:val="auto"/>
              </w:rPr>
            </w:pPr>
            <w:r>
              <w:rPr>
                <w:rFonts w:ascii="Times New Roman" w:cs="Times New Roman" w:eastAsia="Times New Roman" w:hAnsi="Times New Roman"/>
                <w:sz w:val="16"/>
                <w:szCs w:val="16"/>
                <w:b w:val="1"/>
                <w:bCs w:val="1"/>
                <w:color w:val="auto"/>
              </w:rPr>
              <w:t>31,706,363</w:t>
            </w:r>
            <w:r>
              <w:rPr>
                <w:rFonts w:ascii="Times New Roman" w:cs="Times New Roman" w:eastAsia="Times New Roman" w:hAnsi="Times New Roman"/>
                <w:sz w:val="30"/>
                <w:szCs w:val="30"/>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160" w:space="720"/>
            <w:col w:w="1999"/>
          </w:cols>
          <w:pgMar w:left="580" w:top="97" w:right="1440" w:bottom="1440" w:gutter="0" w:footer="0" w:header="0"/>
          <w:type w:val="continuous"/>
        </w:sectPr>
      </w:pPr>
    </w:p>
    <w:p>
      <w:pPr>
        <w:ind w:left="1260" w:right="1019" w:firstLine="360"/>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w:t>
      </w:r>
    </w:p>
    <w:p>
      <w:pPr>
        <w:sectPr>
          <w:pgSz w:w="11900" w:h="16838" w:orient="portrait"/>
          <w:cols w:equalWidth="0" w:num="1">
            <w:col w:w="9879"/>
          </w:cols>
          <w:pgMar w:left="580" w:top="97" w:right="1440" w:bottom="1440" w:gutter="0" w:footer="0" w:header="0"/>
          <w:type w:val="continuous"/>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fees incurred through the balance sheet date that are related to the Initial Public Offering. Offering costs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directly attributable to the issuance of an equity contract to be classified in equity are recorded as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reduction in equity. Offering costs for equity contracts that are classified as assets and liabilities are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expensed immediately. The Company incurred offering costs amounting to $1,080,140, consisting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$500,000 of cash underwriting fees and $580,140 of other offering costs. The Company recorded $933,989</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offering costs as a reduction of temporary equity in connection with the redeemable common stock</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included in the Units. The Company recorded $127,354 as a reduction of permanent equity in connection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the Public Warrants included in the Units and immediately expensed $18,797 of offering costs in</w:t>
      </w:r>
    </w:p>
    <w:p>
      <w:pPr>
        <w:ind w:left="1260"/>
        <w:spacing w:after="0"/>
        <w:rPr>
          <w:sz w:val="20"/>
          <w:szCs w:val="20"/>
          <w:color w:val="auto"/>
        </w:rPr>
      </w:pPr>
      <w:r>
        <w:rPr>
          <w:rFonts w:ascii="Times New Roman" w:cs="Times New Roman" w:eastAsia="Times New Roman" w:hAnsi="Times New Roman"/>
          <w:sz w:val="18"/>
          <w:szCs w:val="18"/>
          <w:color w:val="auto"/>
        </w:rPr>
        <w:t>connection with the Private Warrants that were classified as liabilities.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32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consolidated statements of operations.</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consolidated statements of operations in the period of change.</w:t>
      </w:r>
    </w:p>
    <w:p>
      <w:pPr>
        <w:spacing w:after="0" w:line="32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unaudited condensed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1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unaudited condensed consolidated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amounts accrued for interest and penalties as of September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16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260, Earnings Per Share. Net income (loss) per common share is computed by dividing net earnings by the weighted-average number of shares of common stock outstanding during the period.</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Basic and diluted net income (loss) per share: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Numerator: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Denominator:</w:t>
      </w:r>
    </w:p>
    <w:p>
      <w:pPr>
        <w:spacing w:after="0" w:line="63" w:lineRule="exact"/>
        <w:rPr>
          <w:sz w:val="20"/>
          <w:szCs w:val="20"/>
          <w:color w:val="auto"/>
        </w:rPr>
      </w:pPr>
    </w:p>
    <w:p>
      <w:pPr>
        <w:ind w:left="1620" w:right="140"/>
        <w:spacing w:after="0" w:line="313" w:lineRule="auto"/>
        <w:rPr>
          <w:sz w:val="20"/>
          <w:szCs w:val="20"/>
          <w:color w:val="auto"/>
        </w:rPr>
      </w:pPr>
      <w:r>
        <w:rPr>
          <w:rFonts w:ascii="Times New Roman" w:cs="Times New Roman" w:eastAsia="Times New Roman" w:hAnsi="Times New Roman"/>
          <w:sz w:val="18"/>
          <w:szCs w:val="18"/>
          <w:color w:val="auto"/>
        </w:rPr>
        <w:t>Basic weighted average shares outstanding Basic net income (loss) per share</w:t>
      </w:r>
    </w:p>
    <w:p>
      <w:pPr>
        <w:ind w:left="1620"/>
        <w:spacing w:after="0" w:line="344" w:lineRule="auto"/>
        <w:rPr>
          <w:sz w:val="20"/>
          <w:szCs w:val="20"/>
          <w:color w:val="auto"/>
        </w:rPr>
      </w:pPr>
      <w:r>
        <w:rPr>
          <w:rFonts w:ascii="Times New Roman" w:cs="Times New Roman" w:eastAsia="Times New Roman" w:hAnsi="Times New Roman"/>
          <w:sz w:val="18"/>
          <w:szCs w:val="18"/>
          <w:color w:val="auto"/>
        </w:rPr>
        <w:t>Diluted weighted average shares outstanding Diluted net income (loss) per share</w:t>
      </w:r>
    </w:p>
    <w:p>
      <w:pPr>
        <w:spacing w:after="0" w:line="1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September</w:t>
            </w:r>
          </w:p>
        </w:tc>
        <w:tc>
          <w:tcPr>
            <w:tcW w:w="1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30, 2022</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20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color w:val="auto"/>
              </w:rPr>
              <w:t>$ (1,919,615)</w:t>
            </w:r>
          </w:p>
        </w:tc>
        <w:tc>
          <w:tcPr>
            <w:tcW w:w="8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$2,690,543</w:t>
            </w:r>
          </w:p>
        </w:tc>
        <w:tc>
          <w:tcPr>
            <w:tcW w:w="1280" w:type="dxa"/>
            <w:vAlign w:val="bottom"/>
            <w:gridSpan w:val="5"/>
          </w:tcPr>
          <w:p>
            <w:pPr>
              <w:jc w:val="right"/>
              <w:ind w:right="48"/>
              <w:spacing w:after="0" w:line="181" w:lineRule="exact"/>
              <w:rPr>
                <w:sz w:val="20"/>
                <w:szCs w:val="20"/>
                <w:color w:val="auto"/>
              </w:rPr>
            </w:pPr>
            <w:r>
              <w:rPr>
                <w:rFonts w:ascii="Times New Roman" w:cs="Times New Roman" w:eastAsia="Times New Roman" w:hAnsi="Times New Roman"/>
                <w:sz w:val="18"/>
                <w:szCs w:val="18"/>
                <w:color w:val="auto"/>
              </w:rPr>
              <w:t>$ (1,298,108)</w:t>
            </w:r>
          </w:p>
        </w:tc>
        <w:tc>
          <w:tcPr>
            <w:tcW w:w="8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$2,689,709</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2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tcPr>
          <w:p>
            <w:pPr>
              <w:spacing w:after="0"/>
              <w:rPr>
                <w:sz w:val="5"/>
                <w:szCs w:val="5"/>
                <w:color w:val="auto"/>
              </w:rPr>
            </w:pP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spacing w:after="0"/>
              <w:rPr>
                <w:sz w:val="5"/>
                <w:szCs w:val="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tcPr>
          <w:p>
            <w:pPr>
              <w:spacing w:after="0"/>
              <w:rPr>
                <w:sz w:val="5"/>
                <w:szCs w:val="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 ​10,307,037​​ ​​</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​9,453,125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​13,957,179​​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​5,008,929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0.54</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0"/>
        </w:trPr>
        <w:tc>
          <w:tcPr>
            <w:tcW w:w="2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spacing w:after="0"/>
              <w:rPr>
                <w:sz w:val="7"/>
                <w:szCs w:val="7"/>
                <w:color w:val="auto"/>
              </w:rPr>
            </w:pPr>
          </w:p>
        </w:tc>
        <w:tc>
          <w:tcPr>
            <w:tcW w:w="300" w:type="dxa"/>
            <w:vAlign w:val="bottom"/>
            <w:gridSpan w:val="3"/>
          </w:tcPr>
          <w:p>
            <w:pPr>
              <w:jc w:val="center"/>
              <w:ind w:right="60"/>
              <w:spacing w:after="0" w:line="90" w:lineRule="exact"/>
              <w:rPr>
                <w:sz w:val="20"/>
                <w:szCs w:val="20"/>
                <w:color w:val="auto"/>
              </w:rPr>
            </w:pPr>
            <w:r>
              <w:rPr>
                <w:rFonts w:ascii="Times New Roman" w:cs="Times New Roman" w:eastAsia="Times New Roman" w:hAnsi="Times New Roman"/>
                <w:sz w:val="10"/>
                <w:szCs w:val="10"/>
                <w:color w:val="auto"/>
              </w:rPr>
              <w:t>​​ ​​</w:t>
            </w:r>
          </w:p>
        </w:tc>
        <w:tc>
          <w:tcPr>
            <w:tcW w:w="720" w:type="dxa"/>
            <w:vAlign w:val="bottom"/>
          </w:tcPr>
          <w:p>
            <w:pPr>
              <w:spacing w:after="0"/>
              <w:rPr>
                <w:sz w:val="7"/>
                <w:szCs w:val="7"/>
                <w:color w:val="auto"/>
              </w:rPr>
            </w:pPr>
          </w:p>
        </w:tc>
        <w:tc>
          <w:tcPr>
            <w:tcW w:w="300" w:type="dxa"/>
            <w:vAlign w:val="bottom"/>
            <w:gridSpan w:val="3"/>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800" w:type="dxa"/>
            <w:vAlign w:val="bottom"/>
          </w:tcPr>
          <w:p>
            <w:pPr>
              <w:spacing w:after="0"/>
              <w:rPr>
                <w:sz w:val="7"/>
                <w:szCs w:val="7"/>
                <w:color w:val="auto"/>
              </w:rPr>
            </w:pPr>
          </w:p>
        </w:tc>
        <w:tc>
          <w:tcPr>
            <w:tcW w:w="300" w:type="dxa"/>
            <w:vAlign w:val="bottom"/>
            <w:gridSpan w:val="3"/>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720" w:type="dxa"/>
            <w:vAlign w:val="bottom"/>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 ​10,307,037​​ ​​ ​9,672,826 ​​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​13,957,179​​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​5,356,456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2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(0.19)</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0.50</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-1151255</wp:posOffset>
            </wp:positionV>
            <wp:extent cx="5212080" cy="1885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-799465</wp:posOffset>
            </wp:positionV>
            <wp:extent cx="5212080" cy="1714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-456565</wp:posOffset>
            </wp:positionV>
            <wp:extent cx="5212080" cy="1714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-1485265</wp:posOffset>
            </wp:positionV>
            <wp:extent cx="5212080" cy="1714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5000" w:space="280"/>
            <w:col w:w="4599"/>
          </w:cols>
          <w:pgMar w:left="580" w:top="97" w:right="1440" w:bottom="1440" w:gutter="0" w:footer="0" w:header="0"/>
          <w:type w:val="continuous"/>
        </w:sect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coverage limit of $250,000. The Company has not experienced losses on this account and management believes the Company is not exposed to significant risks on such account.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ectPr>
          <w:pgSz w:w="11900" w:h="16838" w:orient="portrait"/>
          <w:cols w:equalWidth="0" w:num="1">
            <w:col w:w="9879"/>
          </w:cols>
          <w:pgMar w:left="580" w:top="97" w:right="1440" w:bottom="1440" w:gutter="0" w:footer="0" w:header="0"/>
          <w:type w:val="continuous"/>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condensed consolidated balance sheet for current assets and current liabilities approximate fair value due to their short-term nature.</w:t>
      </w:r>
    </w:p>
    <w:p>
      <w:pPr>
        <w:spacing w:after="0" w:line="81" w:lineRule="exact"/>
        <w:rPr>
          <w:sz w:val="20"/>
          <w:szCs w:val="20"/>
          <w:color w:val="auto"/>
        </w:rPr>
      </w:pPr>
    </w:p>
    <w:p>
      <w:pPr>
        <w:ind w:left="1620" w:right="539"/>
        <w:spacing w:after="0" w:line="250"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09" w:lineRule="exact"/>
        <w:rPr>
          <w:sz w:val="20"/>
          <w:szCs w:val="20"/>
          <w:color w:val="auto"/>
        </w:rPr>
      </w:pPr>
    </w:p>
    <w:p>
      <w:pPr>
        <w:ind w:left="1620" w:right="599"/>
        <w:spacing w:after="0" w:line="258"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2" w:lineRule="exact"/>
        <w:rPr>
          <w:sz w:val="20"/>
          <w:szCs w:val="20"/>
          <w:color w:val="auto"/>
        </w:rPr>
      </w:pPr>
    </w:p>
    <w:p>
      <w:pPr>
        <w:ind w:left="1620" w:right="599"/>
        <w:spacing w:after="0" w:line="266"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35"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unaudited condensed consolidated financial statements.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35" w:lineRule="exact"/>
        <w:rPr>
          <w:sz w:val="20"/>
          <w:szCs w:val="20"/>
          <w:color w:val="auto"/>
        </w:rPr>
      </w:pPr>
    </w:p>
    <w:p>
      <w:pPr>
        <w:ind w:left="1260" w:right="1059" w:firstLine="360"/>
        <w:spacing w:after="0" w:line="253"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 2021, the Company completed its Initial Public Offering of</w:t>
      </w:r>
    </w:p>
    <w:p>
      <w:pPr>
        <w:ind w:left="1260" w:right="719"/>
        <w:spacing w:after="0"/>
        <w:rPr>
          <w:sz w:val="20"/>
          <w:szCs w:val="20"/>
          <w:color w:val="auto"/>
        </w:rPr>
      </w:pPr>
      <w:r>
        <w:rPr>
          <w:rFonts w:ascii="Times New Roman" w:cs="Times New Roman" w:eastAsia="Times New Roman" w:hAnsi="Times New Roman"/>
          <w:sz w:val="18"/>
          <w:szCs w:val="18"/>
          <w:color w:val="auto"/>
        </w:rPr>
        <w:t>11,000,000 Units, at $ 10.00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17"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($ 4,052,000 in the aggregate). Each Private Warrant entitles the holder to purchase one share of common stock at an exercise price of $11.50 per share (see Note 7).</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unaudited condensed consolidated balance sheet in accordance with the guidance contained in ASC 815-40.</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35"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unaudited condensed consolidated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2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48"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September 30, 2022 and December 31, 2021, there was no outstanding balance under the note. The Promissory Note is no longer available to the Company.</w:t>
      </w:r>
    </w:p>
    <w:p>
      <w:pPr>
        <w:spacing w:after="0" w:line="11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On August 8, 2022, the Company notified the Trustee that it was 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a leader in energy storage and producer of deep cycle lithium-ion storage batteries. Extension No. 1 is the first of up to three (3) one-month extensions permitted under the Company’s Second A&amp;R Charter.</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Extension No. 1, the Company’s officers, directors, initial stockholders and Chardan NexTech 2 Warrant Holdings, LLC (collectively, the “Insiders”), their affiliates or designees will deposit an aggregate of $200,000 (the “First Extension Payment”) into the Trust Account prior to August 13, 2022, on behalf of the Company. In connection with its First Extension Payment, the Insiders will receive a non-interest bearing, unsecured promissory note equal to the First Extension Payment that will not be repaid if the Company is unable to close a business combination, unless there are funds available outside its Trust Account to do so.</w:t>
      </w:r>
    </w:p>
    <w:p>
      <w:pPr>
        <w:spacing w:after="0" w:line="322"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On September 6, 2022, the Company notified Continental Stock Transfer &amp; Trust Company that it was extending the time available to the Company to consummate its initial business combination for an additional one (1) month from September 13, 2022 to October 13, 2022 (“Extension No. 2”). Extension No. 2 provides the Company with additional time to complete its proposed business combination with Dragonfly. Extension No. 2 is the second of up to three (3) 1-month extensions permitted under the Company’s Second A&amp;R Charter.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Extension No. 2, the Company’s officers, directors, initial stockholders and Chardan NexTech 2 Warrant Holdings, LLC, their affiliates or designees will deposit an aggregate of $200,000 (the “Second Extension Payment”) into the Trust Account prior to September 12, 2022, on behalf of the Company. In connection with its Second Extension Payment, the Insiders will receive a non-interest bearing, unsecured promissory note equal to the Second Extension Payment that will not be repaid if the Company is unable to close a business combination, unless there are funds available outside its Trust Account to do so.</w:t>
      </w:r>
    </w:p>
    <w:p>
      <w:pPr>
        <w:spacing w:after="0" w:line="32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As of September 30, 2022 , the Company had an outstanding balance in promissory note — related party of $400,000 in relation to Extension No 1 and Extension No 2.</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September 30, 2022, the Company has not exercised its option to use such services.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September 30, 2022 and December 31, 2021, the Company had no working capital loans outstanding.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Inflation Reduction Act of 2022</w:t>
      </w:r>
    </w:p>
    <w:p>
      <w:pPr>
        <w:spacing w:after="0" w:line="162"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1"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of September 30, 2022 and December 31, 2021 there were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jc w:val="both"/>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3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1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327"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19"/>
        <w:spacing w:after="0" w:line="269" w:lineRule="auto"/>
        <w:rPr>
          <w:sz w:val="20"/>
          <w:szCs w:val="20"/>
          <w:color w:val="auto"/>
        </w:rPr>
      </w:pPr>
      <w:r>
        <w:rPr>
          <w:rFonts w:ascii="Times New Roman" w:cs="Times New Roman" w:eastAsia="Times New Roman" w:hAnsi="Times New Roman"/>
          <w:sz w:val="18"/>
          <w:szCs w:val="18"/>
          <w:color w:val="auto"/>
        </w:rPr>
        <w:t>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07" w:lineRule="exact"/>
        <w:rPr>
          <w:sz w:val="20"/>
          <w:szCs w:val="20"/>
          <w:color w:val="auto"/>
        </w:rPr>
      </w:pPr>
    </w:p>
    <w:p>
      <w:pPr>
        <w:ind w:left="1260" w:right="559" w:firstLine="360"/>
        <w:spacing w:after="0" w:line="274"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58" w:lineRule="exact"/>
        <w:rPr>
          <w:sz w:val="20"/>
          <w:szCs w:val="20"/>
          <w:color w:val="auto"/>
        </w:rPr>
      </w:pPr>
    </w:p>
    <w:p>
      <w:pPr>
        <w:ind w:left="1260" w:right="539" w:firstLine="3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with such designations, voting and other rights and preferences as may be determined from time to time by the Company’s board of directors. As of September 30, 2022 and December 31, 2021, the Company had no issued or outstanding shares of preferred stock.</w:t>
      </w:r>
    </w:p>
    <w:p>
      <w:pPr>
        <w:spacing w:after="0" w:line="9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 The Company is authorized to issue 50,000,000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On August 5, 2022, in connection with the Charter Amendment, 9,556,652 shares of Chardan common stock were redeemed by certain stockholders. As such, on September 30, 2022 and December 31, 2021, there were 6,255,848 and 15,812,500 shares of common stock issued and outstanding, including 3,093,348 and 12,650,000 shares of common stock subject to possible redemption, respectively.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35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2022 was (2.1)% and (3.1)%. The effective tax rate for the three and nine months ended September 30, 2021 was 0.0%.The Company’s effective tax rate differs from the statutory income tax rate of 21% primarily due to the recognition of gains or losses from the changes in the fair value of warrant liabilities and unrealized gains on the investments held in the Trust Account, which are not recognized for tax purposes. The Company has historically calculated the provision for income taxes during interim reporting periods by applying an estimate of the annual effective tax rate for the full fiscal year to income or loss for the reporting period. The Company has used a discrete effective tax rate method to calculate taxes for the three and nine months ended September 30, 2022. The Company believes that, at this time, the use of the discrete method for the three and nine months ended September 30, 2022 is more appropriate than the estimated annual effective tax rate method as the estimated annual effective tax rate method is not reliable due to a high degree of uncertainty in estimating annual pretax earnings.</w:t>
      </w:r>
    </w:p>
    <w:p>
      <w:pPr>
        <w:spacing w:after="0" w:line="200" w:lineRule="exact"/>
        <w:rPr>
          <w:sz w:val="20"/>
          <w:szCs w:val="20"/>
          <w:color w:val="auto"/>
        </w:r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62" w:lineRule="exact"/>
        <w:rPr>
          <w:sz w:val="20"/>
          <w:szCs w:val="20"/>
          <w:color w:val="auto"/>
        </w:rPr>
      </w:pPr>
    </w:p>
    <w:p>
      <w:pPr>
        <w:ind w:left="1260" w:right="519"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September 30, 2022 and December 31, 2021, and indicates the fair value hierarchy of the valuation inputs the Company utilized to determine such fair value:</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Fair Value</w:t>
            </w:r>
          </w:p>
        </w:tc>
        <w:tc>
          <w:tcPr>
            <w:tcW w:w="236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1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2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 ​</w:t>
            </w:r>
          </w:p>
        </w:tc>
        <w:tc>
          <w:tcPr>
            <w:tcW w:w="1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 ​</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42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​​$1,989,979​​ ​ ​$  — ​​ ​ ​$  — ​​ ​​$1,989,979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-496570</wp:posOffset>
            </wp:positionV>
            <wp:extent cx="137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-496570</wp:posOffset>
            </wp:positionV>
            <wp:extent cx="137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-496570</wp:posOffset>
            </wp:positionV>
            <wp:extent cx="137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-496570</wp:posOffset>
            </wp:positionV>
            <wp:extent cx="137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remaining balance held in the Trust Account of September 30, 2022 was held in cash.</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12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24"/>
                <w:szCs w:val="24"/>
                <w:b w:val="1"/>
                <w:bCs w:val="1"/>
                <w:color w:val="auto"/>
                <w:vertAlign w:val="subscript"/>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8"/>
                <w:szCs w:val="18"/>
                <w:color w:val="auto"/>
              </w:rPr>
            </w:pPr>
          </w:p>
        </w:tc>
        <w:tc>
          <w:tcPr>
            <w:tcW w:w="106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Level 2 </w:t>
            </w:r>
            <w:r>
              <w:rPr>
                <w:rFonts w:ascii="Times New Roman" w:cs="Times New Roman" w:eastAsia="Times New Roman" w:hAnsi="Times New Roman"/>
                <w:sz w:val="24"/>
                <w:szCs w:val="24"/>
                <w:b w:val="1"/>
                <w:bCs w:val="1"/>
                <w:color w:val="auto"/>
                <w:vertAlign w:val="subscript"/>
              </w:rPr>
              <w:t>​ ​</w:t>
            </w:r>
          </w:p>
        </w:tc>
        <w:tc>
          <w:tcPr>
            <w:tcW w:w="7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Level 3   </w:t>
            </w:r>
            <w:r>
              <w:rPr>
                <w:rFonts w:ascii="Times New Roman" w:cs="Times New Roman" w:eastAsia="Times New Roman" w:hAnsi="Times New Roman"/>
                <w:sz w:val="24"/>
                <w:szCs w:val="24"/>
                <w:b w:val="1"/>
                <w:bCs w:val="1"/>
                <w:color w:val="auto"/>
                <w:vertAlign w:val="subscript"/>
              </w:rPr>
              <w:t>​</w:t>
            </w:r>
          </w:p>
        </w:tc>
      </w:tr>
      <w:tr>
        <w:trPr>
          <w:trHeight w:val="20"/>
        </w:trPr>
        <w:tc>
          <w:tcPr>
            <w:tcW w:w="4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8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 ​</w:t>
            </w:r>
          </w:p>
        </w:tc>
        <w:tc>
          <w:tcPr>
            <w:tcW w:w="6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Money Market investments</w:t>
            </w:r>
          </w:p>
        </w:tc>
        <w:tc>
          <w:tcPr>
            <w:tcW w:w="28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xml:space="preserve">​ ​​$128,421,215​​ ​​$128,421,215​​ ​ ​$ </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2,036,258​​ ​​$</w:t>
            </w:r>
          </w:p>
        </w:tc>
        <w:tc>
          <w:tcPr>
            <w:tcW w:w="560" w:type="dxa"/>
            <w:vAlign w:val="bottom"/>
          </w:tcPr>
          <w:p>
            <w:pPr>
              <w:spacing w:after="0"/>
              <w:rPr>
                <w:sz w:val="24"/>
                <w:szCs w:val="2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​​$2,036,258​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-1019810</wp:posOffset>
            </wp:positionV>
            <wp:extent cx="1371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-1019810</wp:posOffset>
            </wp:positionV>
            <wp:extent cx="137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-1019810</wp:posOffset>
            </wp:positionV>
            <wp:extent cx="137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-1019810</wp:posOffset>
            </wp:positionV>
            <wp:extent cx="137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Private Warrants: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price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yield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 to Business Combination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Volatility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Risk-free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Fair value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​$ 11.50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 ​  —% ​​ ​</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 3.86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3.3%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4.17%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​$ 0.43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3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 that are measured at fair value on a recurring basis: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​Fair value as of June 23, 2020 (inception)</w:t>
            </w:r>
          </w:p>
        </w:tc>
        <w:tc>
          <w:tcPr>
            <w:tcW w:w="420" w:type="dxa"/>
            <w:vAlign w:val="bottom"/>
            <w:gridSpan w:val="3"/>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Initial measurement</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​5,553,429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​(3,517,171</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7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December 31, 2021</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$ 2,036,258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99"/>
              </w:rPr>
              <w:t>​(1,434,636</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7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March 31, 2022</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601,622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277,671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7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2022</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879,293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 1,110,686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7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September 30, 2022</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$ 1,989,979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Company recognized a gain (loss) in connection with changes in the fair value of warrant liabilities of $(1,110,686) and $4,072,514 within change in fair value of warrant liabilities in the unaudited condensed consolidated statement of operations for the three months ended September 30, 2022 and 2021. The Company recognized a gain in connection with changes in the fair value of warrant liabilities of $46,279 and $4,072,514 within change in fair value of warrant liabilities in the unaudited condensed consolidated statement of operations for the nine months ended September 30, 2022 and 2021.</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except as noted below, the Company did not identify any subsequent events that would have required adjustment or disclosure in the unaudited condensed consolidated financial statements.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 Closing</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On October 7, 2022 (the “Closing Date”), Dragonfly Energy Holdings Corp., a Delaware corporation (f/k/a Chardan NexTech Acquisition 2 Corp. (“Chardan”)), consummated the previously announced merger pursuant to the Business Combination Agreement, dated May 15, 2022, as amended by the Amendment to the Business Combination Agreement, dated July 12, 2022, by and among Chardan, Bronco Merger Sub, Inc., a Nevada corporation and a wholly owned subsidiary of Chardan (“Merger Sub”), and Dragonfly Energy Corp., a Nevada corporation (“Legacy Dragonfly”). Chardan’s stockholders approved the Transactions (as defined below) at a special meeting of stockholders held on October 6, 2022.</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Merger Sub merged with and into Legacy Dragonfly (the “Merger” and, together with the other transactions contemplated by the Business Combination Agreement, the “Transactions”), with Legacy Dragonfly continuing as the surviving corporation in the Merger and a wholly-owned subsidiary of Chardan. On the Closing Date, the registrant changed its name from Chardan NexTech Acquisition 2 Corp. to Dragonfly Energy Holdings Corp.</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160"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Chardan, Merger Sub, Legacy Dragonfly or the holders of any of the following securities:</w:t>
      </w:r>
    </w:p>
    <w:p>
      <w:pPr>
        <w:spacing w:after="0" w:line="81" w:lineRule="exact"/>
        <w:rPr>
          <w:sz w:val="20"/>
          <w:szCs w:val="20"/>
          <w:color w:val="auto"/>
        </w:rPr>
      </w:pPr>
    </w:p>
    <w:p>
      <w:pPr>
        <w:ind w:left="1980" w:right="459" w:hanging="360"/>
        <w:spacing w:after="0" w:line="282" w:lineRule="auto"/>
        <w:tabs>
          <w:tab w:leader="none" w:pos="1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Dragonfly’s common stock, par value $0.001 per share(“Legacy Dragonfly Common Stock”), converted into (i) a certain number of shares of the Company’s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980" w:right="459"/>
        <w:spacing w:after="0" w:line="250" w:lineRule="auto"/>
        <w:rPr>
          <w:sz w:val="20"/>
          <w:szCs w:val="20"/>
          <w:color w:val="auto"/>
        </w:rPr>
      </w:pPr>
      <w:r>
        <w:rPr>
          <w:rFonts w:ascii="Times New Roman" w:cs="Times New Roman" w:eastAsia="Times New Roman" w:hAnsi="Times New Roman"/>
          <w:sz w:val="18"/>
          <w:szCs w:val="18"/>
          <w:color w:val="auto"/>
        </w:rPr>
        <w:t>common stock, par value $0.0001 per share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spacing w:after="0" w:line="96" w:lineRule="exact"/>
        <w:rPr>
          <w:sz w:val="20"/>
          <w:szCs w:val="20"/>
          <w:color w:val="auto"/>
        </w:rPr>
      </w:pPr>
    </w:p>
    <w:p>
      <w:pPr>
        <w:ind w:left="1980" w:right="539" w:hanging="360"/>
        <w:spacing w:after="0" w:line="254"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options to acquire shares of Common Stock. The portion of the Merger Consideration reflecting the conversion of the Legacy Dragonfly options was calculated assuming that all the Company options are net-settled. With respect to the Company options received in respect of Legacy Dragonfly options that are outstanding immediately prior to the Closing and cash exercised after the Closing, up to 627,498 additional shares of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16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Common Stock in three tranches.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first tranche of 15,000,000 shares is issuable if the Company’s 2023 total audited revenue is equal to or greater than $250 million and the Company’s 2023 audited operating income is equal to or greater than $35 million. The second tranche of 12,500,000 shares is issuable upon achieving a volume-weighted average trading price threshold of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32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14" w:lineRule="exact"/>
        <w:rPr>
          <w:sz w:val="20"/>
          <w:szCs w:val="20"/>
          <w:color w:val="auto"/>
        </w:rPr>
      </w:pPr>
    </w:p>
    <w:p>
      <w:pPr>
        <w:ind w:left="1260" w:right="379" w:firstLine="360"/>
        <w:spacing w:after="0" w:line="251" w:lineRule="auto"/>
        <w:rPr>
          <w:sz w:val="20"/>
          <w:szCs w:val="20"/>
          <w:color w:val="auto"/>
        </w:rPr>
      </w:pPr>
      <w:r>
        <w:rPr>
          <w:rFonts w:ascii="Times New Roman" w:cs="Times New Roman" w:eastAsia="Times New Roman" w:hAnsi="Times New Roman"/>
          <w:sz w:val="18"/>
          <w:szCs w:val="18"/>
          <w:color w:val="auto"/>
        </w:rPr>
        <w:t>A description of the Merger and the terms of the Business Combination Agreement are included in the proxy statement/prospectus, dated September 16, 2022 (the “Proxy Statement/Prospectus”) as filed with the SEC in the section entitled “Proposal No. 1 — The Business Combination Proposal” of the Proxy Statement/​ Prospectus.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16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“Subscription Agreement”), by and between Chardan and Chardan NexTech Investments 2 LLC (or an affiliate thereof if assigned pursuant to the Subscription Agreement, the “Sponsor”), the Sponsor agreed to purchase, and Chardan agreed to sell to the Sponsor, an aggregate of 500,000 shares of Chardan common stock (“Chardan Common Stock”) for gross proceeds to Chardan of $5 million in a private placement. On September 28, 2022, the Sponsor and Chardan Capital Markets LLC, a New York limited liability company (“CCM LLC”), entered into an assignment, assumption and joinder agreement, pursuant to which the Sponsor assigned all of the Sponsor’s rights, benefits and obligations under the Subscription Agreement to CCM LLC.</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the Company because such shares are not redeemed (the “Offset”). During the week of September 26, 2022 CCM LLC acquired in the open market in total 485,000 shares of Common Stock at purchase prices per share ranging from $10.33 to $10.38 (such shares, the “Purchased Shares”). The Purchased Shares were not redeemed, resulting in (i) the Company’s receipt of $5,016,547 from the Trust Account (based on a per share redemption price of $10.34) and (ii) a reduction in CCM LLC’s purchase commitment under the Subscription Agreement to zero in accordance with the Offset.</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Consistent with the previously disclosed commitment letter (the “Debt Commitment Letter”) between Chardan and Legacy Dragonfly, CCM Investments 5 LLC, an affiliate of CCM LLC (“CCM 5”, and in connection with the Term Loan, the “Chardan Lender”), and EICF Agent LLC (“EIP” and, collectively with the Chardan Lender, the “Initial Term Loan Lenders”), in connection with the Closing, Chardan, Legacy Dragonfly and the Initial Term Loan Lenders entered into the Term Loan, Guarantee and Security Agreement (the “Term Loan Agreement”) setting forth the terms of a senior secured term loan facility in an aggregate principal amount of $75 million (the “Term Loan”). The Chardan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327"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the Transaction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Agreements</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16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Consistent with the previously disclosed equity facility letter agreement between Legacy Dragonfly and CCM 5, the Company and CCM LLC entered into a purchase agreement (the “Purchase Agreement”) and a Registration Rights Agreement (the “ChEF RRA”) in connection with the Closing.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“qualified independent underwriter” with respect to the transactions contemplated by the Purchase Agreement.</w:t>
      </w:r>
    </w:p>
    <w:p>
      <w:pPr>
        <w:spacing w:after="0" w:line="12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 million, over the term of the equity facility (“ChEF Equity Facility”).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14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Chardan, Legacy Dragonfly and the Sponsor entered into a sponsor support agreement.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16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Transactions, the Company entered into indemnification agreements with each of its directors and executive officers. These agreements, among other things, will require the Company to indemnify the Company’s directors and executive officers for certain expenses, including attorneys’ fees, judgments and fines incurred by a director or executive officer in any action or proceeding arising out of their services as one of the Company’s directors or executive officers or any other company or enterprise to which the person provides services at the Company’s request.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Transactions, the Company entered into the Amended and Restated Registration Rights Agreement with the Sponsor, Chardan’s officers, directors, initial stockholders, CCM LLC and Warrant Holdings, an affiliate of the Sponsor (collectively, the “Insiders”) and certain Legacy Dragonfly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31"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7"/>
          <w:szCs w:val="17"/>
          <w:b w:val="1"/>
          <w:bCs w:val="1"/>
          <w:color w:val="auto"/>
        </w:rPr>
        <w:t>FINANCIAL STATEMENT FOR THE YEARS ENDED</w:t>
      </w:r>
    </w:p>
    <w:p>
      <w:pPr>
        <w:spacing w:after="0" w:line="21"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Independent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Balance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Income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Cash Flows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143383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433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F-50</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F-55</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Reno, Nevada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Dragonfly Energy Corp. (the “Company”) as of December 31, 2021 and 2020, the related statements of income, shareholders’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years then ended, in conformity with accounting principles generally accepted in the United States of America.</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3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/s/BDO USA, LLP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  ​</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shd w:val="clear" w:color="auto" w:fill="CCEEFF"/>
          </w:tcPr>
          <w:p>
            <w:pPr>
              <w:spacing w:after="0"/>
              <w:rPr>
                <w:sz w:val="17"/>
                <w:szCs w:val="17"/>
                <w:color w:val="auto"/>
              </w:rPr>
            </w:pPr>
          </w:p>
        </w:tc>
        <w:tc>
          <w:tcPr>
            <w:tcW w:w="34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​​$25,586​​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3,044​​</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1,840​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​27,127​​</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7,461​​</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1,787​​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CCEEFF"/>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​66,081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​15,777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6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3,615​​</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1,307​​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Vehicle</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shd w:val="clear" w:color="auto" w:fill="CCEEFF"/>
          </w:tcPr>
          <w:p>
            <w:pPr>
              <w:spacing w:after="0"/>
              <w:rPr>
                <w:sz w:val="17"/>
                <w:szCs w:val="17"/>
                <w:color w:val="auto"/>
              </w:rPr>
            </w:pPr>
          </w:p>
        </w:tc>
        <w:tc>
          <w:tcPr>
            <w:tcW w:w="80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 5,318​​</w:t>
            </w:r>
          </w:p>
        </w:tc>
        <w:tc>
          <w:tcPr>
            <w:tcW w:w="100" w:type="dxa"/>
            <w:vAlign w:val="bottom"/>
            <w:vMerge w:val="continue"/>
            <w:shd w:val="clear" w:color="auto" w:fill="CCEEFF"/>
          </w:tcPr>
          <w:p>
            <w:pPr>
              <w:spacing w:after="0"/>
              <w:rPr>
                <w:sz w:val="17"/>
                <w:szCs w:val="17"/>
                <w:color w:val="auto"/>
              </w:rPr>
            </w:pPr>
          </w:p>
        </w:tc>
        <w:tc>
          <w:tcPr>
            <w:tcW w:w="68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2,360​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shd w:val="clear" w:color="auto" w:fill="CCEEFF"/>
          </w:tcPr>
          <w:p>
            <w:pPr>
              <w:spacing w:after="0"/>
              <w:rPr>
                <w:sz w:val="17"/>
                <w:szCs w:val="17"/>
                <w:color w:val="auto"/>
              </w:rPr>
            </w:pPr>
          </w:p>
        </w:tc>
        <w:tc>
          <w:tcPr>
            <w:tcW w:w="80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 4,461​​</w:t>
            </w:r>
          </w:p>
        </w:tc>
        <w:tc>
          <w:tcPr>
            <w:tcW w:w="100" w:type="dxa"/>
            <w:vAlign w:val="bottom"/>
            <w:vMerge w:val="continue"/>
            <w:shd w:val="clear" w:color="auto" w:fill="CCEEFF"/>
          </w:tcPr>
          <w:p>
            <w:pPr>
              <w:spacing w:after="0"/>
              <w:rPr>
                <w:sz w:val="17"/>
                <w:szCs w:val="17"/>
                <w:color w:val="auto"/>
              </w:rPr>
            </w:pPr>
          </w:p>
        </w:tc>
        <w:tc>
          <w:tcPr>
            <w:tcW w:w="68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2,037​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5,709​​</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35"/>
        </w:trPr>
        <w:tc>
          <w:tcPr>
            <w:tcW w:w="66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CCEEFF"/>
              <w:bottom w:val="single" w:sz="8" w:color="CCEEFF"/>
              <w:right w:val="single" w:sz="8" w:color="CCEEFF"/>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76,251</w:t>
            </w:r>
          </w:p>
        </w:tc>
        <w:tc>
          <w:tcPr>
            <w:tcW w:w="100" w:type="dxa"/>
            <w:vAlign w:val="bottom"/>
            <w:tcBorders>
              <w:top w:val="single" w:sz="8" w:color="CCEEFF"/>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right w:val="single" w:sz="8" w:color="CCEEFF"/>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18,807</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49"/>
        </w:trPr>
        <w:tc>
          <w:tcPr>
            <w:tcW w:w="6620" w:type="dxa"/>
            <w:vAlign w:val="bottom"/>
            <w:vMerge w:val="continue"/>
          </w:tcPr>
          <w:p>
            <w:pPr>
              <w:spacing w:after="0"/>
              <w:rPr>
                <w:sz w:val="13"/>
                <w:szCs w:val="13"/>
                <w:color w:val="auto"/>
              </w:rPr>
            </w:pPr>
          </w:p>
        </w:tc>
        <w:tc>
          <w:tcPr>
            <w:tcW w:w="34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7"/>
                <w:szCs w:val="17"/>
                <w:b w:val="1"/>
                <w:bCs w:val="1"/>
                <w:color w:val="auto"/>
              </w:rPr>
              <w:t>​ ​​ ​</w:t>
            </w:r>
          </w:p>
        </w:tc>
        <w:tc>
          <w:tcPr>
            <w:tcW w:w="4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7"/>
                <w:szCs w:val="17"/>
                <w:b w:val="1"/>
                <w:bCs w:val="1"/>
                <w:color w:val="auto"/>
              </w:rPr>
              <w:t>​​ ​</w:t>
            </w:r>
          </w:p>
        </w:tc>
        <w:tc>
          <w:tcPr>
            <w:tcW w:w="4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​11,360​​</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3,091​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2,608​​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1,875​​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1,082​​</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​17,990​​</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7,163​</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​37,053​​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 4,694​​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​42,200​​</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1,089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​60,190​​</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8,252​</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10,000,000 shares at $0.0002 par value, authorized, 10,000,000 shares</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5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2,000​​ ​​ ​ 2,000​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40,000,000 shares at $0.0002 par value, authorized, 20,875,475 shares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2021, 20,040,470 shares issued 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 1,619​​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5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​12,438​​ ​​ ​ 8,100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​14,061​​</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8,555​</w:t>
            </w:r>
          </w:p>
        </w:tc>
        <w:tc>
          <w:tcPr>
            <w:tcW w:w="0" w:type="dxa"/>
            <w:vAlign w:val="bottom"/>
          </w:tcPr>
          <w:p>
            <w:pPr>
              <w:spacing w:after="0"/>
              <w:rPr>
                <w:sz w:val="1"/>
                <w:szCs w:val="1"/>
                <w:color w:val="auto"/>
              </w:rPr>
            </w:pPr>
          </w:p>
        </w:tc>
      </w:tr>
      <w:tr>
        <w:trPr>
          <w:trHeight w:val="20"/>
        </w:trPr>
        <w:tc>
          <w:tcPr>
            <w:tcW w:w="6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Shareholders’ Equity</w:t>
            </w:r>
          </w:p>
        </w:tc>
        <w:tc>
          <w:tcPr>
            <w:tcW w:w="900" w:type="dxa"/>
            <w:vAlign w:val="bottom"/>
            <w:gridSpan w:val="4"/>
            <w:shd w:val="clear" w:color="auto" w:fill="CCEEFF"/>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76,251</w:t>
            </w:r>
            <w:r>
              <w:rPr>
                <w:rFonts w:ascii="Times New Roman" w:cs="Times New Roman" w:eastAsia="Times New Roman" w:hAnsi="Times New Roman"/>
                <w:sz w:val="24"/>
                <w:szCs w:val="24"/>
                <w:color w:val="auto"/>
                <w:vertAlign w:val="subscript"/>
              </w:rPr>
              <w:t>​​</w:t>
            </w:r>
          </w:p>
        </w:tc>
        <w:tc>
          <w:tcPr>
            <w:tcW w:w="680" w:type="dxa"/>
            <w:vAlign w:val="bottom"/>
            <w:gridSpan w:val="3"/>
            <w:shd w:val="clear" w:color="auto" w:fill="CCEEFF"/>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18,807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-1062355</wp:posOffset>
            </wp:positionV>
            <wp:extent cx="5212080" cy="419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2080" cy="4197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4834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-1782445</wp:posOffset>
            </wp:positionV>
            <wp:extent cx="4834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-2091055</wp:posOffset>
            </wp:positionV>
            <wp:extent cx="4834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-2682240</wp:posOffset>
            </wp:positionV>
            <wp:extent cx="4834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-4122420</wp:posOffset>
            </wp:positionV>
            <wp:extent cx="4834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-4405630</wp:posOffset>
            </wp:positionV>
            <wp:extent cx="4834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-4688205</wp:posOffset>
            </wp:positionV>
            <wp:extent cx="4834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-5528310</wp:posOffset>
            </wp:positionV>
            <wp:extent cx="4834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-6634480</wp:posOffset>
            </wp:positionV>
            <wp:extent cx="48260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9"/>
                <w:szCs w:val="19"/>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60" w:type="dxa"/>
            <w:vAlign w:val="bottom"/>
            <w:gridSpan w:val="3"/>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00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78,000</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48,375​​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29,625​​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2,689​​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10,621​​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46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00" w:type="dxa"/>
            <w:vAlign w:val="bottom"/>
            <w:gridSpan w:val="4"/>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9,848</w:t>
            </w:r>
            <w:r>
              <w:rPr>
                <w:rFonts w:ascii="Times New Roman" w:cs="Times New Roman" w:eastAsia="Times New Roman" w:hAnsi="Times New Roman"/>
                <w:sz w:val="31"/>
                <w:szCs w:val="31"/>
                <w:color w:val="auto"/>
                <w:vertAlign w:val="subscript"/>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60" w:type="dxa"/>
            <w:vAlign w:val="bottom"/>
            <w:gridSpan w:val="3"/>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1000" w:type="dxa"/>
            <w:vAlign w:val="bottom"/>
            <w:gridSpan w:val="4"/>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23,158</w:t>
            </w:r>
            <w:r>
              <w:rPr>
                <w:rFonts w:ascii="Times New Roman" w:cs="Times New Roman" w:eastAsia="Times New Roman" w:hAnsi="Times New Roman"/>
                <w:sz w:val="30"/>
                <w:szCs w:val="30"/>
                <w:color w:val="auto"/>
                <w:vertAlign w:val="subscript"/>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11,861</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vMerge w:val="continue"/>
            <w:shd w:val="clear" w:color="auto" w:fill="CCEEFF"/>
          </w:tcPr>
          <w:p>
            <w:pPr>
              <w:spacing w:after="0"/>
              <w:rPr>
                <w:sz w:val="21"/>
                <w:szCs w:val="21"/>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6,467​​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Income (expense)</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96"/>
              <w:spacing w:after="0" w:line="202" w:lineRule="exact"/>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shd w:val="clear" w:color="auto" w:fill="CCEEFF"/>
          </w:tcPr>
          <w:p>
            <w:pPr>
              <w:spacing w:after="0"/>
              <w:rPr>
                <w:sz w:val="17"/>
                <w:szCs w:val="17"/>
                <w:color w:val="auto"/>
              </w:rPr>
            </w:pP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shd w:val="clear" w:color="auto" w:fill="CCEEFF"/>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460" w:type="dxa"/>
            <w:vAlign w:val="bottom"/>
            <w:gridSpan w:val="3"/>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1000" w:type="dxa"/>
            <w:vAlign w:val="bottom"/>
            <w:gridSpan w:val="4"/>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5,949</w:t>
            </w:r>
            <w:r>
              <w:rPr>
                <w:rFonts w:ascii="Times New Roman" w:cs="Times New Roman" w:eastAsia="Times New Roman" w:hAnsi="Times New Roman"/>
                <w:sz w:val="30"/>
                <w:szCs w:val="30"/>
                <w:color w:val="auto"/>
                <w:vertAlign w:val="subscript"/>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8,764</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vMerge w:val="continue"/>
            <w:shd w:val="clear" w:color="auto" w:fill="CCEEFF"/>
          </w:tcPr>
          <w:p>
            <w:pPr>
              <w:spacing w:after="0"/>
              <w:rPr>
                <w:sz w:val="22"/>
                <w:szCs w:val="22"/>
                <w:color w:val="auto"/>
              </w:rPr>
            </w:pPr>
          </w:p>
        </w:tc>
        <w:tc>
          <w:tcPr>
            <w:tcW w:w="460" w:type="dxa"/>
            <w:vAlign w:val="bottom"/>
            <w:gridSpan w:val="3"/>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1000" w:type="dxa"/>
            <w:vAlign w:val="bottom"/>
            <w:gridSpan w:val="4"/>
            <w:shd w:val="clear" w:color="auto" w:fill="CCEEFF"/>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1,611</w:t>
            </w:r>
            <w:r>
              <w:rPr>
                <w:rFonts w:ascii="Times New Roman" w:cs="Times New Roman" w:eastAsia="Times New Roman" w:hAnsi="Times New Roman"/>
                <w:sz w:val="30"/>
                <w:szCs w:val="30"/>
                <w:color w:val="auto"/>
                <w:vertAlign w:val="subscript"/>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10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4,338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120" w:type="dxa"/>
            <w:vAlign w:val="bottom"/>
          </w:tcPr>
          <w:p>
            <w:pPr>
              <w:spacing w:after="0"/>
              <w:rPr>
                <w:sz w:val="22"/>
                <w:szCs w:val="22"/>
                <w:color w:val="auto"/>
              </w:rPr>
            </w:pPr>
          </w:p>
        </w:tc>
        <w:tc>
          <w:tcPr>
            <w:tcW w:w="7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6,878</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460" w:type="dxa"/>
            <w:vAlign w:val="bottom"/>
            <w:gridSpan w:val="3"/>
            <w:shd w:val="clear" w:color="auto" w:fill="CCEEFF"/>
          </w:tcPr>
          <w:p>
            <w:pPr>
              <w:ind w:left="60"/>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perscript"/>
              </w:rPr>
              <w:t>$</w:t>
            </w:r>
          </w:p>
        </w:tc>
        <w:tc>
          <w:tcPr>
            <w:tcW w:w="36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0.15</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0.23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460" w:type="dxa"/>
            <w:vAlign w:val="bottom"/>
            <w:gridSpan w:val="3"/>
          </w:tcPr>
          <w:p>
            <w:pPr>
              <w:ind w:left="60"/>
              <w:spacing w:after="0" w:line="23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perscript"/>
              </w:rPr>
              <w:t>$</w:t>
            </w:r>
          </w:p>
        </w:tc>
        <w:tc>
          <w:tcPr>
            <w:tcW w:w="360" w:type="dxa"/>
            <w:vAlign w:val="bottom"/>
          </w:tcPr>
          <w:p>
            <w:pPr>
              <w:spacing w:after="0"/>
              <w:rPr>
                <w:sz w:val="20"/>
                <w:szCs w:val="20"/>
                <w:color w:val="auto"/>
              </w:rPr>
            </w:pPr>
          </w:p>
        </w:tc>
        <w:tc>
          <w:tcPr>
            <w:tcW w:w="64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5"/>
                <w:szCs w:val="15"/>
                <w:color w:val="auto"/>
              </w:rPr>
              <w:t>0.13</w:t>
            </w: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5"/>
                <w:szCs w:val="15"/>
                <w:color w:val="auto"/>
              </w:rPr>
              <w:t>0.21</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1460" w:type="dxa"/>
            <w:vAlign w:val="bottom"/>
            <w:gridSpan w:val="7"/>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xml:space="preserve"> ​20,101,129</w:t>
            </w:r>
            <w:r>
              <w:rPr>
                <w:rFonts w:ascii="Times New Roman" w:cs="Times New Roman" w:eastAsia="Times New Roman" w:hAnsi="Times New Roman"/>
                <w:sz w:val="27"/>
                <w:szCs w:val="27"/>
                <w:color w:val="auto"/>
                <w:vertAlign w:val="subscript"/>
              </w:rPr>
              <w:t>​​ ​​</w:t>
            </w:r>
          </w:p>
        </w:tc>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​20,040,470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1460" w:type="dxa"/>
            <w:vAlign w:val="bottom"/>
            <w:gridSpan w:val="7"/>
          </w:tcPr>
          <w:p>
            <w:pPr>
              <w:ind w:left="60"/>
              <w:spacing w:after="0" w:line="231"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5"/>
                <w:szCs w:val="15"/>
                <w:color w:val="auto"/>
              </w:rPr>
              <w:t xml:space="preserve"> ​21,931,108</w:t>
            </w:r>
            <w:r>
              <w:rPr>
                <w:rFonts w:ascii="Times New Roman" w:cs="Times New Roman" w:eastAsia="Times New Roman" w:hAnsi="Times New Roman"/>
                <w:sz w:val="26"/>
                <w:szCs w:val="26"/>
                <w:color w:val="auto"/>
                <w:vertAlign w:val="subscript"/>
              </w:rPr>
              <w:t>​​ ​​</w:t>
            </w:r>
          </w:p>
        </w:tc>
        <w:tc>
          <w:tcPr>
            <w:tcW w:w="860" w:type="dxa"/>
            <w:vAlign w:val="bottom"/>
            <w:gridSpan w:val="5"/>
          </w:tcPr>
          <w:p>
            <w:pPr>
              <w:jc w:val="right"/>
              <w:spacing w:after="0" w:line="231" w:lineRule="exact"/>
              <w:rPr>
                <w:sz w:val="20"/>
                <w:szCs w:val="20"/>
                <w:color w:val="auto"/>
              </w:rPr>
            </w:pPr>
            <w:r>
              <w:rPr>
                <w:rFonts w:ascii="Times New Roman" w:cs="Times New Roman" w:eastAsia="Times New Roman" w:hAnsi="Times New Roman"/>
                <w:sz w:val="15"/>
                <w:szCs w:val="15"/>
                <w:color w:val="auto"/>
              </w:rPr>
              <w:t>​21,388,785</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-1182370</wp:posOffset>
            </wp:positionV>
            <wp:extent cx="463740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46374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46374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-3565525</wp:posOffset>
            </wp:positionV>
            <wp:extent cx="462915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8" w:lineRule="exact"/>
        <w:rPr>
          <w:sz w:val="20"/>
          <w:szCs w:val="20"/>
          <w:color w:val="auto"/>
        </w:rPr>
      </w:pPr>
    </w:p>
    <w:tbl>
      <w:tblPr>
        <w:tblLayout w:type="fixed"/>
        <w:tblInd w:w="126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2080" w:type="dxa"/>
            <w:vAlign w:val="bottom"/>
            <w:gridSpan w:val="10"/>
          </w:tcPr>
          <w:p>
            <w:pPr>
              <w:spacing w:after="0"/>
              <w:rPr>
                <w:sz w:val="13"/>
                <w:szCs w:val="13"/>
                <w:color w:val="auto"/>
              </w:rPr>
            </w:pPr>
          </w:p>
        </w:tc>
        <w:tc>
          <w:tcPr>
            <w:tcW w:w="1300" w:type="dxa"/>
            <w:vAlign w:val="bottom"/>
            <w:gridSpan w:val="3"/>
          </w:tcPr>
          <w:p>
            <w:pPr>
              <w:spacing w:after="0"/>
              <w:rPr>
                <w:sz w:val="13"/>
                <w:szCs w:val="13"/>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Additional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880" w:type="dxa"/>
            <w:vAlign w:val="bottom"/>
            <w:gridSpan w:val="8"/>
          </w:tcPr>
          <w:p>
            <w:pPr>
              <w:ind w:left="80"/>
              <w:spacing w:after="0" w:line="169"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1"/>
                <w:szCs w:val="11"/>
                <w:b w:val="1"/>
                <w:bCs w:val="1"/>
                <w:color w:val="auto"/>
              </w:rPr>
              <w:t xml:space="preserve"> Redeemable Preferred Stock</w:t>
            </w:r>
          </w:p>
        </w:tc>
        <w:tc>
          <w:tcPr>
            <w:tcW w:w="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restart"/>
          </w:tcPr>
          <w:p>
            <w:pPr>
              <w:jc w:val="right"/>
              <w:ind w:right="5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7"/>
                <w:szCs w:val="7"/>
                <w:color w:val="auto"/>
              </w:rPr>
            </w:pPr>
          </w:p>
        </w:tc>
        <w:tc>
          <w:tcPr>
            <w:tcW w:w="860" w:type="dxa"/>
            <w:vAlign w:val="bottom"/>
            <w:gridSpan w:val="4"/>
            <w:vMerge w:val="restart"/>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4"/>
          </w:tcPr>
          <w:p>
            <w:pPr>
              <w:jc w:val="right"/>
              <w:ind w:right="3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Amount</w:t>
            </w:r>
          </w:p>
        </w:tc>
        <w:tc>
          <w:tcPr>
            <w:tcW w:w="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6"/>
          </w:tcPr>
          <w:p>
            <w:pPr>
              <w:jc w:val="right"/>
              <w:ind w:right="3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Capital</w:t>
            </w:r>
          </w:p>
        </w:tc>
        <w:tc>
          <w:tcPr>
            <w:tcW w:w="980" w:type="dxa"/>
            <w:vAlign w:val="bottom"/>
            <w:gridSpan w:val="5"/>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Earnings </w:t>
            </w:r>
            <w:r>
              <w:rPr>
                <w:rFonts w:ascii="Times New Roman" w:cs="Times New Roman" w:eastAsia="Times New Roman" w:hAnsi="Times New Roman"/>
                <w:sz w:val="26"/>
                <w:szCs w:val="26"/>
                <w:b w:val="1"/>
                <w:bCs w:val="1"/>
                <w:color w:val="auto"/>
                <w:vertAlign w:val="subscript"/>
              </w:rPr>
              <w:t>​​</w:t>
            </w:r>
          </w:p>
        </w:tc>
        <w:tc>
          <w:tcPr>
            <w:tcW w:w="5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10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880" w:type="dxa"/>
            <w:vAlign w:val="bottom"/>
            <w:tcBorders>
              <w:left w:val="single" w:sz="8" w:color="CCEEFF"/>
            </w:tcBorders>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vMerge w:val="continue"/>
            <w:shd w:val="clear" w:color="auto" w:fill="CCEEFF"/>
          </w:tcPr>
          <w:p>
            <w:pPr>
              <w:spacing w:after="0"/>
              <w:rPr>
                <w:sz w:val="21"/>
                <w:szCs w:val="21"/>
                <w:color w:val="auto"/>
              </w:rPr>
            </w:pPr>
          </w:p>
        </w:tc>
        <w:tc>
          <w:tcPr>
            <w:tcW w:w="108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​10,000,000</w:t>
            </w:r>
          </w:p>
        </w:tc>
        <w:tc>
          <w:tcPr>
            <w:tcW w:w="800" w:type="dxa"/>
            <w:vAlign w:val="bottom"/>
            <w:tcBorders>
              <w:right w:val="single" w:sz="8" w:color="CCEEFF"/>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​$2,000</w:t>
            </w:r>
          </w:p>
        </w:tc>
        <w:tc>
          <w:tcPr>
            <w:tcW w:w="1100" w:type="dxa"/>
            <w:vAlign w:val="bottom"/>
            <w:tcBorders>
              <w:left w:val="single" w:sz="8" w:color="CCEEFF"/>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​​​​20,000,000​​​</w:t>
            </w:r>
          </w:p>
        </w:tc>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1,222​​​​$ 1,314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6,878​​​​ ​ 6,878​</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8,200​​​</w:t>
            </w:r>
          </w:p>
        </w:tc>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center"/>
              <w:ind w:right="8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900" w:type="dxa"/>
            <w:vAlign w:val="bottom"/>
            <w:gridSpan w:val="2"/>
          </w:tcPr>
          <w:p>
            <w:pPr>
              <w:jc w:val="right"/>
              <w:ind w:right="80"/>
              <w:spacing w:after="0" w:line="269" w:lineRule="exact"/>
              <w:rPr>
                <w:sz w:val="20"/>
                <w:szCs w:val="20"/>
                <w:color w:val="auto"/>
              </w:rPr>
            </w:pPr>
            <w:r>
              <w:rPr>
                <w:rFonts w:ascii="Times New Roman" w:cs="Times New Roman" w:eastAsia="Times New Roman" w:hAnsi="Times New Roman"/>
                <w:sz w:val="17"/>
                <w:szCs w:val="17"/>
                <w:color w:val="auto"/>
              </w:rPr>
              <w:t>32,270</w:t>
            </w:r>
            <w:r>
              <w:rPr>
                <w:rFonts w:ascii="Times New Roman" w:cs="Times New Roman" w:eastAsia="Times New Roman" w:hAnsi="Times New Roman"/>
                <w:sz w:val="31"/>
                <w:szCs w:val="31"/>
                <w:color w:val="auto"/>
                <w:vertAlign w:val="subscript"/>
              </w:rPr>
              <w:t>​​​</w:t>
            </w:r>
          </w:p>
        </w:tc>
        <w:tc>
          <w:tcPr>
            <w:tcW w:w="4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00" w:type="dxa"/>
            <w:vAlign w:val="bottom"/>
            <w:gridSpan w:val="3"/>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1080" w:type="dxa"/>
            <w:vAlign w:val="bottom"/>
            <w:tcBorders>
              <w:right w:val="single" w:sz="8" w:color="CCEEFF"/>
            </w:tcBorders>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​10,000,000</w:t>
            </w:r>
          </w:p>
        </w:tc>
        <w:tc>
          <w:tcPr>
            <w:tcW w:w="800" w:type="dxa"/>
            <w:vAlign w:val="bottom"/>
            <w:tcBorders>
              <w:right w:val="single" w:sz="8" w:color="CCEEFF"/>
            </w:tcBorders>
            <w:gridSpan w:val="4"/>
            <w:shd w:val="clear" w:color="auto" w:fill="CCEEFF"/>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2,000</w:t>
            </w:r>
          </w:p>
        </w:tc>
        <w:tc>
          <w:tcPr>
            <w:tcW w:w="1100" w:type="dxa"/>
            <w:vAlign w:val="bottom"/>
            <w:tcBorders>
              <w:left w:val="single" w:sz="8" w:color="CCEEFF"/>
              <w:right w:val="single" w:sz="8" w:color="CCEEFF"/>
            </w:tcBorders>
            <w:gridSpan w:val="4"/>
            <w:shd w:val="clear" w:color="auto" w:fill="CCEEFF"/>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​20,040,470</w:t>
            </w:r>
            <w:r>
              <w:rPr>
                <w:rFonts w:ascii="Times New Roman" w:cs="Times New Roman" w:eastAsia="Times New Roman" w:hAnsi="Times New Roman"/>
                <w:sz w:val="28"/>
                <w:szCs w:val="28"/>
                <w:color w:val="auto"/>
                <w:vertAlign w:val="subscript"/>
              </w:rPr>
              <w:t>​​​</w:t>
            </w:r>
          </w:p>
        </w:tc>
        <w:tc>
          <w:tcPr>
            <w:tcW w:w="400" w:type="dxa"/>
            <w:vAlign w:val="bottom"/>
            <w:tcBorders>
              <w:right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4</w:t>
            </w:r>
          </w:p>
        </w:tc>
        <w:tc>
          <w:tcPr>
            <w:tcW w:w="36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1140" w:type="dxa"/>
            <w:vAlign w:val="bottom"/>
            <w:gridSpan w:val="4"/>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8,100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8,555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4,338​​​​ ​ 4,338​</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835,005</w:t>
            </w:r>
            <w:r>
              <w:rPr>
                <w:rFonts w:ascii="Times New Roman" w:cs="Times New Roman" w:eastAsia="Times New Roman" w:hAnsi="Times New Roman"/>
                <w:sz w:val="31"/>
                <w:szCs w:val="31"/>
                <w:color w:val="auto"/>
                <w:vertAlign w:val="subscript"/>
              </w:rPr>
              <w:t>​​​</w:t>
            </w:r>
          </w:p>
        </w:tc>
        <w:tc>
          <w:tcPr>
            <w:tcW w:w="4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00" w:type="dxa"/>
            <w:vAlign w:val="bottom"/>
            <w:gridSpan w:val="3"/>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434</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20" w:type="dxa"/>
            <w:vAlign w:val="bottom"/>
            <w:vMerge w:val="continue"/>
            <w:shd w:val="clear" w:color="auto" w:fill="CCEEFF"/>
          </w:tcPr>
          <w:p>
            <w:pPr>
              <w:spacing w:after="0"/>
              <w:rPr>
                <w:sz w:val="22"/>
                <w:szCs w:val="22"/>
                <w:color w:val="auto"/>
              </w:rPr>
            </w:pPr>
          </w:p>
        </w:tc>
        <w:tc>
          <w:tcPr>
            <w:tcW w:w="1080" w:type="dxa"/>
            <w:vAlign w:val="bottom"/>
            <w:tcBorders>
              <w:right w:val="single" w:sz="8" w:color="CCEEFF"/>
            </w:tcBorders>
            <w:gridSpan w:val="4"/>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​10,000,000</w:t>
            </w:r>
          </w:p>
        </w:tc>
        <w:tc>
          <w:tcPr>
            <w:tcW w:w="800" w:type="dxa"/>
            <w:vAlign w:val="bottom"/>
            <w:tcBorders>
              <w:right w:val="single" w:sz="8" w:color="CCEEFF"/>
            </w:tcBorders>
            <w:gridSpan w:val="4"/>
            <w:shd w:val="clear" w:color="auto" w:fill="CCEEFF"/>
          </w:tcPr>
          <w:p>
            <w:pPr>
              <w:jc w:val="right"/>
              <w:ind w:right="3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2,000</w:t>
            </w:r>
          </w:p>
        </w:tc>
        <w:tc>
          <w:tcPr>
            <w:tcW w:w="1100" w:type="dxa"/>
            <w:vAlign w:val="bottom"/>
            <w:tcBorders>
              <w:left w:val="single" w:sz="8" w:color="CCEEFF"/>
              <w:right w:val="single" w:sz="8" w:color="CCEEFF"/>
            </w:tcBorders>
            <w:gridSpan w:val="4"/>
            <w:shd w:val="clear" w:color="auto" w:fill="CCEEFF"/>
          </w:tcPr>
          <w:p>
            <w:pPr>
              <w:jc w:val="right"/>
              <w:ind w:righ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​20,875,475</w:t>
            </w:r>
            <w:r>
              <w:rPr>
                <w:rFonts w:ascii="Times New Roman" w:cs="Times New Roman" w:eastAsia="Times New Roman" w:hAnsi="Times New Roman"/>
                <w:sz w:val="30"/>
                <w:szCs w:val="30"/>
                <w:color w:val="auto"/>
                <w:vertAlign w:val="subscript"/>
              </w:rPr>
              <w:t>​​​</w:t>
            </w:r>
          </w:p>
        </w:tc>
        <w:tc>
          <w:tcPr>
            <w:tcW w:w="400" w:type="dxa"/>
            <w:vAlign w:val="bottom"/>
            <w:tcBorders>
              <w:right w:val="single" w:sz="8" w:color="CCEEFF"/>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$ 4</w:t>
            </w:r>
          </w:p>
        </w:tc>
        <w:tc>
          <w:tcPr>
            <w:tcW w:w="78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$ 1,619</w:t>
            </w:r>
          </w:p>
        </w:tc>
        <w:tc>
          <w:tcPr>
            <w:tcW w:w="1420" w:type="dxa"/>
            <w:vAlign w:val="bottom"/>
            <w:gridSpan w:val="6"/>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12,438</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14,061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-1893570</wp:posOffset>
            </wp:positionV>
            <wp:extent cx="4834890" cy="18942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83489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DRAGONFLY ENERGY</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tbl>
      <w:tblPr>
        <w:tblLayout w:type="fixed"/>
        <w:tblInd w:w="1260" w:type="dxa"/>
        <w:tblCellMar>
          <w:top w:w="0" w:type="dxa"/>
          <w:left w:w="0" w:type="dxa"/>
          <w:bottom w:w="0" w:type="dxa"/>
          <w:right w:w="0" w:type="dxa"/>
        </w:tblCellMar>
      </w:tblPr>
      <w:tr>
        <w:trPr>
          <w:trHeight w:val="351"/>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8"/>
                <w:szCs w:val="28"/>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​​$ 6,878​</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​(1,640​)</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​(21,179​​)</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​1,279​</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3"/>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(1,345)</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​1,640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​(19,764)</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54"/>
        </w:trPr>
        <w:tc>
          <w:tcPr>
            <w:tcW w:w="652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​(13,573)</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​6,640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(2,909)</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​(1,410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65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10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45,000​​</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(6,278​​)</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revolving note agreement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revolving note agreement</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520" w:type="dxa"/>
            <w:vAlign w:val="bottom"/>
            <w:vMerge w:val="continue"/>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38,906​​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10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22,424​​</w:t>
            </w:r>
          </w:p>
        </w:tc>
        <w:tc>
          <w:tcPr>
            <w:tcW w:w="6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1020" w:type="dxa"/>
            <w:vAlign w:val="bottom"/>
            <w:gridSpan w:val="5"/>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$ 28,630</w:t>
            </w:r>
            <w:r>
              <w:rPr>
                <w:rFonts w:ascii="Times New Roman" w:cs="Times New Roman" w:eastAsia="Times New Roman" w:hAnsi="Times New Roman"/>
                <w:sz w:val="27"/>
                <w:szCs w:val="27"/>
                <w:color w:val="auto"/>
                <w:vertAlign w:val="subscript"/>
              </w:rPr>
              <w:t>​​</w:t>
            </w:r>
          </w:p>
        </w:tc>
        <w:tc>
          <w:tcPr>
            <w:tcW w:w="660" w:type="dxa"/>
            <w:vAlign w:val="bottom"/>
            <w:gridSpan w:val="4"/>
            <w:shd w:val="clear" w:color="auto" w:fill="CCEEFF"/>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$ 6,206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63"/>
        </w:trPr>
        <w:tc>
          <w:tcPr>
            <w:tcW w:w="6520" w:type="dxa"/>
            <w:vAlign w:val="bottom"/>
            <w:vMerge w:val="continue"/>
          </w:tcPr>
          <w:p>
            <w:pPr>
              <w:spacing w:after="0"/>
              <w:rPr>
                <w:sz w:val="14"/>
                <w:szCs w:val="14"/>
                <w:color w:val="auto"/>
              </w:rPr>
            </w:pPr>
          </w:p>
        </w:tc>
        <w:tc>
          <w:tcPr>
            <w:tcW w:w="400" w:type="dxa"/>
            <w:vAlign w:val="bottom"/>
            <w:gridSpan w:val="3"/>
          </w:tcPr>
          <w:p>
            <w:pPr>
              <w:ind w:left="60"/>
              <w:spacing w:after="0" w:line="163" w:lineRule="exact"/>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-1216660</wp:posOffset>
            </wp:positionV>
            <wp:extent cx="48520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-1533525</wp:posOffset>
            </wp:positionV>
            <wp:extent cx="48520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-2776855</wp:posOffset>
            </wp:positionV>
            <wp:extent cx="48520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-3411220</wp:posOffset>
            </wp:positionV>
            <wp:extent cx="48520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-6308725</wp:posOffset>
            </wp:positionV>
            <wp:extent cx="48520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-6608445</wp:posOffset>
            </wp:positionV>
            <wp:extent cx="484314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These accompanying financial statements have been prepared pursuant to the rules and regulations of the Securities and Exchange Commission (“SEC”) and in accordance with generally accepted accounting principles in the United States of America (“GAAP”).</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46"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Certain amounts disclosed in prior period financial statements have been reclassified to conform to the current period presentation. These reclassifications had no effect on reported income, cash flows, total assets, or shareholders’ equity as previously reported.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6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The new standard reduces the complexity of accounting for income taxes by eliminating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Company adopted this guidance effective January 1, 2021 which did not have a material impact on the accompanying financial statements.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2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2021-04 are effective January 1, 2022. This ASU shall be applied on a prospective basis. The Company determined that the change in guidance did not have a material impact to its financial statements.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Cash, Restricted Cash, and Cash Equivalents</w:t>
      </w:r>
    </w:p>
    <w:p>
      <w:pPr>
        <w:spacing w:after="0" w:line="14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Company considers all short -term debt securities purchased with a maturity of three months or less to be cash equivalents. There were no cash equivalents as of December 31, 2021 or 2020. The Company also maintains a restricted cash balance to satisfy its note payable requirements (Refer to Note 5).</w:t>
      </w:r>
    </w:p>
    <w:p>
      <w:pPr>
        <w:spacing w:after="0" w:line="10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4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December 31, 2021 and 2020 of $50 and $0, respectively.</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33"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46"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2021 and 2020 was $617 and $198, respectively. The various classes of property and equipment and estimated useful lives are as follows:</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to 7 years</w:t>
            </w:r>
          </w:p>
        </w:tc>
        <w:tc>
          <w:tcPr>
            <w:tcW w:w="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spacing w:after="0"/>
              <w:rPr>
                <w:sz w:val="15"/>
                <w:szCs w:val="15"/>
                <w:color w:val="auto"/>
              </w:rPr>
            </w:pPr>
          </w:p>
        </w:tc>
        <w:tc>
          <w:tcPr>
            <w:tcW w:w="84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 to 7 years Leasehold improvements</w:t>
            </w:r>
          </w:p>
        </w:tc>
        <w:tc>
          <w:tcPr>
            <w:tcW w:w="4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3"/>
        </w:trPr>
        <w:tc>
          <w:tcPr>
            <w:tcW w:w="298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color w:val="auto"/>
              </w:rPr>
              <w:t>Machinery and equipment</w:t>
            </w:r>
          </w:p>
        </w:tc>
        <w:tc>
          <w:tcPr>
            <w:tcW w:w="8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460"/>
        <w:spacing w:after="0"/>
        <w:rPr>
          <w:sz w:val="20"/>
          <w:szCs w:val="20"/>
          <w:color w:val="auto"/>
        </w:rPr>
      </w:pPr>
      <w:r>
        <w:rPr>
          <w:rFonts w:ascii="Times New Roman" w:cs="Times New Roman" w:eastAsia="Times New Roman" w:hAnsi="Times New Roman"/>
          <w:sz w:val="18"/>
          <w:szCs w:val="18"/>
          <w:color w:val="auto"/>
        </w:rPr>
        <w:t>Remaining Term of Lease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46"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16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The Company does not have any finance leases as of December 31, 2021 or 2020.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 -use assets are recognized on the balance sheet at the commencement date of the lease based on the present value of lease payments over the expected lease term. Certain adjustments to the right-of- 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Income.</w:t>
      </w:r>
    </w:p>
    <w:p>
      <w:pPr>
        <w:spacing w:after="0" w:line="11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32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In such instances, the Company records a customer deposit liability. Payment terms for distributors and OEMs are due within 30-60 days after shipment. The Company recognizes these contract liabilities as sales after the revenue criteria are met. As of December 31, 2021 and 2020, the contract liability related to the Company’s customer deposits approximated $434 and $ 1,779, respectively. The entire contract liability balance as of December 31, 2020 was recognized as revenue during the year ended December 31, 2021.</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2020  </w:t>
            </w:r>
            <w:r>
              <w:rPr>
                <w:rFonts w:ascii="Times New Roman" w:cs="Times New Roman" w:eastAsia="Times New Roman" w:hAnsi="Times New Roman"/>
                <w:sz w:val="28"/>
                <w:szCs w:val="28"/>
                <w:b w:val="1"/>
                <w:bCs w:val="1"/>
                <w:color w:val="auto"/>
                <w:vertAlign w:val="subscript"/>
              </w:rPr>
              <w:t>​</w:t>
            </w:r>
          </w:p>
        </w:tc>
      </w:tr>
      <w:tr>
        <w:trPr>
          <w:trHeight w:val="20"/>
        </w:trPr>
        <w:tc>
          <w:tcPr>
            <w:tcW w:w="5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6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​​$59,042​​ ​​$33,314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​10,733​​ ​​ ​10,381​</w:t>
            </w:r>
          </w:p>
        </w:tc>
      </w:tr>
      <w:tr>
        <w:trPr>
          <w:trHeight w:val="2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640" w:type="dxa"/>
            <w:vAlign w:val="bottom"/>
            <w:gridSpan w:val="4"/>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8,225</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3,492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78,000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47,187</w:t>
            </w:r>
            <w:r>
              <w:rPr>
                <w:rFonts w:ascii="Times New Roman" w:cs="Times New Roman" w:eastAsia="Times New Roman" w:hAnsi="Times New Roman"/>
                <w:sz w:val="28"/>
                <w:szCs w:val="28"/>
                <w:color w:val="auto"/>
                <w:vertAlign w:val="subscript"/>
              </w:rPr>
              <w:t>​</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-719455</wp:posOffset>
            </wp:positionV>
            <wp:extent cx="1371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-719455</wp:posOffset>
            </wp:positionV>
            <wp:extent cx="1371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16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$5,105 and $2,568 for the years ended December 31, 2021 and 2020, respectively.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6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w:t>
      </w:r>
    </w:p>
    <w:p>
      <w:pPr>
        <w:spacing w:after="0" w:line="2"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2021 and 2020 are immaterial to the Company’s financial statements.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Returns and Sales Allowances</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provision for returns and sales allowances is determined by an analysis of the historical rate of returns and sales allowances over recent quarters and adjusted to reflect management’s future expectations. The Company has accrued for sales allowances as of December 31, 2021 in the amount of $170. There was no accrual for sales allowances as of December 31, 2020.</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no significant revenue concentrations for the years ended December 31, 2021 and 2020.</w:t>
      </w:r>
    </w:p>
    <w:p>
      <w:pPr>
        <w:spacing w:after="0" w:line="144"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Receivables from two customers comprised approximately 42% and 16%, respectively, of accounts receivable as of December 31, 2021. Receivables from one customer comprised approximately 22% of accounts receivable as of December 31, 2020. There are no other significant accounts receivable concentrations.</w:t>
      </w:r>
    </w:p>
    <w:p>
      <w:pPr>
        <w:spacing w:after="0" w:line="11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three vendors accounted for approximately 27%, 10% and 10% of the Company’s total purchases, respectively. For the year ended December 31, 2020, four vendors accounted for approximately 19%, 14%, 11% and 10% of the Company’s total purchases, respectively.</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4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$1,690 and $1,069 for the years ending 2021 and 2020, respectively.</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non-employee consultants using a fair value method which requires the recognition of compensation expense for costs related to all stock-based payments, including stock options (Note 8). The fair value method requires the Company to estimate the fair value of stock-based payment awards to employees and non-employees on the date of grant using an option pricing model.</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Stock-based compensation costs are based on the fair value of the underlying option calculated using the Black Scholes option pricing model and recognized as expense on a straight-line basis over the requisite service period, which is the vesting period. The Company measures equity-based compensation awards granted to non-employees at fair value as the awards vest and recognizes the resulting value as compensation expense at each financial reporting period.</w:t>
      </w:r>
    </w:p>
    <w:p>
      <w:pPr>
        <w:spacing w:after="0" w:line="116"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7)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95"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$0 and $19 as of December 31, 2021 and 2020, respectively, of uncertain tax positions.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160"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107"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years ended December 31, 2021 and 2020:</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tcPr>
          <w:p>
            <w:pPr>
              <w:ind w:left="30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5212080" cy="1714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available for distribution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allocated to participating securities,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available to common shareholders</w:t>
      </w: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48"/>
        </w:trPr>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80" w:type="dxa"/>
            <w:vAlign w:val="bottom"/>
            <w:tcBorders>
              <w:bottom w:val="single" w:sz="8" w:color="auto"/>
            </w:tcBorders>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$ 4,338</w:t>
            </w:r>
          </w:p>
        </w:tc>
        <w:tc>
          <w:tcPr>
            <w:tcW w:w="8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3"/>
          </w:tcPr>
          <w:p>
            <w:pPr>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$ 6,878</w:t>
            </w: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9"/>
        </w:trPr>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​4,338</w:t>
            </w:r>
          </w:p>
        </w:tc>
        <w:tc>
          <w:tcPr>
            <w:tcW w:w="80" w:type="dxa"/>
            <w:vAlign w:val="bottom"/>
          </w:tcPr>
          <w:p>
            <w:pPr>
              <w:spacing w:after="0"/>
              <w:rPr>
                <w:sz w:val="22"/>
                <w:szCs w:val="22"/>
                <w:color w:val="auto"/>
              </w:rPr>
            </w:pP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​6,878</w:t>
            </w:r>
          </w:p>
        </w:tc>
        <w:tc>
          <w:tcPr>
            <w:tcW w:w="8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6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​(1,405)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​(2,290)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$ 2,933</w:t>
            </w:r>
          </w:p>
        </w:tc>
        <w:tc>
          <w:tcPr>
            <w:tcW w:w="80" w:type="dxa"/>
            <w:vAlign w:val="bottom"/>
          </w:tcPr>
          <w:p>
            <w:pPr>
              <w:spacing w:after="0"/>
              <w:rPr>
                <w:sz w:val="22"/>
                <w:szCs w:val="2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$ 4,588</w:t>
            </w:r>
          </w:p>
        </w:tc>
        <w:tc>
          <w:tcPr>
            <w:tcW w:w="8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1"/>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24"/>
                <w:szCs w:val="24"/>
                <w:color w:val="auto"/>
              </w:rPr>
            </w:pP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8" w:lineRule="exact"/>
        <w:rPr>
          <w:sz w:val="20"/>
          <w:szCs w:val="20"/>
          <w:color w:val="auto"/>
        </w:rPr>
      </w:pPr>
    </w:p>
    <w:p>
      <w:pPr>
        <w:sectPr>
          <w:pgSz w:w="11900" w:h="16838" w:orient="portrait"/>
          <w:cols w:equalWidth="0" w:num="2">
            <w:col w:w="6540" w:space="720"/>
            <w:col w:w="26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Basic earnings per common share: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060" w:val="left"/>
          <w:tab w:leader="none" w:pos="218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ectPr>
          <w:pgSz w:w="11900" w:h="16838" w:orient="portrait"/>
          <w:cols w:equalWidth="0" w:num="2">
            <w:col w:w="6540" w:space="720"/>
            <w:col w:w="26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560" w:type="dxa"/>
            <w:vAlign w:val="bottom"/>
            <w:gridSpan w:val="2"/>
          </w:tcPr>
          <w:p>
            <w:pPr>
              <w:ind w:left="1080"/>
              <w:spacing w:after="0" w:line="255"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perscript"/>
              </w:rPr>
              <w:t>$</w:t>
            </w:r>
          </w:p>
        </w:tc>
        <w:tc>
          <w:tcPr>
            <w:tcW w:w="920" w:type="dxa"/>
            <w:vAlign w:val="bottom"/>
            <w:gridSpan w:val="3"/>
          </w:tcPr>
          <w:p>
            <w:pPr>
              <w:jc w:val="right"/>
              <w:spacing w:after="0" w:line="255" w:lineRule="exact"/>
              <w:rPr>
                <w:sz w:val="20"/>
                <w:szCs w:val="20"/>
                <w:color w:val="auto"/>
              </w:rPr>
            </w:pPr>
            <w:r>
              <w:rPr>
                <w:rFonts w:ascii="Times New Roman" w:cs="Times New Roman" w:eastAsia="Times New Roman" w:hAnsi="Times New Roman"/>
                <w:sz w:val="16"/>
                <w:szCs w:val="16"/>
                <w:color w:val="auto"/>
              </w:rPr>
              <w:t>2,933</w:t>
            </w: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640" w:type="dxa"/>
            <w:vAlign w:val="bottom"/>
            <w:gridSpan w:val="3"/>
          </w:tcPr>
          <w:p>
            <w:pPr>
              <w:jc w:val="right"/>
              <w:spacing w:after="0" w:line="255" w:lineRule="exact"/>
              <w:rPr>
                <w:sz w:val="20"/>
                <w:szCs w:val="20"/>
                <w:color w:val="auto"/>
              </w:rPr>
            </w:pPr>
            <w:r>
              <w:rPr>
                <w:rFonts w:ascii="Times New Roman" w:cs="Times New Roman" w:eastAsia="Times New Roman" w:hAnsi="Times New Roman"/>
                <w:sz w:val="16"/>
                <w:szCs w:val="16"/>
                <w:color w:val="auto"/>
              </w:rPr>
              <w:t>4,588</w:t>
            </w:r>
            <w:r>
              <w:rPr>
                <w:rFonts w:ascii="Times New Roman" w:cs="Times New Roman" w:eastAsia="Times New Roman" w:hAnsi="Times New Roman"/>
                <w:sz w:val="29"/>
                <w:szCs w:val="29"/>
                <w:color w:val="auto"/>
                <w:vertAlign w:val="subscript"/>
              </w:rPr>
              <w:t>​</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48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 ​20,101,129​​ ​​</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​20,040,470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1560" w:type="dxa"/>
            <w:vAlign w:val="bottom"/>
            <w:gridSpan w:val="2"/>
          </w:tcPr>
          <w:p>
            <w:pPr>
              <w:ind w:left="108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92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0.15</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220" w:type="dxa"/>
            <w:vAlign w:val="bottom"/>
          </w:tcPr>
          <w:p>
            <w:pPr>
              <w:spacing w:after="0"/>
              <w:rPr>
                <w:sz w:val="23"/>
                <w:szCs w:val="23"/>
                <w:color w:val="auto"/>
              </w:rPr>
            </w:pPr>
          </w:p>
        </w:tc>
        <w:tc>
          <w:tcPr>
            <w:tcW w:w="6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0.23</w:t>
            </w:r>
            <w:r>
              <w:rPr>
                <w:rFonts w:ascii="Times New Roman" w:cs="Times New Roman" w:eastAsia="Times New Roman" w:hAnsi="Times New Roman"/>
                <w:sz w:val="28"/>
                <w:szCs w:val="28"/>
                <w:color w:val="auto"/>
                <w:vertAlign w:val="subscript"/>
              </w:rPr>
              <w:t>​</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 ​​ ​</w:t>
            </w: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8"/>
                <w:szCs w:val="18"/>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2,933​​ ​​$</w:t>
            </w:r>
          </w:p>
        </w:tc>
        <w:tc>
          <w:tcPr>
            <w:tcW w:w="2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5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48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 ​20,101,129​​ ​​</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​20,040,470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2480" w:type="dxa"/>
            <w:vAlign w:val="bottom"/>
            <w:gridSpan w:val="5"/>
          </w:tcPr>
          <w:p>
            <w:pPr>
              <w:ind w:left="108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1,829,979</w:t>
            </w:r>
            <w:r>
              <w:rPr>
                <w:rFonts w:ascii="Times New Roman" w:cs="Times New Roman" w:eastAsia="Times New Roman" w:hAnsi="Times New Roman"/>
                <w:sz w:val="31"/>
                <w:szCs w:val="31"/>
                <w:color w:val="auto"/>
                <w:vertAlign w:val="subscript"/>
              </w:rPr>
              <w:t>​​ ​​</w:t>
            </w: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 1,348,315</w:t>
            </w:r>
            <w:r>
              <w:rPr>
                <w:rFonts w:ascii="Times New Roman" w:cs="Times New Roman" w:eastAsia="Times New Roman" w:hAnsi="Times New Roman"/>
                <w:sz w:val="31"/>
                <w:szCs w:val="31"/>
                <w:color w:val="auto"/>
                <w:vertAlign w:val="subscript"/>
              </w:rPr>
              <w:t>​</w:t>
            </w:r>
          </w:p>
        </w:tc>
      </w:tr>
      <w:tr>
        <w:trPr>
          <w:trHeight w:val="20"/>
        </w:trPr>
        <w:tc>
          <w:tcPr>
            <w:tcW w:w="4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8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 ​21,931,108​​ ​​</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​21,388,785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560" w:type="dxa"/>
            <w:vAlign w:val="bottom"/>
            <w:gridSpan w:val="2"/>
          </w:tcPr>
          <w:p>
            <w:pPr>
              <w:ind w:left="108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92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0.13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220" w:type="dxa"/>
            <w:vAlign w:val="bottom"/>
          </w:tcPr>
          <w:p>
            <w:pPr>
              <w:spacing w:after="0"/>
              <w:rPr>
                <w:sz w:val="23"/>
                <w:szCs w:val="23"/>
                <w:color w:val="auto"/>
              </w:rPr>
            </w:pPr>
          </w:p>
        </w:tc>
        <w:tc>
          <w:tcPr>
            <w:tcW w:w="6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0.21</w:t>
            </w:r>
            <w:r>
              <w:rPr>
                <w:rFonts w:ascii="Times New Roman" w:cs="Times New Roman" w:eastAsia="Times New Roman" w:hAnsi="Times New Roman"/>
                <w:sz w:val="28"/>
                <w:szCs w:val="28"/>
                <w:color w:val="auto"/>
                <w:vertAlign w:val="subscript"/>
              </w:rPr>
              <w:t>​</w:t>
            </w:r>
          </w:p>
        </w:tc>
      </w:tr>
      <w:tr>
        <w:trPr>
          <w:trHeight w:val="21"/>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-376555</wp:posOffset>
            </wp:positionV>
            <wp:extent cx="463740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all periods presented, there were no outstanding shares that were potentially anti-dilutive.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6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provides a substantial stimulus and assistance package intended to address the impact of COVID-19, including tax relief and government loans, grants, and investments. The CARES Act did not have a material impact on the Company’s financial statements.</w:t>
      </w:r>
    </w:p>
    <w:p>
      <w:pPr>
        <w:spacing w:after="0" w:line="113"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w:t>
      </w:r>
    </w:p>
    <w:p>
      <w:pPr>
        <w:sectPr>
          <w:pgSz w:w="11900" w:h="16838" w:orient="portrait"/>
          <w:cols w:equalWidth="0" w:num="1">
            <w:col w:w="9879"/>
          </w:cols>
          <w:pgMar w:left="580" w:top="97" w:right="1440" w:bottom="1440" w:gutter="0" w:footer="0" w:header="0"/>
          <w:type w:val="continuous"/>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We have experienced longer lead times in the supply of our components because of global supply chain disruptions caused in-part by the ongoing COVID -19 pandemic, which have led to the build-up in inventory as well as the significant increase in prepaid inventory as suppliers are requiring upfront deposits. While there was not a material impact to the Company’s financial statements as of and for the years ended December 31, 2021 and 2020, respectively, COVID-19 could result in material impacts to the Company’s financial statements in future reporting periods.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Inventory consists of the following as of:</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​$4,419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 ​ 172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4,242</w:t>
            </w:r>
          </w:p>
        </w:tc>
        <w:tc>
          <w:tcPr>
            <w:tcW w:w="14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2"/>
            <w:shd w:val="clear" w:color="auto" w:fill="CCEEFF"/>
          </w:tcPr>
          <w:p>
            <w:pPr>
              <w:jc w:val="center"/>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​1,357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$27,127</w:t>
            </w:r>
          </w:p>
        </w:tc>
        <w:tc>
          <w:tcPr>
            <w:tcW w:w="1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80" w:type="dxa"/>
            <w:vAlign w:val="bottom"/>
            <w:gridSpan w:val="2"/>
          </w:tcPr>
          <w:p>
            <w:pPr>
              <w:jc w:val="center"/>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5,948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-719455</wp:posOffset>
            </wp:positionV>
            <wp:extent cx="42087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renew for an additional 5 years subject to various operating leases. As of December 31, 2020,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had a main office, warehouse space, research and development lab, engineering office, and sales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office all located in Reno, Nevada that required annual escalating monthly payments ranging from $4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 In December of 2020, the Company entered a fourth amendment lease and effective April 30, 2021,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moved its main office, warehouse, and sales office to a larger premise that is also located in Reno,</w:t>
      </w:r>
    </w:p>
    <w:p>
      <w:pPr>
        <w:ind w:left="1260"/>
        <w:spacing w:after="0" w:line="234" w:lineRule="auto"/>
        <w:rPr>
          <w:sz w:val="20"/>
          <w:szCs w:val="20"/>
          <w:color w:val="auto"/>
        </w:rPr>
      </w:pPr>
      <w:r>
        <w:rPr>
          <w:rFonts w:ascii="Times New Roman" w:cs="Times New Roman" w:eastAsia="Times New Roman" w:hAnsi="Times New Roman"/>
          <w:sz w:val="18"/>
          <w:szCs w:val="18"/>
          <w:color w:val="auto"/>
        </w:rPr>
        <w:t>Nevada that required annual escalating monthly payments ranging from $56 to $63. In December of 2021,</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 entered into another lease for additional warehouse space located in Reno, Nevada that</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required annual escalating monthly payments ranging from $47 to $55.</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5,709</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$ 993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​1,082</w:t>
            </w:r>
          </w:p>
        </w:tc>
        <w:tc>
          <w:tcPr>
            <w:tcW w:w="1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225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​4,694</w:t>
            </w:r>
          </w:p>
        </w:tc>
        <w:tc>
          <w:tcPr>
            <w:tcW w:w="1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758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52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5,776</w:t>
            </w:r>
          </w:p>
        </w:tc>
        <w:tc>
          <w:tcPr>
            <w:tcW w:w="18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$ 983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4.6 years</w:t>
            </w: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3.9</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years</w:t>
            </w: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​5.2%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-1053465</wp:posOffset>
            </wp:positionV>
            <wp:extent cx="42087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7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95"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$952 and $148 for the years ended December 31, 2021 and 2020, respectively. These amounts are included in operating cash flows.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OPERATING LEASES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2021, the future minimum lease payments under these operating leases are as follows:</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​​$1,357</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​1,399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6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​1,435</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340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​1,440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6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893</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34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​6,524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748</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right w:val="single" w:sz="8" w:color="CCEEFF"/>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tcBorders>
              <w:right w:val="single" w:sz="8" w:color="CCEEFF"/>
            </w:tcBorders>
            <w:shd w:val="clear" w:color="auto" w:fill="CCEEFF"/>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360"/>
              <w:spacing w:after="0" w:line="176" w:lineRule="exact"/>
              <w:rPr>
                <w:sz w:val="20"/>
                <w:szCs w:val="20"/>
                <w:color w:val="auto"/>
              </w:rPr>
            </w:pPr>
            <w:r>
              <w:rPr>
                <w:rFonts w:ascii="Times New Roman" w:cs="Times New Roman" w:eastAsia="Times New Roman" w:hAnsi="Times New Roman"/>
                <w:sz w:val="18"/>
                <w:szCs w:val="18"/>
                <w:color w:val="auto"/>
              </w:rPr>
              <w:t>​5,776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1"/>
        </w:trPr>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​Cost of goods sold</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​Research and development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​103</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​General and administration</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42</w:t>
            </w:r>
          </w:p>
        </w:tc>
        <w:tc>
          <w:tcPr>
            <w:tcW w:w="2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 ​144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2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Selling and marketing</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42</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680" w:type="dxa"/>
            <w:vAlign w:val="bottom"/>
            <w:gridSpan w:val="4"/>
          </w:tcPr>
          <w:p>
            <w:pPr>
              <w:jc w:val="center"/>
              <w:ind w:righ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820</w:t>
            </w:r>
          </w:p>
        </w:tc>
        <w:tc>
          <w:tcPr>
            <w:tcW w:w="28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4"/>
            <w:shd w:val="clear" w:color="auto" w:fill="CCEEFF"/>
          </w:tcPr>
          <w:p>
            <w:pPr>
              <w:jc w:val="center"/>
              <w:ind w:righ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-856615</wp:posOffset>
            </wp:positionV>
            <wp:extent cx="137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-856615</wp:posOffset>
            </wp:positionV>
            <wp:extent cx="1371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-856615</wp:posOffset>
            </wp:positionV>
            <wp:extent cx="137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 lease costs.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a prepaid loan monitoring fee of $60,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included in debt issuance costs, and $1,553 in other debt issuance costs.</w:t>
      </w:r>
    </w:p>
    <w:p>
      <w:pPr>
        <w:spacing w:after="0" w:line="102"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principle on the date of the closing of the financing. The debt bears interest at 5.50% per annum accruing monthly on a 360-day basis. Late payments will be subject to a $50 late fee and default interest based on a rate</w:t>
      </w:r>
    </w:p>
    <w:p>
      <w:pPr>
        <w:spacing w:after="0" w:line="1"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5 percentage points above the applicable interest immediately prior to such default. The Company will make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1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a total of $390 of interest expense was incurred under the debt. Amortization of the debt issuance costs under the interest method amounted to $77 during the year ended December 31, 2021.</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23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Reserve Accounts</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Deposits into the reserve accounts consisted of the following items: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60" w:type="dxa"/>
            <w:vAlign w:val="bottom"/>
            <w:vMerge w:val="continue"/>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​Payment Reserve Fund</w:t>
            </w:r>
          </w:p>
        </w:tc>
        <w:tc>
          <w:tcPr>
            <w:tcW w:w="15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​​$3,044</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Capitalized Interest Fund</w:t>
            </w:r>
          </w:p>
        </w:tc>
        <w:tc>
          <w:tcPr>
            <w:tcW w:w="10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59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gridSpan w:val="2"/>
          </w:tcPr>
          <w:p>
            <w:pPr>
              <w:ind w:left="32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3,188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3"/>
                <w:szCs w:val="3"/>
                <w:color w:val="auto"/>
              </w:rPr>
              <w:t>​ ​​</w:t>
            </w: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3166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Payment Reserve Fund is a debt service fund to be maintained by UMB Bank, and the initial deposit is equal to the maximum amount of monthly interest and principal debt service payment due on the Series 2021-6 notes, plus interest earned on special redemptions (see </w:t>
      </w:r>
      <w:r>
        <w:rPr>
          <w:rFonts w:ascii="Times New Roman" w:cs="Times New Roman" w:eastAsia="Times New Roman" w:hAnsi="Times New Roman"/>
          <w:sz w:val="18"/>
          <w:szCs w:val="18"/>
          <w:i w:val="1"/>
          <w:iCs w:val="1"/>
          <w:color w:val="auto"/>
        </w:rPr>
        <w:t>Special Redemptions</w:t>
      </w:r>
      <w:r>
        <w:rPr>
          <w:rFonts w:ascii="Times New Roman" w:cs="Times New Roman" w:eastAsia="Times New Roman" w:hAnsi="Times New Roman"/>
          <w:sz w:val="18"/>
          <w:szCs w:val="18"/>
          <w:color w:val="auto"/>
        </w:rPr>
        <w:t xml:space="preserve"> below).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w:t>
      </w:r>
    </w:p>
    <w:p>
      <w:pPr>
        <w:spacing w:after="0" w:line="10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for the period ended December 31, 2021.</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Redemptions</w:t>
      </w:r>
    </w:p>
    <w:p>
      <w:pPr>
        <w:spacing w:after="0" w:line="16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If the Company fails to make a scheduled payments of principal and interest as required under the loan agreements on the due dates, and fails to cure such non-payment within 10 days, UMB Bank may, upon the direction of the registered noteholders of at least 75% of the principal amount outstanding under the Series 2021-6 Notes, declare that an event of “Special Redemption” has occurred, and such failure shall trigger the provisions of the Insurance Policy. These provisions include filing of a claim notice with the insurer, withdrawal of the unpaid amount from the Payment Reserve Fund and pay such amount to the holders of those Series 2021-6 Notes, and acceleration of the Series 2021-6 Notes that remain outstanding after the payment.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14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As collateral for payment of the debt and certain obligations related to performance under the Trust Indenture and related transaction documents, the Company and the guarantors granted to Newlight Capital,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ind w:left="1260" w:right="439"/>
        <w:spacing w:after="0" w:line="297" w:lineRule="auto"/>
        <w:rPr>
          <w:sz w:val="20"/>
          <w:szCs w:val="20"/>
          <w:color w:val="auto"/>
        </w:rPr>
      </w:pPr>
      <w:r>
        <w:rPr>
          <w:rFonts w:ascii="Times New Roman" w:cs="Times New Roman" w:eastAsia="Times New Roman" w:hAnsi="Times New Roman"/>
          <w:sz w:val="18"/>
          <w:szCs w:val="18"/>
          <w:color w:val="auto"/>
        </w:rPr>
        <w:t>LLC, as representative and for the benefit of UMB Bank a continuing security interest in all substantially all of the assets of the Company.</w:t>
      </w:r>
    </w:p>
    <w:p>
      <w:pPr>
        <w:spacing w:after="0" w:line="82" w:lineRule="exact"/>
        <w:rPr>
          <w:sz w:val="20"/>
          <w:szCs w:val="20"/>
          <w:color w:val="auto"/>
        </w:rPr>
      </w:pPr>
    </w:p>
    <w:p>
      <w:pPr>
        <w:ind w:left="1260" w:right="579" w:firstLine="360"/>
        <w:spacing w:after="0" w:line="269" w:lineRule="auto"/>
        <w:rPr>
          <w:sz w:val="20"/>
          <w:szCs w:val="20"/>
          <w:color w:val="auto"/>
        </w:rPr>
      </w:pPr>
      <w:r>
        <w:rPr>
          <w:rFonts w:ascii="Times New Roman" w:cs="Times New Roman" w:eastAsia="Times New Roman" w:hAnsi="Times New Roman"/>
          <w:sz w:val="18"/>
          <w:szCs w:val="18"/>
          <w:color w:val="auto"/>
        </w:rPr>
        <w:t>Under the terms of the Trust Indenture, the Insurance Policy is required as additional collateral guaranteeing the payments under the debt by the Company. The Company determined this was not a direct incremental cost of the financing. The premium costs were recognized as a debt issuance cost. The term of the policy aligns with the term of the debt (three years, unless reduced due to default provisions). The secured party (UMB Bank, as trustee) would not have the right to sell or repledge either the intellectual property or the insurance collateral unless and until the Company defaults and a claim is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Loan Monitoring Fees</w:t>
      </w:r>
    </w:p>
    <w:p>
      <w:pPr>
        <w:spacing w:after="0" w:line="160"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The Company will incur ongoing monitoring service by NewLight Capital LLC for 24 months at $180 total expense. These services entail monitoring of financial records and information related to collateral enforcement on an ongoing basis. The $60 prepayment funded at closing was recognized as a prepaid expense and will be amortized straight-line over the first 8 months of the agreement.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146" w:lineRule="exact"/>
        <w:rPr>
          <w:sz w:val="20"/>
          <w:szCs w:val="20"/>
          <w:color w:val="auto"/>
        </w:rPr>
      </w:pPr>
    </w:p>
    <w:p>
      <w:pPr>
        <w:ind w:left="1260" w:right="679" w:firstLine="360"/>
        <w:spacing w:after="0" w:line="274" w:lineRule="auto"/>
        <w:rPr>
          <w:sz w:val="20"/>
          <w:szCs w:val="20"/>
          <w:color w:val="auto"/>
        </w:rPr>
      </w:pPr>
      <w:r>
        <w:rPr>
          <w:rFonts w:ascii="Times New Roman" w:cs="Times New Roman" w:eastAsia="Times New Roman" w:hAnsi="Times New Roman"/>
          <w:sz w:val="18"/>
          <w:szCs w:val="18"/>
          <w:color w:val="auto"/>
        </w:rPr>
        <w:t>The Company must comply with certain financial covenants, including minimum adjusted EBITDA, capital expenditures and minimum fixed charge coverage ratio. These covenants are not effective as of December 31, 2021 but will begin to take effect with the fiscal quarter ending March 31, 2022.</w:t>
      </w:r>
    </w:p>
    <w:p>
      <w:pPr>
        <w:sectPr>
          <w:pgSz w:w="11900" w:h="16838" w:orient="portrait"/>
          <w:cols w:equalWidth="0" w:num="1">
            <w:col w:w="9879"/>
          </w:cols>
          <w:pgMar w:left="580" w:top="97" w:right="1440" w:bottom="1440" w:gutter="0" w:footer="0" w:header="0"/>
        </w:sectPr>
      </w:pP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Long-Term Debt Maturities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2021, the future debt maturities are as follows:</w:t>
      </w: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803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line="190" w:lineRule="auto"/>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35"/>
          <w:szCs w:val="35"/>
          <w:color w:val="auto"/>
          <w:vertAlign w:val="subscript"/>
        </w:rPr>
        <w:t>​</w:t>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line="193" w:lineRule="auto"/>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Unamortized debt issuance costs</w:t>
      </w:r>
    </w:p>
    <w:p>
      <w:pPr>
        <w:ind w:left="1620"/>
        <w:spacing w:after="0" w:line="185" w:lineRule="auto"/>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885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current portion of debt</w:t>
      </w:r>
    </w:p>
    <w:p>
      <w:pPr>
        <w:ind w:left="1620"/>
        <w:spacing w:after="0" w:line="185"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long-term debt</w:t>
      </w:r>
    </w:p>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​​$ 1,875​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​22,500​</w:t>
      </w:r>
    </w:p>
    <w:p>
      <w:pPr>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​20,625</w:t>
      </w:r>
      <w:r>
        <w:rPr>
          <w:rFonts w:ascii="Times New Roman" w:cs="Times New Roman" w:eastAsia="Times New Roman" w:hAnsi="Times New Roman"/>
          <w:sz w:val="35"/>
          <w:szCs w:val="35"/>
          <w:color w:val="auto"/>
          <w:vertAlign w:val="subscript"/>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​45,000​</w:t>
      </w:r>
    </w:p>
    <w:p>
      <w:pPr>
        <w:ind w:left="120" w:hanging="117"/>
        <w:spacing w:after="0" w:line="188" w:lineRule="auto"/>
        <w:tabs>
          <w:tab w:leader="none" w:pos="120" w:val="left"/>
        </w:tabs>
        <w:numPr>
          <w:ilvl w:val="0"/>
          <w:numId w:val="11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​(6,072</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ind w:left="120" w:hanging="117"/>
        <w:spacing w:after="0" w:line="184" w:lineRule="auto"/>
        <w:tabs>
          <w:tab w:leader="none" w:pos="120" w:val="left"/>
        </w:tabs>
        <w:numPr>
          <w:ilvl w:val="0"/>
          <w:numId w:val="118"/>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​38,928</w:t>
      </w:r>
      <w:r>
        <w:rPr>
          <w:rFonts w:ascii="Times New Roman" w:cs="Times New Roman" w:eastAsia="Times New Roman" w:hAnsi="Times New Roman"/>
          <w:sz w:val="31"/>
          <w:szCs w:val="31"/>
          <w:color w:val="auto"/>
          <w:vertAlign w:val="subscript"/>
        </w:rPr>
        <w:t>​</w:t>
      </w:r>
    </w:p>
    <w:p>
      <w:pPr>
        <w:spacing w:after="0" w:line="1" w:lineRule="exact"/>
        <w:rPr>
          <w:rFonts w:ascii="Times New Roman" w:cs="Times New Roman" w:eastAsia="Times New Roman" w:hAnsi="Times New Roman"/>
          <w:sz w:val="32"/>
          <w:szCs w:val="32"/>
          <w:color w:val="auto"/>
          <w:vertAlign w:val="subscript"/>
        </w:rPr>
      </w:pPr>
    </w:p>
    <w:p>
      <w:pPr>
        <w:ind w:left="120" w:hanging="117"/>
        <w:spacing w:after="0" w:line="184" w:lineRule="auto"/>
        <w:tabs>
          <w:tab w:leader="none" w:pos="120" w:val="left"/>
        </w:tabs>
        <w:numPr>
          <w:ilvl w:val="0"/>
          <w:numId w:val="118"/>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​(1,875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32"/>
          <w:szCs w:val="32"/>
          <w:color w:val="auto"/>
          <w:vertAlign w:val="subscript"/>
        </w:rPr>
      </w:pPr>
    </w:p>
    <w:p>
      <w:pPr>
        <w:ind w:left="120" w:hanging="117"/>
        <w:spacing w:after="0" w:line="180" w:lineRule="auto"/>
        <w:tabs>
          <w:tab w:leader="none" w:pos="120" w:val="left"/>
        </w:tabs>
        <w:numPr>
          <w:ilvl w:val="0"/>
          <w:numId w:val="11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$37,053</w:t>
      </w:r>
      <w:r>
        <w:rPr>
          <w:rFonts w:ascii="Times New Roman" w:cs="Times New Roman" w:eastAsia="Times New Roman" w:hAnsi="Times New Roman"/>
          <w:sz w:val="35"/>
          <w:szCs w:val="35"/>
          <w:color w:val="auto"/>
          <w:vertAlign w:val="subscript"/>
        </w:rPr>
        <w:t>​</w:t>
      </w:r>
    </w:p>
    <w:p>
      <w:pPr>
        <w:spacing w:after="0" w:line="670" w:lineRule="exact"/>
        <w:rPr>
          <w:sz w:val="20"/>
          <w:szCs w:val="20"/>
          <w:color w:val="auto"/>
        </w:rPr>
      </w:pPr>
    </w:p>
    <w:p>
      <w:pPr>
        <w:sectPr>
          <w:pgSz w:w="11900" w:h="16838" w:orient="portrait"/>
          <w:cols w:equalWidth="0" w:num="2">
            <w:col w:w="7620" w:space="720"/>
            <w:col w:w="1539"/>
          </w:cols>
          <w:pgMar w:left="580" w:top="97" w:right="1440" w:bottom="1440" w:gutter="0" w:footer="0" w:header="0"/>
          <w:type w:val="continuous"/>
        </w:sect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w:t>
      </w:r>
    </w:p>
    <w:p>
      <w:pPr>
        <w:spacing w:after="0" w:line="2" w:lineRule="exact"/>
        <w:rPr>
          <w:sz w:val="20"/>
          <w:szCs w:val="20"/>
          <w:color w:val="auto"/>
        </w:rPr>
      </w:pPr>
    </w:p>
    <w:p>
      <w:pPr>
        <w:ind w:left="1260" w:right="599"/>
        <w:spacing w:after="0" w:line="264" w:lineRule="auto"/>
        <w:rPr>
          <w:sz w:val="20"/>
          <w:szCs w:val="20"/>
          <w:color w:val="auto"/>
        </w:rPr>
      </w:pPr>
      <w:r>
        <w:rPr>
          <w:rFonts w:ascii="Times New Roman" w:cs="Times New Roman" w:eastAsia="Times New Roman" w:hAnsi="Times New Roman"/>
          <w:sz w:val="18"/>
          <w:szCs w:val="18"/>
          <w:color w:val="auto"/>
        </w:rPr>
        <w:t>($8.0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Series 2021-6 notes.</w:t>
      </w: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2020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​​$1,489​​ ​​$1,676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122​​ ​​ ​ 210​</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2120" w:type="dxa"/>
            <w:vAlign w:val="bottom"/>
            <w:gridSpan w:val="4"/>
            <w:shd w:val="clear" w:color="auto" w:fill="CCEEFF"/>
          </w:tcPr>
          <w:p>
            <w:pPr>
              <w:ind w:left="720"/>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1,611</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1,886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3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43166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-814070</wp:posOffset>
            </wp:positionV>
            <wp:extent cx="442341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54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Leases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Allowance for bad debt</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Fixed assets and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Inventory (Sec. 263A)</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deferred tax liability</w:t>
      </w:r>
    </w:p>
    <w:p>
      <w:pPr>
        <w:spacing w:after="0" w:line="20" w:lineRule="exact"/>
        <w:rPr>
          <w:sz w:val="20"/>
          <w:szCs w:val="20"/>
          <w:color w:val="auto"/>
        </w:rPr>
      </w:pPr>
      <w:r>
        <w:rPr>
          <w:sz w:val="20"/>
          <w:szCs w:val="20"/>
          <w:color w:val="auto"/>
        </w:rPr>
        <w:br w:type="column"/>
      </w:r>
    </w:p>
    <w:p>
      <w:pPr>
        <w:ind w:left="10"/>
        <w:spacing w:after="0"/>
        <w:tabs>
          <w:tab w:leader="none" w:pos="65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2021</w:t>
      </w:r>
      <w:r>
        <w:rPr>
          <w:sz w:val="20"/>
          <w:szCs w:val="20"/>
          <w:color w:val="auto"/>
        </w:rPr>
        <w:tab/>
      </w:r>
      <w:r>
        <w:rPr>
          <w:rFonts w:ascii="Times New Roman" w:cs="Times New Roman" w:eastAsia="Times New Roman" w:hAnsi="Times New Roman"/>
          <w:sz w:val="23"/>
          <w:szCs w:val="23"/>
          <w:b w:val="1"/>
          <w:bCs w:val="1"/>
          <w:color w:val="auto"/>
          <w:vertAlign w:val="subscript"/>
        </w:rPr>
        <w:t xml:space="preserve">​ ​  </w:t>
      </w:r>
      <w:r>
        <w:rPr>
          <w:rFonts w:ascii="Times New Roman" w:cs="Times New Roman" w:eastAsia="Times New Roman" w:hAnsi="Times New Roman"/>
          <w:sz w:val="23"/>
          <w:szCs w:val="23"/>
          <w:b w:val="1"/>
          <w:bCs w:val="1"/>
          <w:color w:val="auto"/>
        </w:rPr>
        <w:t xml:space="preserve">2020 </w:t>
      </w:r>
      <w:r>
        <w:rPr>
          <w:rFonts w:ascii="Times New Roman" w:cs="Times New Roman" w:eastAsia="Times New Roman" w:hAnsi="Times New Roman"/>
          <w:sz w:val="23"/>
          <w:szCs w:val="23"/>
          <w:b w:val="1"/>
          <w:bCs w:val="1"/>
          <w:color w:val="auto"/>
          <w:vertAlign w:val="subscript"/>
        </w:rPr>
        <w:t>​</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35​​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59​​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10" w:hanging="110"/>
        <w:spacing w:after="0"/>
        <w:tabs>
          <w:tab w:leader="none" w:pos="1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​(606​​) ​​ ​(345​)</w:t>
      </w:r>
    </w:p>
    <w:p>
      <w:pPr>
        <w:spacing w:after="0" w:line="36" w:lineRule="exact"/>
        <w:rPr>
          <w:rFonts w:ascii="Times New Roman" w:cs="Times New Roman" w:eastAsia="Times New Roman" w:hAnsi="Times New Roman"/>
          <w:sz w:val="18"/>
          <w:szCs w:val="18"/>
          <w:color w:val="auto"/>
        </w:rPr>
      </w:pPr>
    </w:p>
    <w:p>
      <w:pPr>
        <w:ind w:left="110" w:hanging="110"/>
        <w:spacing w:after="0"/>
        <w:tabs>
          <w:tab w:leader="none" w:pos="1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45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 10</w:t>
      </w:r>
      <w:r>
        <w:rPr>
          <w:rFonts w:ascii="Times New Roman" w:cs="Times New Roman" w:eastAsia="Times New Roman" w:hAnsi="Times New Roman"/>
          <w:sz w:val="18"/>
          <w:szCs w:val="18"/>
          <w:color w:val="auto"/>
        </w:rPr>
        <w:t>​</w:t>
      </w:r>
    </w:p>
    <w:p>
      <w:pPr>
        <w:jc w:val="right"/>
        <w:ind w:right="719"/>
        <w:spacing w:after="0" w:line="190" w:lineRule="auto"/>
        <w:tabs>
          <w:tab w:leader="none" w:pos="460" w:val="left"/>
        </w:tabs>
        <w:rPr>
          <w:sz w:val="20"/>
          <w:szCs w:val="20"/>
          <w:color w:val="auto"/>
        </w:rPr>
      </w:pPr>
      <w:r>
        <w:rPr>
          <w:rFonts w:ascii="Times New Roman" w:cs="Times New Roman" w:eastAsia="Times New Roman" w:hAnsi="Times New Roman"/>
          <w:sz w:val="13"/>
          <w:szCs w:val="13"/>
          <w:u w:val="single" w:color="auto"/>
          <w:color w:val="auto"/>
        </w:rPr>
        <w:t>$(453</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u w:val="single" w:color="auto"/>
          <w:color w:val="auto"/>
        </w:rPr>
        <w:t>$(331</w:t>
      </w:r>
      <w:r>
        <w:rPr>
          <w:rFonts w:ascii="Times New Roman" w:cs="Times New Roman" w:eastAsia="Times New Roman" w:hAnsi="Times New Roman"/>
          <w:sz w:val="13"/>
          <w:szCs w:val="13"/>
          <w:color w:val="auto"/>
        </w:rPr>
        <w:t>)</w:t>
      </w:r>
    </w:p>
    <w:p>
      <w:pPr>
        <w:ind w:left="10"/>
        <w:spacing w:after="0"/>
        <w:tabs>
          <w:tab w:leader="none" w:pos="590" w:val="left"/>
          <w:tab w:leader="none" w:pos="125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-3175</wp:posOffset>
            </wp:positionV>
            <wp:extent cx="6946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10" w:space="720"/>
            <w:col w:w="2049"/>
          </w:cols>
          <w:pgMar w:left="580" w:top="97" w:right="1440" w:bottom="1440" w:gutter="0" w:footer="0" w:header="0"/>
          <w:type w:val="continuous"/>
        </w:sectPr>
      </w:pPr>
    </w:p>
    <w:p>
      <w:pPr>
        <w:spacing w:after="0" w:line="46"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 December 31, 2021, is as follows:</w:t>
      </w:r>
    </w:p>
    <w:p>
      <w:pPr>
        <w:sectPr>
          <w:pgSz w:w="11900" w:h="16838" w:orient="portrait"/>
          <w:cols w:equalWidth="0" w:num="1">
            <w:col w:w="9879"/>
          </w:cols>
          <w:pgMar w:left="580" w:top="97" w:right="1440" w:bottom="1440" w:gutter="0" w:footer="0" w:header="0"/>
          <w:type w:val="continuous"/>
        </w:sectPr>
      </w:pPr>
    </w:p>
    <w:p>
      <w:pPr>
        <w:spacing w:after="0" w:line="1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54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Permanent differences (other than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State taxes, net</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true-up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credits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1"/>
        </w:trPr>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Tax</w:t>
            </w:r>
            <w:r>
              <w:rPr>
                <w:rFonts w:ascii="Times New Roman" w:cs="Times New Roman" w:eastAsia="Times New Roman" w:hAnsi="Times New Roman"/>
                <w:sz w:val="14"/>
                <w:szCs w:val="14"/>
                <w:b w:val="1"/>
                <w:bCs w:val="1"/>
                <w:color w:val="auto"/>
              </w:rPr>
              <w:t xml:space="preserve">   ​</w:t>
            </w:r>
          </w:p>
        </w:tc>
        <w:tc>
          <w:tcPr>
            <w:tcW w:w="840" w:type="dxa"/>
            <w:vAlign w:val="bottom"/>
            <w:gridSpan w:val="6"/>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Percentage</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​​$1,249​​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0.94%</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0.15%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1,611​​</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vMerge w:val="restart"/>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​27.08%</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line="20" w:lineRule="exact"/>
              <w:rPr>
                <w:sz w:val="1"/>
                <w:szCs w:val="1"/>
                <w:color w:val="auto"/>
              </w:rPr>
            </w:pPr>
          </w:p>
        </w:tc>
      </w:tr>
      <w:tr>
        <w:trPr>
          <w:trHeight w:val="237"/>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760" w:space="720"/>
            <w:col w:w="2399"/>
          </w:cols>
          <w:pgMar w:left="580" w:top="97" w:right="1440" w:bottom="1440" w:gutter="0" w:footer="0" w:header="0"/>
          <w:type w:val="continuous"/>
        </w:sectPr>
      </w:pPr>
    </w:p>
    <w:p>
      <w:pPr>
        <w:spacing w:after="0" w:line="38"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 December 31, 2020 is as follows:</w:t>
      </w:r>
    </w:p>
    <w:p>
      <w:pPr>
        <w:ind w:left="1620"/>
        <w:spacing w:after="0"/>
        <w:tabs>
          <w:tab w:leader="none" w:pos="7520" w:val="left"/>
          <w:tab w:leader="none" w:pos="7820" w:val="left"/>
          <w:tab w:leader="none" w:pos="824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Tax</w:t>
      </w:r>
      <w:r>
        <w:rPr>
          <w:sz w:val="20"/>
          <w:szCs w:val="20"/>
          <w:color w:val="auto"/>
        </w:rPr>
        <w:tab/>
      </w:r>
      <w:r>
        <w:rPr>
          <w:rFonts w:ascii="Times New Roman" w:cs="Times New Roman" w:eastAsia="Times New Roman" w:hAnsi="Times New Roman"/>
          <w:sz w:val="17"/>
          <w:szCs w:val="17"/>
          <w:b w:val="1"/>
          <w:bCs w:val="1"/>
          <w:color w:val="auto"/>
          <w:vertAlign w:val="subscript"/>
        </w:rPr>
        <w:t xml:space="preserve">​ ​ </w:t>
      </w:r>
      <w:r>
        <w:rPr>
          <w:rFonts w:ascii="Times New Roman" w:cs="Times New Roman" w:eastAsia="Times New Roman" w:hAnsi="Times New Roman"/>
          <w:sz w:val="17"/>
          <w:szCs w:val="17"/>
          <w:b w:val="1"/>
          <w:bCs w:val="1"/>
          <w:color w:val="auto"/>
        </w:rPr>
        <w:t>Percentage</w:t>
      </w:r>
      <w:r>
        <w:rPr>
          <w:rFonts w:ascii="Times New Roman" w:cs="Times New Roman" w:eastAsia="Times New Roman" w:hAnsi="Times New Roman"/>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11430</wp:posOffset>
            </wp:positionV>
            <wp:extent cx="4749165" cy="1454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Permanent differences (other than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460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State taxes, net</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true-up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454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credits</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803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​​$1,840​​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0.99%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(0.02)%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0.22%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0.11%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1,886​​ ​</w:t>
            </w:r>
          </w:p>
        </w:tc>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vMerge w:val="restart"/>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​21.52%</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line="20" w:lineRule="exact"/>
              <w:rPr>
                <w:sz w:val="1"/>
                <w:szCs w:val="1"/>
                <w:color w:val="auto"/>
              </w:rPr>
            </w:pPr>
          </w:p>
        </w:tc>
      </w:tr>
      <w:tr>
        <w:trPr>
          <w:trHeight w:val="25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6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760" w:space="720"/>
            <w:col w:w="2399"/>
          </w:cols>
          <w:pgMar w:left="580" w:top="97" w:right="1440" w:bottom="1440" w:gutter="0" w:footer="0" w:header="0"/>
          <w:type w:val="continuous"/>
        </w:sectPr>
      </w:pPr>
    </w:p>
    <w:p>
      <w:pPr>
        <w:spacing w:after="0" w:line="1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INCOME TAXES (continued)</w:t>
      </w:r>
    </w:p>
    <w:p>
      <w:pPr>
        <w:spacing w:after="0" w:line="229"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2018, 2019 and 2020.</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August 12, 2019, the Board of Directors approved the 2019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3,000,000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08"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1,000,000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an incentive award granted under the Plan expires, terminates, is unexercised or is forfeited, or if any shares are surrendered to us in connection with an incentive award, the shares subject to such award and the surrendered shares will become available for future awards under the Plan. The number of shares subject to the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Exercise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 Life (in years)</w:t>
            </w:r>
          </w:p>
        </w:tc>
        <w:tc>
          <w:tcPr>
            <w:tcW w:w="11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 ​ (in thousands)​</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2020</w:t>
            </w:r>
          </w:p>
        </w:tc>
        <w:tc>
          <w:tcPr>
            <w:tcW w:w="14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2,157,950​​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​$0.39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0.39</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8.54</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620,950​​</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​0.69</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1.92</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4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(183,550​​)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​0.52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0.93</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(32,270)</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w w:val="95"/>
              </w:rPr>
              <w:t>​0.46</w:t>
            </w:r>
          </w:p>
        </w:tc>
        <w:tc>
          <w:tcPr>
            <w:tcW w:w="2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center"/>
              <w:ind w:left="122"/>
              <w:spacing w:after="0" w:line="202" w:lineRule="exact"/>
              <w:rPr>
                <w:sz w:val="20"/>
                <w:szCs w:val="20"/>
                <w:color w:val="auto"/>
              </w:rPr>
            </w:pPr>
            <w:r>
              <w:rPr>
                <w:rFonts w:ascii="Times New Roman" w:cs="Times New Roman" w:eastAsia="Times New Roman" w:hAnsi="Times New Roman"/>
                <w:sz w:val="18"/>
                <w:szCs w:val="18"/>
                <w:color w:val="auto"/>
              </w:rPr>
              <w:t>0.64</w:t>
            </w:r>
          </w:p>
        </w:tc>
        <w:tc>
          <w:tcPr>
            <w:tcW w:w="20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70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20" w:type="dxa"/>
            <w:vAlign w:val="bottom"/>
            <w:gridSpan w:val="2"/>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4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2,563,080​​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​$0.45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0.72</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7.92</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1,750,551​​</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​3.41</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2.03</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3,551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4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(356,228​​)</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​1.44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1.82</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1"/>
              <w:spacing w:after="0" w:line="202" w:lineRule="exact"/>
              <w:rPr>
                <w:sz w:val="20"/>
                <w:szCs w:val="20"/>
                <w:color w:val="auto"/>
              </w:rPr>
            </w:pPr>
            <w:r>
              <w:rPr>
                <w:rFonts w:ascii="Times New Roman" w:cs="Times New Roman" w:eastAsia="Times New Roman" w:hAnsi="Times New Roman"/>
                <w:sz w:val="18"/>
                <w:szCs w:val="18"/>
                <w:color w:val="auto"/>
              </w:rPr>
              <w:t>(835,005)</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w w:val="95"/>
              </w:rPr>
              <w:t>​0.51</w:t>
            </w:r>
          </w:p>
        </w:tc>
        <w:tc>
          <w:tcPr>
            <w:tcW w:w="2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center"/>
              <w:ind w:left="122"/>
              <w:spacing w:after="0" w:line="202" w:lineRule="exact"/>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442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70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20" w:type="dxa"/>
            <w:vAlign w:val="bottom"/>
            <w:gridSpan w:val="2"/>
          </w:tcPr>
          <w:p>
            <w:pPr>
              <w:ind w:left="1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480" w:type="dxa"/>
            <w:vAlign w:val="bottom"/>
            <w:gridSpan w:val="4"/>
            <w:shd w:val="clear" w:color="auto" w:fill="CCEEFF"/>
          </w:tcPr>
          <w:p>
            <w:pPr>
              <w:ind w:left="440"/>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​3,122,398</w:t>
            </w:r>
            <w:r>
              <w:rPr>
                <w:rFonts w:ascii="Times New Roman" w:cs="Times New Roman" w:eastAsia="Times New Roman" w:hAnsi="Times New Roman"/>
                <w:sz w:val="27"/>
                <w:szCs w:val="27"/>
                <w:color w:val="auto"/>
                <w:vertAlign w:val="subscript"/>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1.98</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​1.38</w:t>
            </w:r>
          </w:p>
        </w:tc>
        <w:tc>
          <w:tcPr>
            <w:tcW w:w="2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5"/>
              </w:rPr>
              <w:t>​8.52</w:t>
            </w:r>
          </w:p>
        </w:tc>
        <w:tc>
          <w:tcPr>
            <w:tcW w:w="2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ind w:left="2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​6,550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550,601​​</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​$0.88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7.42</w:t>
            </w:r>
          </w:p>
        </w:tc>
        <w:tc>
          <w:tcPr>
            <w:tcW w:w="2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4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3,122,398​​</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​$1.98</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7.92</w:t>
            </w:r>
          </w:p>
        </w:tc>
        <w:tc>
          <w:tcPr>
            <w:tcW w:w="28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-728345</wp:posOffset>
            </wp:positionV>
            <wp:extent cx="52120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-1336675</wp:posOffset>
            </wp:positionV>
            <wp:extent cx="52120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-1945005</wp:posOffset>
            </wp:positionV>
            <wp:extent cx="13716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-1945005</wp:posOffset>
            </wp:positionV>
            <wp:extent cx="13716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-1945005</wp:posOffset>
            </wp:positionV>
            <wp:extent cx="13716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-1945005</wp:posOffset>
            </wp:positionV>
            <wp:extent cx="270891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Share-based compensation expense for options totaling $734 and $324 was recognized in our statements of income for the years ended December 31, 2021 and 2020, respectively. Of the $734 of share-based compensation incurred during the year ended December 31, 2021, $252 is allocated to cost of goods sold, $95 to research and development, $156 to selling and marketing, and $231 to general and administrative expenses. Of the $324 of share- based compensation incurred during the year ended December 31, 2020, $48 is allocated to cost of goods sold, $23 to research and development, $61 to selling and marketing, and $192 to general and administrative expenses. The Company did not receive payment for 615,124 of the 835,005 options exercised during the period ended December 31, 2021 and accordingly a receivable of $250 was recognized and included in other current assets on the balance sheet. This payment was received on January 4, 2022.</w:t>
      </w:r>
    </w:p>
    <w:p>
      <w:pPr>
        <w:spacing w:after="0" w:line="32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2021, there were 10,327 shares of unissued authorized and available for future awards under the plans.</w:t>
      </w:r>
    </w:p>
    <w:p>
      <w:pPr>
        <w:spacing w:after="0" w:line="81"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2021, the Company had stock-based compensation expense of $3,646, related to unvested stock options not yet recognized that are expected to be recognized over an estimated weighted average period of 2.9 years.</w:t>
      </w:r>
    </w:p>
    <w:p>
      <w:pPr>
        <w:spacing w:after="0" w:line="109"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risk-free interest rate, and the weighted average expected life of the options. The fair value of the underlying stock is determined by the Board of Directors. Given the absence of a public trading market, the Board of Directors utilizes a 409A valuation which considers numerous objective and subjective factors to determine the fair value of our common stock. These factors included but are not limited to: (i) the rights, preferences and privileges of convertible preferred stock relative to common stock; (ii) the lack of marketability of common stock; (iii) stage and development of the Company’s business; (iv) general economic conditions; and (v) the likelihood of achieving a liquidity event, such as an initial public offering (“IPO”) or sale of the Company, given prevailing market conditions. To evaluate the fair value of the underlying shares for grants between two independent valuations and after the last independent valuation, a linear interpolation framework is used to evaluate the fair value of the underlying shares. The expected term was estimated using the simplified method.</w:t>
      </w:r>
    </w:p>
    <w:p>
      <w:pPr>
        <w:spacing w:after="0" w:line="34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 – 2.18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 – 2.39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-830580</wp:posOffset>
            </wp:positionV>
            <wp:extent cx="41490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323"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holders of record of the shares of Series A Preferred Stock, exclusively and as a separate class, shall be entitled to elect one director of the Corporation (the “Series A Director”). The Series A Director shall be given two votes on any action requiring the vote or approval of the Board of Directors.</w:t>
      </w:r>
    </w:p>
    <w:p>
      <w:pPr>
        <w:spacing w:after="0" w:line="10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holders of record of the shares of Common Stock, exclusively and as a separate class, shall be entitled to elect two directors of the Corporation, the “Common Stock Director A” and the “Common Stock Director B”).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 Dissolution or Winding Up; Certain Mergers, Consolidations and Assets Sales</w:t>
      </w:r>
    </w:p>
    <w:p>
      <w:pPr>
        <w:spacing w:after="0" w:line="16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the holders of shares of Series A Preferred Stock then outstanding (the “Series A shareholders”) shall be entitled to be paid out of the assets of the Corporation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Corporation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Corporation available for distribution to its stockholders shall be distributed among the holders of shares of Common Stock, pro rata based on the number of shares held by each such holder.</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Corporation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Corporation under Nevada Law with ninety days after a deemed liquidation event is not within the control of the Company. As such the Preferred Stock is precluded from permanent equity classification and has been presented as mezzanine equity.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6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16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at a price of at least $1 per share, in a firm- commitment underwritten public offering pursuant to an effective registration statement under the Securities Act of 1933, as amended, resulting in at least $25,000 of gross proceeds to the Corporation or</w:t>
      </w:r>
    </w:p>
    <w:p>
      <w:pPr>
        <w:spacing w:after="0" w:line="1" w:lineRule="exact"/>
        <w:rPr>
          <w:sz w:val="20"/>
          <w:szCs w:val="20"/>
          <w:color w:val="auto"/>
        </w:rPr>
      </w:pPr>
    </w:p>
    <w:p>
      <w:pPr>
        <w:ind w:left="1260" w:right="519"/>
        <w:spacing w:after="0" w:line="253" w:lineRule="auto"/>
        <w:tabs>
          <w:tab w:leader="none" w:pos="152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Corporation.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is authorized to issue up to 40,000,000 shares of common stock with $0.0002 par value.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December 31, 2021 and 2020, there were 20,875,475 and 20,040,470 shares issued and outstanding.</w:t>
      </w:r>
    </w:p>
    <w:p>
      <w:pPr>
        <w:spacing w:after="0" w:line="1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December 31, 2021 and 2020, no dividends on common stock had been declared by the Company. At December 31, 2021 and 2020, the Company had reserved shares of common stock for issuance as follows: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6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5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13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​​10,000,000​​</w:t>
            </w:r>
          </w:p>
        </w:tc>
        <w:tc>
          <w:tcPr>
            <w:tcW w:w="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3,122,398​​</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2,563,080​</w:t>
            </w:r>
          </w:p>
        </w:tc>
      </w:tr>
      <w:tr>
        <w:trPr>
          <w:trHeight w:val="25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​​20,875,475​​</w:t>
            </w:r>
          </w:p>
        </w:tc>
        <w:tc>
          <w:tcPr>
            <w:tcW w:w="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​​20,040,470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1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10,327</w:t>
            </w:r>
            <w:r>
              <w:rPr>
                <w:rFonts w:ascii="Times New Roman" w:cs="Times New Roman" w:eastAsia="Times New Roman" w:hAnsi="Times New Roman"/>
                <w:sz w:val="31"/>
                <w:szCs w:val="31"/>
                <w:color w:val="auto"/>
                <w:vertAlign w:val="subscript"/>
              </w:rPr>
              <w:t>​​</w:t>
            </w:r>
          </w:p>
        </w:tc>
        <w:tc>
          <w:tcPr>
            <w:tcW w:w="22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2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404,650</w:t>
            </w:r>
            <w:r>
              <w:rPr>
                <w:rFonts w:ascii="Times New Roman" w:cs="Times New Roman" w:eastAsia="Times New Roman" w:hAnsi="Times New Roman"/>
                <w:sz w:val="31"/>
                <w:szCs w:val="31"/>
                <w:color w:val="auto"/>
                <w:vertAlign w:val="subscript"/>
              </w:rPr>
              <w:t>​</w:t>
            </w:r>
          </w:p>
        </w:tc>
      </w:tr>
      <w:tr>
        <w:trPr>
          <w:trHeight w:val="20"/>
        </w:trPr>
        <w:tc>
          <w:tcPr>
            <w:tcW w:w="4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​34,008,200</w:t>
            </w:r>
            <w:r>
              <w:rPr>
                <w:rFonts w:ascii="Times New Roman" w:cs="Times New Roman" w:eastAsia="Times New Roman" w:hAnsi="Times New Roman"/>
                <w:sz w:val="28"/>
                <w:szCs w:val="28"/>
                <w:color w:val="auto"/>
                <w:vertAlign w:val="subscript"/>
              </w:rPr>
              <w:t>​​</w:t>
            </w:r>
          </w:p>
        </w:tc>
        <w:tc>
          <w:tcPr>
            <w:tcW w:w="90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​33,008,200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3481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2259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November of 2020, the board of directors approved and granted 8,200 common shares to consultants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historical services provided. The shares were fair valued at $3.41 per share for total compensation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$27. The amount was expensed immediately and is included in selling, general and administrative expenses.</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December 31, 2021 through April 20, 2022, which is the date the financial statements were available for issuance and has determined that there are no subsequent events requiring adjustment to or disclosure in the financial statements, other than as follows: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 SUBSEQUENT EVENTS (continued)</w:t>
      </w:r>
    </w:p>
    <w:p>
      <w:pPr>
        <w:spacing w:after="0" w:line="22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1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66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right="60"/>
        <w:spacing w:after="0" w:line="276" w:lineRule="auto"/>
        <w:rPr>
          <w:sz w:val="20"/>
          <w:szCs w:val="20"/>
          <w:color w:val="auto"/>
        </w:rPr>
      </w:pPr>
      <w:r>
        <w:rPr>
          <w:rFonts w:ascii="Times New Roman" w:cs="Times New Roman" w:eastAsia="Times New Roman" w:hAnsi="Times New Roman"/>
          <w:sz w:val="18"/>
          <w:szCs w:val="18"/>
          <w:color w:val="0000EE"/>
        </w:rPr>
        <w:t>Condensed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Balance Sheets at September 30, 2022 and December 31, 2021 (unaudited) </w:t>
      </w:r>
      <w:r>
        <w:rPr>
          <w:rFonts w:ascii="Times New Roman" w:cs="Times New Roman" w:eastAsia="Times New Roman" w:hAnsi="Times New Roman"/>
          <w:sz w:val="18"/>
          <w:szCs w:val="18"/>
          <w:u w:val="single" w:color="auto"/>
          <w:color w:val="0000EE"/>
        </w:rPr>
        <w:t>Condensed Statements of Operations for the Nine Months Ended September 30, 2022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-281305</wp:posOffset>
            </wp:positionV>
            <wp:extent cx="5212080" cy="1200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ind w:left="1440" w:hanging="180"/>
        <w:spacing w:after="0"/>
        <w:tabs>
          <w:tab w:leader="none" w:pos="14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Statements of Changes in Stockholders’ Equity for the Nine Months Ended</w:t>
      </w:r>
    </w:p>
    <w:p>
      <w:pPr>
        <w:spacing w:after="0" w:line="27" w:lineRule="exact"/>
        <w:rPr>
          <w:sz w:val="20"/>
          <w:szCs w:val="20"/>
          <w:color w:val="auto"/>
        </w:rPr>
      </w:pPr>
    </w:p>
    <w:p>
      <w:pPr>
        <w:ind w:left="1440" w:hanging="180"/>
        <w:spacing w:after="0"/>
        <w:tabs>
          <w:tab w:leader="none" w:pos="14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September 30, 2022 and 2021 (unaudited)</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Condensed Statements of Cash Flows for the Nine Months Ended September 30, 2022 and</w:t>
      </w:r>
    </w:p>
    <w:p>
      <w:pPr>
        <w:spacing w:after="0" w:line="27" w:lineRule="exact"/>
        <w:rPr>
          <w:sz w:val="20"/>
          <w:szCs w:val="20"/>
          <w:color w:val="auto"/>
        </w:rPr>
      </w:pPr>
    </w:p>
    <w:p>
      <w:pPr>
        <w:ind w:left="1440" w:hanging="180"/>
        <w:spacing w:after="0"/>
        <w:tabs>
          <w:tab w:leader="none" w:pos="14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F-74</w:t>
            </w:r>
            <w:r>
              <w:rPr>
                <w:rFonts w:ascii="Times New Roman" w:cs="Times New Roman" w:eastAsia="Times New Roman" w:hAnsi="Times New Roman"/>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F-75</w:t>
            </w:r>
            <w:r>
              <w:rPr>
                <w:rFonts w:ascii="Times New Roman" w:cs="Times New Roman" w:eastAsia="Times New Roman" w:hAnsi="Times New Roman"/>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F-76</w:t>
            </w:r>
            <w:r>
              <w:rPr>
                <w:rFonts w:ascii="Times New Roman" w:cs="Times New Roman" w:eastAsia="Times New Roman" w:hAnsi="Times New Roman"/>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F-77</w:t>
            </w:r>
            <w:r>
              <w:rPr>
                <w:rFonts w:ascii="Times New Roman" w:cs="Times New Roman" w:eastAsia="Times New Roman" w:hAnsi="Times New Roman"/>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F-78</w:t>
      </w:r>
      <w:r>
        <w:rPr>
          <w:rFonts w:ascii="Times New Roman" w:cs="Times New Roman" w:eastAsia="Times New Roman" w:hAnsi="Times New Roman"/>
          <w:sz w:val="18"/>
          <w:szCs w:val="18"/>
          <w:color w:val="auto"/>
        </w:rPr>
        <w:t> – F-</w:t>
      </w:r>
      <w:r>
        <w:rPr>
          <w:rFonts w:ascii="Times New Roman" w:cs="Times New Roman" w:eastAsia="Times New Roman" w:hAnsi="Times New Roman"/>
          <w:sz w:val="18"/>
          <w:szCs w:val="18"/>
          <w:u w:val="single" w:color="auto"/>
          <w:color w:val="0000EE"/>
        </w:rPr>
        <w:t>89</w:t>
      </w:r>
      <w:r>
        <w:rPr>
          <w:rFonts w:ascii="Times New Roman" w:cs="Times New Roman" w:eastAsia="Times New Roman" w:hAnsi="Times New Roman"/>
          <w:sz w:val="18"/>
          <w:szCs w:val="18"/>
          <w:color w:val="auto"/>
        </w:rPr>
        <w:t>​</w:t>
      </w:r>
    </w:p>
    <w:p>
      <w:pPr>
        <w:sectPr>
          <w:pgSz w:w="11900" w:h="16838" w:orient="portrait"/>
          <w:cols w:equalWidth="0" w:num="2">
            <w:col w:w="8080" w:space="300"/>
            <w:col w:w="149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60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5"/>
                <w:szCs w:val="15"/>
                <w:color w:val="auto"/>
              </w:rPr>
            </w:pPr>
          </w:p>
        </w:tc>
        <w:tc>
          <w:tcPr>
            <w:tcW w:w="120" w:type="dxa"/>
            <w:vAlign w:val="bottom"/>
            <w:tcBorders>
              <w:right w:val="single" w:sz="8" w:color="CCEEFF"/>
            </w:tcBorders>
            <w:gridSpan w:val="2"/>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​$10,517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​$25,586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3,044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3,044</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3,820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​39,487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​27,127</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1,552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3,729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7,461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3,901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1,787</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bottom w:val="single" w:sz="8" w:color="CCEEFF"/>
            </w:tcBorders>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bottom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​66,346</w:t>
            </w:r>
          </w:p>
        </w:tc>
        <w:tc>
          <w:tcPr>
            <w:tcW w:w="1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CCEEFF"/>
              <w:bottom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​66,081</w:t>
            </w:r>
          </w:p>
        </w:tc>
        <w:tc>
          <w:tcPr>
            <w:tcW w:w="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60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5"/>
                <w:szCs w:val="15"/>
                <w:color w:val="auto"/>
              </w:rPr>
            </w:pPr>
          </w:p>
        </w:tc>
        <w:tc>
          <w:tcPr>
            <w:tcW w:w="120" w:type="dxa"/>
            <w:vAlign w:val="bottom"/>
            <w:tcBorders>
              <w:right w:val="single" w:sz="8" w:color="CCEEFF"/>
            </w:tcBorders>
            <w:gridSpan w:val="2"/>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9,004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3,615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1,709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1,307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604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​11,222</w:t>
            </w: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 ​ 5,318</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​(1,406) ​​ ​</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6040" w:type="dxa"/>
            <w:vAlign w:val="bottom"/>
            <w:tcBorders>
              <w:top w:val="single" w:sz="8" w:color="CCEEFF"/>
            </w:tcBorders>
          </w:tcPr>
          <w:p>
            <w:pPr>
              <w:ind w:left="360"/>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CCEEFF"/>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 9,816</w:t>
            </w: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 ​ 4,461</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4,878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5,709</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1,254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bottom w:val="single" w:sz="8" w:color="CCEEFF"/>
            </w:tcBorders>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82,294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76,251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vMerge w:val="restart"/>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jc w:val="right"/>
              <w:ind w:right="8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restart"/>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60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6,477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​11,360</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4,374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2,608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​16,529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1,875</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1,157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1,082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CEEFF"/>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​28,824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​17,990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60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5"/>
                <w:szCs w:val="15"/>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5"/>
                <w:szCs w:val="15"/>
                <w:color w:val="auto"/>
              </w:rPr>
            </w:pPr>
          </w:p>
        </w:tc>
        <w:tc>
          <w:tcPr>
            <w:tcW w:w="1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5"/>
                <w:szCs w:val="15"/>
                <w:color w:val="auto"/>
              </w:rPr>
            </w:pPr>
          </w:p>
        </w:tc>
        <w:tc>
          <w:tcPr>
            <w:tcW w:w="1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​24,182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​37,053</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3,821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4,694</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bottom w:val="single" w:sz="8" w:color="CCEEFF"/>
            </w:tcBorders>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top w:val="single" w:sz="8" w:color="CCEEFF"/>
              <w:bottom w:val="single" w:sz="8" w:color="CCEEFF"/>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​28,003</w:t>
            </w:r>
          </w:p>
        </w:tc>
        <w:tc>
          <w:tcPr>
            <w:tcW w:w="1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CCEEFF"/>
              <w:bottom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​42,200</w:t>
            </w:r>
          </w:p>
        </w:tc>
        <w:tc>
          <w:tcPr>
            <w:tcW w:w="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​56,827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​60,190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60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Commitments and Contingencies (See Note 2)</w:t>
            </w:r>
          </w:p>
        </w:tc>
        <w:tc>
          <w:tcPr>
            <w:tcW w:w="2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5"/>
                <w:szCs w:val="15"/>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5"/>
                <w:szCs w:val="15"/>
                <w:color w:val="auto"/>
              </w:rPr>
            </w:pPr>
          </w:p>
        </w:tc>
        <w:tc>
          <w:tcPr>
            <w:tcW w:w="1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5"/>
                <w:szCs w:val="15"/>
                <w:color w:val="auto"/>
              </w:rPr>
            </w:pPr>
          </w:p>
        </w:tc>
        <w:tc>
          <w:tcPr>
            <w:tcW w:w="1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10,000,000 shares at $0.0002 par value, authorized,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10,000,000 shares issued and outstanding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2,000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40,000,000 shares at $0.0002 par value, authorized,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22,634,276 shares issued and outstanding as of September 30, 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20,875,475 shares issued and outstanding as of December 31, 2021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​18,480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1,619</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4,982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​12,438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top w:val="single" w:sz="8" w:color="CCEEFF"/>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​23,467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​14,061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60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 Redeemable Preferred Stock and Shareholders’ Equity</w:t>
            </w:r>
          </w:p>
        </w:tc>
        <w:tc>
          <w:tcPr>
            <w:tcW w:w="2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60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82,294</w:t>
            </w:r>
          </w:p>
        </w:tc>
        <w:tc>
          <w:tcPr>
            <w:tcW w:w="120" w:type="dxa"/>
            <w:vAlign w:val="bottom"/>
          </w:tcPr>
          <w:p>
            <w:pPr>
              <w:spacing w:after="0"/>
              <w:rPr>
                <w:sz w:val="17"/>
                <w:szCs w:val="17"/>
                <w:color w:val="auto"/>
              </w:rPr>
            </w:pPr>
          </w:p>
        </w:tc>
        <w:tc>
          <w:tcPr>
            <w:tcW w:w="2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76,251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-307975</wp:posOffset>
            </wp:positionV>
            <wp:extent cx="52120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-1833880</wp:posOffset>
            </wp:positionV>
            <wp:extent cx="52120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-2656840</wp:posOffset>
            </wp:positionV>
            <wp:extent cx="52120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-3779520</wp:posOffset>
            </wp:positionV>
            <wp:extent cx="52120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-5151120</wp:posOffset>
            </wp:positionV>
            <wp:extent cx="52120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-6522720</wp:posOffset>
            </wp:positionV>
            <wp:extent cx="467169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3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7"/>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Borders>
              <w:bottom w:val="single" w:sz="8" w:color="auto"/>
            </w:tcBorders>
          </w:tcPr>
          <w:p>
            <w:pPr>
              <w:spacing w:after="0"/>
              <w:rPr>
                <w:sz w:val="18"/>
                <w:szCs w:val="18"/>
                <w:color w:val="auto"/>
              </w:rPr>
            </w:pP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1000" w:type="dxa"/>
            <w:vAlign w:val="bottom"/>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66,042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46,481​​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34,314​</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19,561​​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13,716​​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00" w:type="dxa"/>
            <w:vAlign w:val="bottom"/>
            <w:gridSpan w:val="5"/>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9,331</w:t>
            </w:r>
            <w:r>
              <w:rPr>
                <w:rFonts w:ascii="Times New Roman" w:cs="Times New Roman" w:eastAsia="Times New Roman" w:hAnsi="Times New Roman"/>
                <w:sz w:val="31"/>
                <w:szCs w:val="31"/>
                <w:color w:val="auto"/>
                <w:vertAlign w:val="subscript"/>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000" w:type="dxa"/>
            <w:vAlign w:val="bottom"/>
            <w:gridSpan w:val="5"/>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24,998</w:t>
            </w:r>
            <w:r>
              <w:rPr>
                <w:rFonts w:ascii="Times New Roman" w:cs="Times New Roman" w:eastAsia="Times New Roman" w:hAnsi="Times New Roman"/>
                <w:sz w:val="30"/>
                <w:szCs w:val="30"/>
                <w:color w:val="auto"/>
                <w:vertAlign w:val="subscript"/>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16,981</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shd w:val="clear" w:color="auto" w:fill="CCEEFF"/>
          </w:tcPr>
          <w:p>
            <w:pPr>
              <w:spacing w:after="0"/>
              <w:rPr>
                <w:sz w:val="17"/>
                <w:szCs w:val="17"/>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6,526</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4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20" w:type="dxa"/>
            <w:vAlign w:val="bottom"/>
            <w:gridSpan w:val="3"/>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(3,657)</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4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20" w:type="dxa"/>
            <w:vAlign w:val="bottom"/>
            <w:gridSpan w:val="3"/>
            <w:shd w:val="clear" w:color="auto" w:fill="CCEEFF"/>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Loss on disposition of assets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440" w:type="dxa"/>
            <w:vAlign w:val="bottom"/>
            <w:gridSpan w:val="2"/>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shd w:val="clear" w:color="auto" w:fill="CCEEFF"/>
          </w:tcPr>
          <w:p>
            <w:pPr>
              <w:spacing w:after="0"/>
              <w:rPr>
                <w:sz w:val="17"/>
                <w:szCs w:val="17"/>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(3,719)</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20" w:type="dxa"/>
            <w:vAlign w:val="bottom"/>
            <w:gridSpan w:val="3"/>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(9,156)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6,402</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gridSpan w:val="3"/>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Provision for Income Taxes</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shd w:val="clear" w:color="auto" w:fill="CCEEFF"/>
          </w:tcPr>
          <w:p>
            <w:pPr>
              <w:spacing w:after="0"/>
              <w:rPr>
                <w:sz w:val="17"/>
                <w:szCs w:val="17"/>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1,981</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9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20" w:type="dxa"/>
            <w:vAlign w:val="bottom"/>
            <w:gridSpan w:val="3"/>
            <w:shd w:val="clear" w:color="auto" w:fill="CCEEFF"/>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(7,456)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3"/>
                <w:szCs w:val="3"/>
                <w:color w:val="auto"/>
              </w:rPr>
              <w:t>​​ ​​</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Earnings Per Share- Basic</w:t>
            </w: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59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3"/>
                <w:szCs w:val="3"/>
                <w:color w:val="auto"/>
              </w:rPr>
              <w:t>​​ ​​</w:t>
            </w:r>
          </w:p>
        </w:tc>
        <w:tc>
          <w:tcPr>
            <w:tcW w:w="2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(Loss) Earnings Per Share- Diluted</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9"/>
              <w:spacing w:after="0" w:line="176" w:lineRule="exact"/>
              <w:rPr>
                <w:sz w:val="20"/>
                <w:szCs w:val="20"/>
                <w:color w:val="auto"/>
              </w:rPr>
            </w:pPr>
            <w:r>
              <w:rPr>
                <w:rFonts w:ascii="Times New Roman" w:cs="Times New Roman" w:eastAsia="Times New Roman" w:hAnsi="Times New Roman"/>
                <w:sz w:val="18"/>
                <w:szCs w:val="18"/>
                <w:color w:val="auto"/>
              </w:rPr>
              <w:t>(0.35)</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0.13</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w:t>
            </w: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3"/>
                <w:szCs w:val="3"/>
                <w:color w:val="auto"/>
              </w:rPr>
              <w:t>​​ ​​</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8"/>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​21,131,993</w:t>
            </w:r>
            <w:r>
              <w:rPr>
                <w:rFonts w:ascii="Times New Roman" w:cs="Times New Roman" w:eastAsia="Times New Roman" w:hAnsi="Times New Roman"/>
                <w:sz w:val="27"/>
                <w:szCs w:val="27"/>
                <w:color w:val="auto"/>
                <w:vertAlign w:val="subscript"/>
              </w:rPr>
              <w:t>​​ ​​</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​20,063,211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8"/>
          </w:tcPr>
          <w:p>
            <w:pPr>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​21,131,993</w:t>
            </w:r>
            <w:r>
              <w:rPr>
                <w:rFonts w:ascii="Times New Roman" w:cs="Times New Roman" w:eastAsia="Times New Roman" w:hAnsi="Times New Roman"/>
                <w:sz w:val="26"/>
                <w:szCs w:val="26"/>
                <w:color w:val="auto"/>
                <w:vertAlign w:val="subscript"/>
              </w:rPr>
              <w:t>​​ ​​</w:t>
            </w:r>
          </w:p>
        </w:tc>
        <w:tc>
          <w:tcPr>
            <w:tcW w:w="860" w:type="dxa"/>
            <w:vAlign w:val="bottom"/>
            <w:gridSpan w:val="4"/>
          </w:tcPr>
          <w:p>
            <w:pPr>
              <w:jc w:val="right"/>
              <w:spacing w:after="0" w:line="231" w:lineRule="exact"/>
              <w:rPr>
                <w:sz w:val="20"/>
                <w:szCs w:val="20"/>
                <w:color w:val="auto"/>
              </w:rPr>
            </w:pPr>
            <w:r>
              <w:rPr>
                <w:rFonts w:ascii="Times New Roman" w:cs="Times New Roman" w:eastAsia="Times New Roman" w:hAnsi="Times New Roman"/>
                <w:sz w:val="15"/>
                <w:szCs w:val="15"/>
                <w:color w:val="auto"/>
              </w:rPr>
              <w:t>​21,926,105</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-1182370</wp:posOffset>
            </wp:positionV>
            <wp:extent cx="463740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463740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463740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-3565525</wp:posOffset>
            </wp:positionV>
            <wp:extent cx="46291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STATEMENTS OF SHAREHOLDERS’ EQUITY</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8"/>
                <w:szCs w:val="8"/>
                <w:color w:val="auto"/>
              </w:rPr>
            </w:pPr>
          </w:p>
        </w:tc>
        <w:tc>
          <w:tcPr>
            <w:tcW w:w="1080" w:type="dxa"/>
            <w:vAlign w:val="bottom"/>
            <w:gridSpan w:val="4"/>
            <w:vMerge w:val="restart"/>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8"/>
                <w:szCs w:val="8"/>
                <w:color w:val="auto"/>
              </w:rPr>
            </w:pPr>
          </w:p>
        </w:tc>
        <w:tc>
          <w:tcPr>
            <w:tcW w:w="1300" w:type="dxa"/>
            <w:vAlign w:val="bottom"/>
            <w:gridSpan w:val="4"/>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8"/>
        </w:trPr>
        <w:tc>
          <w:tcPr>
            <w:tcW w:w="26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780" w:type="dxa"/>
            <w:vAlign w:val="bottom"/>
            <w:gridSpan w:val="5"/>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5"/>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6"/>
                <w:szCs w:val="26"/>
                <w:b w:val="1"/>
                <w:bCs w:val="1"/>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gridSpan w:val="16"/>
          </w:tcPr>
          <w:p>
            <w:pPr>
              <w:ind w:left="80"/>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Paid-In Capital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(Deficit)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5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2021</w:t>
            </w: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00" w:type="dxa"/>
            <w:vAlign w:val="bottom"/>
            <w:vMerge w:val="continue"/>
            <w:shd w:val="clear" w:color="auto" w:fill="CCEEFF"/>
          </w:tcPr>
          <w:p>
            <w:pPr>
              <w:spacing w:after="0"/>
              <w:rPr>
                <w:sz w:val="22"/>
                <w:szCs w:val="22"/>
                <w:color w:val="auto"/>
              </w:rPr>
            </w:pPr>
          </w:p>
        </w:tc>
        <w:tc>
          <w:tcPr>
            <w:tcW w:w="2700" w:type="dxa"/>
            <w:vAlign w:val="bottom"/>
            <w:tcBorders>
              <w:right w:val="single" w:sz="8" w:color="CCEEFF"/>
            </w:tcBorders>
            <w:gridSpan w:val="12"/>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​10,000,000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2,000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​20,040,470</w:t>
            </w:r>
            <w:r>
              <w:rPr>
                <w:rFonts w:ascii="Times New Roman" w:cs="Times New Roman" w:eastAsia="Times New Roman" w:hAnsi="Times New Roman"/>
                <w:sz w:val="30"/>
                <w:szCs w:val="30"/>
                <w:color w:val="auto"/>
                <w:vertAlign w:val="subscript"/>
              </w:rPr>
              <w:t>​​​</w:t>
            </w:r>
          </w:p>
        </w:tc>
        <w:tc>
          <w:tcPr>
            <w:tcW w:w="1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perscript"/>
              </w:rPr>
              <w:t>$</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0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380" w:type="dxa"/>
            <w:vAlign w:val="bottom"/>
            <w:gridSpan w:val="4"/>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1160" w:type="dxa"/>
            <w:vAlign w:val="bottom"/>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8,100</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8,555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4,421​​​​ ​ 4,421​</w:t>
            </w:r>
          </w:p>
        </w:tc>
        <w:tc>
          <w:tcPr>
            <w:tcW w:w="0" w:type="dxa"/>
            <w:vAlign w:val="bottom"/>
          </w:tcPr>
          <w:p>
            <w:pPr>
              <w:spacing w:after="0"/>
              <w:rPr>
                <w:sz w:val="1"/>
                <w:szCs w:val="1"/>
                <w:color w:val="auto"/>
              </w:rPr>
            </w:pPr>
          </w:p>
        </w:tc>
      </w:tr>
      <w:tr>
        <w:trPr>
          <w:trHeight w:val="25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w:t>
            </w:r>
          </w:p>
        </w:tc>
        <w:tc>
          <w:tcPr>
            <w:tcW w:w="3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80" w:type="dxa"/>
            <w:vAlign w:val="bottom"/>
            <w:gridSpan w:val="4"/>
          </w:tcPr>
          <w:p>
            <w:pPr>
              <w:jc w:val="right"/>
              <w:ind w:right="5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gridSpan w:val="4"/>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9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49,727</w:t>
            </w:r>
            <w:r>
              <w:rPr>
                <w:rFonts w:ascii="Times New Roman" w:cs="Times New Roman" w:eastAsia="Times New Roman" w:hAnsi="Times New Roman"/>
                <w:sz w:val="28"/>
                <w:szCs w:val="28"/>
                <w:color w:val="auto"/>
                <w:vertAlign w:val="subscript"/>
              </w:rPr>
              <w:t>​​​</w:t>
            </w:r>
          </w:p>
        </w:tc>
        <w:tc>
          <w:tcPr>
            <w:tcW w:w="40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4"/>
          </w:tcPr>
          <w:p>
            <w:pPr>
              <w:ind w:left="8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26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2021</w:t>
            </w:r>
          </w:p>
        </w:tc>
        <w:tc>
          <w:tcPr>
            <w:tcW w:w="2700" w:type="dxa"/>
            <w:vAlign w:val="bottom"/>
            <w:tcBorders>
              <w:right w:val="single" w:sz="8" w:color="CCEEFF"/>
            </w:tcBorders>
            <w:gridSpan w:val="12"/>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​10,000,000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​20,090,197</w:t>
            </w:r>
            <w:r>
              <w:rPr>
                <w:rFonts w:ascii="Times New Roman" w:cs="Times New Roman" w:eastAsia="Times New Roman" w:hAnsi="Times New Roman"/>
                <w:sz w:val="27"/>
                <w:szCs w:val="27"/>
                <w:color w:val="auto"/>
                <w:vertAlign w:val="subscript"/>
              </w:rPr>
              <w:t>​​​</w:t>
            </w:r>
          </w:p>
        </w:tc>
        <w:tc>
          <w:tcPr>
            <w:tcW w:w="1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w w:val="88"/>
              </w:rPr>
              <w:t>​</w:t>
            </w:r>
            <w:r>
              <w:rPr>
                <w:rFonts w:ascii="Times New Roman" w:cs="Times New Roman" w:eastAsia="Times New Roman" w:hAnsi="Times New Roman"/>
                <w:sz w:val="27"/>
                <w:szCs w:val="27"/>
                <w:color w:val="auto"/>
                <w:w w:val="88"/>
                <w:vertAlign w:val="superscript"/>
              </w:rPr>
              <w:t>$</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0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905</w:t>
            </w:r>
          </w:p>
        </w:tc>
        <w:tc>
          <w:tcPr>
            <w:tcW w:w="1540" w:type="dxa"/>
            <w:vAlign w:val="bottom"/>
            <w:gridSpan w:val="9"/>
            <w:shd w:val="clear" w:color="auto" w:fill="CCEEFF"/>
          </w:tcPr>
          <w:p>
            <w:pPr>
              <w:ind w:left="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12,521</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$ 13,430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2700" w:type="dxa"/>
            <w:vAlign w:val="bottom"/>
            <w:gridSpan w:val="12"/>
          </w:tcPr>
          <w:p>
            <w:pPr>
              <w:ind w:left="2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​10,000,000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​20,875,475</w:t>
            </w:r>
            <w:r>
              <w:rPr>
                <w:rFonts w:ascii="Times New Roman" w:cs="Times New Roman" w:eastAsia="Times New Roman" w:hAnsi="Times New Roman"/>
                <w:sz w:val="26"/>
                <w:szCs w:val="26"/>
                <w:color w:val="auto"/>
                <w:vertAlign w:val="subscript"/>
              </w:rPr>
              <w:t>​​​</w:t>
            </w:r>
          </w:p>
        </w:tc>
        <w:tc>
          <w:tcPr>
            <w:tcW w:w="100" w:type="dxa"/>
            <w:vAlign w:val="bottom"/>
          </w:tcPr>
          <w:p>
            <w:pPr>
              <w:spacing w:after="0" w:line="231" w:lineRule="exact"/>
              <w:rPr>
                <w:sz w:val="20"/>
                <w:szCs w:val="20"/>
                <w:color w:val="auto"/>
              </w:rPr>
            </w:pPr>
            <w:r>
              <w:rPr>
                <w:rFonts w:ascii="Times New Roman" w:cs="Times New Roman" w:eastAsia="Times New Roman" w:hAnsi="Times New Roman"/>
                <w:sz w:val="15"/>
                <w:szCs w:val="15"/>
                <w:color w:val="auto"/>
                <w:w w:val="91"/>
              </w:rPr>
              <w:t>​</w:t>
            </w:r>
            <w:r>
              <w:rPr>
                <w:rFonts w:ascii="Times New Roman" w:cs="Times New Roman" w:eastAsia="Times New Roman" w:hAnsi="Times New Roman"/>
                <w:sz w:val="26"/>
                <w:szCs w:val="26"/>
                <w:color w:val="auto"/>
                <w:w w:val="91"/>
                <w:vertAlign w:val="superscript"/>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1,619</w:t>
            </w:r>
          </w:p>
        </w:tc>
        <w:tc>
          <w:tcPr>
            <w:tcW w:w="1600" w:type="dxa"/>
            <w:vAlign w:val="bottom"/>
            <w:gridSpan w:val="10"/>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12,438</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$ 14,061</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50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5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ind w:left="418"/>
              <w:spacing w:after="0" w:line="183"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shd w:val="clear" w:color="auto" w:fill="CCEEFF"/>
          </w:tcPr>
          <w:p>
            <w:pPr>
              <w:jc w:val="right"/>
              <w:ind w:right="3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8"/>
                <w:szCs w:val="18"/>
                <w:color w:val="auto"/>
              </w:rPr>
              <w:t>​(7,456)</w:t>
            </w:r>
          </w:p>
        </w:tc>
        <w:tc>
          <w:tcPr>
            <w:tcW w:w="54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​(7,456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260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60" w:type="dxa"/>
            <w:vAlign w:val="bottom"/>
            <w:gridSpan w:val="3"/>
            <w:vMerge w:val="continue"/>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gridSpan w:val="3"/>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 1,155</w:t>
            </w:r>
          </w:p>
        </w:tc>
        <w:tc>
          <w:tcPr>
            <w:tcW w:w="3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1,155​</w:t>
            </w:r>
          </w:p>
        </w:tc>
        <w:tc>
          <w:tcPr>
            <w:tcW w:w="0" w:type="dxa"/>
            <w:vAlign w:val="bottom"/>
          </w:tcPr>
          <w:p>
            <w:pPr>
              <w:spacing w:after="0"/>
              <w:rPr>
                <w:sz w:val="1"/>
                <w:szCs w:val="1"/>
                <w:color w:val="auto"/>
              </w:rPr>
            </w:pPr>
          </w:p>
        </w:tc>
      </w:tr>
      <w:tr>
        <w:trPr>
          <w:trHeight w:val="25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agreement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1,267,502​​​</w:t>
            </w:r>
          </w:p>
        </w:tc>
        <w:tc>
          <w:tcPr>
            <w:tcW w:w="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1</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​14,999</w:t>
            </w:r>
          </w:p>
        </w:tc>
        <w:tc>
          <w:tcPr>
            <w:tcW w:w="3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080" w:type="dxa"/>
            <w:vAlign w:val="bottom"/>
            <w:gridSpan w:val="4"/>
          </w:tcPr>
          <w:p>
            <w:pPr>
              <w:jc w:val="right"/>
              <w:ind w:right="5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gridSpan w:val="4"/>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9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491,299</w:t>
            </w:r>
            <w:r>
              <w:rPr>
                <w:rFonts w:ascii="Times New Roman" w:cs="Times New Roman" w:eastAsia="Times New Roman" w:hAnsi="Times New Roman"/>
                <w:sz w:val="28"/>
                <w:szCs w:val="28"/>
                <w:color w:val="auto"/>
                <w:vertAlign w:val="subscript"/>
              </w:rPr>
              <w:t>​​​</w:t>
            </w:r>
          </w:p>
        </w:tc>
        <w:tc>
          <w:tcPr>
            <w:tcW w:w="400" w:type="dxa"/>
            <w:vAlign w:val="bottom"/>
            <w:gridSpan w:val="2"/>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380" w:type="dxa"/>
            <w:vAlign w:val="bottom"/>
            <w:gridSpan w:val="4"/>
          </w:tcPr>
          <w:p>
            <w:pPr>
              <w:ind w:left="8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7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707</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2022</w:t>
            </w:r>
          </w:p>
        </w:tc>
        <w:tc>
          <w:tcPr>
            <w:tcW w:w="2700" w:type="dxa"/>
            <w:vAlign w:val="bottom"/>
            <w:tcBorders>
              <w:right w:val="single" w:sz="8" w:color="CCEEFF"/>
            </w:tcBorders>
            <w:gridSpan w:val="12"/>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​10,000,000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2,000</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​22,634,276</w:t>
            </w:r>
            <w:r>
              <w:rPr>
                <w:rFonts w:ascii="Times New Roman" w:cs="Times New Roman" w:eastAsia="Times New Roman" w:hAnsi="Times New Roman"/>
                <w:sz w:val="27"/>
                <w:szCs w:val="27"/>
                <w:color w:val="auto"/>
                <w:vertAlign w:val="subscript"/>
              </w:rPr>
              <w:t>​​​</w:t>
            </w:r>
          </w:p>
        </w:tc>
        <w:tc>
          <w:tcPr>
            <w:tcW w:w="1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w w:val="88"/>
              </w:rPr>
              <w:t>​</w:t>
            </w:r>
            <w:r>
              <w:rPr>
                <w:rFonts w:ascii="Times New Roman" w:cs="Times New Roman" w:eastAsia="Times New Roman" w:hAnsi="Times New Roman"/>
                <w:sz w:val="27"/>
                <w:szCs w:val="27"/>
                <w:color w:val="auto"/>
                <w:w w:val="88"/>
                <w:vertAlign w:val="superscript"/>
              </w:rPr>
              <w:t>$</w:t>
            </w:r>
          </w:p>
        </w:tc>
        <w:tc>
          <w:tcPr>
            <w:tcW w:w="3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shd w:val="clear" w:color="auto" w:fill="CCEEFF"/>
          </w:tcPr>
          <w:p>
            <w:pPr>
              <w:jc w:val="right"/>
              <w:ind w:right="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18,480</w:t>
            </w:r>
          </w:p>
        </w:tc>
        <w:tc>
          <w:tcPr>
            <w:tcW w:w="380" w:type="dxa"/>
            <w:vAlign w:val="bottom"/>
            <w:gridSpan w:val="4"/>
            <w:shd w:val="clear" w:color="auto" w:fill="CCEEFF"/>
          </w:tcPr>
          <w:p>
            <w:pPr>
              <w:ind w:left="8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1160" w:type="dxa"/>
            <w:vAlign w:val="bottom"/>
            <w:gridSpan w:val="5"/>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4,982</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$ 23,467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-2382520</wp:posOffset>
            </wp:positionV>
            <wp:extent cx="4808855" cy="23742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80885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For the Nine Months Ended</w:t>
            </w:r>
          </w:p>
        </w:tc>
      </w:tr>
      <w:tr>
        <w:trPr>
          <w:trHeight w:val="214"/>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(7,456)​​ ​ ​$</w:t>
            </w:r>
          </w:p>
        </w:tc>
        <w:tc>
          <w:tcPr>
            <w:tcW w:w="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(1,707)​​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(3,037)​​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​(12,360)​​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​(11,183)</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(1,259)​​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(5,254)</w:t>
            </w: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(2,114)​​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(927)​​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(3,915)​​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(737)</w:t>
            </w: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Adjustments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​(17,255)​​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(7,154)</w:t>
            </w: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​(24,711)​​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(2,733)</w:t>
            </w: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(6,065)​​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(2,540)</w:t>
            </w:r>
            <w:r>
              <w:rPr>
                <w:rFonts w:ascii="Times New Roman" w:cs="Times New Roman" w:eastAsia="Times New Roman" w:hAnsi="Times New Roman"/>
                <w:sz w:val="18"/>
                <w:szCs w:val="18"/>
                <w:b w:val="1"/>
                <w:bCs w:val="1"/>
                <w:color w:val="auto"/>
              </w:rPr>
              <w:t>​</w:t>
            </w: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(6,065)​​ ​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(2,479)</w:t>
            </w: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purchase agreement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15,000</w:t>
            </w:r>
          </w:p>
        </w:tc>
        <w:tc>
          <w:tcPr>
            <w:tcW w:w="4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15,707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​(15,069)​​ ​ ​</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28,630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5"/>
                <w:szCs w:val="15"/>
                <w:color w:val="auto"/>
              </w:rPr>
              <w:t>$ 13,561</w:t>
            </w:r>
          </w:p>
        </w:tc>
        <w:tc>
          <w:tcPr>
            <w:tcW w:w="400" w:type="dxa"/>
            <w:vAlign w:val="bottom"/>
            <w:tcBorders>
              <w:left w:val="single" w:sz="8" w:color="CCEEFF"/>
            </w:tcBorders>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52120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52120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-702310</wp:posOffset>
            </wp:positionV>
            <wp:extent cx="254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-1353820</wp:posOffset>
            </wp:positionV>
            <wp:extent cx="254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-1833880</wp:posOffset>
            </wp:positionV>
            <wp:extent cx="52120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-2176780</wp:posOffset>
            </wp:positionV>
            <wp:extent cx="5212080" cy="1803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-4971415</wp:posOffset>
            </wp:positionV>
            <wp:extent cx="52120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-5297170</wp:posOffset>
            </wp:positionV>
            <wp:extent cx="474916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885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543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Supplemental Non-Cash Items</w:t>
      </w:r>
    </w:p>
    <w:p>
      <w:pPr>
        <w:spacing w:after="0" w:line="27" w:lineRule="exact"/>
        <w:rPr>
          <w:sz w:val="20"/>
          <w:szCs w:val="20"/>
          <w:color w:val="auto"/>
        </w:rPr>
      </w:pPr>
    </w:p>
    <w:p>
      <w:pPr>
        <w:ind w:left="1800" w:hanging="179"/>
        <w:spacing w:after="0" w:line="260" w:lineRule="auto"/>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38"/>
        </w:trPr>
        <w:tc>
          <w:tcPr>
            <w:tcW w:w="300" w:type="dxa"/>
            <w:vAlign w:val="bottom"/>
            <w:gridSpan w:val="2"/>
          </w:tcPr>
          <w:p>
            <w:pPr>
              <w:spacing w:after="0" w:line="219"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40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00" w:type="dxa"/>
            <w:vAlign w:val="bottom"/>
            <w:gridSpan w:val="2"/>
          </w:tcPr>
          <w:p>
            <w:pPr>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40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7"/>
                <w:szCs w:val="27"/>
                <w:color w:val="auto"/>
                <w:vertAlign w:val="superscript"/>
              </w:rPr>
              <w:t>$</w:t>
            </w:r>
          </w:p>
        </w:tc>
        <w:tc>
          <w:tcPr>
            <w:tcW w:w="100" w:type="dxa"/>
            <w:vAlign w:val="bottom"/>
          </w:tcPr>
          <w:p>
            <w:pPr>
              <w:spacing w:after="0"/>
              <w:rPr>
                <w:sz w:val="21"/>
                <w:szCs w:val="21"/>
                <w:color w:val="auto"/>
              </w:rPr>
            </w:pPr>
          </w:p>
        </w:tc>
        <w:tc>
          <w:tcPr>
            <w:tcW w:w="5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b w:val="1"/>
                <w:bCs w:val="1"/>
                <w:color w:val="auto"/>
                <w:vertAlign w:val="subscript"/>
              </w:rPr>
              <w:t>​</w:t>
            </w:r>
          </w:p>
        </w:tc>
      </w:tr>
      <w:tr>
        <w:trPr>
          <w:trHeight w:val="21"/>
        </w:trPr>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432"/>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35"/>
                <w:szCs w:val="35"/>
                <w:color w:val="auto"/>
                <w:vertAlign w:val="superscript"/>
              </w:rPr>
              <w:t>$</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35"/>
                <w:szCs w:val="35"/>
                <w:color w:val="auto"/>
                <w:vertAlign w:val="superscript"/>
              </w:rPr>
              <w:t>$</w:t>
            </w:r>
          </w:p>
        </w:tc>
        <w:tc>
          <w:tcPr>
            <w:tcW w:w="10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3,120 </w:t>
            </w:r>
            <w:r>
              <w:rPr>
                <w:rFonts w:ascii="Times New Roman" w:cs="Times New Roman" w:eastAsia="Times New Roman" w:hAnsi="Times New Roman"/>
                <w:sz w:val="35"/>
                <w:szCs w:val="35"/>
                <w:b w:val="1"/>
                <w:bCs w:val="1"/>
                <w:color w:val="auto"/>
                <w:vertAlign w:val="subscript"/>
              </w:rPr>
              <w:t>​</w:t>
            </w:r>
          </w:p>
        </w:tc>
      </w:tr>
      <w:tr>
        <w:trPr>
          <w:trHeight w:val="21"/>
        </w:trPr>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2">
            <w:col w:w="7180" w:space="440"/>
            <w:col w:w="2259"/>
          </w:cols>
          <w:pgMar w:left="580" w:top="97" w:right="1440"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2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notes have been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The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unaudited condensed consolidated financial statements and notes should be read in conjunction with the audited consolidated financial statements and accompanying notes for the year ended December 31, 2021.</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160"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2016- 13,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12" w:lineRule="exact"/>
        <w:rPr>
          <w:sz w:val="20"/>
          <w:szCs w:val="20"/>
          <w:color w:val="auto"/>
        </w:rPr>
      </w:pPr>
    </w:p>
    <w:p>
      <w:pPr>
        <w:ind w:left="1260" w:right="7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 Contracts in Entity’s Own Equity (Subtopic 815-40) </w:t>
      </w:r>
      <w:r>
        <w:rPr>
          <w:rFonts w:ascii="Times New Roman" w:cs="Times New Roman" w:eastAsia="Times New Roman" w:hAnsi="Times New Roman"/>
          <w:sz w:val="18"/>
          <w:szCs w:val="18"/>
          <w:color w:val="auto"/>
        </w:rPr>
        <w:t>(“ASU 2020-06”) to</w:t>
      </w:r>
    </w:p>
    <w:p>
      <w:pPr>
        <w:ind w:left="1260" w:right="499"/>
        <w:spacing w:after="0"/>
        <w:rPr>
          <w:sz w:val="20"/>
          <w:szCs w:val="20"/>
          <w:color w:val="auto"/>
        </w:rPr>
      </w:pPr>
      <w:r>
        <w:rPr>
          <w:rFonts w:ascii="Times New Roman" w:cs="Times New Roman" w:eastAsia="Times New Roman" w:hAnsi="Times New Roman"/>
          <w:sz w:val="18"/>
          <w:szCs w:val="18"/>
          <w:color w:val="auto"/>
        </w:rPr>
        <w:t>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260" w:right="479"/>
        <w:spacing w:after="0" w:line="271" w:lineRule="auto"/>
        <w:rPr>
          <w:sz w:val="20"/>
          <w:szCs w:val="20"/>
          <w:color w:val="auto"/>
        </w:rPr>
      </w:pPr>
      <w:r>
        <w:rPr>
          <w:rFonts w:ascii="Times New Roman" w:cs="Times New Roman" w:eastAsia="Times New Roman" w:hAnsi="Times New Roman"/>
          <w:sz w:val="18"/>
          <w:szCs w:val="18"/>
          <w:color w:val="auto"/>
        </w:rPr>
        <w:t>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Immaterial error correction</w:t>
      </w:r>
    </w:p>
    <w:p>
      <w:pPr>
        <w:spacing w:after="0" w:line="160" w:lineRule="exact"/>
        <w:rPr>
          <w:sz w:val="20"/>
          <w:szCs w:val="20"/>
          <w:color w:val="auto"/>
        </w:rPr>
      </w:pPr>
    </w:p>
    <w:p>
      <w:pPr>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The Company corrected an immaterial error and recognized $857 in expenses during the third quarter ending September 30, 2022 related to costs previously incorrectly deferred within other current assets on the balance sheet. Of this amount, $450 is related to costs incurred during the fourth quarter ending December 31, 2021 and the remaining $407 were incurred during the nine months ended September 30, 2022.</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Cash, Restricted Cash, and Cash Equivalents</w:t>
      </w:r>
    </w:p>
    <w:p>
      <w:pPr>
        <w:spacing w:after="0" w:line="160"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September 30, 2022 and December 31, 2021. The Company also maintains a restricted cash balance to satisfy its note payable requirements (Refer to Note 5).</w:t>
      </w:r>
    </w:p>
    <w:p>
      <w:pPr>
        <w:spacing w:after="0" w:line="328"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146"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September 30, 2022 and December 31, 2021 of $54 and $50, respectively.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14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December 31, 2021, no such reserves were necessary.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6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Nine months ended September 30, 2022 and 2021 was $648 and $432, respectively. The various classes of property and equipment and estimated useful lives are as follows: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7 years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Vehicles</w:t>
            </w:r>
          </w:p>
        </w:tc>
        <w:tc>
          <w:tcPr>
            <w:tcW w:w="16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5 years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60" w:type="dxa"/>
            <w:vAlign w:val="bottom"/>
            <w:vMerge w:val="continue"/>
          </w:tcPr>
          <w:p>
            <w:pPr>
              <w:spacing w:after="0"/>
              <w:rPr>
                <w:sz w:val="4"/>
                <w:szCs w:val="4"/>
                <w:color w:val="auto"/>
              </w:rPr>
            </w:pPr>
          </w:p>
        </w:tc>
        <w:tc>
          <w:tcPr>
            <w:tcW w:w="20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60" w:type="dxa"/>
            <w:vAlign w:val="bottom"/>
            <w:vMerge w:val="restart"/>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7 years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660" w:type="dxa"/>
            <w:vAlign w:val="bottom"/>
            <w:vMerge w:val="continue"/>
            <w:shd w:val="clear" w:color="auto" w:fill="CCEEFF"/>
          </w:tcPr>
          <w:p>
            <w:pPr>
              <w:spacing w:after="0"/>
              <w:rPr>
                <w:sz w:val="4"/>
                <w:szCs w:val="4"/>
                <w:color w:val="auto"/>
              </w:rPr>
            </w:pPr>
          </w:p>
        </w:tc>
        <w:tc>
          <w:tcPr>
            <w:tcW w:w="20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 Term of Lease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16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14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w:t>
      </w:r>
    </w:p>
    <w:p>
      <w:pPr>
        <w:spacing w:after="0" w:line="3" w:lineRule="exact"/>
        <w:rPr>
          <w:sz w:val="20"/>
          <w:szCs w:val="20"/>
          <w:color w:val="auto"/>
        </w:rPr>
      </w:pPr>
    </w:p>
    <w:p>
      <w:pPr>
        <w:ind w:left="1260" w:right="499"/>
        <w:spacing w:after="0"/>
        <w:tabs>
          <w:tab w:leader="none" w:pos="158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entity satisfies a performance obligation. The Company only applies the five 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Operations.</w:t>
      </w:r>
    </w:p>
    <w:p>
      <w:pPr>
        <w:spacing w:after="0" w:line="12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33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September 30, 2022 and December 31, 2021, the contract liability related to the</w:t>
      </w: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260" w:right="579"/>
        <w:spacing w:after="0" w:line="264" w:lineRule="auto"/>
        <w:rPr>
          <w:sz w:val="20"/>
          <w:szCs w:val="20"/>
          <w:color w:val="auto"/>
        </w:rPr>
      </w:pPr>
      <w:r>
        <w:rPr>
          <w:rFonts w:ascii="Times New Roman" w:cs="Times New Roman" w:eastAsia="Times New Roman" w:hAnsi="Times New Roman"/>
          <w:sz w:val="18"/>
          <w:szCs w:val="18"/>
          <w:color w:val="auto"/>
        </w:rPr>
        <w:t>Company’s customer deposits approximated $287 and $434, respectively. The entire contract liability balance as of December 31, 2021 was recognized as revenue during the Nine months ended September 30, 2022.</w:t>
      </w: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our disaggregated revenues by distribution channel:</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For the Nine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0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56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0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​$35,211</w:t>
            </w:r>
          </w:p>
        </w:tc>
        <w:tc>
          <w:tcPr>
            <w:tcW w:w="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​$44,221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5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56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6,544</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6,910 </w:t>
            </w:r>
            <w:r>
              <w:rPr>
                <w:rFonts w:ascii="Times New Roman" w:cs="Times New Roman" w:eastAsia="Times New Roman" w:hAnsi="Times New Roman"/>
                <w:sz w:val="18"/>
                <w:szCs w:val="18"/>
                <w:b w:val="1"/>
                <w:bCs w:val="1"/>
                <w:color w:val="auto"/>
              </w:rPr>
              <w:t>​</w:t>
            </w:r>
          </w:p>
        </w:tc>
      </w:tr>
      <w:tr>
        <w:trPr>
          <w:trHeight w:val="27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56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​24,287</w:t>
            </w:r>
          </w:p>
        </w:tc>
        <w:tc>
          <w:tcPr>
            <w:tcW w:w="980" w:type="dxa"/>
            <w:vAlign w:val="bottom"/>
            <w:gridSpan w:val="4"/>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6,690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40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6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​66,042</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​57,821 </w:t>
            </w:r>
            <w:r>
              <w:rPr>
                <w:rFonts w:ascii="Times New Roman" w:cs="Times New Roman" w:eastAsia="Times New Roman" w:hAnsi="Times New Roman"/>
                <w:sz w:val="28"/>
                <w:szCs w:val="28"/>
                <w:b w:val="1"/>
                <w:bCs w:val="1"/>
                <w:color w:val="auto"/>
                <w:vertAlign w:val="subscript"/>
              </w:rPr>
              <w:t>​</w:t>
            </w:r>
          </w:p>
        </w:tc>
      </w:tr>
      <w:tr>
        <w:trPr>
          <w:trHeight w:val="21"/>
        </w:trPr>
        <w:tc>
          <w:tcPr>
            <w:tcW w:w="4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-719455</wp:posOffset>
            </wp:positionV>
            <wp:extent cx="13716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-719455</wp:posOffset>
            </wp:positionV>
            <wp:extent cx="1371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w:t>
      </w:r>
    </w:p>
    <w:p>
      <w:pPr>
        <w:spacing w:after="0" w:line="16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$4,042 and $3,912 for the Nine months ended September 30, 2022 and 2021, respectively.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16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Receivables from one customer comprised approximately 43% of accounts receivable as of September 30 2022. Receivables from two customers comprised approximately 42% and 16%, respectively, of accounts receivable as of December 31, 2021.</w:t>
      </w:r>
    </w:p>
    <w:p>
      <w:pPr>
        <w:spacing w:after="0" w:line="10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one customer accounted for approximately 20% of the Company’s total revenue. There are no significant revenue concentrations for the nine months ended September 30, 2021.</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Payables to one vendor comprised approximately 45% of accounts payable as of September 30, 2022. There are no significant payable concentrations as of December 31, 2021</w:t>
      </w:r>
    </w:p>
    <w:p>
      <w:pPr>
        <w:spacing w:after="0" w:line="95"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one vendor accounted for approximately 24% of the Company’s total purchases. For the nine months ended September 30, 2021, two vendors accounted for approximately 20% and 12% of the Company’s total purchases.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w:t>
      </w:r>
    </w:p>
    <w:p>
      <w:pPr>
        <w:spacing w:after="0" w:line="14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$1,777 and $1,069 for the nine months ended September 30, 2022 and 2021, respectively.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60" w:lineRule="exact"/>
        <w:rPr>
          <w:sz w:val="20"/>
          <w:szCs w:val="20"/>
          <w:color w:val="auto"/>
        </w:rPr>
      </w:pPr>
    </w:p>
    <w:p>
      <w:pPr>
        <w:ind w:left="1260" w:right="1340" w:firstLine="360"/>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6).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The Company measures equity based compensation awards granted to non employees at fair value as the awards vest and recognizes the resulting value as compensation expense at each financial reporting period.</w:t>
      </w:r>
    </w:p>
    <w:p>
      <w:pPr>
        <w:spacing w:after="0" w:line="121" w:lineRule="exact"/>
        <w:rPr>
          <w:sz w:val="20"/>
          <w:szCs w:val="20"/>
          <w:color w:val="auto"/>
        </w:rPr>
      </w:pPr>
    </w:p>
    <w:p>
      <w:pPr>
        <w:ind w:left="1260" w:right="1300" w:firstLine="360"/>
        <w:spacing w:after="0" w:line="252"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46" w:lineRule="exact"/>
        <w:rPr>
          <w:sz w:val="20"/>
          <w:szCs w:val="20"/>
          <w:color w:val="auto"/>
        </w:rPr>
      </w:pPr>
    </w:p>
    <w:p>
      <w:pPr>
        <w:ind w:left="1260" w:right="1400" w:firstLine="360"/>
        <w:spacing w:after="0" w:line="254"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121" w:lineRule="exact"/>
        <w:rPr>
          <w:sz w:val="20"/>
          <w:szCs w:val="20"/>
          <w:color w:val="auto"/>
        </w:rPr>
      </w:pPr>
    </w:p>
    <w:p>
      <w:pPr>
        <w:ind w:left="1260" w:right="14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Nine months ended September 30,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8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3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(7,456) </w:t>
            </w:r>
            <w:r>
              <w:rPr>
                <w:rFonts w:ascii="Times New Roman" w:cs="Times New Roman" w:eastAsia="Times New Roman" w:hAnsi="Times New Roman"/>
                <w:sz w:val="28"/>
                <w:szCs w:val="28"/>
                <w:color w:val="auto"/>
                <w:vertAlign w:val="subscript"/>
              </w:rPr>
              <w:t>​​ ​</w:t>
            </w:r>
          </w:p>
        </w:tc>
        <w:tc>
          <w:tcPr>
            <w:tcW w:w="720" w:type="dxa"/>
            <w:vAlign w:val="bottom"/>
            <w:gridSpan w:val="2"/>
          </w:tcPr>
          <w:p>
            <w:pPr>
              <w:ind w:lef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$ 4,421</w:t>
            </w:r>
          </w:p>
        </w:tc>
        <w:tc>
          <w:tcPr>
            <w:tcW w:w="160" w:type="dxa"/>
            <w:vAlign w:val="bottom"/>
          </w:tcPr>
          <w:p>
            <w:pPr>
              <w:spacing w:after="0"/>
              <w:rPr>
                <w:sz w:val="23"/>
                <w:szCs w:val="23"/>
                <w:color w:val="auto"/>
              </w:rPr>
            </w:pP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available for distribution</w:t>
            </w:r>
          </w:p>
        </w:tc>
        <w:tc>
          <w:tcPr>
            <w:tcW w:w="8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​(7,456)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​4,421</w:t>
            </w:r>
          </w:p>
        </w:tc>
        <w:tc>
          <w:tcPr>
            <w:tcW w:w="160" w:type="dxa"/>
            <w:vAlign w:val="bottom"/>
            <w:tcBorders>
              <w:right w:val="single" w:sz="8" w:color="CCEEFF"/>
            </w:tcBorders>
            <w:shd w:val="clear" w:color="auto" w:fill="CCEEFF"/>
          </w:tcPr>
          <w:p>
            <w:pPr>
              <w:spacing w:after="0"/>
              <w:rPr>
                <w:sz w:val="18"/>
                <w:szCs w:val="18"/>
                <w:color w:val="auto"/>
              </w:rPr>
            </w:pP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w:t>
            </w: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​(1,469)</w:t>
            </w: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620" w:type="dxa"/>
            <w:vAlign w:val="bottom"/>
          </w:tcPr>
          <w:p>
            <w:pPr>
              <w:spacing w:after="0"/>
              <w:rPr>
                <w:sz w:val="24"/>
                <w:szCs w:val="2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8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(7,456)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$ 2,952</w:t>
            </w:r>
          </w:p>
        </w:tc>
        <w:tc>
          <w:tcPr>
            <w:tcW w:w="160" w:type="dxa"/>
            <w:vAlign w:val="bottom"/>
            <w:tcBorders>
              <w:right w:val="single" w:sz="8" w:color="CCEEFF"/>
            </w:tcBorders>
            <w:shd w:val="clear" w:color="auto" w:fill="CCEEFF"/>
          </w:tcPr>
          <w:p>
            <w:pPr>
              <w:spacing w:after="0"/>
              <w:rPr>
                <w:sz w:val="24"/>
                <w:szCs w:val="24"/>
                <w:color w:val="auto"/>
              </w:rPr>
            </w:pPr>
          </w:p>
        </w:tc>
        <w:tc>
          <w:tcPr>
            <w:tcW w:w="1620" w:type="dxa"/>
            <w:vAlign w:val="bottom"/>
          </w:tcPr>
          <w:p>
            <w:pPr>
              <w:jc w:val="right"/>
              <w:ind w:right="149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ind w:left="3540"/>
              <w:spacing w:after="0"/>
              <w:rPr>
                <w:sz w:val="20"/>
                <w:szCs w:val="20"/>
                <w:color w:val="auto"/>
              </w:rPr>
            </w:pPr>
            <w:r>
              <w:rPr>
                <w:rFonts w:ascii="Times New Roman" w:cs="Times New Roman" w:eastAsia="Times New Roman" w:hAnsi="Times New Roman"/>
                <w:sz w:val="18"/>
                <w:szCs w:val="18"/>
                <w:color w:val="auto"/>
              </w:rPr>
              <w:t>F-82</w:t>
            </w: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6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-873760</wp:posOffset>
            </wp:positionV>
            <wp:extent cx="474916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-1542415</wp:posOffset>
            </wp:positionV>
            <wp:extent cx="419163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shd w:val="clear" w:color="auto" w:fill="CCEEFF"/>
          </w:tcPr>
          <w:p>
            <w:pPr>
              <w:spacing w:after="0"/>
              <w:rPr>
                <w:sz w:val="21"/>
                <w:szCs w:val="21"/>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(7,456)</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tcPr>
          <w:p>
            <w:pPr>
              <w:spacing w:after="0"/>
              <w:rPr>
                <w:sz w:val="4"/>
                <w:szCs w:val="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20" w:type="dxa"/>
            <w:vAlign w:val="bottom"/>
            <w:gridSpan w:val="7"/>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 ​21,384,734​​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​20,063,211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Earnings per share, basic</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tcPr>
          <w:p>
            <w:pPr>
              <w:spacing w:after="0"/>
              <w:rPr>
                <w:sz w:val="4"/>
                <w:szCs w:val="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20" w:type="dxa"/>
            <w:vAlign w:val="bottom"/>
            <w:gridSpan w:val="2"/>
          </w:tcPr>
          <w:p>
            <w:pPr>
              <w:ind w:left="8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(7,456)</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2,952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020" w:type="dxa"/>
            <w:vAlign w:val="bottom"/>
            <w:gridSpan w:val="2"/>
          </w:tcPr>
          <w:p>
            <w:pPr>
              <w:ind w:left="6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tcPr>
          <w:p>
            <w:pPr>
              <w:spacing w:after="0"/>
              <w:rPr>
                <w:sz w:val="4"/>
                <w:szCs w:val="4"/>
                <w:color w:val="auto"/>
              </w:rPr>
            </w:pPr>
          </w:p>
        </w:tc>
        <w:tc>
          <w:tcPr>
            <w:tcW w:w="56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20" w:type="dxa"/>
            <w:vAlign w:val="bottom"/>
            <w:gridSpan w:val="7"/>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 ​21,384,734​​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​20,063,211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1020" w:type="dxa"/>
            <w:vAlign w:val="bottom"/>
            <w:gridSpan w:val="2"/>
          </w:tcPr>
          <w:p>
            <w:pPr>
              <w:ind w:left="6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40" w:type="dxa"/>
            <w:vAlign w:val="bottom"/>
          </w:tcPr>
          <w:p>
            <w:pPr>
              <w:spacing w:after="0"/>
              <w:rPr>
                <w:sz w:val="23"/>
                <w:szCs w:val="23"/>
                <w:color w:val="auto"/>
              </w:rPr>
            </w:pPr>
          </w:p>
        </w:tc>
        <w:tc>
          <w:tcPr>
            <w:tcW w:w="5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8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1,862,894</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20" w:type="dxa"/>
            <w:vAlign w:val="bottom"/>
            <w:gridSpan w:val="7"/>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 ​21,384,734​​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​21,926,105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Earnings per share, diluted</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3"/>
                <w:szCs w:val="3"/>
                <w:color w:val="auto"/>
              </w:rPr>
              <w:t>​ ​​</w:t>
            </w:r>
          </w:p>
        </w:tc>
        <w:tc>
          <w:tcPr>
            <w:tcW w:w="440" w:type="dxa"/>
            <w:vAlign w:val="bottom"/>
          </w:tcPr>
          <w:p>
            <w:pPr>
              <w:spacing w:after="0"/>
              <w:rPr>
                <w:sz w:val="4"/>
                <w:szCs w:val="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-376555</wp:posOffset>
            </wp:positionV>
            <wp:extent cx="41744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-1748155</wp:posOffset>
            </wp:positionV>
            <wp:extent cx="41662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income per share net (loss) income per share because their effect was anti-dilutive: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w:t>
            </w:r>
          </w:p>
        </w:tc>
        <w:tc>
          <w:tcPr>
            <w:tcW w:w="200" w:type="dxa"/>
            <w:vAlign w:val="bottom"/>
            <w:tcBorders>
              <w:top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3,100,524</w:t>
            </w: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3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80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tcBorders>
              <w:right w:val="single" w:sz="8" w:color="CCEEFF"/>
            </w:tcBorders>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080" w:type="dxa"/>
            <w:vAlign w:val="bottom"/>
            <w:gridSpan w:val="4"/>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​3,100,524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62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1916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Deferred income tax assets and liabilities (Note 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09"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w:t>
      </w:r>
    </w:p>
    <w:p>
      <w:pPr>
        <w:spacing w:after="0" w:line="31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COVID-19</w:t>
      </w:r>
    </w:p>
    <w:p>
      <w:pPr>
        <w:spacing w:after="0" w:line="14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260" w:right="639"/>
        <w:spacing w:after="0" w:line="261" w:lineRule="auto"/>
        <w:rPr>
          <w:sz w:val="20"/>
          <w:szCs w:val="20"/>
          <w:color w:val="auto"/>
        </w:rPr>
      </w:pPr>
      <w:r>
        <w:rPr>
          <w:rFonts w:ascii="Times New Roman" w:cs="Times New Roman" w:eastAsia="Times New Roman" w:hAnsi="Times New Roman"/>
          <w:sz w:val="18"/>
          <w:szCs w:val="18"/>
          <w:color w:val="auto"/>
        </w:rPr>
        <w:t>individual consumer reactions to the pandemic. While there was not a material impact to the Company’s financial statements as of September 30, 2022 and December 31, 2021 and for the nine months ended September 30, 2022 and 2021, respectively, COVID-19 could result in material impacts to the Company’s financial statements in future reporting periods.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September 30, 2022 and December 31, 2021 inventory consists of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​$29,631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​$22,885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center"/>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9,856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center"/>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4,242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20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center"/>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39,487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center"/>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$27,127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74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749165" cy="1714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The Company originally had leases related to the main office, warehouse space, research and development lab, engineering office, and sales office, all located in Reno, Nevada. The original leases required annual escalating monthly payments ranging from $4 to $11. In December of 2020, the Company entered a fourth amendment lease and effective April 30, 2021, the Company terminated its original main office, warehouse and sales office lease and moved these spaces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323"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September 30, 2022, the lease has not commenced as the Company does not have control over the asset.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4"/>
                <w:szCs w:val="14"/>
                <w:color w:val="auto"/>
              </w:rPr>
            </w:pP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2"/>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gridSpan w:val="3"/>
            <w:shd w:val="clear" w:color="auto" w:fill="CCEEFF"/>
          </w:tcPr>
          <w:p>
            <w:pPr>
              <w:jc w:val="center"/>
              <w:ind w:righ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$4,878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right"/>
              <w:ind w:righ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5,709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​1,157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​1,082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gridSpan w:val="3"/>
            <w:shd w:val="clear" w:color="auto" w:fill="CCEEFF"/>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​3,821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​4,694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$4,978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6"/>
              </w:rPr>
              <w:t>3.8 years</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 years</w:t>
            </w: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center"/>
              <w:ind w:left="98"/>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-1053465</wp:posOffset>
            </wp:positionV>
            <wp:extent cx="42087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83"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At September 30, 2022, the future minimum lease payments under these operating leases are as follows: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54"/>
        </w:trPr>
        <w:tc>
          <w:tcPr>
            <w:tcW w:w="67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​1,435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7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54"/>
        </w:trPr>
        <w:tc>
          <w:tcPr>
            <w:tcW w:w="67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7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68"/>
        </w:trPr>
        <w:tc>
          <w:tcPr>
            <w:tcW w:w="67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76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43166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a prepaid loan monitoring fee of $60 and $1,553 in debt issuance costs.</w:t>
      </w:r>
    </w:p>
    <w:p>
      <w:pPr>
        <w:spacing w:after="0" w:line="116"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360-day basis. Late payments will be subject to a $50 late fee and default interest based on a rate</w:t>
      </w:r>
    </w:p>
    <w:p>
      <w:pPr>
        <w:spacing w:after="0" w:line="1"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5 percentage points above the applicable interest immediately prior to such default. The Company is making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 (the “Maturity Date”).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 Trust Indenture (continued)</w:t>
      </w:r>
    </w:p>
    <w:p>
      <w:pPr>
        <w:spacing w:after="0" w:line="14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a total of $1,873 of interest expense was incurred under the debt. Amortization of the debt issuance costs amounted to $1,783 during the nine months ended September 30, 2022. The net balance of $40,712 at September 30, 2022 consists of $45,000 in principal less $4,288 in unamortized debt discount. In connection with the Business Combination on October 7, 2022, the outstanding principal balance of the loan was paid in full.</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left="29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Reserve Accounts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Initial deposits into the reserve accounts consisted of the following items:</w:t>
      </w: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Payment​ Reserve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color w:val="auto"/>
        </w:rPr>
        <w:t>Capitalized</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Interest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968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​​$3,044​</w:t>
      </w:r>
    </w:p>
    <w:p>
      <w:pPr>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144</w:t>
      </w:r>
      <w:r>
        <w:rPr>
          <w:rFonts w:ascii="Times New Roman" w:cs="Times New Roman" w:eastAsia="Times New Roman" w:hAnsi="Times New Roman"/>
          <w:sz w:val="35"/>
          <w:szCs w:val="35"/>
          <w:color w:val="auto"/>
          <w:vertAlign w:val="subscript"/>
        </w:rPr>
        <w:t>​</w:t>
      </w:r>
    </w:p>
    <w:p>
      <w:pPr>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$3,188</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780" w:space="660"/>
            <w:col w:w="1439"/>
          </w:cols>
          <w:pgMar w:left="580" w:top="97" w:right="1440" w:bottom="1440" w:gutter="0" w:footer="0" w:header="0"/>
        </w:sectPr>
      </w:pPr>
    </w:p>
    <w:p>
      <w:pPr>
        <w:spacing w:after="0" w:line="2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 The balance at September 30, 2022 remained at $3,044.</w:t>
      </w:r>
    </w:p>
    <w:p>
      <w:pPr>
        <w:spacing w:after="0" w:line="109"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 therefore the balance as of September 30, 2022 was $0.</w:t>
      </w:r>
    </w:p>
    <w:p>
      <w:pPr>
        <w:spacing w:after="0" w:line="118"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at September 30, 2022 or December 31, 2021.</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160"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The Company is subject to certain financial covenants which include maintaining minimum adjusted EBITDA, Capital Expenditures and Minimum Fixed Charge Coverage Ratio requirements.</w:t>
      </w:r>
    </w:p>
    <w:p>
      <w:pPr>
        <w:spacing w:after="0" w:line="82" w:lineRule="exact"/>
        <w:rPr>
          <w:sz w:val="20"/>
          <w:szCs w:val="20"/>
          <w:color w:val="auto"/>
        </w:rPr>
      </w:pPr>
    </w:p>
    <w:p>
      <w:pPr>
        <w:ind w:left="1260" w:right="1319" w:firstLine="360"/>
        <w:spacing w:after="0" w:line="297"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as of September 30, 2022 and December 31, 2021.</w:t>
      </w:r>
    </w:p>
    <w:p>
      <w:pPr>
        <w:sectPr>
          <w:pgSz w:w="11900" w:h="16838" w:orient="portrait"/>
          <w:cols w:equalWidth="0" w:num="1">
            <w:col w:w="9879"/>
          </w:cols>
          <w:pgMar w:left="580" w:top="97" w:right="1440" w:bottom="1440" w:gutter="0" w:footer="0" w:header="0"/>
          <w:type w:val="continuous"/>
        </w:sectPr>
      </w:pP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Long Term Debt Maturities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September 30, 2022, the future debt maturities are as follows:</w:t>
      </w: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1112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749165" cy="111125"/>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2022​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5430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2023​</w:t>
      </w:r>
    </w:p>
    <w:p>
      <w:pPr>
        <w:ind w:left="1620"/>
        <w:spacing w:after="0" w:line="185" w:lineRule="auto"/>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6256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ind w:left="1620"/>
        <w:spacing w:after="0" w:line="185" w:lineRule="auto"/>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Unamortized debt issuance costs,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1625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debt</w:t>
      </w:r>
    </w:p>
    <w:p>
      <w:pPr>
        <w:ind w:left="1620"/>
        <w:spacing w:after="0" w:line="185" w:lineRule="auto"/>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current portion of debt, net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2057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ind w:left="1620"/>
        <w:spacing w:after="0" w:line="193" w:lineRule="auto"/>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
        <w:spacing w:after="0"/>
        <w:tabs>
          <w:tab w:leader="none" w:pos="804"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 ​​$</w:t>
        <w:tab/>
        <w:t>1,875​</w:t>
      </w:r>
    </w:p>
    <w:p>
      <w:pPr>
        <w:spacing w:after="0" w:line="31" w:lineRule="exact"/>
        <w:rPr>
          <w:sz w:val="20"/>
          <w:szCs w:val="20"/>
          <w:color w:val="auto"/>
        </w:rPr>
      </w:pPr>
    </w:p>
    <w:p>
      <w:pPr>
        <w:ind w:left="104" w:hanging="104"/>
        <w:spacing w:after="0"/>
        <w:tabs>
          <w:tab w:leader="none" w:pos="10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22,500​</w:t>
      </w:r>
    </w:p>
    <w:p>
      <w:pPr>
        <w:spacing w:after="0" w:line="27" w:lineRule="exact"/>
        <w:rPr>
          <w:rFonts w:ascii="Times New Roman" w:cs="Times New Roman" w:eastAsia="Times New Roman" w:hAnsi="Times New Roman"/>
          <w:sz w:val="18"/>
          <w:szCs w:val="18"/>
          <w:color w:val="auto"/>
        </w:rPr>
      </w:pPr>
    </w:p>
    <w:p>
      <w:pPr>
        <w:ind w:left="104" w:hanging="104"/>
        <w:spacing w:after="0" w:line="184" w:lineRule="auto"/>
        <w:tabs>
          <w:tab w:leader="none" w:pos="104" w:val="left"/>
        </w:tabs>
        <w:numPr>
          <w:ilvl w:val="0"/>
          <w:numId w:val="12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20,625</w:t>
      </w:r>
      <w:r>
        <w:rPr>
          <w:rFonts w:ascii="Times New Roman" w:cs="Times New Roman" w:eastAsia="Times New Roman" w:hAnsi="Times New Roman"/>
          <w:sz w:val="31"/>
          <w:szCs w:val="31"/>
          <w:color w:val="auto"/>
          <w:vertAlign w:val="subscript"/>
        </w:rPr>
        <w:t>​</w:t>
      </w:r>
    </w:p>
    <w:p>
      <w:pPr>
        <w:spacing w:after="0" w:line="23" w:lineRule="exact"/>
        <w:rPr>
          <w:rFonts w:ascii="Times New Roman" w:cs="Times New Roman" w:eastAsia="Times New Roman" w:hAnsi="Times New Roman"/>
          <w:sz w:val="32"/>
          <w:szCs w:val="32"/>
          <w:color w:val="auto"/>
          <w:vertAlign w:val="subscript"/>
        </w:rPr>
      </w:pPr>
    </w:p>
    <w:p>
      <w:pPr>
        <w:ind w:left="104" w:hanging="104"/>
        <w:spacing w:after="0"/>
        <w:tabs>
          <w:tab w:leader="none" w:pos="10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45,000​</w:t>
      </w:r>
    </w:p>
    <w:p>
      <w:pPr>
        <w:spacing w:after="0" w:line="27" w:lineRule="exact"/>
        <w:rPr>
          <w:rFonts w:ascii="Times New Roman" w:cs="Times New Roman" w:eastAsia="Times New Roman" w:hAnsi="Times New Roman"/>
          <w:sz w:val="18"/>
          <w:szCs w:val="18"/>
          <w:color w:val="auto"/>
        </w:rPr>
      </w:pPr>
    </w:p>
    <w:p>
      <w:pPr>
        <w:ind w:left="104" w:hanging="104"/>
        <w:spacing w:after="0" w:line="184" w:lineRule="auto"/>
        <w:tabs>
          <w:tab w:leader="none" w:pos="104" w:val="left"/>
        </w:tabs>
        <w:numPr>
          <w:ilvl w:val="0"/>
          <w:numId w:val="12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(4,289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23" w:lineRule="exact"/>
        <w:rPr>
          <w:rFonts w:ascii="Times New Roman" w:cs="Times New Roman" w:eastAsia="Times New Roman" w:hAnsi="Times New Roman"/>
          <w:sz w:val="32"/>
          <w:szCs w:val="32"/>
          <w:color w:val="auto"/>
          <w:vertAlign w:val="subscript"/>
        </w:rPr>
      </w:pPr>
    </w:p>
    <w:p>
      <w:pPr>
        <w:ind w:left="104" w:hanging="104"/>
        <w:spacing w:after="0"/>
        <w:tabs>
          <w:tab w:leader="none" w:pos="10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40,711​</w:t>
      </w:r>
    </w:p>
    <w:p>
      <w:pPr>
        <w:spacing w:after="0" w:line="27" w:lineRule="exact"/>
        <w:rPr>
          <w:rFonts w:ascii="Times New Roman" w:cs="Times New Roman" w:eastAsia="Times New Roman" w:hAnsi="Times New Roman"/>
          <w:sz w:val="18"/>
          <w:szCs w:val="18"/>
          <w:color w:val="auto"/>
        </w:rPr>
      </w:pPr>
    </w:p>
    <w:p>
      <w:pPr>
        <w:ind w:left="104" w:hanging="104"/>
        <w:spacing w:after="0" w:line="184" w:lineRule="auto"/>
        <w:tabs>
          <w:tab w:leader="none" w:pos="104" w:val="left"/>
        </w:tabs>
        <w:numPr>
          <w:ilvl w:val="0"/>
          <w:numId w:val="12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31"/>
          <w:szCs w:val="31"/>
          <w:u w:val="single" w:color="auto"/>
          <w:color w:val="auto"/>
          <w:vertAlign w:val="sub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​(16,529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32"/>
          <w:szCs w:val="32"/>
          <w:color w:val="auto"/>
          <w:vertAlign w:val="subscript"/>
        </w:rPr>
      </w:pPr>
    </w:p>
    <w:p>
      <w:pPr>
        <w:ind w:left="104" w:hanging="104"/>
        <w:spacing w:after="0" w:line="187" w:lineRule="auto"/>
        <w:tabs>
          <w:tab w:leader="none" w:pos="104" w:val="left"/>
        </w:tabs>
        <w:numPr>
          <w:ilvl w:val="0"/>
          <w:numId w:val="12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$ 24,182</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7556" w:space="720"/>
            <w:col w:w="1604"/>
          </w:cols>
          <w:pgMar w:left="580" w:top="97" w:right="1440" w:bottom="1440" w:gutter="0" w:footer="0" w:header="0"/>
          <w:type w:val="continuous"/>
        </w:sectPr>
      </w:pP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162"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w:t>
      </w:r>
    </w:p>
    <w:p>
      <w:pPr>
        <w:spacing w:after="0" w:line="2" w:lineRule="exact"/>
        <w:rPr>
          <w:sz w:val="20"/>
          <w:szCs w:val="20"/>
          <w:color w:val="auto"/>
        </w:rPr>
      </w:pPr>
    </w:p>
    <w:p>
      <w:pPr>
        <w:ind w:left="1260" w:right="599"/>
        <w:spacing w:after="0" w:line="264" w:lineRule="auto"/>
        <w:rPr>
          <w:sz w:val="20"/>
          <w:szCs w:val="20"/>
          <w:color w:val="auto"/>
        </w:rPr>
      </w:pPr>
      <w:r>
        <w:rPr>
          <w:rFonts w:ascii="Times New Roman" w:cs="Times New Roman" w:eastAsia="Times New Roman" w:hAnsi="Times New Roman"/>
          <w:sz w:val="18"/>
          <w:szCs w:val="18"/>
          <w:color w:val="auto"/>
        </w:rPr>
        <w:t>($8.0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2021-6 Notes.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148"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 which approximated fair market value.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162"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162" w:lineRule="exact"/>
        <w:rPr>
          <w:sz w:val="20"/>
          <w:szCs w:val="20"/>
          <w:color w:val="auto"/>
        </w:rPr>
      </w:pPr>
    </w:p>
    <w:p>
      <w:pPr>
        <w:jc w:val="both"/>
        <w:ind w:left="1260" w:right="519" w:firstLine="360"/>
        <w:spacing w:after="0" w:line="274"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September 30, 2022 and December 31, 2021, no dividends on common stock had been declared by the Company.</w:t>
      </w:r>
    </w:p>
    <w:p>
      <w:pPr>
        <w:spacing w:after="0" w:line="11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July 12, 2022, Dragonfly entered into a Stock Purchase Agreement with THOR Industries, whereby THOR purchased 1,267,502 shares of Dragonfly common stock for $11.8343 per share 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2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reserved shares of common stock for issuance as follows: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-8255</wp:posOffset>
            </wp:positionV>
            <wp:extent cx="4749165" cy="1714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Convertible preferred stock outstanding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Common stock outstanding</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 available for future issuance</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974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​10,000,000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5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​22,634,276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1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​36,275,702 </w:t>
            </w:r>
            <w:r>
              <w:rPr>
                <w:rFonts w:ascii="Times New Roman" w:cs="Times New Roman" w:eastAsia="Times New Roman" w:hAnsi="Times New Roman"/>
                <w:sz w:val="28"/>
                <w:szCs w:val="28"/>
                <w:color w:val="auto"/>
                <w:vertAlign w:val="subscript"/>
              </w:rPr>
              <w:t>​​</w:t>
            </w:r>
          </w:p>
        </w:tc>
        <w:tc>
          <w:tcPr>
            <w:tcW w:w="9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​34,008,200</w:t>
            </w:r>
            <w:r>
              <w:rPr>
                <w:rFonts w:ascii="Times New Roman" w:cs="Times New Roman" w:eastAsia="Times New Roman" w:hAnsi="Times New Roman"/>
                <w:sz w:val="28"/>
                <w:szCs w:val="28"/>
                <w:color w:val="auto"/>
                <w:vertAlign w:val="subscript"/>
              </w:rPr>
              <w:t>​</w:t>
            </w:r>
          </w:p>
        </w:tc>
      </w:tr>
      <w:tr>
        <w:trPr>
          <w:trHeight w:val="20"/>
        </w:trPr>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80" w:space="720"/>
            <w:col w:w="2879"/>
          </w:cols>
          <w:pgMar w:left="580" w:top="97" w:right="1440" w:bottom="1440" w:gutter="0" w:footer="0" w:header="0"/>
          <w:type w:val="continuous"/>
        </w:sectPr>
      </w:pPr>
    </w:p>
    <w:p>
      <w:pPr>
        <w:spacing w:after="0" w:line="92" w:lineRule="exact"/>
        <w:rPr>
          <w:sz w:val="20"/>
          <w:szCs w:val="20"/>
          <w:color w:val="auto"/>
        </w:rPr>
      </w:pPr>
    </w:p>
    <w:p>
      <w:pPr>
        <w:jc w:val="center"/>
        <w:ind w:left="5160" w:right="1099" w:hanging="3900"/>
        <w:spacing w:after="0" w:line="736" w:lineRule="auto"/>
        <w:tabs>
          <w:tab w:leader="none" w:pos="16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2022, the Company increased the shares authorized under the plan by 1,000,000 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80" w:type="dxa"/>
            <w:vAlign w:val="bottom"/>
          </w:tcPr>
          <w:p>
            <w:pPr>
              <w:spacing w:after="0"/>
              <w:rPr>
                <w:sz w:val="14"/>
                <w:szCs w:val="14"/>
                <w:color w:val="auto"/>
              </w:rPr>
            </w:pPr>
          </w:p>
        </w:tc>
        <w:tc>
          <w:tcPr>
            <w:tcW w:w="9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9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80" w:type="dxa"/>
            <w:vAlign w:val="bottom"/>
          </w:tcPr>
          <w:p>
            <w:pPr>
              <w:spacing w:after="0"/>
              <w:rPr>
                <w:sz w:val="14"/>
                <w:szCs w:val="14"/>
                <w:color w:val="auto"/>
              </w:rPr>
            </w:pPr>
          </w:p>
        </w:tc>
        <w:tc>
          <w:tcPr>
            <w:tcW w:w="9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Date Fair</w:t>
            </w:r>
          </w:p>
        </w:tc>
        <w:tc>
          <w:tcPr>
            <w:tcW w:w="2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Life (in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intrinsic</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86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Options   </w:t>
            </w:r>
            <w:r>
              <w:rPr>
                <w:rFonts w:ascii="Times New Roman" w:cs="Times New Roman" w:eastAsia="Times New Roman" w:hAnsi="Times New Roman"/>
                <w:sz w:val="24"/>
                <w:szCs w:val="24"/>
                <w:b w:val="1"/>
                <w:bCs w:val="1"/>
                <w:color w:val="auto"/>
                <w:vertAlign w:val="subscript"/>
              </w:rPr>
              <w:t>​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2021</w:t>
            </w:r>
          </w:p>
        </w:tc>
        <w:tc>
          <w:tcPr>
            <w:tcW w:w="114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​​2,563,080​​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​$0.45</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7.92</w:t>
            </w: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650,965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​​1,000,538​​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​3.41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 ​1.94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Options forfeited</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w w:val="99"/>
              </w:rPr>
              <w:t>(299,939)</w:t>
            </w:r>
          </w:p>
        </w:tc>
        <w:tc>
          <w:tcPr>
            <w:tcW w:w="1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​1.83</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860" w:type="dxa"/>
            <w:vAlign w:val="bottom"/>
            <w:tcBorders>
              <w:right w:val="single" w:sz="8" w:color="CCEEFF"/>
            </w:tcBorders>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gridSpan w:val="2"/>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540" w:type="dxa"/>
            <w:vAlign w:val="bottom"/>
            <w:gridSpan w:val="2"/>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Options exercised</w:t>
            </w:r>
          </w:p>
        </w:tc>
        <w:tc>
          <w:tcPr>
            <w:tcW w:w="2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(49,727)</w:t>
            </w:r>
          </w:p>
        </w:tc>
        <w:tc>
          <w:tcPr>
            <w:tcW w:w="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28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86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2021</w:t>
            </w:r>
          </w:p>
        </w:tc>
        <w:tc>
          <w:tcPr>
            <w:tcW w:w="114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​​3,213,952​​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​$1.30</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7.80</w:t>
            </w:r>
          </w:p>
        </w:tc>
        <w:tc>
          <w:tcPr>
            <w:tcW w:w="220" w:type="dxa"/>
            <w:vAlign w:val="bottom"/>
            <w:tcBorders>
              <w:right w:val="single" w:sz="8" w:color="CCEEFF"/>
            </w:tcBorders>
            <w:shd w:val="clear" w:color="auto" w:fill="CCEEFF"/>
          </w:tcPr>
          <w:p>
            <w:pPr>
              <w:spacing w:after="0"/>
              <w:rPr>
                <w:sz w:val="21"/>
                <w:szCs w:val="21"/>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​​$7,616,691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​​3,122,398​​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​$1.98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8.52</w:t>
            </w:r>
          </w:p>
        </w:tc>
        <w:tc>
          <w:tcPr>
            <w:tcW w:w="220" w:type="dxa"/>
            <w:vAlign w:val="bottom"/>
          </w:tcPr>
          <w:p>
            <w:pPr>
              <w:spacing w:after="0"/>
              <w:rPr>
                <w:sz w:val="22"/>
                <w:szCs w:val="22"/>
                <w:color w:val="auto"/>
              </w:rPr>
            </w:pP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​​$6,549,591​</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509,500​​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​4.08</w:t>
            </w:r>
          </w:p>
        </w:tc>
        <w:tc>
          <w:tcPr>
            <w:tcW w:w="1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(40,075)</w:t>
            </w:r>
          </w:p>
        </w:tc>
        <w:tc>
          <w:tcPr>
            <w:tcW w:w="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86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(491,299)</w:t>
            </w:r>
          </w:p>
        </w:tc>
        <w:tc>
          <w:tcPr>
            <w:tcW w:w="1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600" w:type="dxa"/>
            <w:vAlign w:val="bottom"/>
            <w:shd w:val="clear" w:color="auto" w:fill="CCEEFF"/>
          </w:tcPr>
          <w:p>
            <w:pPr>
              <w:spacing w:after="0"/>
              <w:rPr>
                <w:sz w:val="5"/>
                <w:szCs w:val="5"/>
                <w:color w:val="auto"/>
              </w:rPr>
            </w:pPr>
          </w:p>
        </w:tc>
        <w:tc>
          <w:tcPr>
            <w:tcW w:w="280" w:type="dxa"/>
            <w:vAlign w:val="bottom"/>
            <w:gridSpan w:val="2"/>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860" w:type="dxa"/>
            <w:vAlign w:val="bottom"/>
            <w:tcBorders>
              <w:right w:val="single" w:sz="8" w:color="CCEEFF"/>
            </w:tcBorders>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gridSpan w:val="2"/>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54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2022</w:t>
            </w:r>
          </w:p>
        </w:tc>
        <w:tc>
          <w:tcPr>
            <w:tcW w:w="1140" w:type="dxa"/>
            <w:vAlign w:val="bottom"/>
            <w:gridSpan w:val="4"/>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​3,100,524</w:t>
            </w:r>
            <w:r>
              <w:rPr>
                <w:rFonts w:ascii="Times New Roman" w:cs="Times New Roman" w:eastAsia="Times New Roman" w:hAnsi="Times New Roman"/>
                <w:sz w:val="30"/>
                <w:szCs w:val="30"/>
                <w:color w:val="auto"/>
                <w:vertAlign w:val="subscript"/>
              </w:rPr>
              <w:t>​​ ​</w:t>
            </w:r>
          </w:p>
        </w:tc>
        <w:tc>
          <w:tcPr>
            <w:tcW w:w="52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$2.40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24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​8.22</w:t>
            </w:r>
          </w:p>
        </w:tc>
        <w:tc>
          <w:tcPr>
            <w:tcW w:w="220" w:type="dxa"/>
            <w:vAlign w:val="bottom"/>
          </w:tcPr>
          <w:p>
            <w:pPr>
              <w:spacing w:after="0"/>
              <w:rPr>
                <w:sz w:val="24"/>
                <w:szCs w:val="24"/>
                <w:color w:val="auto"/>
              </w:rPr>
            </w:pPr>
          </w:p>
        </w:tc>
        <w:tc>
          <w:tcPr>
            <w:tcW w:w="108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5,220,204</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2022</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864,984​​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​$1.53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7.83</w:t>
            </w:r>
          </w:p>
        </w:tc>
        <w:tc>
          <w:tcPr>
            <w:tcW w:w="220" w:type="dxa"/>
            <w:vAlign w:val="bottom"/>
          </w:tcPr>
          <w:p>
            <w:pPr>
              <w:spacing w:after="0"/>
              <w:rPr>
                <w:sz w:val="23"/>
                <w:szCs w:val="23"/>
                <w:color w:val="auto"/>
              </w:rPr>
            </w:pP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​​$2,201,553​</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4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​​2,235,540​​ ​</w:t>
            </w:r>
          </w:p>
        </w:tc>
        <w:tc>
          <w:tcPr>
            <w:tcW w:w="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​$2.73</w:t>
            </w:r>
          </w:p>
        </w:tc>
        <w:tc>
          <w:tcPr>
            <w:tcW w:w="12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8.37</w:t>
            </w:r>
          </w:p>
        </w:tc>
        <w:tc>
          <w:tcPr>
            <w:tcW w:w="220" w:type="dxa"/>
            <w:vAlign w:val="bottom"/>
            <w:tcBorders>
              <w:right w:val="single" w:sz="8" w:color="CCEEFF"/>
            </w:tcBorders>
            <w:shd w:val="clear" w:color="auto" w:fill="CCEEFF"/>
          </w:tcPr>
          <w:p>
            <w:pPr>
              <w:spacing w:after="0"/>
              <w:rPr>
                <w:sz w:val="23"/>
                <w:szCs w:val="23"/>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​​$3,018,651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-1567815</wp:posOffset>
            </wp:positionV>
            <wp:extent cx="422592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-2236470</wp:posOffset>
            </wp:positionV>
            <wp:extent cx="13716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-2236470</wp:posOffset>
            </wp:positionV>
            <wp:extent cx="12001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-2236470</wp:posOffset>
            </wp:positionV>
            <wp:extent cx="12001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-2236470</wp:posOffset>
            </wp:positionV>
            <wp:extent cx="236601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1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Share-based compensation expense for options totaling $1,155 and $428 was recognized in our statements of income for the nine months ended September 30, 2022 and 2021, respectively. Of the $1,155 of share-based compensation incurred during the nine months ended September 30, 2022, $189 is allocated to cost of goods sold, $307 to research and development, $326 to selling and marketing, and $333 to general and administrative expenses. Of the $428 of share-based compensation incurred during the nine months ended September 30, 2021, $145 is allocated to cost of goods sold, $55 to research and development, $89 to selling and marketing, and $139 to general and administrative expenses.</w:t>
      </w:r>
    </w:p>
    <w:p>
      <w:pPr>
        <w:spacing w:after="0" w:line="12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540,902 shares of unissued authorized and available for future awards under the plans.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48"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November 14, 2022, the date that the condensed financial statements were available to be issued. Based upon this review, other than noted below, the Company did not identify any subsequent events that would have required adjustment to or disclosure in the condensed financial statements.</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On October 7, 2022, the Company’s stockholders approved the Business Combination, by and among the company formerly known as CNTQ, Dragonfly Energy Corp., and Bronco Merger Sub, Inc., pursuant to which Bronco Merger Sub, Inc. was merged with and into Dragonfly, with Dragonfly surviving the merger.</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Merger, and upon consummation of the Merger and other transactions contemplated by the Business Combination Agreement, Dragonfly became a wholly owned subsidiary of CNTQ. Upon the closing of the Business Combination the Company changed it’s name to Dragonfly Energy Holdings Corp. (“New Dragonfly”), with stockholders of Dragonfly becoming stockholders of New Dragonfly.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transactions at closing of the Merger included:</w:t>
      </w:r>
    </w:p>
    <w:p>
      <w:pPr>
        <w:spacing w:after="0" w:line="117" w:lineRule="exact"/>
        <w:rPr>
          <w:sz w:val="20"/>
          <w:szCs w:val="20"/>
          <w:color w:val="auto"/>
        </w:rPr>
      </w:pPr>
    </w:p>
    <w:p>
      <w:pPr>
        <w:ind w:left="1800" w:right="479" w:hanging="180"/>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Dragonfly, with Dragonfly surviving as a wholly owned subsidiary of New Dragonfly;</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capital stock of Dragonfly converted into a number of shares of New Dragonfly Common Stock equal to the product of (x) the conversion ratio applicable to such share, under Dragonfly’s certificate of incorporation multiplied by (y) 1.182, which is the quotient obtained by dividing (a) 41,500 by (b) the number of Fully-Diluted Shares as defined in the Business Combination Agreement;</w:t>
      </w:r>
    </w:p>
    <w:p>
      <w:pPr>
        <w:spacing w:after="0" w:line="7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Dragonfly Option converted into an option to purchase a number of shares of New Dragonfly Common Stock in Accordance with the terms and subject to the conditions of the Business Combination Agreement;</w:t>
      </w:r>
    </w:p>
    <w:p>
      <w:pPr>
        <w:spacing w:after="0" w:line="6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Dragonfly Warrant, to the extent outstanding and unexercised, converted into a warrant to acquire shares of New Dragonfly Common Stock in accordance with the terms and subject to the conditions of the Business Combination Agreement, and</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CNTQ Class A Common Stock that was issued and outstanding immediately prior to the Merger became one share of New Dragonfly Common Stock.</w:t>
      </w:r>
    </w:p>
    <w:p>
      <w:pPr>
        <w:spacing w:after="0" w:line="9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term loan agreement issued in the PIPE financing (as described in note 1 of the financial statements),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124"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On October 7, 2022, the Company entered into a purchase agreement and registration rights agreement with CCM LLC.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a “qualified independent underwriter” with respect to the transactions contemplated by the Purchase agreement.</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Officer, would be leaving the Company. Mr. Nichols and the Company have entered into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separation and release agreement (the “Separation Agreement”) on November 2, 2022. Pursuant to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Separation Agreement, Mr. Nichols will receive a cash payment of $100,000 in one installment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2022 and a cash payment of $1,000,000 in 24 monthly installments commencing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2022. Mr. Nichols’ outstanding equity awards granted by the Company will fully vest and,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case of options, will be exercisable for 12 months following his termination date. The Separation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also provides the Company will pay a portion of Mr. Nichols’ premiums to continue participation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health insurance plans for up to 18 months following his termination. The Separation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includes a general release of claims by Mr. Nichols and certain restrictive covenants in favor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including non-competition and non-solicitation covenants for 12 months following 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termination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on Amendment No. 1 to Form S-1, of our report dated March 28, 2022, relating to the financial statements of Chardan NexTech Acquisition 2 Corp. which is contained in that Registration Statement. We also consent to the reference to us under the caption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20, 2022, relating to the financial statements of Dragonfly Energy Corp., which is contained in that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INDUSTRY RESEARCH FIRM</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references to our firm in this Registration Statement on Form S-1 of Dragonfly Energy Holdings Corp. (the “Registration Statement”) and to the use of information from our reports dated August 2021. We also consent to all references to us contained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FROST &amp; SULLIVAN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Srinivasan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Krishna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1)"/>
      <w:numFmt w:val="lowerRoman"/>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lowerLetter"/>
      <w:start w:val="1"/>
    </w:lvl>
  </w:abstractNum>
  <w:abstractNum w:abstractNumId="7">
    <w:nsid w:val="1381823A"/>
    <w:multiLevelType w:val="hybridMultilevel"/>
    <w:lvl w:ilvl="0">
      <w:lvlJc w:val="left"/>
      <w:lvlText w:val="(%1)"/>
      <w:numFmt w:val="lowerLetter"/>
      <w:start w:val="3"/>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1)"/>
      <w:numFmt w:val="decimal"/>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1)"/>
      <w:numFmt w:val="decimal"/>
      <w:start w:val="3"/>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1)"/>
      <w:numFmt w:val="decimal"/>
      <w:start w:val="1"/>
    </w:lvl>
  </w:abstractNum>
  <w:abstractNum w:abstractNumId="40">
    <w:nsid w:val="100F59DC"/>
    <w:multiLevelType w:val="hybridMultilevel"/>
    <w:lvl w:ilvl="0">
      <w:lvlJc w:val="left"/>
      <w:lvlText w:val="%1."/>
      <w:numFmt w:val="upperLetter"/>
      <w:start w:val="1"/>
    </w:lvl>
  </w:abstractNum>
  <w:abstractNum w:abstractNumId="41">
    <w:nsid w:val="7FB7E0AA"/>
    <w:multiLevelType w:val="hybridMultilevel"/>
    <w:lvl w:ilvl="0">
      <w:lvlJc w:val="left"/>
      <w:lvlText w:val="%1."/>
      <w:numFmt w:val="upperLetter"/>
      <w:start w:val="3"/>
    </w:lvl>
  </w:abstractNum>
  <w:abstractNum w:abstractNumId="42">
    <w:nsid w:val="6EB5BD4"/>
    <w:multiLevelType w:val="hybridMultilevel"/>
    <w:lvl w:ilvl="0">
      <w:lvlJc w:val="left"/>
      <w:lvlText w:val="%1."/>
      <w:numFmt w:val="upperLetter"/>
      <w:start w:val="28"/>
    </w:lvl>
  </w:abstractNum>
  <w:abstractNum w:abstractNumId="43">
    <w:nsid w:val="6F6DD9AC"/>
    <w:multiLevelType w:val="hybridMultilevel"/>
    <w:lvl w:ilvl="0">
      <w:lvlJc w:val="left"/>
      <w:lvlText w:val="(%1)"/>
      <w:numFmt w:val="decimal"/>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lvl w:ilvl="1">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1)"/>
      <w:numFmt w:val="decimal"/>
      <w:start w:val="1"/>
    </w:lvl>
  </w:abstractNum>
  <w:abstractNum w:abstractNumId="59">
    <w:nsid w:val="43F18422"/>
    <w:multiLevelType w:val="hybridMultilevel"/>
    <w:lvl w:ilvl="0">
      <w:lvlJc w:val="left"/>
      <w:lvlText w:val="(%1)"/>
      <w:numFmt w:val="lowerRoman"/>
      <w:start w:val="4"/>
    </w:lvl>
  </w:abstractNum>
  <w:abstractNum w:abstractNumId="60">
    <w:nsid w:val="60EF0119"/>
    <w:multiLevelType w:val="hybridMultilevel"/>
    <w:lvl w:ilvl="0">
      <w:lvlJc w:val="left"/>
      <w:lvlText w:val="(%1)"/>
      <w:numFmt w:val="decimal"/>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1)"/>
      <w:numFmt w:val="decimal"/>
      <w:start w:val="1"/>
    </w:lvl>
  </w:abstractNum>
  <w:abstractNum w:abstractNumId="67">
    <w:nsid w:val="488AC1A"/>
    <w:multiLevelType w:val="hybridMultilevel"/>
    <w:lvl w:ilvl="0">
      <w:lvlJc w:val="left"/>
      <w:lvlText w:val="(%1)"/>
      <w:numFmt w:val="decimal"/>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1)"/>
      <w:numFmt w:val="decimal"/>
      <w:start w:val="1"/>
    </w:lvl>
  </w:abstractNum>
  <w:abstractNum w:abstractNumId="70">
    <w:nsid w:val="7672BD23"/>
    <w:multiLevelType w:val="hybridMultilevel"/>
    <w:lvl w:ilvl="0">
      <w:lvlJc w:val="left"/>
      <w:lvlText w:val="(%1)"/>
      <w:numFmt w:val="lowerRoman"/>
      <w:start w:val="3"/>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1)"/>
      <w:numFmt w:val="lowerLetter"/>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1)"/>
      <w:numFmt w:val="decimal"/>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1)"/>
      <w:numFmt w:val="decimal"/>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1)"/>
      <w:numFmt w:val="lowerRoman"/>
      <w:start w:val="2"/>
    </w:lvl>
  </w:abstractNum>
  <w:abstractNum w:abstractNumId="90">
    <w:nsid w:val="1D9F6E5F"/>
    <w:multiLevelType w:val="hybridMultilevel"/>
    <w:lvl w:ilvl="0">
      <w:lvlJc w:val="left"/>
      <w:lvlText w:val="(%1)"/>
      <w:numFmt w:val="lowerRoman"/>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1)"/>
      <w:numFmt w:val="decimal"/>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1)"/>
      <w:numFmt w:val="lowerRoman"/>
      <w:start w:val="1"/>
    </w:lvl>
    <w:lvl w:ilvl="1">
      <w:lvlJc w:val="left"/>
      <w:lvlText w:val="(%2)"/>
      <w:numFmt w:val="upperLetter"/>
      <w:start w:val="1"/>
    </w:lvl>
  </w:abstractNum>
  <w:abstractNum w:abstractNumId="109">
    <w:nsid w:val="2C27173B"/>
    <w:multiLevelType w:val="hybridMultilevel"/>
    <w:lvl w:ilvl="0">
      <w:lvlJc w:val="left"/>
      <w:lvlText w:val="(%1)"/>
      <w:numFmt w:val="upperLetter"/>
      <w:start w:val="2"/>
    </w:lvl>
  </w:abstractNum>
  <w:abstractNum w:abstractNumId="110">
    <w:nsid w:val="4C9B0904"/>
    <w:multiLevelType w:val="hybridMultilevel"/>
    <w:lvl w:ilvl="0">
      <w:lvlJc w:val="left"/>
      <w:lvlText w:val="(%1)"/>
      <w:numFmt w:val="lowerRoman"/>
      <w:start w:val="1"/>
    </w:lvl>
  </w:abstractNum>
  <w:abstractNum w:abstractNumId="111">
    <w:nsid w:val="6AA7B75C"/>
    <w:multiLevelType w:val="hybridMultilevel"/>
    <w:lvl w:ilvl="0">
      <w:lvlJc w:val="left"/>
      <w:lvlText w:val="(%1)"/>
      <w:numFmt w:val="lowerRoman"/>
      <w:start w:val="2"/>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lowerLetter"/>
      <w:start w:val="2"/>
    </w:lvl>
  </w:abstractNum>
  <w:abstractNum w:abstractNumId="117">
    <w:nsid w:val="5B25ACE2"/>
    <w:multiLevelType w:val="hybridMultilevel"/>
    <w:lvl w:ilvl="0">
      <w:lvlJc w:val="left"/>
      <w:lvlText w:val="​"/>
      <w:numFmt w:val="bullet"/>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1)"/>
      <w:numFmt w:val="lowerLetter"/>
      <w:start w:val="2"/>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
      <w:numFmt w:val="bullet"/>
      <w:start w:val="1"/>
    </w:lvl>
  </w:abstractNum>
  <w:abstractNum w:abstractNumId="122">
    <w:nsid w:val="5915FF32"/>
    <w:multiLevelType w:val="hybridMultilevel"/>
    <w:lvl w:ilvl="0">
      <w:lvlJc w:val="left"/>
      <w:lvlText w:val="​"/>
      <w:numFmt w:val="bullet"/>
      <w:start w:val="1"/>
    </w:lvl>
  </w:abstractNum>
  <w:abstractNum w:abstractNumId="123">
    <w:nsid w:val="56438D15"/>
    <w:multiLevelType w:val="hybridMultilevel"/>
    <w:lvl w:ilvl="0">
      <w:lvlJc w:val="left"/>
      <w:lvlText w:val="(%1)"/>
      <w:numFmt w:val="lowerRoman"/>
      <w:start w:val="4"/>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2022-12-22T16:33:56Z</dcterms:created>
  <dcterms:modified xsi:type="dcterms:W3CDTF">2022-12-22T16:33:56Z</dcterms:modified>
</cp:coreProperties>
</file>