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12, 2022 ( July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745"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17 State Street, 21st Floor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10004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45"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6420" w:type="dxa"/>
            <w:vAlign w:val="bottom"/>
            <w:gridSpan w:val="2"/>
            <w:vMerge w:val="continue"/>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87"/>
        </w:trPr>
        <w:tc>
          <w:tcPr>
            <w:tcW w:w="6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Units, consisting of one share of Common Stock, $0.0001 par value per share, and</w:t>
            </w: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three-quarters of one Redeemable Warrant</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CNTQU</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 included as part of the Units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CNTQ</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Redeemable Warrants included as part of the Units, each exercisable for one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 of Common Stock for $11.50 per share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CNTQW</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previously disclosed, on May 15, 2022, Chardan NexTech Acquisition 2 Corp., a Delaware corporation (“</w:t>
      </w:r>
      <w:r>
        <w:rPr>
          <w:rFonts w:ascii="Times New Roman" w:cs="Times New Roman" w:eastAsia="Times New Roman" w:hAnsi="Times New Roman"/>
          <w:sz w:val="18"/>
          <w:szCs w:val="18"/>
          <w:u w:val="single" w:color="auto"/>
          <w:color w:val="auto"/>
        </w:rPr>
        <w:t>Chardan</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Dragonfly Energy Corp., a Nevada corporation (“</w:t>
      </w:r>
      <w:r>
        <w:rPr>
          <w:rFonts w:ascii="Times New Roman" w:cs="Times New Roman" w:eastAsia="Times New Roman" w:hAnsi="Times New Roman"/>
          <w:sz w:val="18"/>
          <w:szCs w:val="18"/>
          <w:u w:val="single" w:color="auto"/>
          <w:color w:val="auto"/>
        </w:rPr>
        <w:t>Dragonfly</w:t>
      </w:r>
      <w:r>
        <w:rPr>
          <w:rFonts w:ascii="Times New Roman" w:cs="Times New Roman" w:eastAsia="Times New Roman" w:hAnsi="Times New Roman"/>
          <w:sz w:val="18"/>
          <w:szCs w:val="18"/>
          <w:color w:val="auto"/>
        </w:rPr>
        <w:t>”), and Bronco Merger Sub, Inc., a Nevada corporation and a direct, wholly owned subsidiary of Chardan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On July 12, 2022, Chardan, Dragonfly and Merger Sub entered into that certain Amendment to the Agreement and Plan of Merger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which amends the Merger Agreement to, among other things, reflect a $15 million increase in the consideration to be issued in the business combination in connection with Dragonfly entering into a Stock Purchase Agreement with THOR Industries, Inc. (“</w:t>
      </w:r>
      <w:r>
        <w:rPr>
          <w:rFonts w:ascii="Times New Roman" w:cs="Times New Roman" w:eastAsia="Times New Roman" w:hAnsi="Times New Roman"/>
          <w:sz w:val="18"/>
          <w:szCs w:val="18"/>
          <w:u w:val="single" w:color="auto"/>
          <w:color w:val="auto"/>
        </w:rPr>
        <w:t>THOR</w:t>
      </w:r>
      <w:r>
        <w:rPr>
          <w:rFonts w:ascii="Times New Roman" w:cs="Times New Roman" w:eastAsia="Times New Roman" w:hAnsi="Times New Roman"/>
          <w:sz w:val="18"/>
          <w:szCs w:val="18"/>
          <w:color w:val="auto"/>
        </w:rPr>
        <w:t>”), dated as of July 12, 2022, whereby for $15 million in cash, THOR purchased 1,267,502 shares of Dragonfly common stock (the “</w:t>
      </w:r>
      <w:r>
        <w:rPr>
          <w:rFonts w:ascii="Times New Roman" w:cs="Times New Roman" w:eastAsia="Times New Roman" w:hAnsi="Times New Roman"/>
          <w:sz w:val="18"/>
          <w:szCs w:val="18"/>
          <w:u w:val="single" w:color="auto"/>
          <w:color w:val="auto"/>
        </w:rPr>
        <w:t>THOR Investment</w:t>
      </w:r>
      <w:r>
        <w:rPr>
          <w:rFonts w:ascii="Times New Roman" w:cs="Times New Roman" w:eastAsia="Times New Roman" w:hAnsi="Times New Roman"/>
          <w:sz w:val="18"/>
          <w:szCs w:val="18"/>
          <w:color w:val="auto"/>
        </w:rPr>
        <w:t>”). In connection with the THOR Investment, THOR and Dragonfly will enter into a commercial arrangement pursuant to which (i) THOR and certain of THOR’s affiliates will, among other things, transition to lithium-ion batteries manufactured and sold by Dragonfly, and (ii) Dragonfly will, among other things, grant certain board observer rights (with customary limitations) to THOR.</w:t>
      </w:r>
    </w:p>
    <w:p>
      <w:pPr>
        <w:spacing w:after="0" w:line="18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Other than as expressly modified by the Amendment, the Merger Agreement, which was filed as Exhibit 2.1 to the Current Report on Form 8-K filed by Chardan with the Securities and Exchange Commission on May 16, 2022, remains in full force and effect. The foregoing description of the Amendment does not purport to be complete and is subject to, and qualified in its entirety by reference to, the full text of the Amendment, which is attached as Exhibit 2.1 hereto and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On July 12, 2022, THOR, Chardan and Dragonfly issued a joint press release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announcing the THOR Investment. The Press Release is attached hereto as Exhibit 99.1 and incorporated by reference herein.</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liabilities under that section, and shall not be deemed to be incorporated by reference into the filings of Chardan under the Securities Act or the Exchange Act, regardless of any general incorporation language in such 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Current Report on Form 8-K relates to a proposed transaction between Chardan and Dragonfly. Chardan has filed a registration statement on Form S-4 with the SEC, which is subject to change and includes a document that serves as a prospectus and proxy statement of Chardan , referred to as a proxy statement/prospectus. The definitive proxy statement/prospectus will be sent to all Chardan stockholders. Chardan has also filed other documents regarding the proposed transaction with the SEC. Before making any voting decision, investors and security holders of Chardan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Investors and security holders are able to obtain free copies of the registration statement, the proxy statement/prospectus and all other relevant documents filed or that will be filed with the SEC by Chardan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documents filed by Chardan with the SEC also may be obtained by contacting Chardan NexTech Acquisition 2 Corp. at 17 State Street, 21st Floor, New York, New York 10004, or by calling (646) 465-9001.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Dragonfly, Chardan and certain of their respective directors, executive officers and other members of management and employees may, under SEC rules, be deemed to be participants in the solicitation of proxies from Chardan’s shareholders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Chardan or Dragonfly. The definitive proxy statement will be mailed to Chardan’s shareholders as of a record date to be established for voting on the proposed business combination when it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on Form 8-K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Chardan, the combined company or others following the announcement of the business combination and the transactions contemplated thereby; 3) the inability to complete the business combination due to the failure to obtain approval of the stockholders of Chardan,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Chardan’s securities; 20) the risk that the transaction may not be completed by Chardan’s business combination deadline (as may be extended pursuant to Chardan’s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Chardan’s Form S-1 (File Nos. 333-252449 and 333-253016), Annual Report on Form 10-K for the year ended December 31, 2021, Quarterly Report on Form 10-Q for the three months ended March 31, 2022 and registration statement on Form S-4 with the SEC, which is subject to change and will include a document that serves as a prospectus and proxy statement of Chardan, referred to as a proxy statement/prospectus and other documents filed by Chardan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Chardan nor Dragonfly gives any assurance that either Chardan or Dragonfly or the combined company will achieve its expected results. Neither Chardan nor Dragonfly undertakes any duty to update these forward-looking statements, except as otherwise required by law. For additional information, see “Risk Considerations” in the investor presentation, which will be provided in a Current Report on Form 8-K to be filed by Chardan with the SEC and available at www.sec.gov.</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44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Amendment to the Agreement and Plan of Merger, dated as of July 12, 2022.</w:t>
            </w:r>
          </w:p>
        </w:tc>
      </w:tr>
      <w:tr>
        <w:trPr>
          <w:trHeight w:val="20"/>
        </w:trPr>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50"/>
        </w:trPr>
        <w:tc>
          <w:tcPr>
            <w:tcW w:w="800" w:type="dxa"/>
            <w:vAlign w:val="bottom"/>
            <w:gridSpan w:val="2"/>
          </w:tcPr>
          <w:p>
            <w:pPr>
              <w:spacing w:after="0"/>
              <w:rPr>
                <w:sz w:val="21"/>
                <w:szCs w:val="21"/>
                <w:color w:val="auto"/>
              </w:rPr>
            </w:pPr>
          </w:p>
        </w:tc>
        <w:tc>
          <w:tcPr>
            <w:tcW w:w="60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60" w:type="dxa"/>
            <w:vAlign w:val="bottom"/>
          </w:tcPr>
          <w:p>
            <w:pPr>
              <w:spacing w:after="0"/>
              <w:rPr>
                <w:sz w:val="21"/>
                <w:szCs w:val="21"/>
                <w:color w:val="auto"/>
              </w:rPr>
            </w:pP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Press Release, dated July 12, 2022.</w:t>
            </w:r>
          </w:p>
        </w:tc>
      </w:tr>
      <w:tr>
        <w:trPr>
          <w:trHeight w:val="20"/>
        </w:trPr>
        <w:tc>
          <w:tcPr>
            <w:tcW w:w="800" w:type="dxa"/>
            <w:vAlign w:val="bottom"/>
            <w:gridSpan w:val="2"/>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r>
      <w:tr>
        <w:trPr>
          <w:trHeight w:val="291"/>
        </w:trPr>
        <w:tc>
          <w:tcPr>
            <w:tcW w:w="800" w:type="dxa"/>
            <w:vAlign w:val="bottom"/>
            <w:gridSpan w:val="2"/>
          </w:tcPr>
          <w:p>
            <w:pPr>
              <w:spacing w:after="0"/>
              <w:rPr>
                <w:sz w:val="24"/>
                <w:szCs w:val="24"/>
                <w:color w:val="auto"/>
              </w:rPr>
            </w:pP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cover page of this Current Report on Form 8-K, formatted in Inline XBRL.</w:t>
            </w:r>
          </w:p>
        </w:tc>
      </w:tr>
      <w:tr>
        <w:trPr>
          <w:trHeight w:val="702"/>
        </w:trPr>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CHARDAN NEXTECH ACQUISITION 2 CORP.</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12, 2022</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Jonas Grossman</w:t>
            </w:r>
          </w:p>
        </w:tc>
      </w:tr>
      <w:tr>
        <w:trPr>
          <w:trHeight w:val="191"/>
        </w:trPr>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Jonas Grossman</w:t>
            </w:r>
          </w:p>
        </w:tc>
      </w:tr>
      <w:tr>
        <w:trPr>
          <w:trHeight w:val="234"/>
        </w:trPr>
        <w:tc>
          <w:tcPr>
            <w:tcW w:w="3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75"/>
        </w:trPr>
        <w:tc>
          <w:tcPr>
            <w:tcW w:w="3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1036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July 12,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made by and among Chardan NexTech Acquisition 2 Corp., a Delaware corporation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Dragonfly Energy Corp.,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Bronco Merger Sub Inc., a Nevada corporation and a wholly-owned subsidiary of Acquiror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Capitalized terms used herein and not otherwise defined are defined as set forth in the Merger Agreement (as hereinafter defined).</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WHEREAS, reference is made to that certain Agreement and Plan of Merger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made and entered into as of May 15, 2022, by and among Acquiror, the Company, and Merger Sub;</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the Merger Agreement, Acquiror desires to acquire the Company through the merger of Merger Sub with and into the Company, pursuant to which the Company would become a wholly-owned subsidiary of Acquiror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WHEREAS, the Company has entered into a Stock Purchase Agreement, by and between THOR Industries, Inc. (“</w:t>
      </w:r>
      <w:r>
        <w:rPr>
          <w:rFonts w:ascii="Times New Roman" w:cs="Times New Roman" w:eastAsia="Times New Roman" w:hAnsi="Times New Roman"/>
          <w:sz w:val="18"/>
          <w:szCs w:val="18"/>
          <w:b w:val="1"/>
          <w:bCs w:val="1"/>
          <w:color w:val="auto"/>
        </w:rPr>
        <w:t>THOR</w:t>
      </w:r>
      <w:r>
        <w:rPr>
          <w:rFonts w:ascii="Times New Roman" w:cs="Times New Roman" w:eastAsia="Times New Roman" w:hAnsi="Times New Roman"/>
          <w:sz w:val="18"/>
          <w:szCs w:val="18"/>
          <w:color w:val="auto"/>
        </w:rPr>
        <w:t>”) and the Company, dated as of July 12, 2022 (the “</w:t>
      </w:r>
      <w:r>
        <w:rPr>
          <w:rFonts w:ascii="Times New Roman" w:cs="Times New Roman" w:eastAsia="Times New Roman" w:hAnsi="Times New Roman"/>
          <w:sz w:val="18"/>
          <w:szCs w:val="18"/>
          <w:b w:val="1"/>
          <w:bCs w:val="1"/>
          <w:color w:val="auto"/>
        </w:rPr>
        <w:t>Stock Purchase Agreement</w:t>
      </w:r>
      <w:r>
        <w:rPr>
          <w:rFonts w:ascii="Times New Roman" w:cs="Times New Roman" w:eastAsia="Times New Roman" w:hAnsi="Times New Roman"/>
          <w:sz w:val="18"/>
          <w:szCs w:val="18"/>
          <w:color w:val="auto"/>
        </w:rPr>
        <w:t>”), pursuant to which the Company desires to issue 1,267,502 of Company Common Stock for a purchase price of $11.8343 per share, or $15,000,000 in the aggregate, to THOR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parties to the Merger Agreement, contingent upon the consummation of the Transaction pursuant to the terms of the Stock Purchase Agreement, now desire to amend the “Base Purchase Price” definition in the Merger Agreement so that the “Base Purchase Price” shall mean $415,000,000;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11.11 of the Merger Agreement, the Merger Agreement may be amended by authorized action at any time pursuant to an instrument in writing signed on behalf of each of the parties thereto.</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NOW, THEREFORE, contingent upon the consummation of the Transaction pursuant to the terms of the Stock Purchase Agreement, in consideration of the foregoing premises and the mutual covenants and conditions set forth below, and in reliance on the recitals set forth above, and for other good and valuable consideration, the receipt of which is hereby acknowledged, the parties to this Amendment hereby agree as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defined term “Base Purchase Price” as found in Section 1.1 of the Merger Agreement is hereby deleted in its entirety and replaced with the following new definition of “Base Purchase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Purchase Price</w:t>
      </w:r>
      <w:r>
        <w:rPr>
          <w:rFonts w:ascii="Times New Roman" w:cs="Times New Roman" w:eastAsia="Times New Roman" w:hAnsi="Times New Roman"/>
          <w:sz w:val="18"/>
          <w:szCs w:val="18"/>
          <w:color w:val="auto"/>
        </w:rPr>
        <w:t>” shall mean $415,000,000.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Effectiveness of Waiver; Limited Effect; No Modifications</w:t>
      </w:r>
      <w:r>
        <w:rPr>
          <w:rFonts w:ascii="Times New Roman" w:cs="Times New Roman" w:eastAsia="Times New Roman" w:hAnsi="Times New Roman"/>
          <w:sz w:val="18"/>
          <w:szCs w:val="18"/>
          <w:color w:val="auto"/>
        </w:rPr>
        <w:t>. This Amendment will become effective as of the Effective Date. Without limiting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generality of Section 11.11 of the Merger Agreement, this Amendment shall be limited precisely as written and relates solely to the provisions of the definition of “Base Purchase Price” in the manner and to the extent described above, and, other than as expressly set forth herein, nothing in this Amendment shall be deemed to constitute a waiver or amendment by any party to the Merger Agreement of compliance with respect to any other term, provision, or condition of the Merger Agreement or any other instrument or agreement referred to therein.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The provisions set forth in Section 11.2 (Waiver), Section 11.3 (Notices), Section 11.4 (Assignment), Section 11.7 (Governing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11.8 (Headings; Counterparts), Section 11.11 (Amendments) and Section 11.14 (Jurisdiction; Waiver of Jury Trial), and Section 11.15 (Enforcement) of the Merger Agreement are hereby incorporated into, and shall apply 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18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Amendment as of the date first written above.</w:t>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BRONCO MERGER SUB,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Signature Page]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 w:name="page9"/>
    <w:bookmarkEnd w:id="8"/>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THOR INDUSTRIES ANNOUNCES STRATEGIC INVESTMENT IN DRAGONFLY ENERGY</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Strategic partnership includes $15 million investment focused on deployment of Dragonfly’s innovative storage technologies to support THOR’s commitment to delivering best-in-class user experience for its RV customers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ELKHART, INDIANA &amp; RENO, NEVADA, – (July 12, 2022) </w:t>
      </w:r>
      <w:r>
        <w:rPr>
          <w:rFonts w:ascii="Times New Roman" w:cs="Times New Roman" w:eastAsia="Times New Roman" w:hAnsi="Times New Roman"/>
          <w:sz w:val="18"/>
          <w:szCs w:val="18"/>
          <w:color w:val="auto"/>
        </w:rPr>
        <w:t>–Today, THOR Industries (NYSE: THO) announced that it has made a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in Dragonfly Energy, a leading deep cycle lithium-ion battery producer to the RV industry. Dragonfly’s innovative approach to energy storage - including the development of battery packs, energy systems, and cell manufacturing technologies – is distinctive in its focus on a best-in-class user experience. In May 2022, Dragonfly entered into a merger agreement for a business combination transaction with Chardan NexTech Acquisition 2 Corp. (Nasdaq: CNTQ).</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 in Dragonfly furthers THOR’s dedication to continuously improving the user experience of THOR RVers by providing them a best-in-class energy storage solution that enables RVers to boondock and camp off the grid. Dragonfly has been a valued partner to one of our largest and most successful North American RV companies, Keystone RV, a THOR operating company. The proven success of the products in the field and synergistic value-add relationship made this investment an important one to us. Our alignment with Dragonfly is a natural fit to the evolution of our product lines that empower the owners of our companies’ RVs to Go Everywhere and Stay Anywhere, ™ offered Bob Martin, President and CEO of THOR Industries.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we discussed at our recent investor day, THOR is acutely focused on aligning with leading technology companies in the RV space. Dragonfly has demonstrated its leadership in the crucial Lithium-ion battery supply. The leadership team at Dragonfly has demonstrated the success of its operations model that focuses on inventory management and domestic production, thereby reducing supply chain risk. Keystone currently enjoys an exclusive relationship with Dragonfly for certain battery brands that, in time, will expand to an exclusive relationship across the entire family of THOR brands. In addition to a potential strong financial return on our investment, our equity position creates the opportunity for agreed exclusivity and co-development rights in RV industry-specific applications of lithium-ion energy storage solutions. The relationship also furthers our ESG commitment as Dragonfly’s patented all-solid-state cell technology is positioned to enable a more sustainable and reliable smart energy grid. As we forge ahead, our strategic partnership with Dragonfly will allow for meaningful engagement with its leadership to ensure long term alignment of a crucial element of our supply chain with THOR’s strategic vision and to provide one of many building blocks to a comprehensive aftermarket strategy,” added Todd Woelfer, THOR’s Chief Operating Officer.</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“Dragonfly is thrilled to take this next step with THOR to solidify our long-term collaboration. Our experience working with THOR brands, particularly Keystone, has convinced us that this is the best downstream strategic partner for us. Not only is THOR’s commitment to the end user second to none, but this investment demonstrates THOR’s commitment to a much larger vision of energy sustainability. Together, we will continue to drive industry-best lithium-ion solutions, designed to improve the user experience of RVs. We look forward to being a key contributor to THOR’s future success,” explained Dr. Denis Phares, Chief Executive Officer of Dragonfly.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spacing w:after="0" w:line="269" w:lineRule="auto"/>
        <w:rPr>
          <w:sz w:val="20"/>
          <w:szCs w:val="20"/>
          <w:color w:val="auto"/>
        </w:rPr>
      </w:pPr>
      <w:r>
        <w:rPr>
          <w:rFonts w:ascii="Times New Roman" w:cs="Times New Roman" w:eastAsia="Times New Roman" w:hAnsi="Times New Roman"/>
          <w:sz w:val="18"/>
          <w:szCs w:val="18"/>
          <w:color w:val="auto"/>
        </w:rPr>
        <w:t xml:space="preserve">THOR’s equity investment has been completed and is being made ahead of Dragonfly’s </w:t>
      </w:r>
      <w:r>
        <w:rPr>
          <w:rFonts w:ascii="Times New Roman" w:cs="Times New Roman" w:eastAsia="Times New Roman" w:hAnsi="Times New Roman"/>
          <w:sz w:val="18"/>
          <w:szCs w:val="18"/>
          <w:u w:val="single" w:color="auto"/>
          <w:color w:val="auto"/>
        </w:rPr>
        <w:t>previously announced</w:t>
      </w:r>
      <w:r>
        <w:rPr>
          <w:rFonts w:ascii="Times New Roman" w:cs="Times New Roman" w:eastAsia="Times New Roman" w:hAnsi="Times New Roman"/>
          <w:sz w:val="18"/>
          <w:szCs w:val="18"/>
          <w:color w:val="auto"/>
        </w:rPr>
        <w:t xml:space="preserve"> business combination with Chardan NexTech Acquisition 2 Corp. (“CNTQ”) (Nasdaq: CNTQ). Funding of the business combination includes a $75 million senior secured term loan for which Energy Impact Partners is lead arranger, a $5 million equity investment from Chardan NexTech Investments 2 LLC, and a $150 million Chardan Equity Facility (</w:t>
      </w:r>
      <w:r>
        <w:rPr>
          <w:rFonts w:ascii="Times New Roman" w:cs="Times New Roman" w:eastAsia="Times New Roman" w:hAnsi="Times New Roman"/>
          <w:sz w:val="18"/>
          <w:szCs w:val="18"/>
          <w:color w:val="373737"/>
        </w:rPr>
        <w:t>ChEF</w:t>
      </w:r>
      <w:r>
        <w:rPr>
          <w:rFonts w:ascii="Times New Roman" w:cs="Times New Roman" w:eastAsia="Times New Roman" w:hAnsi="Times New Roman"/>
          <w:sz w:val="29"/>
          <w:szCs w:val="29"/>
          <w:color w:val="373737"/>
          <w:vertAlign w:val="superscript"/>
        </w:rPr>
        <w:t>TM</w:t>
      </w:r>
      <w:r>
        <w:rPr>
          <w:rFonts w:ascii="Times New Roman" w:cs="Times New Roman" w:eastAsia="Times New Roman" w:hAnsi="Times New Roman"/>
          <w:sz w:val="18"/>
          <w:szCs w:val="18"/>
          <w:color w:val="auto"/>
        </w:rPr>
        <w:t>) from Chardan, an affiliate of CNTQ's sponsor.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THOR Industries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817"/>
        </w:rPr>
        <w:t>THOR Industries is the sole owner of operating companies which, combined, represent the world’s largest manufacturer of recreational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817"/>
        </w:rPr>
        <w:t xml:space="preserve">For more information on the Company and its products, please go to </w:t>
      </w:r>
      <w:r>
        <w:rPr>
          <w:rFonts w:ascii="Times New Roman" w:cs="Times New Roman" w:eastAsia="Times New Roman" w:hAnsi="Times New Roman"/>
          <w:sz w:val="18"/>
          <w:szCs w:val="18"/>
          <w:u w:val="single" w:color="auto"/>
          <w:color w:val="000000"/>
        </w:rPr>
        <w:t>www.thorindustries.com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Dragonfly Energy Corp., headquartered in Reno, Nevada, is a leading manufacturer of deep cycle lithium-ion batteries, which are sold direct-to-consumers under the Battle Born Batteries™ brand and to original equipment manufacturers, such as Keystone RV. Dragonfly’s battery products are designed and assembled in the USA, and the Company’s research and development initiatives are seeking to revolutionize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t>
      </w:r>
      <w:r>
        <w:rPr>
          <w:rFonts w:ascii="Times New Roman" w:cs="Times New Roman" w:eastAsia="Times New Roman" w:hAnsi="Times New Roman"/>
          <w:sz w:val="18"/>
          <w:szCs w:val="18"/>
          <w:u w:val="single" w:color="auto"/>
          <w:color w:val="auto"/>
        </w:rPr>
        <w:t>www.dragonflyenergy.com/investors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Dragonfly previously announced an agreement for a business combination with CNTQ, which is expected to result in Dragonfly becoming a public company listed on the Nasdaq Stock Exchange under the new ticker symbol “DFLI” in the second half of 2022, subject to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Chardan NexTech Acquisition 2 Corp.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w:t>
      </w:r>
      <w:r>
        <w:rPr>
          <w:rFonts w:ascii="Times New Roman" w:cs="Times New Roman" w:eastAsia="Times New Roman" w:hAnsi="Times New Roman"/>
          <w:sz w:val="18"/>
          <w:szCs w:val="18"/>
          <w:u w:val="single" w:color="auto"/>
          <w:color w:val="auto"/>
        </w:rPr>
        <w:t>visit https://www.cnaq.com/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THOR’s potential return on its Dragonfly investment, the success of commercial arrangements between Dragonfly and THOR,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THOR or CNTQ) which could cause actual results to differ materially from those expressed or implied by such forward-looking statements. All forward-looking statements are based upon estimates, forecasts and assumptions that, while considered reasonable by CNTQ and its management, Dragonfly and its management, and THOR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arrangements described herein; 2) the occurrence of any event, change or other circumstances that could give rise to the termination of the definitive merger agreement with respect to the business combination; 3) the outcome of any legal proceedings that may be instituted against Dragonfly, CNTQ, the combined company or others following the announcement of the business combination and the transactions contemplated thereby; 4) the inability to complete the business combination due to the failure to obtain approval of the stockholders of CNTQ, or to satisfy other conditions to closing the business combination; 5) changes to the proposed structure of the business combination that may be required or appropriate as a result of applicable laws or regulations or as a condition to obtaining regulatory approval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the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and 22)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with the SEC (File No. 333-265713), as may be amended from time to time,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which will be provided in a Current Report on Form 8-K to be filed by CNTQ with the SEC and available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references a proposed transaction between CNTQ and Dragonfly. With respect to the transaction, CNTQ has filed a registration statement on Form S-4 with the SEC,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Investors and security holders are able to obtain free copies of the registration statement, the proxy statement/prospectus and all other relevant documents filed or that will be filed with the SEC by CNTQ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THOR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Trinske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mtrinske@thorindustries.com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THOR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Cieslak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mcieslak@thorindustries.com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 THOR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Renee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rjones@thorindustries.com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2022-07-12T08:00:33Z</dcterms:created>
  <dcterms:modified xsi:type="dcterms:W3CDTF">2022-07-12T08:00:33Z</dcterms:modified>
</cp:coreProperties>
</file>